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3B19E" w14:textId="2A0DEB03" w:rsidR="00980D9A" w:rsidRDefault="00980D9A" w:rsidP="00980D9A">
      <w:pPr>
        <w:pStyle w:val="Header"/>
        <w:spacing w:before="560" w:after="480"/>
      </w:pPr>
      <w:r w:rsidRPr="00F9129C">
        <w:rPr>
          <w:noProof/>
          <w:lang w:eastAsia="en-AU"/>
        </w:rPr>
        <w:drawing>
          <wp:anchor distT="0" distB="0" distL="114300" distR="114300" simplePos="0" relativeHeight="251661312" behindDoc="0" locked="0" layoutInCell="1" allowOverlap="1" wp14:anchorId="3DF5ED5C" wp14:editId="1E9FC448">
            <wp:simplePos x="0" y="0"/>
            <wp:positionH relativeFrom="column">
              <wp:posOffset>2159000</wp:posOffset>
            </wp:positionH>
            <wp:positionV relativeFrom="paragraph">
              <wp:posOffset>364490</wp:posOffset>
            </wp:positionV>
            <wp:extent cx="1515745" cy="711200"/>
            <wp:effectExtent l="0" t="0" r="8255" b="0"/>
            <wp:wrapNone/>
            <wp:docPr id="68520220" name="Picture 68520220" descr="D:\DP Plus\Docs\Giraffe\Environment\NatHERS, E3\sourcedocs\Australian Governmen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P Plus\Docs\Giraffe\Environment\NatHERS, E3\sourcedocs\Australian Government-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574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408" behindDoc="0" locked="0" layoutInCell="1" allowOverlap="1" wp14:anchorId="7239BA2C" wp14:editId="32EF248C">
            <wp:simplePos x="0" y="0"/>
            <wp:positionH relativeFrom="margin">
              <wp:posOffset>-425450</wp:posOffset>
            </wp:positionH>
            <wp:positionV relativeFrom="paragraph">
              <wp:posOffset>336550</wp:posOffset>
            </wp:positionV>
            <wp:extent cx="1737360" cy="908050"/>
            <wp:effectExtent l="0" t="0" r="0" b="6350"/>
            <wp:wrapSquare wrapText="bothSides"/>
            <wp:docPr id="1221666015" name="Picture 1221666015" descr="D:\DP Plus\Docs\Giraffe\Environment\NatHERS, E3\sourcedocs\E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P Plus\Docs\Giraffe\Environment\NatHERS, E3\sourcedocs\E3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360" cy="908050"/>
                    </a:xfrm>
                    <a:prstGeom prst="rect">
                      <a:avLst/>
                    </a:prstGeom>
                    <a:noFill/>
                    <a:ln>
                      <a:noFill/>
                    </a:ln>
                  </pic:spPr>
                </pic:pic>
              </a:graphicData>
            </a:graphic>
          </wp:anchor>
        </w:drawing>
      </w:r>
      <w:r w:rsidRPr="00F9129C">
        <w:rPr>
          <w:noProof/>
          <w:lang w:eastAsia="en-AU"/>
        </w:rPr>
        <w:drawing>
          <wp:anchor distT="0" distB="0" distL="114300" distR="114300" simplePos="0" relativeHeight="251660288" behindDoc="0" locked="1" layoutInCell="0" allowOverlap="1" wp14:anchorId="6A7EC69A" wp14:editId="447D62A6">
            <wp:simplePos x="0" y="0"/>
            <wp:positionH relativeFrom="column">
              <wp:posOffset>4039235</wp:posOffset>
            </wp:positionH>
            <wp:positionV relativeFrom="page">
              <wp:posOffset>1135380</wp:posOffset>
            </wp:positionV>
            <wp:extent cx="2103120" cy="536575"/>
            <wp:effectExtent l="0" t="0" r="0" b="0"/>
            <wp:wrapTopAndBottom/>
            <wp:docPr id="1614874620" name="Picture 1614874620" descr="D:\DP Plus\Docs\Giraffe\Environment\NatHERS, E3\sourcedocs\All-of-govt_NZ_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Giraffe\Environment\NatHERS, E3\sourcedocs\All-of-govt_NZ_Go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351">
        <w:rPr>
          <w:noProof/>
          <w:lang w:eastAsia="en-AU"/>
        </w:rPr>
        <mc:AlternateContent>
          <mc:Choice Requires="wps">
            <w:drawing>
              <wp:anchor distT="0" distB="0" distL="114300" distR="114300" simplePos="0" relativeHeight="251662336" behindDoc="1" locked="1" layoutInCell="0" allowOverlap="1" wp14:anchorId="40C66A05" wp14:editId="7669DCC8">
                <wp:simplePos x="0" y="0"/>
                <wp:positionH relativeFrom="page">
                  <wp:posOffset>5080</wp:posOffset>
                </wp:positionH>
                <wp:positionV relativeFrom="page">
                  <wp:posOffset>3642995</wp:posOffset>
                </wp:positionV>
                <wp:extent cx="7561580" cy="269875"/>
                <wp:effectExtent l="0" t="0" r="20320" b="15875"/>
                <wp:wrapNone/>
                <wp:docPr id="8" name="Rectangle 8"/>
                <wp:cNvGraphicFramePr/>
                <a:graphic xmlns:a="http://schemas.openxmlformats.org/drawingml/2006/main">
                  <a:graphicData uri="http://schemas.microsoft.com/office/word/2010/wordprocessingShape">
                    <wps:wsp>
                      <wps:cNvSpPr/>
                      <wps:spPr>
                        <a:xfrm>
                          <a:off x="0" y="0"/>
                          <a:ext cx="7561580" cy="269875"/>
                        </a:xfrm>
                        <a:prstGeom prst="rect">
                          <a:avLst/>
                        </a:prstGeom>
                        <a:solidFill>
                          <a:srgbClr val="B5121B"/>
                        </a:solidFill>
                        <a:ln w="25400" cap="flat" cmpd="sng" algn="ctr">
                          <a:solidFill>
                            <a:srgbClr val="B5121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4FCD" id="Rectangle 8" o:spid="_x0000_s1026" style="position:absolute;margin-left:.4pt;margin-top:286.85pt;width:595.4pt;height:21.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" o:allowincell="f" fillcolor="#b5121b" strokecolor="#b5121b" strokeweight="2pt">
                <w10:wrap anchorx="page" anchory="page"/>
                <w10:anchorlock/>
              </v:rect>
            </w:pict>
          </mc:Fallback>
        </mc:AlternateContent>
      </w:r>
      <w:r w:rsidRPr="00620351">
        <w:rPr>
          <w:noProof/>
          <w:lang w:eastAsia="en-AU"/>
        </w:rPr>
        <mc:AlternateContent>
          <mc:Choice Requires="wps">
            <w:drawing>
              <wp:anchor distT="0" distB="0" distL="114300" distR="114300" simplePos="0" relativeHeight="251663360" behindDoc="1" locked="1" layoutInCell="0" allowOverlap="1" wp14:anchorId="643092AC" wp14:editId="3B7D980F">
                <wp:simplePos x="0" y="0"/>
                <wp:positionH relativeFrom="page">
                  <wp:posOffset>-7620</wp:posOffset>
                </wp:positionH>
                <wp:positionV relativeFrom="paragraph">
                  <wp:posOffset>3009900</wp:posOffset>
                </wp:positionV>
                <wp:extent cx="7562850" cy="2186940"/>
                <wp:effectExtent l="0" t="0" r="19050" b="22860"/>
                <wp:wrapNone/>
                <wp:docPr id="10" name="Rectangle 10"/>
                <wp:cNvGraphicFramePr/>
                <a:graphic xmlns:a="http://schemas.openxmlformats.org/drawingml/2006/main">
                  <a:graphicData uri="http://schemas.microsoft.com/office/word/2010/wordprocessingShape">
                    <wps:wsp>
                      <wps:cNvSpPr/>
                      <wps:spPr>
                        <a:xfrm>
                          <a:off x="0" y="0"/>
                          <a:ext cx="7562850" cy="2186940"/>
                        </a:xfrm>
                        <a:prstGeom prst="rect">
                          <a:avLst/>
                        </a:prstGeom>
                        <a:solidFill>
                          <a:srgbClr val="1C1C1C"/>
                        </a:solidFill>
                        <a:ln w="25400" cap="flat" cmpd="sng" algn="ctr">
                          <a:solidFill>
                            <a:srgbClr val="1C1C1C"/>
                          </a:solidFill>
                          <a:prstDash val="solid"/>
                        </a:ln>
                        <a:effectLst/>
                      </wps:spPr>
                      <wps:txbx>
                        <w:txbxContent>
                          <w:p w14:paraId="16B1BBA7" w14:textId="77777777" w:rsidR="00980D9A" w:rsidRDefault="00980D9A" w:rsidP="00980D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092AC" id="Rectangle 10" o:spid="_x0000_s1026" style="position:absolute;margin-left:-.6pt;margin-top:237pt;width:595.5pt;height:172.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" o:allowincell="f" fillcolor="#1c1c1c" strokecolor="#1c1c1c" strokeweight="2pt">
                <v:textbox>
                  <w:txbxContent>
                    <w:p w14:paraId="16B1BBA7" w14:textId="77777777" w:rsidR="00980D9A" w:rsidRDefault="00980D9A" w:rsidP="00980D9A"/>
                  </w:txbxContent>
                </v:textbox>
                <w10:wrap anchorx="page"/>
                <w10:anchorlock/>
              </v:rect>
            </w:pict>
          </mc:Fallback>
        </mc:AlternateContent>
      </w:r>
      <w:r w:rsidRPr="00620351">
        <w:rPr>
          <w:noProof/>
          <w:lang w:eastAsia="en-AU"/>
        </w:rPr>
        <mc:AlternateContent>
          <mc:Choice Requires="wps">
            <w:drawing>
              <wp:anchor distT="0" distB="0" distL="114300" distR="114300" simplePos="0" relativeHeight="251664384" behindDoc="1" locked="1" layoutInCell="0" allowOverlap="1" wp14:anchorId="2AE48043" wp14:editId="7E82C940">
                <wp:simplePos x="0" y="0"/>
                <wp:positionH relativeFrom="page">
                  <wp:align>left</wp:align>
                </wp:positionH>
                <wp:positionV relativeFrom="page">
                  <wp:posOffset>6085840</wp:posOffset>
                </wp:positionV>
                <wp:extent cx="7561580" cy="274320"/>
                <wp:effectExtent l="0" t="0" r="20320" b="11430"/>
                <wp:wrapNone/>
                <wp:docPr id="11" name="Rectangle 11"/>
                <wp:cNvGraphicFramePr/>
                <a:graphic xmlns:a="http://schemas.openxmlformats.org/drawingml/2006/main">
                  <a:graphicData uri="http://schemas.microsoft.com/office/word/2010/wordprocessingShape">
                    <wps:wsp>
                      <wps:cNvSpPr/>
                      <wps:spPr>
                        <a:xfrm>
                          <a:off x="0" y="0"/>
                          <a:ext cx="7561580" cy="274320"/>
                        </a:xfrm>
                        <a:prstGeom prst="rect">
                          <a:avLst/>
                        </a:prstGeom>
                        <a:solidFill>
                          <a:srgbClr val="B5121B"/>
                        </a:solidFill>
                        <a:ln w="25400" cap="flat" cmpd="sng" algn="ctr">
                          <a:solidFill>
                            <a:srgbClr val="B5121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5F4BA" id="Rectangle 11" o:spid="_x0000_s1026" style="position:absolute;margin-left:0;margin-top:479.2pt;width:595.4pt;height:21.6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" o:allowincell="f" fillcolor="#b5121b" strokecolor="#b5121b" strokeweight="2pt">
                <w10:wrap anchorx="page" anchory="page"/>
                <w10:anchorlock/>
              </v:rect>
            </w:pict>
          </mc:Fallback>
        </mc:AlternateContent>
      </w:r>
    </w:p>
    <w:p w14:paraId="1C405826" w14:textId="2C398205" w:rsidR="00CC6A18" w:rsidRPr="003806D1" w:rsidRDefault="00FB6BAF" w:rsidP="004B1FDA">
      <w:pPr>
        <w:pStyle w:val="ReportTitle"/>
        <w:spacing w:before="3360"/>
        <w:rPr>
          <w:rFonts w:asciiTheme="minorHAnsi" w:hAnsiTheme="minorHAnsi" w:cstheme="minorHAnsi"/>
          <w:szCs w:val="60"/>
        </w:rPr>
      </w:pPr>
      <w:r>
        <w:rPr>
          <w:rFonts w:asciiTheme="minorHAnsi" w:hAnsiTheme="minorHAnsi" w:cstheme="minorHAnsi"/>
          <w:szCs w:val="60"/>
        </w:rPr>
        <w:t>E</w:t>
      </w:r>
      <w:r w:rsidR="003C3E4E">
        <w:rPr>
          <w:rFonts w:asciiTheme="minorHAnsi" w:hAnsiTheme="minorHAnsi" w:cstheme="minorHAnsi"/>
          <w:szCs w:val="60"/>
        </w:rPr>
        <w:t>xternal Power Supplies</w:t>
      </w:r>
      <w:r w:rsidR="00425597">
        <w:rPr>
          <w:rFonts w:asciiTheme="minorHAnsi" w:hAnsiTheme="minorHAnsi" w:cstheme="minorHAnsi"/>
          <w:szCs w:val="60"/>
        </w:rPr>
        <w:br/>
      </w:r>
      <w:r w:rsidR="003C3E4E">
        <w:rPr>
          <w:rFonts w:asciiTheme="minorHAnsi" w:hAnsiTheme="minorHAnsi" w:cstheme="minorHAnsi"/>
          <w:szCs w:val="60"/>
        </w:rPr>
        <w:t xml:space="preserve">Consultation </w:t>
      </w:r>
      <w:r w:rsidR="002C6427" w:rsidRPr="003806D1">
        <w:rPr>
          <w:rFonts w:asciiTheme="minorHAnsi" w:hAnsiTheme="minorHAnsi" w:cstheme="minorHAnsi"/>
          <w:szCs w:val="60"/>
        </w:rPr>
        <w:t>Regulation Impact Statement</w:t>
      </w:r>
    </w:p>
    <w:p w14:paraId="05079066" w14:textId="77777777" w:rsidR="00CC6A18" w:rsidRDefault="00CC6A18">
      <w:pPr>
        <w:spacing w:after="0" w:line="240" w:lineRule="auto"/>
        <w:rPr>
          <w:rFonts w:asciiTheme="minorHAnsi" w:hAnsiTheme="minorHAnsi" w:cstheme="minorHAnsi"/>
          <w:b/>
          <w:color w:val="FFFFFF"/>
          <w:szCs w:val="22"/>
        </w:rPr>
      </w:pPr>
      <w:r>
        <w:rPr>
          <w:rFonts w:asciiTheme="minorHAnsi" w:hAnsiTheme="minorHAnsi" w:cstheme="minorHAnsi"/>
          <w:szCs w:val="22"/>
        </w:rPr>
        <w:br w:type="page"/>
      </w:r>
    </w:p>
    <w:p w14:paraId="55D1494F" w14:textId="3714A856"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lastRenderedPageBreak/>
        <w:t xml:space="preserve">The Commonwealth of Australia (referred to as the Commonwealth) asserts the right to be recognised as author of the original material in this publication and this document should be attributed in the following manner: </w:t>
      </w:r>
      <w:r w:rsidR="00327002" w:rsidRPr="00507393">
        <w:rPr>
          <w:rFonts w:asciiTheme="minorHAnsi" w:hAnsiTheme="minorHAnsi" w:cstheme="minorHAnsi"/>
          <w:sz w:val="22"/>
          <w:szCs w:val="22"/>
        </w:rPr>
        <w:t>External Power Supplies – Consultation Regulation Impact Statement</w:t>
      </w:r>
      <w:r w:rsidRPr="00507393">
        <w:rPr>
          <w:rFonts w:asciiTheme="minorHAnsi" w:hAnsiTheme="minorHAnsi" w:cstheme="minorHAnsi"/>
          <w:sz w:val="22"/>
          <w:szCs w:val="22"/>
        </w:rPr>
        <w:t>, Commonwealth of Australia 2024. </w:t>
      </w:r>
    </w:p>
    <w:p w14:paraId="786DE0EE" w14:textId="77777777" w:rsidR="00C31454" w:rsidRPr="00507393" w:rsidRDefault="00C31454" w:rsidP="00A8236A">
      <w:pPr>
        <w:pStyle w:val="NormalWeb"/>
        <w:spacing w:before="0" w:beforeAutospacing="0" w:after="0" w:afterAutospacing="0"/>
        <w:rPr>
          <w:rFonts w:asciiTheme="minorHAnsi" w:hAnsiTheme="minorHAnsi" w:cstheme="minorHAnsi"/>
          <w:sz w:val="22"/>
          <w:szCs w:val="22"/>
        </w:rPr>
      </w:pPr>
      <w:r w:rsidRPr="00507393">
        <w:rPr>
          <w:rStyle w:val="Strong"/>
          <w:rFonts w:asciiTheme="minorHAnsi" w:hAnsiTheme="minorHAnsi" w:cstheme="minorHAnsi"/>
          <w:sz w:val="22"/>
          <w:szCs w:val="22"/>
        </w:rPr>
        <w:t>Ownership of intellectual property rights</w:t>
      </w:r>
      <w:r w:rsidRPr="00507393">
        <w:rPr>
          <w:rFonts w:asciiTheme="minorHAnsi" w:hAnsiTheme="minorHAnsi" w:cstheme="minorHAnsi"/>
          <w:sz w:val="22"/>
          <w:szCs w:val="22"/>
        </w:rPr>
        <w:t> </w:t>
      </w:r>
    </w:p>
    <w:p w14:paraId="2A5B0E56"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t>Unless otherwise noted, copyright (and any other intellectual property rights) in this publication is owned by the Commonwealth of Australia (referred to as the Commonwealth). The Commonwealth asserts the right to be recognised as owner of the original material in the following manner: © Commonwealth of Australia 2024. </w:t>
      </w:r>
    </w:p>
    <w:p w14:paraId="0241C719"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Style w:val="Strong"/>
          <w:rFonts w:asciiTheme="minorHAnsi" w:hAnsiTheme="minorHAnsi" w:cstheme="minorHAnsi"/>
          <w:sz w:val="22"/>
          <w:szCs w:val="22"/>
        </w:rPr>
        <w:t>Creative Commons licence</w:t>
      </w:r>
      <w:r w:rsidRPr="00507393">
        <w:rPr>
          <w:rFonts w:asciiTheme="minorHAnsi" w:hAnsiTheme="minorHAnsi" w:cstheme="minorHAnsi"/>
          <w:sz w:val="22"/>
          <w:szCs w:val="22"/>
        </w:rPr>
        <w:t> </w:t>
      </w:r>
    </w:p>
    <w:p w14:paraId="307FB2FF" w14:textId="7C5A1200" w:rsidR="00C31454" w:rsidRPr="00507393" w:rsidRDefault="00327002"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t>External Power Supplies – Consultation Regulation Impact Statement</w:t>
      </w:r>
      <w:r w:rsidR="00C31454" w:rsidRPr="00507393">
        <w:rPr>
          <w:rFonts w:asciiTheme="minorHAnsi" w:hAnsiTheme="minorHAnsi" w:cstheme="minorHAnsi"/>
          <w:sz w:val="22"/>
          <w:szCs w:val="22"/>
        </w:rPr>
        <w:t xml:space="preserve"> is licensed by the Commonwealth for use under a Creative Commons Attribution 4.0 International licence with the exception of the Coat of Arms of the Commonwealth, the logo of the agency responsible for publishing the report, content supplied by third parties, and any images depicting people. For licence conditions see the Creative Commons website – Attribution 4.0 International page. </w:t>
      </w:r>
    </w:p>
    <w:p w14:paraId="2E029ADC"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t>Inquiries about the licence and any use of this document should be emailed to copyright@dcceew.gov.au. </w:t>
      </w:r>
    </w:p>
    <w:p w14:paraId="34FBB992" w14:textId="04C0817E" w:rsidR="00C31454" w:rsidRPr="00507393" w:rsidRDefault="00C31454" w:rsidP="00C31454">
      <w:pPr>
        <w:pStyle w:val="NormalWeb"/>
        <w:rPr>
          <w:rFonts w:asciiTheme="minorHAnsi" w:hAnsiTheme="minorHAnsi" w:cstheme="minorHAnsi"/>
          <w:sz w:val="22"/>
          <w:szCs w:val="22"/>
        </w:rPr>
      </w:pPr>
      <w:r w:rsidRPr="00507393">
        <w:rPr>
          <w:rStyle w:val="fui-flex"/>
          <w:rFonts w:asciiTheme="minorHAnsi" w:hAnsiTheme="minorHAnsi" w:cstheme="minorHAnsi"/>
          <w:noProof/>
          <w:sz w:val="22"/>
          <w:szCs w:val="22"/>
        </w:rPr>
        <w:drawing>
          <wp:inline distT="0" distB="0" distL="0" distR="0" wp14:anchorId="0862EAAB" wp14:editId="2F96C5EC">
            <wp:extent cx="1657350" cy="584200"/>
            <wp:effectExtent l="0" t="0" r="0" b="6350"/>
            <wp:docPr id="881760754" name="Picture 881760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60754" name="Picture 88176075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584200"/>
                    </a:xfrm>
                    <a:prstGeom prst="rect">
                      <a:avLst/>
                    </a:prstGeom>
                    <a:noFill/>
                    <a:ln>
                      <a:noFill/>
                    </a:ln>
                  </pic:spPr>
                </pic:pic>
              </a:graphicData>
            </a:graphic>
          </wp:inline>
        </w:drawing>
      </w:r>
    </w:p>
    <w:p w14:paraId="171CF6DA" w14:textId="77777777" w:rsidR="00C31454" w:rsidRPr="00507393" w:rsidRDefault="00C31454" w:rsidP="00A8236A">
      <w:pPr>
        <w:pStyle w:val="NormalWeb"/>
        <w:rPr>
          <w:rFonts w:asciiTheme="minorHAnsi" w:hAnsiTheme="minorHAnsi" w:cstheme="minorHAnsi"/>
          <w:sz w:val="22"/>
          <w:szCs w:val="22"/>
        </w:rPr>
      </w:pPr>
      <w:r w:rsidRPr="00507393">
        <w:rPr>
          <w:rStyle w:val="Strong"/>
          <w:rFonts w:asciiTheme="minorHAnsi" w:hAnsiTheme="minorHAnsi" w:cstheme="minorHAnsi"/>
          <w:sz w:val="22"/>
          <w:szCs w:val="22"/>
        </w:rPr>
        <w:t>Disclaimer</w:t>
      </w:r>
      <w:r w:rsidRPr="00507393">
        <w:rPr>
          <w:rFonts w:asciiTheme="minorHAnsi" w:hAnsiTheme="minorHAnsi" w:cstheme="minorHAnsi"/>
          <w:sz w:val="22"/>
          <w:szCs w:val="22"/>
        </w:rPr>
        <w:t> </w:t>
      </w:r>
    </w:p>
    <w:p w14:paraId="4D36CAD5"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t>The Commonwealth has exercised due care and skill in preparing and compiling the information and data in this publication. While reasonable efforts have been made to ensure that the contents of this publication are factually correct, the Commonwealth does not accept responsibility for the accuracy or completeness of its contents. This publication is intended to provide reference material for general information purposes only. It does not constitute legal or other professional advice. </w:t>
      </w:r>
    </w:p>
    <w:p w14:paraId="6A1CDE5C"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t>The department disclaims liability, to the extent permitted by law, for any liabilities, losses, damages and costs arising from any reliance on the information contained in this publication. You should seek legal or other professional advice in relation to your specific circumstances. The views and opinions expressed in this publication are those of the Department of Climate Change, Energy, the Environment and Water. </w:t>
      </w:r>
    </w:p>
    <w:p w14:paraId="6969D941"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Style w:val="Strong"/>
          <w:rFonts w:asciiTheme="minorHAnsi" w:hAnsiTheme="minorHAnsi" w:cstheme="minorHAnsi"/>
          <w:sz w:val="22"/>
          <w:szCs w:val="22"/>
        </w:rPr>
        <w:t>Acknowledgement of Country</w:t>
      </w:r>
      <w:r w:rsidRPr="00507393">
        <w:rPr>
          <w:rFonts w:asciiTheme="minorHAnsi" w:hAnsiTheme="minorHAnsi" w:cstheme="minorHAnsi"/>
          <w:sz w:val="22"/>
          <w:szCs w:val="22"/>
        </w:rPr>
        <w:t> </w:t>
      </w:r>
    </w:p>
    <w:p w14:paraId="1CC08149"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t>We acknowledge the Traditional Owners of Country throughout Australia and recognise their continuing connection to land, waters and culture. We pay our respects to their Elders past and present. </w:t>
      </w:r>
    </w:p>
    <w:p w14:paraId="202C8BDD" w14:textId="77777777"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Style w:val="Strong"/>
          <w:rFonts w:asciiTheme="minorHAnsi" w:hAnsiTheme="minorHAnsi" w:cstheme="minorHAnsi"/>
          <w:sz w:val="22"/>
          <w:szCs w:val="22"/>
        </w:rPr>
        <w:t>Using our logo</w:t>
      </w:r>
      <w:r w:rsidRPr="00507393">
        <w:rPr>
          <w:rFonts w:asciiTheme="minorHAnsi" w:hAnsiTheme="minorHAnsi" w:cstheme="minorHAnsi"/>
          <w:sz w:val="22"/>
          <w:szCs w:val="22"/>
        </w:rPr>
        <w:t> </w:t>
      </w:r>
    </w:p>
    <w:p w14:paraId="30F2D7EB" w14:textId="6448DBAD" w:rsidR="00C31454" w:rsidRPr="00507393" w:rsidRDefault="00C31454" w:rsidP="00C31454">
      <w:pPr>
        <w:pStyle w:val="NormalWeb"/>
        <w:spacing w:before="0" w:beforeAutospacing="0" w:after="120" w:afterAutospacing="0"/>
        <w:rPr>
          <w:rFonts w:asciiTheme="minorHAnsi" w:hAnsiTheme="minorHAnsi" w:cstheme="minorHAnsi"/>
          <w:sz w:val="22"/>
          <w:szCs w:val="22"/>
        </w:rPr>
      </w:pPr>
      <w:r w:rsidRPr="00507393">
        <w:rPr>
          <w:rFonts w:asciiTheme="minorHAnsi" w:hAnsiTheme="minorHAnsi" w:cstheme="minorHAnsi"/>
          <w:sz w:val="22"/>
          <w:szCs w:val="22"/>
        </w:rPr>
        <w:t xml:space="preserve">The Department of Climate Change, Energy, the Environment and Water’s logo and the Commonwealth Coat of Arms must not be used without the prior, specific, written permission of the Commonwealth. If you wish to seek permission, please contract </w:t>
      </w:r>
      <w:hyperlink r:id="rId15" w:tgtFrame="_blank" w:tooltip="mailto:copyright@dcceew.gov.au" w:history="1">
        <w:r w:rsidRPr="00507393">
          <w:rPr>
            <w:rStyle w:val="Hyperlink"/>
            <w:rFonts w:asciiTheme="minorHAnsi" w:hAnsiTheme="minorHAnsi" w:cstheme="minorHAnsi"/>
            <w:sz w:val="22"/>
            <w:szCs w:val="22"/>
          </w:rPr>
          <w:t>copyright@dcceew.gov.au</w:t>
        </w:r>
      </w:hyperlink>
      <w:r w:rsidRPr="00507393">
        <w:rPr>
          <w:rFonts w:asciiTheme="minorHAnsi" w:hAnsiTheme="minorHAnsi" w:cstheme="minorHAnsi"/>
          <w:sz w:val="22"/>
          <w:szCs w:val="22"/>
        </w:rPr>
        <w:t>.</w:t>
      </w:r>
    </w:p>
    <w:p w14:paraId="3CAC2AEC" w14:textId="20BA6AE7" w:rsidR="00FD791E" w:rsidRPr="008067C0" w:rsidRDefault="00E74A23" w:rsidP="00A8236A">
      <w:pPr>
        <w:pStyle w:val="ChapterTitle"/>
        <w:keepNext/>
        <w:rPr>
          <w:rFonts w:asciiTheme="minorHAnsi" w:hAnsiTheme="minorHAnsi" w:cstheme="minorHAnsi"/>
          <w:sz w:val="32"/>
          <w:szCs w:val="32"/>
        </w:rPr>
      </w:pPr>
      <w:bookmarkStart w:id="0" w:name="_Toc168660709"/>
      <w:bookmarkStart w:id="1" w:name="_Toc183163214"/>
      <w:r w:rsidRPr="008067C0">
        <w:rPr>
          <w:rFonts w:asciiTheme="minorHAnsi" w:hAnsiTheme="minorHAnsi" w:cstheme="minorHAnsi"/>
          <w:sz w:val="32"/>
          <w:szCs w:val="32"/>
        </w:rPr>
        <w:lastRenderedPageBreak/>
        <w:t>Executive Summary</w:t>
      </w:r>
      <w:bookmarkEnd w:id="0"/>
      <w:bookmarkEnd w:id="1"/>
    </w:p>
    <w:p w14:paraId="380E5617" w14:textId="1D264018" w:rsidR="00461579" w:rsidRPr="00BE7835" w:rsidRDefault="00461579" w:rsidP="00461579">
      <w:pPr>
        <w:rPr>
          <w:rFonts w:asciiTheme="minorHAnsi" w:hAnsiTheme="minorHAnsi" w:cstheme="minorHAnsi"/>
          <w:szCs w:val="22"/>
        </w:rPr>
      </w:pPr>
      <w:bookmarkStart w:id="2" w:name="_Toc509835482"/>
      <w:r w:rsidRPr="00A34F8A">
        <w:rPr>
          <w:rFonts w:asciiTheme="minorHAnsi" w:hAnsiTheme="minorHAnsi" w:cstheme="minorHAnsi"/>
          <w:szCs w:val="22"/>
        </w:rPr>
        <w:t>This consultation Regulation Impact Statement (RIS) considers different policy options for changing the level and scope of minimum energy performance standards (MEPS) applying to external power supplies (EPS)</w:t>
      </w:r>
      <w:r w:rsidR="00344906">
        <w:rPr>
          <w:rFonts w:asciiTheme="minorHAnsi" w:hAnsiTheme="minorHAnsi" w:cstheme="minorHAnsi"/>
          <w:szCs w:val="22"/>
        </w:rPr>
        <w:t xml:space="preserve"> in Australia and New Zealand</w:t>
      </w:r>
      <w:r w:rsidRPr="00A34F8A">
        <w:rPr>
          <w:rFonts w:asciiTheme="minorHAnsi" w:hAnsiTheme="minorHAnsi" w:cstheme="minorHAnsi"/>
          <w:szCs w:val="22"/>
        </w:rPr>
        <w:t>. This follows a review of the Greenhouse and Energy Minimum Standards (GEMS) determination covering these products in Australia completed in November 202</w:t>
      </w:r>
      <w:r w:rsidR="005E1878">
        <w:rPr>
          <w:rFonts w:asciiTheme="minorHAnsi" w:hAnsiTheme="minorHAnsi" w:cstheme="minorHAnsi"/>
          <w:szCs w:val="22"/>
        </w:rPr>
        <w:t>1</w:t>
      </w:r>
      <w:r w:rsidRPr="00A34F8A">
        <w:rPr>
          <w:rFonts w:asciiTheme="minorHAnsi" w:hAnsiTheme="minorHAnsi" w:cstheme="minorHAnsi"/>
          <w:szCs w:val="22"/>
        </w:rPr>
        <w:t xml:space="preserve"> by the </w:t>
      </w:r>
      <w:r w:rsidR="00B84F64">
        <w:rPr>
          <w:rFonts w:asciiTheme="minorHAnsi" w:hAnsiTheme="minorHAnsi" w:cstheme="minorHAnsi"/>
          <w:szCs w:val="22"/>
        </w:rPr>
        <w:t xml:space="preserve">Commonwealth </w:t>
      </w:r>
      <w:r w:rsidRPr="00A34F8A">
        <w:rPr>
          <w:rFonts w:asciiTheme="minorHAnsi" w:hAnsiTheme="minorHAnsi" w:cstheme="minorHAnsi"/>
          <w:szCs w:val="22"/>
        </w:rPr>
        <w:t>Department of Climate Change, Energy, the Environment and Water (</w:t>
      </w:r>
      <w:r w:rsidRPr="00BE7835">
        <w:rPr>
          <w:rFonts w:asciiTheme="minorHAnsi" w:hAnsiTheme="minorHAnsi" w:cstheme="minorHAnsi"/>
          <w:szCs w:val="22"/>
        </w:rPr>
        <w:t>DCCEEW). This review determined that a full assessment of the costs and benefits of changes to the level and scope of MEPS covering EPS was required.</w:t>
      </w:r>
    </w:p>
    <w:p w14:paraId="190993B7" w14:textId="1A1C7B4A" w:rsidR="00461579" w:rsidRPr="00DE0AD3" w:rsidRDefault="00461579" w:rsidP="00461579">
      <w:pPr>
        <w:rPr>
          <w:rFonts w:asciiTheme="minorHAnsi" w:hAnsiTheme="minorHAnsi" w:cstheme="minorHAnsi"/>
          <w:szCs w:val="22"/>
        </w:rPr>
      </w:pPr>
      <w:r w:rsidRPr="00BE7835">
        <w:rPr>
          <w:rFonts w:asciiTheme="minorHAnsi" w:hAnsiTheme="minorHAnsi" w:cstheme="minorHAnsi"/>
          <w:szCs w:val="22"/>
        </w:rPr>
        <w:t xml:space="preserve">The Australian GEMS determination and </w:t>
      </w:r>
      <w:r w:rsidR="004173FD" w:rsidRPr="00BE7835">
        <w:rPr>
          <w:rFonts w:asciiTheme="minorHAnsi" w:hAnsiTheme="minorHAnsi" w:cstheme="minorHAnsi"/>
          <w:szCs w:val="22"/>
        </w:rPr>
        <w:t>the</w:t>
      </w:r>
      <w:r w:rsidRPr="00BE7835">
        <w:rPr>
          <w:rFonts w:asciiTheme="minorHAnsi" w:hAnsiTheme="minorHAnsi" w:cstheme="minorHAnsi"/>
          <w:szCs w:val="22"/>
        </w:rPr>
        <w:t xml:space="preserve"> New Zealand regulation covering EPS lag behind international standards in both scope and stringency by a considerable margin. Due to advances in technology, the majority (approximately 87%) of EPS sold in Australia and </w:t>
      </w:r>
      <w:r w:rsidR="003A611A" w:rsidRPr="00BE7835">
        <w:rPr>
          <w:rFonts w:asciiTheme="minorHAnsi" w:hAnsiTheme="minorHAnsi" w:cstheme="minorHAnsi"/>
          <w:szCs w:val="22"/>
        </w:rPr>
        <w:t>New </w:t>
      </w:r>
      <w:r w:rsidRPr="00BE7835">
        <w:rPr>
          <w:rFonts w:asciiTheme="minorHAnsi" w:hAnsiTheme="minorHAnsi" w:cstheme="minorHAnsi"/>
          <w:szCs w:val="22"/>
        </w:rPr>
        <w:t xml:space="preserve">Zealand are not captured by the scope of the regulations. </w:t>
      </w:r>
      <w:r w:rsidRPr="00BE7835" w:rsidDel="001A7AFB">
        <w:rPr>
          <w:rFonts w:asciiTheme="minorHAnsi" w:hAnsiTheme="minorHAnsi" w:cstheme="minorHAnsi"/>
          <w:szCs w:val="22"/>
        </w:rPr>
        <w:t xml:space="preserve">Many EPS sold in Australia and </w:t>
      </w:r>
      <w:r w:rsidR="003A611A" w:rsidRPr="00BE7835" w:rsidDel="001A7AFB">
        <w:rPr>
          <w:rFonts w:asciiTheme="minorHAnsi" w:hAnsiTheme="minorHAnsi" w:cstheme="minorHAnsi"/>
          <w:szCs w:val="22"/>
        </w:rPr>
        <w:t>New </w:t>
      </w:r>
      <w:r w:rsidRPr="00BE7835" w:rsidDel="001A7AFB">
        <w:rPr>
          <w:rFonts w:asciiTheme="minorHAnsi" w:hAnsiTheme="minorHAnsi" w:cstheme="minorHAnsi"/>
          <w:szCs w:val="22"/>
        </w:rPr>
        <w:t>Zealand meet the more stringent international standards, but this is not true for all EPS.</w:t>
      </w:r>
      <w:r w:rsidRPr="00BE7835">
        <w:rPr>
          <w:rFonts w:asciiTheme="minorHAnsi" w:hAnsiTheme="minorHAnsi" w:cstheme="minorHAnsi"/>
          <w:szCs w:val="22"/>
        </w:rPr>
        <w:t xml:space="preserve"> There is </w:t>
      </w:r>
      <w:r w:rsidR="00145409" w:rsidRPr="00BE7835">
        <w:rPr>
          <w:rFonts w:asciiTheme="minorHAnsi" w:hAnsiTheme="minorHAnsi" w:cstheme="minorHAnsi"/>
          <w:szCs w:val="22"/>
        </w:rPr>
        <w:t>also</w:t>
      </w:r>
      <w:r w:rsidRPr="00BE7835">
        <w:rPr>
          <w:rFonts w:asciiTheme="minorHAnsi" w:hAnsiTheme="minorHAnsi" w:cstheme="minorHAnsi"/>
          <w:szCs w:val="22"/>
        </w:rPr>
        <w:t xml:space="preserve"> an observed delay between the introduction of more stringent regulations overseas </w:t>
      </w:r>
      <w:r w:rsidRPr="00DE0AD3">
        <w:rPr>
          <w:rFonts w:asciiTheme="minorHAnsi" w:hAnsiTheme="minorHAnsi" w:cstheme="minorHAnsi"/>
          <w:szCs w:val="22"/>
        </w:rPr>
        <w:t>and higher efficiency products filtering through to the Australian and New Zealand markets.</w:t>
      </w:r>
    </w:p>
    <w:p w14:paraId="1F74816A" w14:textId="67F77ECE" w:rsidR="00461579" w:rsidRPr="00DE0AD3" w:rsidRDefault="00461579" w:rsidP="00461579">
      <w:pPr>
        <w:rPr>
          <w:rFonts w:asciiTheme="minorHAnsi" w:hAnsiTheme="minorHAnsi" w:cstheme="minorHAnsi"/>
          <w:szCs w:val="22"/>
        </w:rPr>
      </w:pPr>
      <w:r w:rsidRPr="00DE0AD3">
        <w:rPr>
          <w:rFonts w:asciiTheme="minorHAnsi" w:hAnsiTheme="minorHAnsi" w:cstheme="minorHAnsi"/>
          <w:szCs w:val="22"/>
        </w:rPr>
        <w:t xml:space="preserve">There would be a total net benefit for Australia of </w:t>
      </w:r>
      <w:r w:rsidRPr="00E72969">
        <w:rPr>
          <w:rFonts w:asciiTheme="minorHAnsi" w:hAnsiTheme="minorHAnsi" w:cstheme="minorHAnsi"/>
          <w:szCs w:val="22"/>
        </w:rPr>
        <w:t>$28.8m</w:t>
      </w:r>
      <w:r w:rsidRPr="00DE0AD3">
        <w:rPr>
          <w:rStyle w:val="FootnoteReference"/>
          <w:rFonts w:asciiTheme="minorHAnsi" w:hAnsiTheme="minorHAnsi" w:cstheme="minorHAnsi"/>
          <w:szCs w:val="22"/>
        </w:rPr>
        <w:footnoteReference w:id="2"/>
      </w:r>
      <w:r w:rsidR="00BD543E" w:rsidRPr="00DE0AD3">
        <w:rPr>
          <w:rFonts w:asciiTheme="minorHAnsi" w:hAnsiTheme="minorHAnsi" w:cstheme="minorHAnsi"/>
          <w:szCs w:val="22"/>
        </w:rPr>
        <w:t xml:space="preserve"> for the period 2025-2040</w:t>
      </w:r>
      <w:r w:rsidRPr="00DE0AD3">
        <w:rPr>
          <w:rFonts w:asciiTheme="minorHAnsi" w:hAnsiTheme="minorHAnsi" w:cstheme="minorHAnsi"/>
          <w:szCs w:val="22"/>
        </w:rPr>
        <w:t xml:space="preserve"> if Australia was to align its EPS MEPS with international efficiency standards. This would include expanding the scope (i.e., including simultaneous multiple voltage EPS and adaptive voltage EPS – fast charging USB-PD devices) and increasing the stringency (mark VI level on the international efficiency marking protocol for EPS). There is likely to be minimal unintended disruption to the market in doing this</w:t>
      </w:r>
      <w:r w:rsidR="0019729A" w:rsidRPr="00DE0AD3">
        <w:rPr>
          <w:rFonts w:asciiTheme="minorHAnsi" w:hAnsiTheme="minorHAnsi" w:cstheme="minorHAnsi"/>
          <w:szCs w:val="22"/>
        </w:rPr>
        <w:t>,</w:t>
      </w:r>
      <w:r w:rsidRPr="00DE0AD3">
        <w:rPr>
          <w:rFonts w:asciiTheme="minorHAnsi" w:hAnsiTheme="minorHAnsi" w:cstheme="minorHAnsi"/>
          <w:szCs w:val="22"/>
        </w:rPr>
        <w:t xml:space="preserve"> because the MEPS levels have been in place for almost a decade in the EU and the US</w:t>
      </w:r>
      <w:r w:rsidR="00362BA0">
        <w:rPr>
          <w:rFonts w:asciiTheme="minorHAnsi" w:hAnsiTheme="minorHAnsi" w:cstheme="minorHAnsi"/>
          <w:szCs w:val="22"/>
        </w:rPr>
        <w:t>, and because these products are almost all manufactured internationally and imported into Australia and New Zealand</w:t>
      </w:r>
      <w:r w:rsidRPr="00DE0AD3">
        <w:rPr>
          <w:rFonts w:asciiTheme="minorHAnsi" w:hAnsiTheme="minorHAnsi" w:cstheme="minorHAnsi"/>
          <w:szCs w:val="22"/>
        </w:rPr>
        <w:t>.</w:t>
      </w:r>
    </w:p>
    <w:p w14:paraId="5395803F" w14:textId="380446D7" w:rsidR="00461579" w:rsidRDefault="00461579" w:rsidP="00461579">
      <w:pPr>
        <w:rPr>
          <w:rFonts w:asciiTheme="minorHAnsi" w:hAnsiTheme="minorHAnsi" w:cstheme="minorHAnsi"/>
          <w:szCs w:val="22"/>
        </w:rPr>
      </w:pPr>
      <w:r w:rsidRPr="00DE0AD3">
        <w:rPr>
          <w:rFonts w:asciiTheme="minorHAnsi" w:hAnsiTheme="minorHAnsi" w:cstheme="minorHAnsi"/>
          <w:szCs w:val="22"/>
        </w:rPr>
        <w:t>International regulators (the EU Commission and the US Department of Energy) are considering a further increase in standards, which is likely to be implemented around 2027</w:t>
      </w:r>
      <w:r w:rsidR="00FA1C41" w:rsidRPr="00DE0AD3">
        <w:rPr>
          <w:rFonts w:asciiTheme="minorHAnsi" w:hAnsiTheme="minorHAnsi" w:cstheme="minorHAnsi"/>
          <w:szCs w:val="22"/>
        </w:rPr>
        <w:t>,</w:t>
      </w:r>
      <w:r w:rsidRPr="00DE0AD3">
        <w:rPr>
          <w:rFonts w:asciiTheme="minorHAnsi" w:hAnsiTheme="minorHAnsi" w:cstheme="minorHAnsi"/>
          <w:szCs w:val="22"/>
        </w:rPr>
        <w:t xml:space="preserve"> if it is determined to be effective. There would, therefore, be an additional net benefit for Australia of </w:t>
      </w:r>
      <w:r w:rsidRPr="002D56D8">
        <w:rPr>
          <w:rFonts w:asciiTheme="minorHAnsi" w:hAnsiTheme="minorHAnsi" w:cstheme="minorHAnsi"/>
          <w:szCs w:val="22"/>
        </w:rPr>
        <w:t>$4</w:t>
      </w:r>
      <w:r w:rsidR="002D56D8" w:rsidRPr="00CE47CF">
        <w:rPr>
          <w:rFonts w:asciiTheme="minorHAnsi" w:hAnsiTheme="minorHAnsi" w:cstheme="minorHAnsi"/>
          <w:szCs w:val="22"/>
        </w:rPr>
        <w:t>1.6</w:t>
      </w:r>
      <w:r w:rsidRPr="002D56D8">
        <w:rPr>
          <w:rFonts w:asciiTheme="minorHAnsi" w:hAnsiTheme="minorHAnsi" w:cstheme="minorHAnsi"/>
          <w:szCs w:val="22"/>
        </w:rPr>
        <w:t>m</w:t>
      </w:r>
      <w:r w:rsidRPr="00DE0AD3">
        <w:rPr>
          <w:rFonts w:asciiTheme="minorHAnsi" w:hAnsiTheme="minorHAnsi" w:cstheme="minorHAnsi"/>
          <w:szCs w:val="22"/>
        </w:rPr>
        <w:t xml:space="preserve"> if Australia was to follow international regulators and increase to the mark VII level as soon as practical after international implementation. This would ensure Australian regulations remain aligned with international</w:t>
      </w:r>
      <w:r w:rsidRPr="00A34F8A">
        <w:rPr>
          <w:rFonts w:asciiTheme="minorHAnsi" w:hAnsiTheme="minorHAnsi" w:cstheme="minorHAnsi"/>
          <w:szCs w:val="22"/>
        </w:rPr>
        <w:t xml:space="preserve"> standards.</w:t>
      </w:r>
    </w:p>
    <w:p w14:paraId="688BABE4" w14:textId="241E81F0" w:rsidR="00601CA7" w:rsidRPr="00DE0AD3" w:rsidRDefault="00601CA7" w:rsidP="00601CA7">
      <w:pPr>
        <w:rPr>
          <w:rFonts w:asciiTheme="minorHAnsi" w:hAnsiTheme="minorHAnsi" w:cstheme="minorBidi"/>
        </w:rPr>
      </w:pPr>
      <w:r w:rsidRPr="0ADEA962">
        <w:rPr>
          <w:rFonts w:asciiTheme="minorHAnsi" w:hAnsiTheme="minorHAnsi" w:cstheme="minorBidi"/>
        </w:rPr>
        <w:t>Similarly, aligning New Zealand’s MEPS with current international energy efficiency standards would deliver a positive net benefit to New Zealand of $</w:t>
      </w:r>
      <w:r w:rsidR="001E61DE">
        <w:rPr>
          <w:rFonts w:asciiTheme="minorHAnsi" w:hAnsiTheme="minorHAnsi" w:cstheme="minorBidi"/>
        </w:rPr>
        <w:t>1</w:t>
      </w:r>
      <w:r w:rsidRPr="0ADEA962">
        <w:rPr>
          <w:rFonts w:asciiTheme="minorHAnsi" w:hAnsiTheme="minorHAnsi" w:cstheme="minorBidi"/>
        </w:rPr>
        <w:t>m</w:t>
      </w:r>
      <w:r w:rsidR="001E61DE">
        <w:rPr>
          <w:rFonts w:asciiTheme="minorHAnsi" w:hAnsiTheme="minorHAnsi" w:cstheme="minorBidi"/>
        </w:rPr>
        <w:t xml:space="preserve"> for the period 2025-2040</w:t>
      </w:r>
      <w:r w:rsidRPr="0ADEA962">
        <w:rPr>
          <w:rFonts w:asciiTheme="minorHAnsi" w:hAnsiTheme="minorHAnsi" w:cstheme="minorBidi"/>
        </w:rPr>
        <w:t xml:space="preserve">, with this net </w:t>
      </w:r>
      <w:r w:rsidRPr="00DE0AD3">
        <w:rPr>
          <w:rFonts w:asciiTheme="minorHAnsi" w:hAnsiTheme="minorHAnsi" w:cstheme="minorBidi"/>
        </w:rPr>
        <w:t>benefit increasing to $3m, if New Zealand aligns with the anticipated mark VII level after it is implemented internationally.</w:t>
      </w:r>
    </w:p>
    <w:p w14:paraId="2965C854" w14:textId="648ABD12" w:rsidR="00461579" w:rsidRPr="00DE0AD3" w:rsidRDefault="00461579" w:rsidP="00461579">
      <w:pPr>
        <w:rPr>
          <w:rFonts w:asciiTheme="minorHAnsi" w:hAnsiTheme="minorHAnsi" w:cstheme="minorHAnsi"/>
          <w:szCs w:val="22"/>
        </w:rPr>
      </w:pPr>
      <w:r w:rsidRPr="00DE0AD3">
        <w:rPr>
          <w:rFonts w:asciiTheme="minorHAnsi" w:hAnsiTheme="minorHAnsi" w:cstheme="minorHAnsi"/>
          <w:szCs w:val="22"/>
        </w:rPr>
        <w:t xml:space="preserve">In addition, Australia </w:t>
      </w:r>
      <w:r w:rsidR="00601CA7" w:rsidRPr="00DE0AD3">
        <w:rPr>
          <w:rFonts w:asciiTheme="minorHAnsi" w:hAnsiTheme="minorHAnsi" w:cstheme="minorHAnsi"/>
          <w:szCs w:val="22"/>
        </w:rPr>
        <w:t xml:space="preserve">and New Zealand </w:t>
      </w:r>
      <w:r w:rsidRPr="00DE0AD3">
        <w:rPr>
          <w:rFonts w:asciiTheme="minorHAnsi" w:hAnsiTheme="minorHAnsi" w:cstheme="minorHAnsi"/>
          <w:szCs w:val="22"/>
        </w:rPr>
        <w:t xml:space="preserve">should consider amending </w:t>
      </w:r>
      <w:r w:rsidR="008907FC" w:rsidRPr="00DE0AD3">
        <w:rPr>
          <w:rFonts w:asciiTheme="minorHAnsi" w:hAnsiTheme="minorHAnsi" w:cstheme="minorHAnsi"/>
          <w:szCs w:val="22"/>
        </w:rPr>
        <w:t xml:space="preserve">their </w:t>
      </w:r>
      <w:r w:rsidRPr="00DE0AD3">
        <w:rPr>
          <w:rFonts w:asciiTheme="minorHAnsi" w:hAnsiTheme="minorHAnsi" w:cstheme="minorHAnsi"/>
          <w:szCs w:val="22"/>
        </w:rPr>
        <w:t xml:space="preserve">regulations to accept product testing to international test standards (e.g., EN 50563 and US </w:t>
      </w:r>
      <w:r w:rsidR="00A47572" w:rsidRPr="00DE0AD3">
        <w:rPr>
          <w:rFonts w:asciiTheme="minorHAnsi" w:hAnsiTheme="minorHAnsi" w:cstheme="minorHAnsi"/>
          <w:szCs w:val="22"/>
        </w:rPr>
        <w:t>DOE</w:t>
      </w:r>
      <w:r w:rsidRPr="00DE0AD3">
        <w:rPr>
          <w:rFonts w:asciiTheme="minorHAnsi" w:hAnsiTheme="minorHAnsi" w:cstheme="minorHAnsi"/>
          <w:szCs w:val="22"/>
        </w:rPr>
        <w:t xml:space="preserve">). These standards are all technically consistent with the Australian and New Zealand standards (AS/NZS 4665.1 </w:t>
      </w:r>
      <w:r w:rsidRPr="00DE0AD3">
        <w:rPr>
          <w:rFonts w:asciiTheme="minorHAnsi" w:hAnsiTheme="minorHAnsi" w:cstheme="minorHAnsi"/>
          <w:szCs w:val="22"/>
        </w:rPr>
        <w:lastRenderedPageBreak/>
        <w:t>and 4665.2) and any products that comply with these international standards will also comply with local standards. Accepting test certificates that refer to any of these standards would reduce costs and improve administrative efficiency for industry.</w:t>
      </w:r>
    </w:p>
    <w:p w14:paraId="1764CE6A" w14:textId="36D3BFFF" w:rsidR="00461579" w:rsidRPr="00A34F8A" w:rsidRDefault="00461579" w:rsidP="00461579">
      <w:pPr>
        <w:rPr>
          <w:rFonts w:asciiTheme="minorHAnsi" w:hAnsiTheme="minorHAnsi" w:cstheme="minorHAnsi"/>
          <w:szCs w:val="22"/>
        </w:rPr>
      </w:pPr>
      <w:r w:rsidRPr="00DE0AD3">
        <w:rPr>
          <w:rFonts w:asciiTheme="minorHAnsi" w:hAnsiTheme="minorHAnsi" w:cstheme="minorHAnsi"/>
          <w:szCs w:val="22"/>
        </w:rPr>
        <w:t>A summary of the key findings and recommendations of the analysis in</w:t>
      </w:r>
      <w:r w:rsidRPr="00A34F8A">
        <w:rPr>
          <w:rFonts w:asciiTheme="minorHAnsi" w:hAnsiTheme="minorHAnsi" w:cstheme="minorHAnsi"/>
          <w:szCs w:val="22"/>
        </w:rPr>
        <w:t xml:space="preserve"> this RIS is provided below, with more detail provided throughout the </w:t>
      </w:r>
      <w:r w:rsidR="004D63A0">
        <w:rPr>
          <w:rFonts w:asciiTheme="minorHAnsi" w:hAnsiTheme="minorHAnsi" w:cstheme="minorHAnsi"/>
          <w:szCs w:val="22"/>
        </w:rPr>
        <w:t xml:space="preserve">relevant </w:t>
      </w:r>
      <w:r w:rsidRPr="00A34F8A">
        <w:rPr>
          <w:rFonts w:asciiTheme="minorHAnsi" w:hAnsiTheme="minorHAnsi" w:cstheme="minorHAnsi"/>
          <w:szCs w:val="22"/>
        </w:rPr>
        <w:t>sections of this RIS. A detailed summary of the modelling approach and assumptions is provided in Appendix One.</w:t>
      </w:r>
    </w:p>
    <w:p w14:paraId="33F767AB" w14:textId="268DD729" w:rsidR="00022E5E" w:rsidRPr="008067C0" w:rsidRDefault="00461579" w:rsidP="00022E5E">
      <w:pPr>
        <w:pStyle w:val="Heading1"/>
      </w:pPr>
      <w:bookmarkStart w:id="3" w:name="_Toc168660710"/>
      <w:bookmarkStart w:id="4" w:name="_Toc183163215"/>
      <w:r w:rsidRPr="008067C0">
        <w:t>Summary of key findings</w:t>
      </w:r>
      <w:bookmarkEnd w:id="2"/>
      <w:bookmarkEnd w:id="3"/>
      <w:bookmarkEnd w:id="4"/>
    </w:p>
    <w:p w14:paraId="3550CCFC" w14:textId="4D8428A7" w:rsidR="00022E5E" w:rsidRPr="008067C0" w:rsidRDefault="008D6CC0" w:rsidP="00022E5E">
      <w:pPr>
        <w:pStyle w:val="Heading2"/>
      </w:pPr>
      <w:bookmarkStart w:id="5" w:name="_Toc509835483"/>
      <w:bookmarkStart w:id="6" w:name="_Toc168660634"/>
      <w:bookmarkStart w:id="7" w:name="_Toc183163216"/>
      <w:r w:rsidRPr="008067C0">
        <w:t>The effectiveness of the current regulation has declined</w:t>
      </w:r>
      <w:bookmarkEnd w:id="5"/>
      <w:bookmarkEnd w:id="6"/>
      <w:bookmarkEnd w:id="7"/>
    </w:p>
    <w:p w14:paraId="15F150DC" w14:textId="09C0FC09" w:rsidR="00C1502A" w:rsidRPr="00A928BB" w:rsidRDefault="00C1502A" w:rsidP="00C1502A">
      <w:pPr>
        <w:rPr>
          <w:rFonts w:asciiTheme="minorHAnsi" w:hAnsiTheme="minorHAnsi" w:cstheme="minorHAnsi"/>
          <w:szCs w:val="22"/>
        </w:rPr>
      </w:pPr>
      <w:r w:rsidRPr="00A928BB">
        <w:rPr>
          <w:rFonts w:asciiTheme="minorHAnsi" w:hAnsiTheme="minorHAnsi" w:cstheme="minorHAnsi"/>
          <w:szCs w:val="22"/>
        </w:rPr>
        <w:t>Both the scope and stringency of the current regulation are insufficient to drive efficiency gains in Australia and New Zealand. The scope of the regulation now excludes a large percentage (approximately 87%) of EPS products available in the market. This includes adaptive voltage EPS (e.g., fast charging USB-PD devices for charging phones and laptops) that constitute a growing proportion of the market, as well as simultaneous multiple voltage devices (e.g., multiple port USB wall adapters).</w:t>
      </w:r>
    </w:p>
    <w:p w14:paraId="65B7B52D" w14:textId="1E7B439F" w:rsidR="00C1502A" w:rsidRPr="00A34F8A" w:rsidRDefault="00C1502A" w:rsidP="00C1502A">
      <w:pPr>
        <w:rPr>
          <w:rFonts w:asciiTheme="minorHAnsi" w:hAnsiTheme="minorHAnsi" w:cstheme="minorHAnsi"/>
          <w:szCs w:val="22"/>
        </w:rPr>
      </w:pPr>
      <w:r w:rsidRPr="00A928BB">
        <w:rPr>
          <w:rFonts w:asciiTheme="minorHAnsi" w:hAnsiTheme="minorHAnsi" w:cstheme="minorHAnsi"/>
          <w:szCs w:val="22"/>
        </w:rPr>
        <w:t>International efficiency standards have also increased considerably, driving efficiency gains globally, while the Australian and New Zealand standards have not changed for 1</w:t>
      </w:r>
      <w:r w:rsidR="00DD6D08">
        <w:rPr>
          <w:rFonts w:asciiTheme="minorHAnsi" w:hAnsiTheme="minorHAnsi" w:cstheme="minorHAnsi"/>
          <w:szCs w:val="22"/>
        </w:rPr>
        <w:t>6</w:t>
      </w:r>
      <w:r w:rsidRPr="00A928BB">
        <w:rPr>
          <w:rFonts w:asciiTheme="minorHAnsi" w:hAnsiTheme="minorHAnsi" w:cstheme="minorHAnsi"/>
          <w:szCs w:val="22"/>
        </w:rPr>
        <w:t xml:space="preserve"> years. The EPS market is a global market. The same products are sold into many international markets. As a result, the increase in international regulations have filtered through to the Australian and New Zealand markets. However, this process can take between six to eight years. The US introduced a mark VI standard in 2016, followed by the EU in 2019. In 2022, around 80% of the EPS that are covered by the current regulations in the Australian and New Zealand markets met the mark VI level. Mark VI is well above the current local MEPS, which remain at Mark III.</w:t>
      </w:r>
    </w:p>
    <w:p w14:paraId="5B038A8C" w14:textId="640E19FD" w:rsidR="007403A3" w:rsidRPr="00094410" w:rsidRDefault="007403A3" w:rsidP="007403A3">
      <w:pPr>
        <w:pStyle w:val="Heading2"/>
      </w:pPr>
      <w:bookmarkStart w:id="8" w:name="_Toc168660635"/>
      <w:bookmarkStart w:id="9" w:name="_Toc183163217"/>
      <w:r w:rsidRPr="00094410">
        <w:t>There are inefficiencies with the current regulation</w:t>
      </w:r>
      <w:bookmarkEnd w:id="8"/>
      <w:bookmarkEnd w:id="9"/>
    </w:p>
    <w:p w14:paraId="0B0D4C5F" w14:textId="70E06572" w:rsidR="008C5176" w:rsidRPr="00A34F8A" w:rsidRDefault="008C5176" w:rsidP="008C5176">
      <w:pPr>
        <w:rPr>
          <w:rFonts w:asciiTheme="minorHAnsi" w:hAnsiTheme="minorHAnsi" w:cstheme="minorHAnsi"/>
          <w:szCs w:val="22"/>
        </w:rPr>
      </w:pPr>
      <w:r w:rsidRPr="00A34F8A">
        <w:rPr>
          <w:rFonts w:asciiTheme="minorHAnsi" w:hAnsiTheme="minorHAnsi" w:cstheme="minorHAnsi"/>
          <w:szCs w:val="22"/>
        </w:rPr>
        <w:t>When the AS/NZS standard was developed</w:t>
      </w:r>
      <w:r w:rsidR="00A47572">
        <w:rPr>
          <w:rFonts w:asciiTheme="minorHAnsi" w:hAnsiTheme="minorHAnsi" w:cstheme="minorHAnsi"/>
          <w:szCs w:val="22"/>
        </w:rPr>
        <w:t xml:space="preserve"> in 2005</w:t>
      </w:r>
      <w:r w:rsidRPr="00A34F8A">
        <w:rPr>
          <w:rFonts w:asciiTheme="minorHAnsi" w:hAnsiTheme="minorHAnsi" w:cstheme="minorHAnsi"/>
          <w:szCs w:val="22"/>
        </w:rPr>
        <w:t xml:space="preserve">, the intention was for it to be aligned with an international </w:t>
      </w:r>
      <w:r w:rsidRPr="00E05FB6">
        <w:rPr>
          <w:rFonts w:asciiTheme="minorHAnsi" w:hAnsiTheme="minorHAnsi" w:cstheme="minorHAnsi"/>
          <w:szCs w:val="22"/>
        </w:rPr>
        <w:t>testing standard for EPS. To a certain extent this did happen</w:t>
      </w:r>
      <w:r w:rsidR="00A47572" w:rsidRPr="00E05FB6">
        <w:rPr>
          <w:rFonts w:asciiTheme="minorHAnsi" w:hAnsiTheme="minorHAnsi" w:cstheme="minorHAnsi"/>
          <w:szCs w:val="22"/>
        </w:rPr>
        <w:t xml:space="preserve">, but since then international test </w:t>
      </w:r>
      <w:r w:rsidR="00B94F3B" w:rsidRPr="00E05FB6">
        <w:rPr>
          <w:rFonts w:asciiTheme="minorHAnsi" w:hAnsiTheme="minorHAnsi" w:cstheme="minorHAnsi"/>
          <w:szCs w:val="22"/>
        </w:rPr>
        <w:t xml:space="preserve">standards </w:t>
      </w:r>
      <w:r w:rsidR="00A47572" w:rsidRPr="00E05FB6">
        <w:rPr>
          <w:rFonts w:asciiTheme="minorHAnsi" w:hAnsiTheme="minorHAnsi" w:cstheme="minorHAnsi"/>
          <w:szCs w:val="22"/>
        </w:rPr>
        <w:t>have moved on to include adaptive voltage EPS and simultaneous multiple voltage devices</w:t>
      </w:r>
      <w:r w:rsidR="00C31DB3" w:rsidRPr="00E05FB6">
        <w:rPr>
          <w:rFonts w:asciiTheme="minorHAnsi" w:hAnsiTheme="minorHAnsi" w:cstheme="minorHAnsi"/>
          <w:szCs w:val="22"/>
        </w:rPr>
        <w:t>.</w:t>
      </w:r>
      <w:r w:rsidRPr="00E05FB6">
        <w:rPr>
          <w:rFonts w:asciiTheme="minorHAnsi" w:hAnsiTheme="minorHAnsi" w:cstheme="minorHAnsi"/>
          <w:szCs w:val="22"/>
        </w:rPr>
        <w:t xml:space="preserve"> All the international testing standards are technically consistent </w:t>
      </w:r>
      <w:r w:rsidR="00CA3187" w:rsidRPr="00E05FB6">
        <w:rPr>
          <w:rFonts w:asciiTheme="minorHAnsi" w:hAnsiTheme="minorHAnsi" w:cstheme="minorHAnsi"/>
          <w:szCs w:val="22"/>
        </w:rPr>
        <w:t>with the AS/NZS standard</w:t>
      </w:r>
      <w:r w:rsidR="00906EBB" w:rsidRPr="00E05FB6">
        <w:rPr>
          <w:rFonts w:asciiTheme="minorHAnsi" w:hAnsiTheme="minorHAnsi" w:cstheme="minorHAnsi"/>
          <w:szCs w:val="22"/>
        </w:rPr>
        <w:t xml:space="preserve"> </w:t>
      </w:r>
      <w:r w:rsidR="00931F4E" w:rsidRPr="00E05FB6">
        <w:rPr>
          <w:rFonts w:asciiTheme="minorHAnsi" w:hAnsiTheme="minorHAnsi" w:cstheme="minorHAnsi"/>
          <w:szCs w:val="22"/>
        </w:rPr>
        <w:t>(</w:t>
      </w:r>
      <w:r w:rsidR="00906EBB" w:rsidRPr="00E05FB6">
        <w:rPr>
          <w:rFonts w:asciiTheme="minorHAnsi" w:hAnsiTheme="minorHAnsi" w:cstheme="minorHAnsi"/>
          <w:szCs w:val="22"/>
        </w:rPr>
        <w:t>although</w:t>
      </w:r>
      <w:r w:rsidR="00931F4E" w:rsidRPr="00E05FB6">
        <w:rPr>
          <w:rFonts w:asciiTheme="minorHAnsi" w:hAnsiTheme="minorHAnsi" w:cstheme="minorHAnsi"/>
          <w:szCs w:val="22"/>
        </w:rPr>
        <w:t xml:space="preserve"> the internation</w:t>
      </w:r>
      <w:r w:rsidR="00906EBB" w:rsidRPr="00E05FB6">
        <w:rPr>
          <w:rFonts w:asciiTheme="minorHAnsi" w:hAnsiTheme="minorHAnsi" w:cstheme="minorHAnsi"/>
          <w:szCs w:val="22"/>
        </w:rPr>
        <w:t>al</w:t>
      </w:r>
      <w:r w:rsidR="00931F4E" w:rsidRPr="00E05FB6">
        <w:rPr>
          <w:rFonts w:asciiTheme="minorHAnsi" w:hAnsiTheme="minorHAnsi" w:cstheme="minorHAnsi"/>
          <w:szCs w:val="22"/>
        </w:rPr>
        <w:t xml:space="preserve"> test </w:t>
      </w:r>
      <w:r w:rsidR="000B7473" w:rsidRPr="00E05FB6">
        <w:rPr>
          <w:rFonts w:asciiTheme="minorHAnsi" w:hAnsiTheme="minorHAnsi" w:cstheme="minorHAnsi"/>
          <w:szCs w:val="22"/>
        </w:rPr>
        <w:t xml:space="preserve">standards </w:t>
      </w:r>
      <w:r w:rsidR="00931F4E" w:rsidRPr="00E05FB6">
        <w:rPr>
          <w:rFonts w:asciiTheme="minorHAnsi" w:hAnsiTheme="minorHAnsi" w:cstheme="minorHAnsi"/>
          <w:szCs w:val="22"/>
        </w:rPr>
        <w:t>hav</w:t>
      </w:r>
      <w:r w:rsidR="00906EBB" w:rsidRPr="00E05FB6">
        <w:rPr>
          <w:rFonts w:asciiTheme="minorHAnsi" w:hAnsiTheme="minorHAnsi" w:cstheme="minorHAnsi"/>
          <w:szCs w:val="22"/>
        </w:rPr>
        <w:t>e</w:t>
      </w:r>
      <w:r w:rsidR="00931F4E" w:rsidRPr="00E05FB6">
        <w:rPr>
          <w:rFonts w:asciiTheme="minorHAnsi" w:hAnsiTheme="minorHAnsi" w:cstheme="minorHAnsi"/>
          <w:szCs w:val="22"/>
        </w:rPr>
        <w:t xml:space="preserve"> a wider scope) </w:t>
      </w:r>
      <w:r w:rsidRPr="00E05FB6">
        <w:rPr>
          <w:rFonts w:asciiTheme="minorHAnsi" w:hAnsiTheme="minorHAnsi" w:cstheme="minorHAnsi"/>
          <w:szCs w:val="22"/>
        </w:rPr>
        <w:t xml:space="preserve">and may be considered harmonised standards. However, despite the harmonisation, suppliers and importers of EPS in Australia and New Zealand must reference the AS/NZS standard in their testing report to register products in compliance with the regulation. This means that manufacturers who have already tested products to a technically consistent international standard need to re-test or re-certify products to sell them into the Australian and </w:t>
      </w:r>
      <w:r w:rsidR="0053299F" w:rsidRPr="00E05FB6">
        <w:rPr>
          <w:rFonts w:asciiTheme="minorHAnsi" w:hAnsiTheme="minorHAnsi" w:cstheme="minorHAnsi"/>
          <w:szCs w:val="22"/>
        </w:rPr>
        <w:t>New </w:t>
      </w:r>
      <w:r w:rsidRPr="00E05FB6">
        <w:rPr>
          <w:rFonts w:asciiTheme="minorHAnsi" w:hAnsiTheme="minorHAnsi" w:cstheme="minorHAnsi"/>
          <w:szCs w:val="22"/>
        </w:rPr>
        <w:t>Zealand markets. This creates duplication and increases costs for manufacturers. In interviews, an industry expert explained that the</w:t>
      </w:r>
      <w:r w:rsidRPr="00A34F8A">
        <w:rPr>
          <w:rFonts w:asciiTheme="minorHAnsi" w:hAnsiTheme="minorHAnsi" w:cstheme="minorHAnsi"/>
          <w:szCs w:val="22"/>
        </w:rPr>
        <w:t xml:space="preserve"> cost of testing per product </w:t>
      </w:r>
      <w:r w:rsidR="00662812">
        <w:rPr>
          <w:rFonts w:asciiTheme="minorHAnsi" w:hAnsiTheme="minorHAnsi" w:cstheme="minorHAnsi"/>
          <w:szCs w:val="22"/>
        </w:rPr>
        <w:t>(</w:t>
      </w:r>
      <w:r w:rsidR="00155C1A">
        <w:rPr>
          <w:rFonts w:asciiTheme="minorHAnsi" w:hAnsiTheme="minorHAnsi" w:cstheme="minorHAnsi"/>
          <w:szCs w:val="22"/>
        </w:rPr>
        <w:t xml:space="preserve">to </w:t>
      </w:r>
      <w:r w:rsidR="00A3534D">
        <w:rPr>
          <w:rFonts w:asciiTheme="minorHAnsi" w:hAnsiTheme="minorHAnsi" w:cstheme="minorHAnsi"/>
          <w:szCs w:val="22"/>
        </w:rPr>
        <w:t xml:space="preserve">the AS/NZS Standard) </w:t>
      </w:r>
      <w:r w:rsidRPr="00A34F8A">
        <w:rPr>
          <w:rFonts w:asciiTheme="minorHAnsi" w:hAnsiTheme="minorHAnsi" w:cstheme="minorHAnsi"/>
          <w:szCs w:val="22"/>
        </w:rPr>
        <w:t>is $600 USD.</w:t>
      </w:r>
      <w:r w:rsidR="00771169" w:rsidRPr="00094410">
        <w:rPr>
          <w:rFonts w:asciiTheme="minorHAnsi" w:hAnsiTheme="minorHAnsi" w:cstheme="minorHAnsi"/>
          <w:strike/>
          <w:szCs w:val="22"/>
        </w:rPr>
        <w:t xml:space="preserve"> </w:t>
      </w:r>
    </w:p>
    <w:p w14:paraId="59BD6493" w14:textId="51A5D394" w:rsidR="008C5176" w:rsidRPr="00A34F8A" w:rsidRDefault="008C5176" w:rsidP="00094410">
      <w:pPr>
        <w:pStyle w:val="Heading2"/>
      </w:pPr>
      <w:bookmarkStart w:id="10" w:name="_Toc183163218"/>
      <w:r w:rsidRPr="00A34F8A">
        <w:lastRenderedPageBreak/>
        <w:t>Local and internation</w:t>
      </w:r>
      <w:r w:rsidR="007354F5">
        <w:t>al</w:t>
      </w:r>
      <w:r w:rsidRPr="00A34F8A">
        <w:t xml:space="preserve"> regulations are preventing market failures</w:t>
      </w:r>
      <w:bookmarkEnd w:id="10"/>
    </w:p>
    <w:p w14:paraId="51F695AD" w14:textId="77777777" w:rsidR="0092183B" w:rsidRPr="00A34F8A" w:rsidRDefault="0092183B" w:rsidP="0092183B">
      <w:pPr>
        <w:keepNext/>
        <w:rPr>
          <w:rFonts w:asciiTheme="minorHAnsi" w:hAnsiTheme="minorHAnsi" w:cstheme="minorHAnsi"/>
          <w:szCs w:val="22"/>
        </w:rPr>
      </w:pPr>
      <w:r w:rsidRPr="00A34F8A">
        <w:rPr>
          <w:rFonts w:asciiTheme="minorHAnsi" w:hAnsiTheme="minorHAnsi" w:cstheme="minorHAnsi"/>
          <w:szCs w:val="22"/>
        </w:rPr>
        <w:t>There are several market barriers that prevent energy efficiency gains in EPS, in the absence of local or international regulations:</w:t>
      </w:r>
    </w:p>
    <w:p w14:paraId="7BD8F1F3" w14:textId="2B957A10" w:rsidR="0092183B" w:rsidRPr="00A34F8A" w:rsidRDefault="0092183B" w:rsidP="0092183B">
      <w:pPr>
        <w:pStyle w:val="ListParagraph"/>
        <w:numPr>
          <w:ilvl w:val="0"/>
          <w:numId w:val="1"/>
        </w:numPr>
        <w:rPr>
          <w:rFonts w:asciiTheme="minorHAnsi" w:hAnsiTheme="minorHAnsi" w:cstheme="minorHAnsi"/>
          <w:sz w:val="22"/>
          <w:szCs w:val="22"/>
        </w:rPr>
      </w:pPr>
      <w:r w:rsidRPr="00A34F8A">
        <w:rPr>
          <w:rFonts w:asciiTheme="minorHAnsi" w:hAnsiTheme="minorHAnsi" w:cstheme="minorHAnsi"/>
          <w:sz w:val="22"/>
          <w:szCs w:val="22"/>
        </w:rPr>
        <w:t>Consumer choice does not drive energy efficiency of EPS. EPS are often bundled with an end-use product, so consumers are unaware or unable to choose the type of EPS they are buying.</w:t>
      </w:r>
    </w:p>
    <w:p w14:paraId="4CC6EAE4" w14:textId="77777777" w:rsidR="0092183B" w:rsidRPr="00A34F8A" w:rsidRDefault="0092183B" w:rsidP="0092183B">
      <w:pPr>
        <w:pStyle w:val="ListParagraph"/>
        <w:numPr>
          <w:ilvl w:val="0"/>
          <w:numId w:val="1"/>
        </w:numPr>
        <w:rPr>
          <w:rFonts w:asciiTheme="minorHAnsi" w:hAnsiTheme="minorHAnsi" w:cstheme="minorHAnsi"/>
          <w:sz w:val="22"/>
          <w:szCs w:val="22"/>
        </w:rPr>
      </w:pPr>
      <w:r w:rsidRPr="00A34F8A">
        <w:rPr>
          <w:rFonts w:asciiTheme="minorHAnsi" w:hAnsiTheme="minorHAnsi" w:cstheme="minorHAnsi"/>
          <w:sz w:val="22"/>
          <w:szCs w:val="22"/>
        </w:rPr>
        <w:t>Consumers are likely to make choices based on the features of the product for which the EPS is used and are unlikely to consider the efficiency of the EPS.</w:t>
      </w:r>
    </w:p>
    <w:p w14:paraId="062E1129" w14:textId="77777777" w:rsidR="0092183B" w:rsidRPr="00A34F8A" w:rsidRDefault="0092183B" w:rsidP="0092183B">
      <w:pPr>
        <w:pStyle w:val="ListParagraph"/>
        <w:numPr>
          <w:ilvl w:val="0"/>
          <w:numId w:val="1"/>
        </w:numPr>
        <w:rPr>
          <w:rFonts w:asciiTheme="minorHAnsi" w:hAnsiTheme="minorHAnsi" w:cstheme="minorHAnsi"/>
          <w:sz w:val="22"/>
          <w:szCs w:val="22"/>
        </w:rPr>
      </w:pPr>
      <w:r w:rsidRPr="00A34F8A">
        <w:rPr>
          <w:rFonts w:asciiTheme="minorHAnsi" w:hAnsiTheme="minorHAnsi" w:cstheme="minorHAnsi"/>
          <w:sz w:val="22"/>
          <w:szCs w:val="22"/>
        </w:rPr>
        <w:t>Higher efficiency EPS cost more to manufacture and feedback from the market suggests that suppliers and consumers are largely driven by cost. Since lower efficiency EPS are usually cheaper to manufacture, manufacturers lack an incentive to produce higher efficiency products in the absence of regulation.</w:t>
      </w:r>
    </w:p>
    <w:p w14:paraId="30550DB0" w14:textId="09E6EC69" w:rsidR="0092183B" w:rsidRPr="00A34F8A" w:rsidRDefault="0092183B" w:rsidP="0092183B">
      <w:pPr>
        <w:pStyle w:val="ListParagraph"/>
        <w:numPr>
          <w:ilvl w:val="0"/>
          <w:numId w:val="1"/>
        </w:numPr>
        <w:rPr>
          <w:rFonts w:asciiTheme="minorHAnsi" w:hAnsiTheme="minorHAnsi" w:cstheme="minorHAnsi"/>
          <w:sz w:val="22"/>
          <w:szCs w:val="22"/>
        </w:rPr>
      </w:pPr>
      <w:r w:rsidRPr="00A34F8A">
        <w:rPr>
          <w:rFonts w:asciiTheme="minorHAnsi" w:hAnsiTheme="minorHAnsi" w:cstheme="minorHAnsi"/>
          <w:sz w:val="22"/>
          <w:szCs w:val="22"/>
        </w:rPr>
        <w:t>Product labelling is unlikely to change consumer behaviour, because consumers choose between products based on features</w:t>
      </w:r>
      <w:r w:rsidR="006421C0">
        <w:rPr>
          <w:rFonts w:asciiTheme="minorHAnsi" w:hAnsiTheme="minorHAnsi" w:cstheme="minorHAnsi"/>
          <w:sz w:val="22"/>
          <w:szCs w:val="22"/>
        </w:rPr>
        <w:t>,</w:t>
      </w:r>
      <w:r w:rsidRPr="00A34F8A">
        <w:rPr>
          <w:rFonts w:asciiTheme="minorHAnsi" w:hAnsiTheme="minorHAnsi" w:cstheme="minorHAnsi"/>
          <w:sz w:val="22"/>
          <w:szCs w:val="22"/>
        </w:rPr>
        <w:t xml:space="preserve"> </w:t>
      </w:r>
      <w:r w:rsidR="000B17CF">
        <w:rPr>
          <w:rFonts w:asciiTheme="minorHAnsi" w:hAnsiTheme="minorHAnsi" w:cstheme="minorHAnsi"/>
          <w:sz w:val="22"/>
          <w:szCs w:val="22"/>
        </w:rPr>
        <w:t>rather</w:t>
      </w:r>
      <w:r w:rsidR="000B17CF" w:rsidRPr="00A34F8A">
        <w:rPr>
          <w:rFonts w:asciiTheme="minorHAnsi" w:hAnsiTheme="minorHAnsi" w:cstheme="minorHAnsi"/>
          <w:sz w:val="22"/>
          <w:szCs w:val="22"/>
        </w:rPr>
        <w:t xml:space="preserve"> </w:t>
      </w:r>
      <w:r w:rsidRPr="00A34F8A">
        <w:rPr>
          <w:rFonts w:asciiTheme="minorHAnsi" w:hAnsiTheme="minorHAnsi" w:cstheme="minorHAnsi"/>
          <w:sz w:val="22"/>
          <w:szCs w:val="22"/>
        </w:rPr>
        <w:t>than the efficiency of the EPS.</w:t>
      </w:r>
    </w:p>
    <w:p w14:paraId="4BFC913A" w14:textId="7B08294B" w:rsidR="003D1D7D" w:rsidRPr="00896495" w:rsidRDefault="003D1D7D" w:rsidP="003D1D7D">
      <w:pPr>
        <w:pStyle w:val="Heading1"/>
      </w:pPr>
      <w:bookmarkStart w:id="11" w:name="_Toc168660711"/>
      <w:bookmarkStart w:id="12" w:name="_Toc183163219"/>
      <w:r w:rsidRPr="00896495">
        <w:t>Summary of results</w:t>
      </w:r>
      <w:bookmarkEnd w:id="11"/>
      <w:bookmarkEnd w:id="12"/>
    </w:p>
    <w:p w14:paraId="335C3DFB" w14:textId="07AB23DC" w:rsidR="003D1D7D" w:rsidRPr="00896495" w:rsidRDefault="003D1D7D" w:rsidP="003D1D7D">
      <w:pPr>
        <w:pStyle w:val="Heading2"/>
      </w:pPr>
      <w:bookmarkStart w:id="13" w:name="_Toc168660636"/>
      <w:bookmarkStart w:id="14" w:name="_Toc183163220"/>
      <w:r w:rsidRPr="00896495">
        <w:t>Policy options considered</w:t>
      </w:r>
      <w:bookmarkEnd w:id="13"/>
      <w:bookmarkEnd w:id="14"/>
    </w:p>
    <w:p w14:paraId="7F1CC9F0" w14:textId="77777777" w:rsidR="00F17D44" w:rsidRPr="001A3B81" w:rsidRDefault="00F17D44" w:rsidP="00F17D44">
      <w:pPr>
        <w:rPr>
          <w:rFonts w:asciiTheme="minorHAnsi" w:hAnsiTheme="minorHAnsi" w:cstheme="minorHAnsi"/>
          <w:szCs w:val="22"/>
        </w:rPr>
      </w:pPr>
      <w:r w:rsidRPr="00A34F8A">
        <w:rPr>
          <w:rFonts w:asciiTheme="minorHAnsi" w:hAnsiTheme="minorHAnsi" w:cstheme="minorHAnsi"/>
          <w:szCs w:val="22"/>
        </w:rPr>
        <w:t xml:space="preserve">Five scenarios have been </w:t>
      </w:r>
      <w:r w:rsidRPr="001A3B81">
        <w:rPr>
          <w:rFonts w:asciiTheme="minorHAnsi" w:hAnsiTheme="minorHAnsi" w:cstheme="minorHAnsi"/>
          <w:szCs w:val="22"/>
        </w:rPr>
        <w:t>considered in the analysis:</w:t>
      </w:r>
    </w:p>
    <w:p w14:paraId="0E7BEE4F" w14:textId="77777777" w:rsidR="00F17D44" w:rsidRPr="001A3B81" w:rsidRDefault="00F17D44" w:rsidP="00F17D44">
      <w:pPr>
        <w:pStyle w:val="Bullet-VerticalCompact-Level1"/>
        <w:rPr>
          <w:rFonts w:asciiTheme="minorHAnsi" w:hAnsiTheme="minorHAnsi" w:cstheme="minorHAnsi"/>
          <w:sz w:val="22"/>
          <w:szCs w:val="22"/>
        </w:rPr>
      </w:pPr>
      <w:r w:rsidRPr="001A3B81">
        <w:rPr>
          <w:rFonts w:asciiTheme="minorHAnsi" w:hAnsiTheme="minorHAnsi" w:cstheme="minorHAnsi"/>
          <w:sz w:val="22"/>
          <w:szCs w:val="22"/>
        </w:rPr>
        <w:t>Scenario 1: Business-as-usual (baseline scenario for comparison)</w:t>
      </w:r>
    </w:p>
    <w:p w14:paraId="4371F263" w14:textId="3D08EF7A" w:rsidR="00F17D44" w:rsidRPr="001A3B81" w:rsidRDefault="00F17D44" w:rsidP="00F17D44">
      <w:pPr>
        <w:pStyle w:val="Bullet-VerticalCompact-Level1"/>
        <w:rPr>
          <w:rFonts w:asciiTheme="minorHAnsi" w:hAnsiTheme="minorHAnsi" w:cstheme="minorHAnsi"/>
          <w:sz w:val="22"/>
          <w:szCs w:val="22"/>
        </w:rPr>
      </w:pPr>
      <w:r w:rsidRPr="001A3B81">
        <w:rPr>
          <w:rFonts w:asciiTheme="minorHAnsi" w:hAnsiTheme="minorHAnsi" w:cstheme="minorHAnsi"/>
          <w:sz w:val="22"/>
          <w:szCs w:val="22"/>
        </w:rPr>
        <w:t>Scenario 2: Regulations are removed from 2025</w:t>
      </w:r>
    </w:p>
    <w:p w14:paraId="056CA7D2" w14:textId="77777777" w:rsidR="00F17D44" w:rsidRPr="001A3B81" w:rsidRDefault="00F17D44" w:rsidP="00F17D44">
      <w:pPr>
        <w:pStyle w:val="Bullet-VerticalCompact-Level1"/>
        <w:rPr>
          <w:rFonts w:asciiTheme="minorHAnsi" w:hAnsiTheme="minorHAnsi" w:cstheme="minorHAnsi"/>
          <w:sz w:val="22"/>
          <w:szCs w:val="22"/>
        </w:rPr>
      </w:pPr>
      <w:r w:rsidRPr="001A3B81">
        <w:rPr>
          <w:rFonts w:asciiTheme="minorHAnsi" w:hAnsiTheme="minorHAnsi" w:cstheme="minorHAnsi"/>
          <w:sz w:val="22"/>
          <w:szCs w:val="22"/>
        </w:rPr>
        <w:t>Scenario 3: MEPS is increased to mark VI from 2025, no change in scope</w:t>
      </w:r>
    </w:p>
    <w:p w14:paraId="346ECD53" w14:textId="77777777" w:rsidR="00F17D44" w:rsidRPr="00A34F8A" w:rsidRDefault="00F17D44" w:rsidP="00F17D44">
      <w:pPr>
        <w:pStyle w:val="Bullet-VerticalCompact-Level1"/>
        <w:rPr>
          <w:rFonts w:asciiTheme="minorHAnsi" w:hAnsiTheme="minorHAnsi" w:cstheme="minorHAnsi"/>
          <w:sz w:val="22"/>
          <w:szCs w:val="22"/>
        </w:rPr>
      </w:pPr>
      <w:r w:rsidRPr="001A3B81">
        <w:rPr>
          <w:rFonts w:asciiTheme="minorHAnsi" w:hAnsiTheme="minorHAnsi" w:cstheme="minorHAnsi"/>
          <w:sz w:val="22"/>
          <w:szCs w:val="22"/>
        </w:rPr>
        <w:t>Scenario 4: MEPS is increased to</w:t>
      </w:r>
      <w:r w:rsidRPr="00A34F8A">
        <w:rPr>
          <w:rFonts w:asciiTheme="minorHAnsi" w:hAnsiTheme="minorHAnsi" w:cstheme="minorHAnsi"/>
          <w:sz w:val="22"/>
          <w:szCs w:val="22"/>
        </w:rPr>
        <w:t xml:space="preserve"> mark VI from 2025, expanded scope</w:t>
      </w:r>
    </w:p>
    <w:p w14:paraId="19C7BF2C" w14:textId="77777777" w:rsidR="00F17D44" w:rsidRPr="00A34F8A" w:rsidRDefault="00F17D44" w:rsidP="00F17D44">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Scenario 5: MEPS is increased to mark VI from 2025 and then increased to the anticipated “mark VII” in 2029, expanded scope</w:t>
      </w:r>
    </w:p>
    <w:p w14:paraId="4ACCDBCD" w14:textId="6974C5D7" w:rsidR="00F17D44" w:rsidRPr="00896495" w:rsidRDefault="00F17D44" w:rsidP="00F17D44">
      <w:pPr>
        <w:pStyle w:val="Heading2"/>
      </w:pPr>
      <w:bookmarkStart w:id="15" w:name="_Toc168660637"/>
      <w:bookmarkStart w:id="16" w:name="_Toc183163221"/>
      <w:r w:rsidRPr="00896495">
        <w:t>Summary of results</w:t>
      </w:r>
      <w:bookmarkEnd w:id="15"/>
      <w:bookmarkEnd w:id="16"/>
    </w:p>
    <w:p w14:paraId="29E0DC5E" w14:textId="6E200618" w:rsidR="008229CC" w:rsidRPr="00A34F8A" w:rsidRDefault="008229CC" w:rsidP="008229CC">
      <w:pPr>
        <w:rPr>
          <w:rFonts w:asciiTheme="minorHAnsi" w:hAnsiTheme="minorHAnsi" w:cstheme="minorHAnsi"/>
          <w:szCs w:val="22"/>
        </w:rPr>
      </w:pPr>
      <w:r w:rsidRPr="00A34F8A">
        <w:rPr>
          <w:rFonts w:asciiTheme="minorHAnsi" w:hAnsiTheme="minorHAnsi" w:cstheme="minorHAnsi"/>
          <w:szCs w:val="22"/>
        </w:rPr>
        <w:t xml:space="preserve">The results of the cost-benefit analysis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_Ref141971123 \h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Table 1</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and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_Ref141971125 \h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Table 2</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for Australia and New Zealand respectively. New Zealand and Australia have different cost benefit analysis requirements, and so the results cannot be compared directly. New Zealand cost benefit analysis is based at a societal level, while Australia is based on </w:t>
      </w:r>
      <w:r w:rsidR="00A3534D">
        <w:rPr>
          <w:rFonts w:asciiTheme="minorHAnsi" w:hAnsiTheme="minorHAnsi" w:cstheme="minorHAnsi"/>
          <w:szCs w:val="22"/>
        </w:rPr>
        <w:t>public</w:t>
      </w:r>
      <w:r w:rsidRPr="00A34F8A">
        <w:rPr>
          <w:rFonts w:asciiTheme="minorHAnsi" w:hAnsiTheme="minorHAnsi" w:cstheme="minorHAnsi"/>
          <w:szCs w:val="22"/>
        </w:rPr>
        <w:t xml:space="preserve"> benefits.</w:t>
      </w:r>
    </w:p>
    <w:p w14:paraId="435F4046" w14:textId="77777777" w:rsidR="00816F5C" w:rsidRPr="00F05D96" w:rsidRDefault="00816F5C" w:rsidP="00F05D96">
      <w:pPr>
        <w:rPr>
          <w:color w:val="363838"/>
        </w:rPr>
      </w:pPr>
      <w:bookmarkStart w:id="17" w:name="_Ref141971123"/>
      <w:r w:rsidRPr="00270BF3">
        <w:br w:type="page"/>
      </w:r>
    </w:p>
    <w:p w14:paraId="7F5F02F8" w14:textId="77777777" w:rsidR="00427F4F" w:rsidRDefault="00427F4F" w:rsidP="00CE47CF">
      <w:pPr>
        <w:pStyle w:val="BlueLineTop"/>
      </w:pPr>
    </w:p>
    <w:p w14:paraId="06F1C21C" w14:textId="35E2DC10" w:rsidR="00154B6F" w:rsidRPr="00A34F8A" w:rsidRDefault="00154B6F" w:rsidP="00816F5C">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w:t>
      </w:r>
      <w:r w:rsidRPr="00A34F8A">
        <w:rPr>
          <w:rFonts w:asciiTheme="minorHAnsi" w:hAnsiTheme="minorHAnsi" w:cstheme="minorHAnsi"/>
          <w:noProof/>
          <w:sz w:val="22"/>
          <w:szCs w:val="22"/>
        </w:rPr>
        <w:fldChar w:fldCharType="end"/>
      </w:r>
      <w:bookmarkEnd w:id="17"/>
      <w:r w:rsidRPr="00A34F8A">
        <w:rPr>
          <w:rFonts w:asciiTheme="minorHAnsi" w:hAnsiTheme="minorHAnsi" w:cstheme="minorHAnsi"/>
          <w:sz w:val="22"/>
          <w:szCs w:val="22"/>
        </w:rPr>
        <w:t xml:space="preserve">: Cost-benefit </w:t>
      </w:r>
      <w:r w:rsidRPr="00400F7F">
        <w:rPr>
          <w:rFonts w:asciiTheme="minorHAnsi" w:hAnsiTheme="minorHAnsi" w:cstheme="minorHAnsi"/>
          <w:sz w:val="22"/>
          <w:szCs w:val="22"/>
        </w:rPr>
        <w:t>analysis results summary by scenario (compared to business</w:t>
      </w:r>
      <w:r w:rsidRPr="00A34F8A">
        <w:rPr>
          <w:rFonts w:asciiTheme="minorHAnsi" w:hAnsiTheme="minorHAnsi" w:cstheme="minorHAnsi"/>
          <w:sz w:val="22"/>
          <w:szCs w:val="22"/>
        </w:rPr>
        <w:t>-as-usual) for Australia</w:t>
      </w:r>
      <w:r w:rsidR="00400F7F">
        <w:rPr>
          <w:rFonts w:asciiTheme="minorHAnsi" w:hAnsiTheme="minorHAnsi" w:cstheme="minorHAnsi"/>
          <w:sz w:val="22"/>
          <w:szCs w:val="22"/>
        </w:rPr>
        <w:t xml:space="preserve">. Central scenario, medium cost of carbon and </w:t>
      </w:r>
      <w:r w:rsidR="00F529B8">
        <w:rPr>
          <w:rFonts w:asciiTheme="minorHAnsi" w:hAnsiTheme="minorHAnsi" w:cstheme="minorHAnsi"/>
          <w:sz w:val="22"/>
          <w:szCs w:val="22"/>
        </w:rPr>
        <w:t xml:space="preserve">discount rate of </w:t>
      </w:r>
      <w:r w:rsidR="00427F4F">
        <w:rPr>
          <w:rFonts w:asciiTheme="minorHAnsi" w:hAnsiTheme="minorHAnsi" w:cstheme="minorHAnsi"/>
          <w:sz w:val="22"/>
          <w:szCs w:val="22"/>
        </w:rPr>
        <w:t>7%.</w:t>
      </w:r>
    </w:p>
    <w:tbl>
      <w:tblPr>
        <w:tblStyle w:val="ComCap4-nested"/>
        <w:tblW w:w="0" w:type="auto"/>
        <w:tblInd w:w="-567" w:type="dxa"/>
        <w:tblBorders>
          <w:insideV w:val="single" w:sz="4" w:space="0" w:color="auto"/>
        </w:tblBorders>
        <w:tblLayout w:type="fixed"/>
        <w:tblCellMar>
          <w:top w:w="142" w:type="dxa"/>
        </w:tblCellMar>
        <w:tblLook w:val="04A0" w:firstRow="1" w:lastRow="0" w:firstColumn="1" w:lastColumn="0" w:noHBand="0" w:noVBand="1"/>
      </w:tblPr>
      <w:tblGrid>
        <w:gridCol w:w="2694"/>
        <w:gridCol w:w="1583"/>
        <w:gridCol w:w="1583"/>
        <w:gridCol w:w="1583"/>
        <w:gridCol w:w="1583"/>
      </w:tblGrid>
      <w:tr w:rsidR="00CE47CF" w:rsidRPr="00A34F8A" w14:paraId="574867AB" w14:textId="77777777" w:rsidTr="00CE47CF">
        <w:trPr>
          <w:cnfStyle w:val="100000000000" w:firstRow="1" w:lastRow="0" w:firstColumn="0" w:lastColumn="0" w:oddVBand="0" w:evenVBand="0" w:oddHBand="0" w:evenHBand="0" w:firstRowFirstColumn="0" w:firstRowLastColumn="0" w:lastRowFirstColumn="0" w:lastRowLastColumn="0"/>
          <w:tblHeader/>
        </w:trPr>
        <w:tc>
          <w:tcPr>
            <w:tcW w:w="2694" w:type="dxa"/>
            <w:tcBorders>
              <w:bottom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0A2647DA" w14:textId="77777777" w:rsidR="008C0C0D" w:rsidRPr="00A34F8A" w:rsidRDefault="008C0C0D" w:rsidP="005D3977">
            <w:pPr>
              <w:pStyle w:val="Table1-columnheadingdata"/>
              <w:rPr>
                <w:rFonts w:asciiTheme="minorHAnsi" w:hAnsiTheme="minorHAnsi" w:cstheme="minorHAnsi"/>
                <w:sz w:val="22"/>
                <w:szCs w:val="22"/>
              </w:rPr>
            </w:pPr>
          </w:p>
        </w:tc>
        <w:tc>
          <w:tcPr>
            <w:tcW w:w="1583"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799F2625" w14:textId="77777777" w:rsidR="008C0C0D" w:rsidRPr="00A34F8A" w:rsidRDefault="008C0C0D"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2: No regulation from 2025</w:t>
            </w:r>
          </w:p>
        </w:tc>
        <w:tc>
          <w:tcPr>
            <w:tcW w:w="1583"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6987633B" w14:textId="77777777" w:rsidR="008C0C0D" w:rsidRPr="00A34F8A" w:rsidRDefault="008C0C0D"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3: Mark VI from 2025</w:t>
            </w:r>
          </w:p>
        </w:tc>
        <w:tc>
          <w:tcPr>
            <w:tcW w:w="1583"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09F6D023" w14:textId="77777777" w:rsidR="008C0C0D" w:rsidRPr="00A34F8A" w:rsidRDefault="008C0C0D"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4: Mark VI from 2025 (expanded scope)</w:t>
            </w:r>
          </w:p>
        </w:tc>
        <w:tc>
          <w:tcPr>
            <w:tcW w:w="1583"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5C9B924C" w14:textId="77777777" w:rsidR="008C0C0D" w:rsidRPr="00A34F8A" w:rsidRDefault="008C0C0D"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5: Mark VI from 2025, Mark VII from 2029 (expanded scope)</w:t>
            </w:r>
          </w:p>
        </w:tc>
      </w:tr>
      <w:tr w:rsidR="00CE47CF" w:rsidRPr="00A34F8A" w14:paraId="6EFBAD30" w14:textId="77777777" w:rsidTr="00CE47CF">
        <w:trPr>
          <w:trHeight w:val="91"/>
        </w:trPr>
        <w:tc>
          <w:tcPr>
            <w:tcW w:w="2694" w:type="dxa"/>
            <w:tcBorders>
              <w:top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0FBDE0D8" w14:textId="77777777" w:rsidR="008C0C0D" w:rsidRPr="00A34F8A" w:rsidRDefault="008C0C0D"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Energy savings (GWh)</w:t>
            </w:r>
          </w:p>
        </w:tc>
        <w:tc>
          <w:tcPr>
            <w:tcW w:w="1583" w:type="dxa"/>
            <w:tcBorders>
              <w:top w:val="single" w:sz="12" w:space="0" w:color="BFBFBF" w:themeColor="background1" w:themeShade="BF"/>
              <w:left w:val="single" w:sz="4" w:space="0" w:color="C4BC96" w:themeColor="background2" w:themeShade="BF"/>
              <w:right w:val="single" w:sz="4" w:space="0" w:color="AEAAAA"/>
            </w:tcBorders>
            <w:tcMar>
              <w:top w:w="57" w:type="dxa"/>
              <w:left w:w="57" w:type="dxa"/>
              <w:bottom w:w="57" w:type="dxa"/>
              <w:right w:w="57" w:type="dxa"/>
            </w:tcMar>
            <w:vAlign w:val="top"/>
          </w:tcPr>
          <w:p w14:paraId="02676A28" w14:textId="5AF35BA6"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w:t>
            </w:r>
            <w:r w:rsidR="006E3BBA">
              <w:rPr>
                <w:rFonts w:asciiTheme="minorHAnsi" w:hAnsiTheme="minorHAnsi" w:cstheme="minorHAnsi"/>
                <w:sz w:val="22"/>
                <w:szCs w:val="22"/>
              </w:rPr>
              <w:t>1</w:t>
            </w:r>
          </w:p>
        </w:tc>
        <w:tc>
          <w:tcPr>
            <w:tcW w:w="1583" w:type="dxa"/>
            <w:tcBorders>
              <w:top w:val="single" w:sz="12" w:space="0" w:color="BFBFBF" w:themeColor="background1" w:themeShade="BF"/>
              <w:left w:val="single" w:sz="4" w:space="0" w:color="AEAAAA"/>
            </w:tcBorders>
            <w:tcMar>
              <w:top w:w="57" w:type="dxa"/>
              <w:left w:w="57" w:type="dxa"/>
              <w:bottom w:w="57" w:type="dxa"/>
              <w:right w:w="57" w:type="dxa"/>
            </w:tcMar>
            <w:vAlign w:val="top"/>
          </w:tcPr>
          <w:p w14:paraId="54603009" w14:textId="77777777"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w:t>
            </w:r>
          </w:p>
        </w:tc>
        <w:tc>
          <w:tcPr>
            <w:tcW w:w="1583" w:type="dxa"/>
            <w:tcBorders>
              <w:top w:val="single" w:sz="12" w:space="0" w:color="BFBFBF" w:themeColor="background1" w:themeShade="BF"/>
              <w:left w:val="single" w:sz="4" w:space="0" w:color="AEAAAA"/>
            </w:tcBorders>
            <w:tcMar>
              <w:top w:w="57" w:type="dxa"/>
              <w:left w:w="57" w:type="dxa"/>
              <w:bottom w:w="57" w:type="dxa"/>
              <w:right w:w="57" w:type="dxa"/>
            </w:tcMar>
            <w:vAlign w:val="top"/>
          </w:tcPr>
          <w:p w14:paraId="091FA942" w14:textId="77777777"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219</w:t>
            </w:r>
          </w:p>
        </w:tc>
        <w:tc>
          <w:tcPr>
            <w:tcW w:w="1583" w:type="dxa"/>
            <w:tcBorders>
              <w:top w:val="single" w:sz="12" w:space="0" w:color="BFBFBF" w:themeColor="background1" w:themeShade="BF"/>
              <w:left w:val="single" w:sz="4" w:space="0" w:color="AEAAAA"/>
            </w:tcBorders>
            <w:tcMar>
              <w:top w:w="57" w:type="dxa"/>
              <w:left w:w="57" w:type="dxa"/>
              <w:bottom w:w="57" w:type="dxa"/>
              <w:right w:w="57" w:type="dxa"/>
            </w:tcMar>
            <w:vAlign w:val="top"/>
          </w:tcPr>
          <w:p w14:paraId="1EAD073F" w14:textId="77777777"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733</w:t>
            </w:r>
          </w:p>
        </w:tc>
      </w:tr>
      <w:tr w:rsidR="00CE47CF" w:rsidRPr="00A34F8A" w14:paraId="4D7ACB5E" w14:textId="77777777" w:rsidTr="00CE47CF">
        <w:tc>
          <w:tcPr>
            <w:tcW w:w="2694" w:type="dxa"/>
            <w:tcBorders>
              <w:right w:val="single" w:sz="4" w:space="0" w:color="C4BC96" w:themeColor="background2" w:themeShade="BF"/>
            </w:tcBorders>
            <w:tcMar>
              <w:top w:w="57" w:type="dxa"/>
              <w:left w:w="57" w:type="dxa"/>
              <w:bottom w:w="57" w:type="dxa"/>
              <w:right w:w="57" w:type="dxa"/>
            </w:tcMar>
            <w:vAlign w:val="top"/>
          </w:tcPr>
          <w:p w14:paraId="482FF835" w14:textId="77777777" w:rsidR="008C0C0D" w:rsidRPr="00A34F8A" w:rsidRDefault="008C0C0D"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Emissions reduction (tCO</w:t>
            </w:r>
            <w:r w:rsidRPr="00A34F8A">
              <w:rPr>
                <w:rFonts w:asciiTheme="minorHAnsi" w:hAnsiTheme="minorHAnsi" w:cstheme="minorHAnsi"/>
                <w:sz w:val="22"/>
                <w:szCs w:val="22"/>
                <w:vertAlign w:val="subscript"/>
              </w:rPr>
              <w:t>2-e</w:t>
            </w:r>
            <w:r w:rsidRPr="00A34F8A">
              <w:rPr>
                <w:rFonts w:asciiTheme="minorHAnsi" w:hAnsiTheme="minorHAnsi" w:cstheme="minorHAnsi"/>
                <w:sz w:val="22"/>
                <w:szCs w:val="22"/>
              </w:rPr>
              <w:t>)</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7351E723" w14:textId="0D111AAC"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w:t>
            </w:r>
            <w:r w:rsidR="00C03C25">
              <w:rPr>
                <w:rFonts w:asciiTheme="minorHAnsi" w:hAnsiTheme="minorHAnsi" w:cstheme="minorHAnsi"/>
                <w:sz w:val="22"/>
                <w:szCs w:val="22"/>
              </w:rPr>
              <w:t>3</w:t>
            </w:r>
            <w:r w:rsidRPr="00A34F8A">
              <w:rPr>
                <w:rFonts w:asciiTheme="minorHAnsi" w:hAnsiTheme="minorHAnsi" w:cstheme="minorHAnsi"/>
                <w:sz w:val="22"/>
                <w:szCs w:val="22"/>
              </w:rPr>
              <w:t>,</w:t>
            </w:r>
            <w:r w:rsidR="00C03C25">
              <w:rPr>
                <w:rFonts w:asciiTheme="minorHAnsi" w:hAnsiTheme="minorHAnsi" w:cstheme="minorHAnsi"/>
                <w:sz w:val="22"/>
                <w:szCs w:val="22"/>
              </w:rPr>
              <w:t>264</w:t>
            </w:r>
          </w:p>
        </w:tc>
        <w:tc>
          <w:tcPr>
            <w:tcW w:w="1583" w:type="dxa"/>
            <w:tcBorders>
              <w:left w:val="single" w:sz="4" w:space="0" w:color="AEAAAA"/>
            </w:tcBorders>
            <w:tcMar>
              <w:top w:w="57" w:type="dxa"/>
              <w:left w:w="57" w:type="dxa"/>
              <w:bottom w:w="57" w:type="dxa"/>
              <w:right w:w="57" w:type="dxa"/>
            </w:tcMar>
            <w:vAlign w:val="top"/>
          </w:tcPr>
          <w:p w14:paraId="281D1A69" w14:textId="6438F493"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w:t>
            </w:r>
            <w:r w:rsidR="00C03C25">
              <w:rPr>
                <w:rFonts w:asciiTheme="minorHAnsi" w:hAnsiTheme="minorHAnsi" w:cstheme="minorHAnsi"/>
                <w:sz w:val="22"/>
                <w:szCs w:val="22"/>
              </w:rPr>
              <w:t>143</w:t>
            </w:r>
          </w:p>
        </w:tc>
        <w:tc>
          <w:tcPr>
            <w:tcW w:w="1583" w:type="dxa"/>
            <w:tcBorders>
              <w:left w:val="single" w:sz="4" w:space="0" w:color="AEAAAA"/>
            </w:tcBorders>
            <w:tcMar>
              <w:top w:w="57" w:type="dxa"/>
              <w:left w:w="57" w:type="dxa"/>
              <w:bottom w:w="57" w:type="dxa"/>
              <w:right w:w="57" w:type="dxa"/>
            </w:tcMar>
            <w:vAlign w:val="top"/>
          </w:tcPr>
          <w:p w14:paraId="7F8AE8CF" w14:textId="70E60072"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r w:rsidR="00C03C25">
              <w:rPr>
                <w:rFonts w:asciiTheme="minorHAnsi" w:hAnsiTheme="minorHAnsi" w:cstheme="minorHAnsi"/>
                <w:sz w:val="22"/>
                <w:szCs w:val="22"/>
              </w:rPr>
              <w:t>4</w:t>
            </w:r>
            <w:r w:rsidRPr="00A34F8A">
              <w:rPr>
                <w:rFonts w:asciiTheme="minorHAnsi" w:hAnsiTheme="minorHAnsi" w:cstheme="minorHAnsi"/>
                <w:sz w:val="22"/>
                <w:szCs w:val="22"/>
              </w:rPr>
              <w:t>,</w:t>
            </w:r>
            <w:r w:rsidR="00C03C25">
              <w:rPr>
                <w:rFonts w:asciiTheme="minorHAnsi" w:hAnsiTheme="minorHAnsi" w:cstheme="minorHAnsi"/>
                <w:sz w:val="22"/>
                <w:szCs w:val="22"/>
              </w:rPr>
              <w:t>654</w:t>
            </w:r>
          </w:p>
        </w:tc>
        <w:tc>
          <w:tcPr>
            <w:tcW w:w="1583" w:type="dxa"/>
            <w:tcBorders>
              <w:left w:val="single" w:sz="4" w:space="0" w:color="AEAAAA"/>
            </w:tcBorders>
            <w:tcMar>
              <w:top w:w="57" w:type="dxa"/>
              <w:left w:w="57" w:type="dxa"/>
              <w:bottom w:w="57" w:type="dxa"/>
              <w:right w:w="57" w:type="dxa"/>
            </w:tcMar>
            <w:vAlign w:val="top"/>
          </w:tcPr>
          <w:p w14:paraId="0F125606" w14:textId="5DBDAC0B"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w:t>
            </w:r>
            <w:r w:rsidR="00C03C25">
              <w:rPr>
                <w:rFonts w:asciiTheme="minorHAnsi" w:hAnsiTheme="minorHAnsi" w:cstheme="minorHAnsi"/>
                <w:sz w:val="22"/>
                <w:szCs w:val="22"/>
              </w:rPr>
              <w:t>08</w:t>
            </w:r>
            <w:r w:rsidRPr="00A34F8A">
              <w:rPr>
                <w:rFonts w:asciiTheme="minorHAnsi" w:hAnsiTheme="minorHAnsi" w:cstheme="minorHAnsi"/>
                <w:sz w:val="22"/>
                <w:szCs w:val="22"/>
              </w:rPr>
              <w:t>,</w:t>
            </w:r>
            <w:r w:rsidR="00C03C25">
              <w:rPr>
                <w:rFonts w:asciiTheme="minorHAnsi" w:hAnsiTheme="minorHAnsi" w:cstheme="minorHAnsi"/>
                <w:sz w:val="22"/>
                <w:szCs w:val="22"/>
              </w:rPr>
              <w:t>860</w:t>
            </w:r>
          </w:p>
        </w:tc>
      </w:tr>
      <w:tr w:rsidR="00CE47CF" w:rsidRPr="00A34F8A" w14:paraId="2053CE87" w14:textId="77777777" w:rsidTr="00CE47CF">
        <w:tc>
          <w:tcPr>
            <w:tcW w:w="2694" w:type="dxa"/>
            <w:tcBorders>
              <w:right w:val="single" w:sz="4" w:space="0" w:color="C4BC96" w:themeColor="background2" w:themeShade="BF"/>
            </w:tcBorders>
            <w:tcMar>
              <w:top w:w="57" w:type="dxa"/>
              <w:left w:w="57" w:type="dxa"/>
              <w:bottom w:w="57" w:type="dxa"/>
              <w:right w:w="57" w:type="dxa"/>
            </w:tcMar>
            <w:vAlign w:val="top"/>
          </w:tcPr>
          <w:p w14:paraId="7AD8AEE9" w14:textId="77777777" w:rsidR="008C0C0D" w:rsidRPr="00A34F8A" w:rsidRDefault="008C0C0D"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Peak demand saving (MW)</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65BB11B6" w14:textId="77777777"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-0.7</w:t>
            </w:r>
          </w:p>
        </w:tc>
        <w:tc>
          <w:tcPr>
            <w:tcW w:w="1583" w:type="dxa"/>
            <w:tcBorders>
              <w:left w:val="single" w:sz="4" w:space="0" w:color="AEAAAA"/>
            </w:tcBorders>
            <w:tcMar>
              <w:top w:w="57" w:type="dxa"/>
              <w:left w:w="57" w:type="dxa"/>
              <w:bottom w:w="57" w:type="dxa"/>
              <w:right w:w="57" w:type="dxa"/>
            </w:tcMar>
            <w:vAlign w:val="top"/>
          </w:tcPr>
          <w:p w14:paraId="54A350B4" w14:textId="77777777"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0.3</w:t>
            </w:r>
          </w:p>
        </w:tc>
        <w:tc>
          <w:tcPr>
            <w:tcW w:w="1583" w:type="dxa"/>
            <w:tcBorders>
              <w:left w:val="single" w:sz="4" w:space="0" w:color="AEAAAA"/>
            </w:tcBorders>
            <w:tcMar>
              <w:top w:w="57" w:type="dxa"/>
              <w:left w:w="57" w:type="dxa"/>
              <w:bottom w:w="57" w:type="dxa"/>
              <w:right w:w="57" w:type="dxa"/>
            </w:tcMar>
            <w:vAlign w:val="top"/>
          </w:tcPr>
          <w:p w14:paraId="185BDE36" w14:textId="77777777"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w:t>
            </w:r>
          </w:p>
        </w:tc>
        <w:tc>
          <w:tcPr>
            <w:tcW w:w="1583" w:type="dxa"/>
            <w:tcBorders>
              <w:left w:val="single" w:sz="4" w:space="0" w:color="AEAAAA"/>
            </w:tcBorders>
            <w:tcMar>
              <w:top w:w="57" w:type="dxa"/>
              <w:left w:w="57" w:type="dxa"/>
              <w:bottom w:w="57" w:type="dxa"/>
              <w:right w:w="57" w:type="dxa"/>
            </w:tcMar>
            <w:vAlign w:val="top"/>
          </w:tcPr>
          <w:p w14:paraId="176888C6" w14:textId="77777777" w:rsidR="008C0C0D" w:rsidRPr="00A34F8A" w:rsidRDefault="008C0C0D"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w:t>
            </w:r>
          </w:p>
        </w:tc>
      </w:tr>
      <w:tr w:rsidR="00CE47CF" w:rsidRPr="00A34F8A" w14:paraId="0BC15014" w14:textId="77777777" w:rsidTr="00CE47CF">
        <w:tc>
          <w:tcPr>
            <w:tcW w:w="2694" w:type="dxa"/>
            <w:tcBorders>
              <w:right w:val="single" w:sz="4" w:space="0" w:color="C4BC96" w:themeColor="background2" w:themeShade="BF"/>
            </w:tcBorders>
            <w:tcMar>
              <w:top w:w="57" w:type="dxa"/>
              <w:left w:w="57" w:type="dxa"/>
              <w:bottom w:w="57" w:type="dxa"/>
              <w:right w:w="57" w:type="dxa"/>
            </w:tcMar>
            <w:vAlign w:val="top"/>
          </w:tcPr>
          <w:p w14:paraId="4A26C62B" w14:textId="77777777" w:rsidR="00453067" w:rsidRPr="00A34F8A" w:rsidRDefault="00453067" w:rsidP="00453067">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costs (NPV $ AUD)</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4C8D3125" w14:textId="507DFDDC" w:rsidR="00453067" w:rsidRPr="00A34F8A" w:rsidRDefault="00453067" w:rsidP="00453067">
            <w:pPr>
              <w:pStyle w:val="Table3-Normaldata-centred"/>
              <w:rPr>
                <w:rFonts w:asciiTheme="minorHAnsi" w:hAnsiTheme="minorHAnsi" w:cstheme="minorHAnsi"/>
                <w:sz w:val="22"/>
                <w:szCs w:val="22"/>
              </w:rPr>
            </w:pPr>
            <w:r w:rsidRPr="000E4D66">
              <w:t>-$9.9M</w:t>
            </w:r>
          </w:p>
        </w:tc>
        <w:tc>
          <w:tcPr>
            <w:tcW w:w="1583" w:type="dxa"/>
            <w:tcBorders>
              <w:left w:val="single" w:sz="4" w:space="0" w:color="AEAAAA"/>
            </w:tcBorders>
            <w:tcMar>
              <w:top w:w="57" w:type="dxa"/>
              <w:left w:w="57" w:type="dxa"/>
              <w:bottom w:w="57" w:type="dxa"/>
              <w:right w:w="57" w:type="dxa"/>
            </w:tcMar>
            <w:vAlign w:val="top"/>
          </w:tcPr>
          <w:p w14:paraId="5FA323E5" w14:textId="0C80AEED" w:rsidR="00453067" w:rsidRPr="00A34F8A" w:rsidRDefault="00453067" w:rsidP="00453067">
            <w:pPr>
              <w:pStyle w:val="Table3-Normaldata-centred"/>
              <w:rPr>
                <w:rFonts w:asciiTheme="minorHAnsi" w:hAnsiTheme="minorHAnsi" w:cstheme="minorHAnsi"/>
                <w:sz w:val="22"/>
                <w:szCs w:val="22"/>
              </w:rPr>
            </w:pPr>
            <w:r w:rsidRPr="000E4D66">
              <w:t>$2.6M</w:t>
            </w:r>
          </w:p>
        </w:tc>
        <w:tc>
          <w:tcPr>
            <w:tcW w:w="1583" w:type="dxa"/>
            <w:tcBorders>
              <w:left w:val="single" w:sz="4" w:space="0" w:color="AEAAAA"/>
            </w:tcBorders>
            <w:tcMar>
              <w:top w:w="57" w:type="dxa"/>
              <w:left w:w="57" w:type="dxa"/>
              <w:bottom w:w="57" w:type="dxa"/>
              <w:right w:w="57" w:type="dxa"/>
            </w:tcMar>
            <w:vAlign w:val="top"/>
          </w:tcPr>
          <w:p w14:paraId="10A4DEA9" w14:textId="3FC370F2" w:rsidR="00453067" w:rsidRPr="00A34F8A" w:rsidRDefault="00453067" w:rsidP="00453067">
            <w:pPr>
              <w:pStyle w:val="Table3-Normaldata-centred"/>
              <w:rPr>
                <w:rFonts w:asciiTheme="minorHAnsi" w:hAnsiTheme="minorHAnsi" w:cstheme="minorHAnsi"/>
                <w:sz w:val="22"/>
                <w:szCs w:val="22"/>
              </w:rPr>
            </w:pPr>
            <w:r w:rsidRPr="000E4D66">
              <w:t>$12.7M</w:t>
            </w:r>
          </w:p>
        </w:tc>
        <w:tc>
          <w:tcPr>
            <w:tcW w:w="1583" w:type="dxa"/>
            <w:tcBorders>
              <w:left w:val="single" w:sz="4" w:space="0" w:color="AEAAAA"/>
            </w:tcBorders>
            <w:tcMar>
              <w:top w:w="57" w:type="dxa"/>
              <w:left w:w="57" w:type="dxa"/>
              <w:bottom w:w="57" w:type="dxa"/>
              <w:right w:w="57" w:type="dxa"/>
            </w:tcMar>
            <w:vAlign w:val="top"/>
          </w:tcPr>
          <w:p w14:paraId="1FFEC466" w14:textId="47D0CC41" w:rsidR="00453067" w:rsidRPr="00A34F8A" w:rsidRDefault="00453067" w:rsidP="00453067">
            <w:pPr>
              <w:pStyle w:val="Table3-Normaldata-centred"/>
              <w:rPr>
                <w:rFonts w:asciiTheme="minorHAnsi" w:hAnsiTheme="minorHAnsi" w:cstheme="minorHAnsi"/>
                <w:sz w:val="22"/>
                <w:szCs w:val="22"/>
              </w:rPr>
            </w:pPr>
            <w:r w:rsidRPr="000E4D66">
              <w:t>$47.9M</w:t>
            </w:r>
          </w:p>
        </w:tc>
      </w:tr>
      <w:tr w:rsidR="00CE47CF" w:rsidRPr="00A34F8A" w14:paraId="48E746A1" w14:textId="77777777" w:rsidTr="00CE47CF">
        <w:tc>
          <w:tcPr>
            <w:tcW w:w="2694" w:type="dxa"/>
            <w:tcBorders>
              <w:right w:val="single" w:sz="4" w:space="0" w:color="C4BC96" w:themeColor="background2" w:themeShade="BF"/>
            </w:tcBorders>
            <w:tcMar>
              <w:top w:w="57" w:type="dxa"/>
              <w:left w:w="57" w:type="dxa"/>
              <w:bottom w:w="57" w:type="dxa"/>
              <w:right w:w="57" w:type="dxa"/>
            </w:tcMar>
            <w:vAlign w:val="top"/>
          </w:tcPr>
          <w:p w14:paraId="1229CCA3" w14:textId="77777777" w:rsidR="00453067" w:rsidRPr="00A34F8A" w:rsidRDefault="00453067" w:rsidP="00453067">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benefits (NPV $ AUD)</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689C339F" w14:textId="3038B95F" w:rsidR="00453067" w:rsidRPr="00A34F8A" w:rsidRDefault="00453067" w:rsidP="00453067">
            <w:pPr>
              <w:pStyle w:val="Table3-Normaldata-centred"/>
              <w:rPr>
                <w:rFonts w:asciiTheme="minorHAnsi" w:hAnsiTheme="minorHAnsi" w:cstheme="minorHAnsi"/>
                <w:sz w:val="22"/>
                <w:szCs w:val="22"/>
              </w:rPr>
            </w:pPr>
            <w:r w:rsidRPr="000E4D66">
              <w:t>-$13.4M</w:t>
            </w:r>
          </w:p>
        </w:tc>
        <w:tc>
          <w:tcPr>
            <w:tcW w:w="1583" w:type="dxa"/>
            <w:tcBorders>
              <w:left w:val="single" w:sz="4" w:space="0" w:color="AEAAAA"/>
            </w:tcBorders>
            <w:tcMar>
              <w:top w:w="57" w:type="dxa"/>
              <w:left w:w="57" w:type="dxa"/>
              <w:bottom w:w="57" w:type="dxa"/>
              <w:right w:w="57" w:type="dxa"/>
            </w:tcMar>
            <w:vAlign w:val="top"/>
          </w:tcPr>
          <w:p w14:paraId="4B75539F" w14:textId="0B2C5099" w:rsidR="00453067" w:rsidRPr="00A34F8A" w:rsidRDefault="00453067" w:rsidP="00453067">
            <w:pPr>
              <w:pStyle w:val="Table3-Normaldata-centred"/>
              <w:rPr>
                <w:rFonts w:asciiTheme="minorHAnsi" w:hAnsiTheme="minorHAnsi" w:cstheme="minorHAnsi"/>
                <w:sz w:val="22"/>
                <w:szCs w:val="22"/>
              </w:rPr>
            </w:pPr>
            <w:r w:rsidRPr="000E4D66">
              <w:t>$5.3M</w:t>
            </w:r>
          </w:p>
        </w:tc>
        <w:tc>
          <w:tcPr>
            <w:tcW w:w="1583" w:type="dxa"/>
            <w:tcBorders>
              <w:left w:val="single" w:sz="4" w:space="0" w:color="AEAAAA"/>
            </w:tcBorders>
            <w:tcMar>
              <w:top w:w="57" w:type="dxa"/>
              <w:left w:w="57" w:type="dxa"/>
              <w:bottom w:w="57" w:type="dxa"/>
              <w:right w:w="57" w:type="dxa"/>
            </w:tcMar>
            <w:vAlign w:val="top"/>
          </w:tcPr>
          <w:p w14:paraId="6F15D413" w14:textId="3E1CC451" w:rsidR="00453067" w:rsidRPr="00A34F8A" w:rsidRDefault="00453067" w:rsidP="00453067">
            <w:pPr>
              <w:pStyle w:val="Table3-Normaldata-centred"/>
              <w:rPr>
                <w:rFonts w:asciiTheme="minorHAnsi" w:hAnsiTheme="minorHAnsi" w:cstheme="minorHAnsi"/>
                <w:sz w:val="22"/>
                <w:szCs w:val="22"/>
              </w:rPr>
            </w:pPr>
            <w:r w:rsidRPr="000E4D66">
              <w:t>$41.5M</w:t>
            </w:r>
          </w:p>
        </w:tc>
        <w:tc>
          <w:tcPr>
            <w:tcW w:w="1583" w:type="dxa"/>
            <w:tcBorders>
              <w:left w:val="single" w:sz="4" w:space="0" w:color="AEAAAA"/>
            </w:tcBorders>
            <w:tcMar>
              <w:top w:w="57" w:type="dxa"/>
              <w:left w:w="57" w:type="dxa"/>
              <w:bottom w:w="57" w:type="dxa"/>
              <w:right w:w="57" w:type="dxa"/>
            </w:tcMar>
            <w:vAlign w:val="top"/>
          </w:tcPr>
          <w:p w14:paraId="3375CA86" w14:textId="70A41CE2" w:rsidR="00453067" w:rsidRPr="00A34F8A" w:rsidRDefault="00453067" w:rsidP="00453067">
            <w:pPr>
              <w:pStyle w:val="Table3-Normaldata-centred"/>
              <w:rPr>
                <w:rFonts w:asciiTheme="minorHAnsi" w:hAnsiTheme="minorHAnsi" w:cstheme="minorHAnsi"/>
                <w:sz w:val="22"/>
                <w:szCs w:val="22"/>
              </w:rPr>
            </w:pPr>
            <w:r w:rsidRPr="000E4D66">
              <w:t>$118.3M</w:t>
            </w:r>
          </w:p>
        </w:tc>
      </w:tr>
      <w:tr w:rsidR="00CE47CF" w:rsidRPr="00A34F8A" w14:paraId="1988310D" w14:textId="77777777" w:rsidTr="00CE47CF">
        <w:tc>
          <w:tcPr>
            <w:tcW w:w="2694" w:type="dxa"/>
            <w:tcBorders>
              <w:right w:val="single" w:sz="4" w:space="0" w:color="C4BC96" w:themeColor="background2" w:themeShade="BF"/>
            </w:tcBorders>
            <w:tcMar>
              <w:top w:w="57" w:type="dxa"/>
              <w:left w:w="57" w:type="dxa"/>
              <w:bottom w:w="57" w:type="dxa"/>
              <w:right w:w="57" w:type="dxa"/>
            </w:tcMar>
            <w:vAlign w:val="top"/>
          </w:tcPr>
          <w:p w14:paraId="6B8D610F" w14:textId="77777777" w:rsidR="00400F7F" w:rsidRPr="00A34F8A" w:rsidRDefault="00400F7F" w:rsidP="00400F7F">
            <w:pPr>
              <w:pStyle w:val="Table2-Rowheadingdata"/>
              <w:rPr>
                <w:rFonts w:asciiTheme="minorHAnsi" w:hAnsiTheme="minorHAnsi" w:cstheme="minorHAnsi"/>
                <w:sz w:val="22"/>
                <w:szCs w:val="22"/>
              </w:rPr>
            </w:pPr>
            <w:r w:rsidRPr="00A34F8A">
              <w:rPr>
                <w:rFonts w:asciiTheme="minorHAnsi" w:hAnsiTheme="minorHAnsi" w:cstheme="minorHAnsi"/>
                <w:sz w:val="22"/>
                <w:szCs w:val="22"/>
              </w:rPr>
              <w:t>Net benefit (NPV $ AUD)</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29D15CBC" w14:textId="62F4F28D" w:rsidR="00400F7F" w:rsidRPr="00A34F8A" w:rsidRDefault="00400F7F" w:rsidP="00400F7F">
            <w:pPr>
              <w:pStyle w:val="Table3-Normaldata-centred"/>
              <w:rPr>
                <w:rFonts w:asciiTheme="minorHAnsi" w:hAnsiTheme="minorHAnsi" w:cstheme="minorHAnsi"/>
                <w:b/>
                <w:bCs/>
                <w:sz w:val="22"/>
                <w:szCs w:val="22"/>
              </w:rPr>
            </w:pPr>
            <w:r w:rsidRPr="00E815C5">
              <w:t>-$3.4M</w:t>
            </w:r>
          </w:p>
        </w:tc>
        <w:tc>
          <w:tcPr>
            <w:tcW w:w="1583" w:type="dxa"/>
            <w:tcBorders>
              <w:left w:val="single" w:sz="4" w:space="0" w:color="AEAAAA"/>
            </w:tcBorders>
            <w:tcMar>
              <w:top w:w="57" w:type="dxa"/>
              <w:left w:w="57" w:type="dxa"/>
              <w:bottom w:w="57" w:type="dxa"/>
              <w:right w:w="57" w:type="dxa"/>
            </w:tcMar>
            <w:vAlign w:val="top"/>
          </w:tcPr>
          <w:p w14:paraId="5FDF5B82" w14:textId="6A09ED27" w:rsidR="00400F7F" w:rsidRPr="00A34F8A" w:rsidRDefault="00400F7F" w:rsidP="00400F7F">
            <w:pPr>
              <w:pStyle w:val="Table3-Normaldata-centred"/>
              <w:rPr>
                <w:rFonts w:asciiTheme="minorHAnsi" w:hAnsiTheme="minorHAnsi" w:cstheme="minorHAnsi"/>
                <w:b/>
                <w:bCs/>
                <w:sz w:val="22"/>
                <w:szCs w:val="22"/>
              </w:rPr>
            </w:pPr>
            <w:r w:rsidRPr="00E815C5">
              <w:t>$2.8M</w:t>
            </w:r>
          </w:p>
        </w:tc>
        <w:tc>
          <w:tcPr>
            <w:tcW w:w="1583" w:type="dxa"/>
            <w:tcBorders>
              <w:left w:val="single" w:sz="4" w:space="0" w:color="AEAAAA"/>
            </w:tcBorders>
            <w:tcMar>
              <w:top w:w="57" w:type="dxa"/>
              <w:left w:w="57" w:type="dxa"/>
              <w:bottom w:w="57" w:type="dxa"/>
              <w:right w:w="57" w:type="dxa"/>
            </w:tcMar>
            <w:vAlign w:val="top"/>
          </w:tcPr>
          <w:p w14:paraId="16C66172" w14:textId="19DBDA85" w:rsidR="00400F7F" w:rsidRPr="00A34F8A" w:rsidRDefault="00400F7F" w:rsidP="00400F7F">
            <w:pPr>
              <w:pStyle w:val="Table3-Normaldata-centred"/>
              <w:rPr>
                <w:rFonts w:asciiTheme="minorHAnsi" w:hAnsiTheme="minorHAnsi" w:cstheme="minorHAnsi"/>
                <w:b/>
                <w:bCs/>
                <w:sz w:val="22"/>
                <w:szCs w:val="22"/>
              </w:rPr>
            </w:pPr>
            <w:r w:rsidRPr="00E815C5">
              <w:t>$28.8M</w:t>
            </w:r>
          </w:p>
        </w:tc>
        <w:tc>
          <w:tcPr>
            <w:tcW w:w="1583" w:type="dxa"/>
            <w:tcBorders>
              <w:left w:val="single" w:sz="4" w:space="0" w:color="AEAAAA"/>
            </w:tcBorders>
            <w:tcMar>
              <w:top w:w="57" w:type="dxa"/>
              <w:left w:w="57" w:type="dxa"/>
              <w:bottom w:w="57" w:type="dxa"/>
              <w:right w:w="57" w:type="dxa"/>
            </w:tcMar>
            <w:vAlign w:val="top"/>
          </w:tcPr>
          <w:p w14:paraId="53951660" w14:textId="225AE2A1" w:rsidR="00400F7F" w:rsidRPr="00A34F8A" w:rsidRDefault="00400F7F" w:rsidP="00400F7F">
            <w:pPr>
              <w:pStyle w:val="Table3-Normaldata-centred"/>
              <w:rPr>
                <w:rFonts w:asciiTheme="minorHAnsi" w:hAnsiTheme="minorHAnsi" w:cstheme="minorHAnsi"/>
                <w:b/>
                <w:bCs/>
                <w:sz w:val="22"/>
                <w:szCs w:val="22"/>
              </w:rPr>
            </w:pPr>
            <w:r w:rsidRPr="00E815C5">
              <w:t>$70.4M</w:t>
            </w:r>
          </w:p>
        </w:tc>
      </w:tr>
      <w:tr w:rsidR="00CE47CF" w:rsidRPr="00A34F8A" w14:paraId="2973A032" w14:textId="77777777" w:rsidTr="00CE47CF">
        <w:tc>
          <w:tcPr>
            <w:tcW w:w="2694" w:type="dxa"/>
            <w:tcBorders>
              <w:right w:val="single" w:sz="4" w:space="0" w:color="C4BC96" w:themeColor="background2" w:themeShade="BF"/>
            </w:tcBorders>
            <w:tcMar>
              <w:top w:w="57" w:type="dxa"/>
              <w:left w:w="57" w:type="dxa"/>
              <w:bottom w:w="57" w:type="dxa"/>
              <w:right w:w="57" w:type="dxa"/>
            </w:tcMar>
            <w:vAlign w:val="top"/>
          </w:tcPr>
          <w:p w14:paraId="18CE80D7" w14:textId="77777777" w:rsidR="008C0C0D" w:rsidRPr="00A34F8A" w:rsidRDefault="008C0C0D"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benefit cost ratio</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453165A9" w14:textId="77777777" w:rsidR="008C0C0D" w:rsidRPr="00A34F8A" w:rsidRDefault="008C0C0D"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0.74</w:t>
            </w:r>
          </w:p>
        </w:tc>
        <w:tc>
          <w:tcPr>
            <w:tcW w:w="1583" w:type="dxa"/>
            <w:tcBorders>
              <w:left w:val="single" w:sz="4" w:space="0" w:color="AEAAAA"/>
            </w:tcBorders>
            <w:tcMar>
              <w:top w:w="57" w:type="dxa"/>
              <w:left w:w="57" w:type="dxa"/>
              <w:bottom w:w="57" w:type="dxa"/>
              <w:right w:w="57" w:type="dxa"/>
            </w:tcMar>
            <w:vAlign w:val="top"/>
          </w:tcPr>
          <w:p w14:paraId="1315EF05" w14:textId="77777777" w:rsidR="008C0C0D" w:rsidRPr="00A34F8A" w:rsidRDefault="008C0C0D"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2.07</w:t>
            </w:r>
          </w:p>
        </w:tc>
        <w:tc>
          <w:tcPr>
            <w:tcW w:w="1583" w:type="dxa"/>
            <w:tcBorders>
              <w:left w:val="single" w:sz="4" w:space="0" w:color="AEAAAA"/>
            </w:tcBorders>
            <w:tcMar>
              <w:top w:w="57" w:type="dxa"/>
              <w:left w:w="57" w:type="dxa"/>
              <w:bottom w:w="57" w:type="dxa"/>
              <w:right w:w="57" w:type="dxa"/>
            </w:tcMar>
            <w:vAlign w:val="top"/>
          </w:tcPr>
          <w:p w14:paraId="4B7F5880" w14:textId="77777777" w:rsidR="008C0C0D" w:rsidRPr="00A34F8A" w:rsidRDefault="008C0C0D"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3.28</w:t>
            </w:r>
          </w:p>
        </w:tc>
        <w:tc>
          <w:tcPr>
            <w:tcW w:w="1583" w:type="dxa"/>
            <w:tcBorders>
              <w:left w:val="single" w:sz="4" w:space="0" w:color="AEAAAA"/>
            </w:tcBorders>
            <w:tcMar>
              <w:top w:w="57" w:type="dxa"/>
              <w:left w:w="57" w:type="dxa"/>
              <w:bottom w:w="57" w:type="dxa"/>
              <w:right w:w="57" w:type="dxa"/>
            </w:tcMar>
            <w:vAlign w:val="top"/>
          </w:tcPr>
          <w:p w14:paraId="6F72FD7D" w14:textId="13B50AD0" w:rsidR="008C0C0D" w:rsidRPr="00A34F8A" w:rsidRDefault="008C0C0D"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2.4</w:t>
            </w:r>
            <w:r w:rsidR="00400F7F">
              <w:rPr>
                <w:rFonts w:asciiTheme="minorHAnsi" w:hAnsiTheme="minorHAnsi" w:cstheme="minorHAnsi"/>
                <w:b/>
                <w:bCs/>
                <w:sz w:val="22"/>
                <w:szCs w:val="22"/>
              </w:rPr>
              <w:t>7</w:t>
            </w:r>
          </w:p>
        </w:tc>
      </w:tr>
    </w:tbl>
    <w:p w14:paraId="4E1504C3" w14:textId="4C21E14B" w:rsidR="00F17D44" w:rsidRPr="00A34F8A" w:rsidRDefault="00F17D44" w:rsidP="00594D72">
      <w:pPr>
        <w:pStyle w:val="BlueLineBottom"/>
      </w:pPr>
    </w:p>
    <w:p w14:paraId="5AB26F2B" w14:textId="77777777" w:rsidR="00427F4F" w:rsidRDefault="00427F4F" w:rsidP="00CE47CF">
      <w:pPr>
        <w:pStyle w:val="BlueLineTop"/>
      </w:pPr>
      <w:bookmarkStart w:id="18" w:name="_Ref141971125"/>
    </w:p>
    <w:p w14:paraId="724CCDBB" w14:textId="78B2820A" w:rsidR="0040324A" w:rsidRPr="00A34F8A" w:rsidRDefault="0040324A" w:rsidP="0040324A">
      <w:pPr>
        <w:pStyle w:val="Caption"/>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w:t>
      </w:r>
      <w:r w:rsidRPr="00A34F8A">
        <w:rPr>
          <w:rFonts w:asciiTheme="minorHAnsi" w:hAnsiTheme="minorHAnsi" w:cstheme="minorHAnsi"/>
          <w:noProof/>
          <w:sz w:val="22"/>
          <w:szCs w:val="22"/>
        </w:rPr>
        <w:fldChar w:fldCharType="end"/>
      </w:r>
      <w:bookmarkEnd w:id="18"/>
      <w:r w:rsidRPr="00A34F8A">
        <w:rPr>
          <w:rFonts w:asciiTheme="minorHAnsi" w:hAnsiTheme="minorHAnsi" w:cstheme="minorHAnsi"/>
          <w:sz w:val="22"/>
          <w:szCs w:val="22"/>
        </w:rPr>
        <w:t>: Cost-benefit analysis results summary by scenario (compared to business-as-usual) for New Zealand</w:t>
      </w:r>
      <w:r w:rsidR="00427F4F">
        <w:rPr>
          <w:rFonts w:asciiTheme="minorHAnsi" w:hAnsiTheme="minorHAnsi" w:cstheme="minorHAnsi"/>
          <w:sz w:val="22"/>
          <w:szCs w:val="22"/>
        </w:rPr>
        <w:t xml:space="preserve">. Central scenario, medium cost of carbon and discount rate of </w:t>
      </w:r>
      <w:r w:rsidR="00E72969">
        <w:rPr>
          <w:rFonts w:asciiTheme="minorHAnsi" w:hAnsiTheme="minorHAnsi" w:cstheme="minorHAnsi"/>
          <w:sz w:val="22"/>
          <w:szCs w:val="22"/>
        </w:rPr>
        <w:t>5%.</w:t>
      </w:r>
    </w:p>
    <w:tbl>
      <w:tblPr>
        <w:tblStyle w:val="ComCap4-nested"/>
        <w:tblW w:w="0" w:type="auto"/>
        <w:tblInd w:w="-567" w:type="dxa"/>
        <w:tblBorders>
          <w:insideV w:val="single" w:sz="4" w:space="0" w:color="auto"/>
        </w:tblBorders>
        <w:tblLayout w:type="fixed"/>
        <w:tblCellMar>
          <w:top w:w="142" w:type="dxa"/>
        </w:tblCellMar>
        <w:tblLook w:val="04A0" w:firstRow="1" w:lastRow="0" w:firstColumn="1" w:lastColumn="0" w:noHBand="0" w:noVBand="1"/>
      </w:tblPr>
      <w:tblGrid>
        <w:gridCol w:w="3402"/>
        <w:gridCol w:w="1406"/>
        <w:gridCol w:w="1406"/>
        <w:gridCol w:w="1406"/>
        <w:gridCol w:w="1406"/>
      </w:tblGrid>
      <w:tr w:rsidR="00CE47CF" w:rsidRPr="00A34F8A" w14:paraId="6446F9F5" w14:textId="77777777" w:rsidTr="00CE47CF">
        <w:trPr>
          <w:cnfStyle w:val="100000000000" w:firstRow="1" w:lastRow="0" w:firstColumn="0" w:lastColumn="0" w:oddVBand="0" w:evenVBand="0" w:oddHBand="0" w:evenHBand="0" w:firstRowFirstColumn="0" w:firstRowLastColumn="0" w:lastRowFirstColumn="0" w:lastRowLastColumn="0"/>
          <w:tblHeader/>
        </w:trPr>
        <w:tc>
          <w:tcPr>
            <w:tcW w:w="3402" w:type="dxa"/>
            <w:tcBorders>
              <w:bottom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077D6716" w14:textId="77777777" w:rsidR="0040324A" w:rsidRPr="00A34F8A" w:rsidRDefault="0040324A" w:rsidP="005D3977">
            <w:pPr>
              <w:pStyle w:val="Table1-columnheadingdata"/>
              <w:rPr>
                <w:rFonts w:asciiTheme="minorHAnsi" w:hAnsiTheme="minorHAnsi" w:cstheme="minorHAnsi"/>
                <w:sz w:val="22"/>
                <w:szCs w:val="22"/>
              </w:rPr>
            </w:pPr>
          </w:p>
        </w:tc>
        <w:tc>
          <w:tcPr>
            <w:tcW w:w="1406"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70E87D0C" w14:textId="77777777" w:rsidR="0040324A" w:rsidRPr="00A34F8A" w:rsidRDefault="0040324A"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2: No regulation from 2025</w:t>
            </w:r>
          </w:p>
        </w:tc>
        <w:tc>
          <w:tcPr>
            <w:tcW w:w="1406"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22122F32" w14:textId="77777777" w:rsidR="0040324A" w:rsidRPr="00A34F8A" w:rsidRDefault="0040324A"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3: Mark VI from 2025</w:t>
            </w:r>
          </w:p>
        </w:tc>
        <w:tc>
          <w:tcPr>
            <w:tcW w:w="1406"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2EA95221" w14:textId="77777777" w:rsidR="0040324A" w:rsidRPr="00A34F8A" w:rsidRDefault="0040324A"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4: Mark VI from 2025 (expanded scope)</w:t>
            </w:r>
          </w:p>
        </w:tc>
        <w:tc>
          <w:tcPr>
            <w:tcW w:w="1406"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30C081F9" w14:textId="77777777" w:rsidR="0040324A" w:rsidRPr="00A34F8A" w:rsidRDefault="0040324A"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5: Mark VI from 2025, Mark VII from 2029 (expanded scope)</w:t>
            </w:r>
          </w:p>
        </w:tc>
      </w:tr>
      <w:tr w:rsidR="00CE47CF" w:rsidRPr="00A34F8A" w14:paraId="72BEE32C" w14:textId="77777777" w:rsidTr="00CE47CF">
        <w:trPr>
          <w:trHeight w:val="91"/>
        </w:trPr>
        <w:tc>
          <w:tcPr>
            <w:tcW w:w="3402" w:type="dxa"/>
            <w:tcBorders>
              <w:top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11F0174E" w14:textId="77777777" w:rsidR="0040324A" w:rsidRPr="00A34F8A" w:rsidRDefault="0040324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Energy savings (GWh)</w:t>
            </w:r>
          </w:p>
        </w:tc>
        <w:tc>
          <w:tcPr>
            <w:tcW w:w="1406" w:type="dxa"/>
            <w:tcBorders>
              <w:top w:val="single" w:sz="12" w:space="0" w:color="BFBFBF" w:themeColor="background1" w:themeShade="BF"/>
              <w:left w:val="single" w:sz="4" w:space="0" w:color="C4BC96" w:themeColor="background2" w:themeShade="BF"/>
              <w:right w:val="single" w:sz="4" w:space="0" w:color="AEAAAA"/>
            </w:tcBorders>
            <w:tcMar>
              <w:top w:w="57" w:type="dxa"/>
              <w:left w:w="57" w:type="dxa"/>
              <w:bottom w:w="57" w:type="dxa"/>
              <w:right w:w="57" w:type="dxa"/>
            </w:tcMar>
            <w:vAlign w:val="top"/>
          </w:tcPr>
          <w:p w14:paraId="42BAC302"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-15</w:t>
            </w:r>
          </w:p>
        </w:tc>
        <w:tc>
          <w:tcPr>
            <w:tcW w:w="1406" w:type="dxa"/>
            <w:tcBorders>
              <w:top w:val="single" w:sz="12" w:space="0" w:color="BFBFBF" w:themeColor="background1" w:themeShade="BF"/>
              <w:left w:val="single" w:sz="4" w:space="0" w:color="AEAAAA"/>
            </w:tcBorders>
            <w:tcMar>
              <w:top w:w="57" w:type="dxa"/>
              <w:left w:w="57" w:type="dxa"/>
              <w:bottom w:w="57" w:type="dxa"/>
              <w:right w:w="57" w:type="dxa"/>
            </w:tcMar>
            <w:vAlign w:val="top"/>
          </w:tcPr>
          <w:p w14:paraId="11D7FBFF"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p>
        </w:tc>
        <w:tc>
          <w:tcPr>
            <w:tcW w:w="1406" w:type="dxa"/>
            <w:tcBorders>
              <w:top w:val="single" w:sz="12" w:space="0" w:color="BFBFBF" w:themeColor="background1" w:themeShade="BF"/>
              <w:left w:val="single" w:sz="4" w:space="0" w:color="AEAAAA"/>
            </w:tcBorders>
            <w:tcMar>
              <w:top w:w="57" w:type="dxa"/>
              <w:left w:w="57" w:type="dxa"/>
              <w:bottom w:w="57" w:type="dxa"/>
              <w:right w:w="57" w:type="dxa"/>
            </w:tcMar>
            <w:vAlign w:val="top"/>
          </w:tcPr>
          <w:p w14:paraId="25EB1811"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40</w:t>
            </w:r>
          </w:p>
        </w:tc>
        <w:tc>
          <w:tcPr>
            <w:tcW w:w="1406" w:type="dxa"/>
            <w:tcBorders>
              <w:top w:val="single" w:sz="12" w:space="0" w:color="BFBFBF" w:themeColor="background1" w:themeShade="BF"/>
              <w:left w:val="single" w:sz="4" w:space="0" w:color="AEAAAA"/>
            </w:tcBorders>
            <w:tcMar>
              <w:top w:w="57" w:type="dxa"/>
              <w:left w:w="57" w:type="dxa"/>
              <w:bottom w:w="57" w:type="dxa"/>
              <w:right w:w="57" w:type="dxa"/>
            </w:tcMar>
            <w:vAlign w:val="top"/>
          </w:tcPr>
          <w:p w14:paraId="47070104"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134</w:t>
            </w:r>
          </w:p>
        </w:tc>
      </w:tr>
      <w:tr w:rsidR="00CE47CF" w:rsidRPr="00A34F8A" w14:paraId="429926FE" w14:textId="77777777" w:rsidTr="00CE47CF">
        <w:tc>
          <w:tcPr>
            <w:tcW w:w="3402" w:type="dxa"/>
            <w:tcBorders>
              <w:right w:val="single" w:sz="4" w:space="0" w:color="C4BC96" w:themeColor="background2" w:themeShade="BF"/>
            </w:tcBorders>
            <w:tcMar>
              <w:top w:w="57" w:type="dxa"/>
              <w:left w:w="57" w:type="dxa"/>
              <w:bottom w:w="57" w:type="dxa"/>
              <w:right w:w="57" w:type="dxa"/>
            </w:tcMar>
            <w:vAlign w:val="top"/>
          </w:tcPr>
          <w:p w14:paraId="39B2B35C" w14:textId="2040D06A" w:rsidR="0040324A" w:rsidRPr="00A34F8A" w:rsidRDefault="0040324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Emissions reduction</w:t>
            </w:r>
            <w:r w:rsidR="00CF5AEA">
              <w:rPr>
                <w:rFonts w:asciiTheme="minorHAnsi" w:hAnsiTheme="minorHAnsi" w:cstheme="minorHAnsi"/>
                <w:sz w:val="22"/>
                <w:szCs w:val="22"/>
              </w:rPr>
              <w:t xml:space="preserve"> </w:t>
            </w:r>
            <w:r w:rsidRPr="00A34F8A">
              <w:rPr>
                <w:rFonts w:asciiTheme="minorHAnsi" w:hAnsiTheme="minorHAnsi" w:cstheme="minorHAnsi"/>
                <w:sz w:val="22"/>
                <w:szCs w:val="22"/>
              </w:rPr>
              <w:t>(tCO</w:t>
            </w:r>
            <w:r w:rsidRPr="00A34F8A">
              <w:rPr>
                <w:rFonts w:asciiTheme="minorHAnsi" w:hAnsiTheme="minorHAnsi" w:cstheme="minorHAnsi"/>
                <w:sz w:val="22"/>
                <w:szCs w:val="22"/>
                <w:vertAlign w:val="subscript"/>
              </w:rPr>
              <w:t>2-e</w:t>
            </w:r>
            <w:r w:rsidRPr="00A34F8A">
              <w:rPr>
                <w:rFonts w:asciiTheme="minorHAnsi" w:hAnsiTheme="minorHAnsi" w:cstheme="minorHAnsi"/>
                <w:sz w:val="22"/>
                <w:szCs w:val="22"/>
              </w:rPr>
              <w:t>)</w:t>
            </w:r>
          </w:p>
        </w:tc>
        <w:tc>
          <w:tcPr>
            <w:tcW w:w="1406"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179797E8"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-798</w:t>
            </w:r>
          </w:p>
        </w:tc>
        <w:tc>
          <w:tcPr>
            <w:tcW w:w="1406" w:type="dxa"/>
            <w:tcBorders>
              <w:left w:val="single" w:sz="4" w:space="0" w:color="AEAAAA"/>
            </w:tcBorders>
            <w:tcMar>
              <w:top w:w="57" w:type="dxa"/>
              <w:left w:w="57" w:type="dxa"/>
              <w:bottom w:w="57" w:type="dxa"/>
              <w:right w:w="57" w:type="dxa"/>
            </w:tcMar>
            <w:vAlign w:val="top"/>
          </w:tcPr>
          <w:p w14:paraId="2DAB5DB3"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266</w:t>
            </w:r>
          </w:p>
        </w:tc>
        <w:tc>
          <w:tcPr>
            <w:tcW w:w="1406" w:type="dxa"/>
            <w:tcBorders>
              <w:left w:val="single" w:sz="4" w:space="0" w:color="AEAAAA"/>
            </w:tcBorders>
            <w:tcMar>
              <w:top w:w="57" w:type="dxa"/>
              <w:left w:w="57" w:type="dxa"/>
              <w:bottom w:w="57" w:type="dxa"/>
              <w:right w:w="57" w:type="dxa"/>
            </w:tcMar>
            <w:vAlign w:val="top"/>
          </w:tcPr>
          <w:p w14:paraId="22365B45"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2,063</w:t>
            </w:r>
          </w:p>
        </w:tc>
        <w:tc>
          <w:tcPr>
            <w:tcW w:w="1406" w:type="dxa"/>
            <w:tcBorders>
              <w:left w:val="single" w:sz="4" w:space="0" w:color="AEAAAA"/>
            </w:tcBorders>
            <w:tcMar>
              <w:top w:w="57" w:type="dxa"/>
              <w:left w:w="57" w:type="dxa"/>
              <w:bottom w:w="57" w:type="dxa"/>
              <w:right w:w="57" w:type="dxa"/>
            </w:tcMar>
            <w:vAlign w:val="top"/>
          </w:tcPr>
          <w:p w14:paraId="1A58253C"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7,176</w:t>
            </w:r>
          </w:p>
        </w:tc>
      </w:tr>
      <w:tr w:rsidR="00CE47CF" w:rsidRPr="00A34F8A" w14:paraId="79198ACF" w14:textId="77777777" w:rsidTr="00CE47CF">
        <w:trPr>
          <w:trHeight w:val="23"/>
        </w:trPr>
        <w:tc>
          <w:tcPr>
            <w:tcW w:w="3402" w:type="dxa"/>
            <w:tcBorders>
              <w:right w:val="single" w:sz="4" w:space="0" w:color="C4BC96" w:themeColor="background2" w:themeShade="BF"/>
            </w:tcBorders>
            <w:tcMar>
              <w:top w:w="57" w:type="dxa"/>
              <w:left w:w="57" w:type="dxa"/>
              <w:bottom w:w="57" w:type="dxa"/>
              <w:right w:w="57" w:type="dxa"/>
            </w:tcMar>
            <w:vAlign w:val="top"/>
          </w:tcPr>
          <w:p w14:paraId="0879C0F5" w14:textId="77777777" w:rsidR="0040324A" w:rsidRPr="00A34F8A" w:rsidRDefault="0040324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Peak demand saving (MW)</w:t>
            </w:r>
          </w:p>
        </w:tc>
        <w:tc>
          <w:tcPr>
            <w:tcW w:w="1406"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41EC32F2"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406" w:type="dxa"/>
            <w:tcBorders>
              <w:left w:val="single" w:sz="4" w:space="0" w:color="AEAAAA"/>
            </w:tcBorders>
            <w:tcMar>
              <w:top w:w="57" w:type="dxa"/>
              <w:left w:w="57" w:type="dxa"/>
              <w:bottom w:w="57" w:type="dxa"/>
              <w:right w:w="57" w:type="dxa"/>
            </w:tcMar>
            <w:vAlign w:val="top"/>
          </w:tcPr>
          <w:p w14:paraId="1D6B53BE"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0.1</w:t>
            </w:r>
          </w:p>
        </w:tc>
        <w:tc>
          <w:tcPr>
            <w:tcW w:w="1406" w:type="dxa"/>
            <w:tcBorders>
              <w:left w:val="single" w:sz="4" w:space="0" w:color="AEAAAA"/>
            </w:tcBorders>
            <w:tcMar>
              <w:top w:w="57" w:type="dxa"/>
              <w:left w:w="57" w:type="dxa"/>
              <w:bottom w:w="57" w:type="dxa"/>
              <w:right w:w="57" w:type="dxa"/>
            </w:tcMar>
            <w:vAlign w:val="top"/>
          </w:tcPr>
          <w:p w14:paraId="39787418"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0.5</w:t>
            </w:r>
          </w:p>
        </w:tc>
        <w:tc>
          <w:tcPr>
            <w:tcW w:w="1406" w:type="dxa"/>
            <w:tcBorders>
              <w:left w:val="single" w:sz="4" w:space="0" w:color="AEAAAA"/>
            </w:tcBorders>
            <w:tcMar>
              <w:top w:w="57" w:type="dxa"/>
              <w:left w:w="57" w:type="dxa"/>
              <w:bottom w:w="57" w:type="dxa"/>
              <w:right w:w="57" w:type="dxa"/>
            </w:tcMar>
            <w:vAlign w:val="top"/>
          </w:tcPr>
          <w:p w14:paraId="5D0A8EEA" w14:textId="7777777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w:t>
            </w:r>
          </w:p>
        </w:tc>
      </w:tr>
      <w:tr w:rsidR="00CE47CF" w:rsidRPr="00A34F8A" w14:paraId="0D26995A" w14:textId="77777777" w:rsidTr="00CE47CF">
        <w:tc>
          <w:tcPr>
            <w:tcW w:w="3402" w:type="dxa"/>
            <w:tcBorders>
              <w:right w:val="single" w:sz="4" w:space="0" w:color="C4BC96" w:themeColor="background2" w:themeShade="BF"/>
            </w:tcBorders>
            <w:tcMar>
              <w:top w:w="57" w:type="dxa"/>
              <w:left w:w="57" w:type="dxa"/>
              <w:bottom w:w="57" w:type="dxa"/>
              <w:right w:w="57" w:type="dxa"/>
            </w:tcMar>
            <w:vAlign w:val="top"/>
          </w:tcPr>
          <w:p w14:paraId="63EF254D" w14:textId="77777777" w:rsidR="0040324A" w:rsidRPr="00A34F8A" w:rsidRDefault="0040324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societal costs (NPV $ NZD)</w:t>
            </w:r>
          </w:p>
        </w:tc>
        <w:tc>
          <w:tcPr>
            <w:tcW w:w="1406"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6876EFC9" w14:textId="71882C20"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w:t>
            </w:r>
            <w:r w:rsidR="00651E15">
              <w:rPr>
                <w:rFonts w:asciiTheme="minorHAnsi" w:hAnsiTheme="minorHAnsi" w:cstheme="minorHAnsi"/>
                <w:sz w:val="22"/>
                <w:szCs w:val="22"/>
              </w:rPr>
              <w:t>0.</w:t>
            </w:r>
            <w:r w:rsidRPr="00A34F8A">
              <w:rPr>
                <w:rFonts w:asciiTheme="minorHAnsi" w:hAnsiTheme="minorHAnsi" w:cstheme="minorHAnsi"/>
                <w:sz w:val="22"/>
                <w:szCs w:val="22"/>
              </w:rPr>
              <w:t>5</w:t>
            </w:r>
            <w:r w:rsidR="00651E15">
              <w:rPr>
                <w:rFonts w:asciiTheme="minorHAnsi" w:hAnsiTheme="minorHAnsi" w:cstheme="minorHAnsi"/>
                <w:sz w:val="22"/>
                <w:szCs w:val="22"/>
              </w:rPr>
              <w:t>M</w:t>
            </w:r>
          </w:p>
        </w:tc>
        <w:tc>
          <w:tcPr>
            <w:tcW w:w="1406" w:type="dxa"/>
            <w:tcBorders>
              <w:left w:val="single" w:sz="4" w:space="0" w:color="AEAAAA"/>
            </w:tcBorders>
            <w:tcMar>
              <w:top w:w="57" w:type="dxa"/>
              <w:left w:w="57" w:type="dxa"/>
              <w:bottom w:w="57" w:type="dxa"/>
              <w:right w:w="57" w:type="dxa"/>
            </w:tcMar>
            <w:vAlign w:val="top"/>
          </w:tcPr>
          <w:p w14:paraId="35D9D2AE" w14:textId="1011BB9E"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w:t>
            </w:r>
            <w:r w:rsidR="00651E15">
              <w:rPr>
                <w:rFonts w:asciiTheme="minorHAnsi" w:hAnsiTheme="minorHAnsi" w:cstheme="minorHAnsi"/>
                <w:sz w:val="22"/>
                <w:szCs w:val="22"/>
              </w:rPr>
              <w:t>0.3M</w:t>
            </w:r>
          </w:p>
        </w:tc>
        <w:tc>
          <w:tcPr>
            <w:tcW w:w="1406" w:type="dxa"/>
            <w:tcBorders>
              <w:left w:val="single" w:sz="4" w:space="0" w:color="AEAAAA"/>
            </w:tcBorders>
            <w:tcMar>
              <w:top w:w="57" w:type="dxa"/>
              <w:left w:w="57" w:type="dxa"/>
              <w:bottom w:w="57" w:type="dxa"/>
              <w:right w:w="57" w:type="dxa"/>
            </w:tcMar>
            <w:vAlign w:val="top"/>
          </w:tcPr>
          <w:p w14:paraId="00741CD4" w14:textId="18A88A27"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w:t>
            </w:r>
            <w:r w:rsidR="00651E15">
              <w:rPr>
                <w:rFonts w:asciiTheme="minorHAnsi" w:hAnsiTheme="minorHAnsi" w:cstheme="minorHAnsi"/>
                <w:sz w:val="22"/>
                <w:szCs w:val="22"/>
              </w:rPr>
              <w:t>.</w:t>
            </w:r>
            <w:r w:rsidRPr="00A34F8A">
              <w:rPr>
                <w:rFonts w:asciiTheme="minorHAnsi" w:hAnsiTheme="minorHAnsi" w:cstheme="minorHAnsi"/>
                <w:sz w:val="22"/>
                <w:szCs w:val="22"/>
              </w:rPr>
              <w:t>3</w:t>
            </w:r>
          </w:p>
        </w:tc>
        <w:tc>
          <w:tcPr>
            <w:tcW w:w="1406" w:type="dxa"/>
            <w:tcBorders>
              <w:left w:val="single" w:sz="4" w:space="0" w:color="AEAAAA"/>
            </w:tcBorders>
            <w:tcMar>
              <w:top w:w="57" w:type="dxa"/>
              <w:left w:w="57" w:type="dxa"/>
              <w:bottom w:w="57" w:type="dxa"/>
              <w:right w:w="57" w:type="dxa"/>
            </w:tcMar>
            <w:vAlign w:val="top"/>
          </w:tcPr>
          <w:p w14:paraId="0182ACAA" w14:textId="72559DA0"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w:t>
            </w:r>
            <w:r w:rsidR="00651E15">
              <w:rPr>
                <w:rFonts w:asciiTheme="minorHAnsi" w:hAnsiTheme="minorHAnsi" w:cstheme="minorHAnsi"/>
                <w:sz w:val="22"/>
                <w:szCs w:val="22"/>
              </w:rPr>
              <w:t>.</w:t>
            </w:r>
            <w:r w:rsidRPr="00A34F8A">
              <w:rPr>
                <w:rFonts w:asciiTheme="minorHAnsi" w:hAnsiTheme="minorHAnsi" w:cstheme="minorHAnsi"/>
                <w:sz w:val="22"/>
                <w:szCs w:val="22"/>
              </w:rPr>
              <w:t>6</w:t>
            </w:r>
          </w:p>
        </w:tc>
      </w:tr>
      <w:tr w:rsidR="00CE47CF" w:rsidRPr="00A34F8A" w14:paraId="33F376FC" w14:textId="77777777" w:rsidTr="00CE47CF">
        <w:tc>
          <w:tcPr>
            <w:tcW w:w="3402" w:type="dxa"/>
            <w:tcBorders>
              <w:right w:val="single" w:sz="4" w:space="0" w:color="C4BC96" w:themeColor="background2" w:themeShade="BF"/>
            </w:tcBorders>
            <w:tcMar>
              <w:top w:w="57" w:type="dxa"/>
              <w:left w:w="57" w:type="dxa"/>
              <w:bottom w:w="57" w:type="dxa"/>
              <w:right w:w="57" w:type="dxa"/>
            </w:tcMar>
            <w:vAlign w:val="top"/>
          </w:tcPr>
          <w:p w14:paraId="1CD5DB63" w14:textId="77777777" w:rsidR="0040324A" w:rsidRPr="00A34F8A" w:rsidRDefault="0040324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societal benefits (NPV $ NZD)</w:t>
            </w:r>
          </w:p>
        </w:tc>
        <w:tc>
          <w:tcPr>
            <w:tcW w:w="1406"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534E2D51" w14:textId="598D0A85"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w:t>
            </w:r>
            <w:r w:rsidR="00651E15">
              <w:rPr>
                <w:rFonts w:asciiTheme="minorHAnsi" w:hAnsiTheme="minorHAnsi" w:cstheme="minorHAnsi"/>
                <w:sz w:val="22"/>
                <w:szCs w:val="22"/>
              </w:rPr>
              <w:t>.1M</w:t>
            </w:r>
          </w:p>
        </w:tc>
        <w:tc>
          <w:tcPr>
            <w:tcW w:w="1406" w:type="dxa"/>
            <w:tcBorders>
              <w:left w:val="single" w:sz="4" w:space="0" w:color="AEAAAA"/>
            </w:tcBorders>
            <w:tcMar>
              <w:top w:w="57" w:type="dxa"/>
              <w:left w:w="57" w:type="dxa"/>
              <w:bottom w:w="57" w:type="dxa"/>
              <w:right w:w="57" w:type="dxa"/>
            </w:tcMar>
            <w:vAlign w:val="top"/>
          </w:tcPr>
          <w:p w14:paraId="792D60AD" w14:textId="12D972DA"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w:t>
            </w:r>
            <w:r w:rsidR="00651E15">
              <w:rPr>
                <w:rFonts w:asciiTheme="minorHAnsi" w:hAnsiTheme="minorHAnsi" w:cstheme="minorHAnsi"/>
                <w:sz w:val="22"/>
                <w:szCs w:val="22"/>
              </w:rPr>
              <w:t>0.4M</w:t>
            </w:r>
          </w:p>
        </w:tc>
        <w:tc>
          <w:tcPr>
            <w:tcW w:w="1406" w:type="dxa"/>
            <w:tcBorders>
              <w:left w:val="single" w:sz="4" w:space="0" w:color="AEAAAA"/>
            </w:tcBorders>
            <w:tcMar>
              <w:top w:w="57" w:type="dxa"/>
              <w:left w:w="57" w:type="dxa"/>
              <w:bottom w:w="57" w:type="dxa"/>
              <w:right w:w="57" w:type="dxa"/>
            </w:tcMar>
            <w:vAlign w:val="top"/>
          </w:tcPr>
          <w:p w14:paraId="5CE2CE66" w14:textId="3B17C334"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w:t>
            </w:r>
            <w:r w:rsidR="00651E15">
              <w:rPr>
                <w:rFonts w:asciiTheme="minorHAnsi" w:hAnsiTheme="minorHAnsi" w:cstheme="minorHAnsi"/>
                <w:sz w:val="22"/>
                <w:szCs w:val="22"/>
              </w:rPr>
              <w:t>.3M</w:t>
            </w:r>
          </w:p>
        </w:tc>
        <w:tc>
          <w:tcPr>
            <w:tcW w:w="1406" w:type="dxa"/>
            <w:tcBorders>
              <w:left w:val="single" w:sz="4" w:space="0" w:color="AEAAAA"/>
            </w:tcBorders>
            <w:tcMar>
              <w:top w:w="57" w:type="dxa"/>
              <w:left w:w="57" w:type="dxa"/>
              <w:bottom w:w="57" w:type="dxa"/>
              <w:right w:w="57" w:type="dxa"/>
            </w:tcMar>
            <w:vAlign w:val="top"/>
          </w:tcPr>
          <w:p w14:paraId="0414FB25" w14:textId="19A8699A" w:rsidR="0040324A" w:rsidRPr="00A34F8A" w:rsidRDefault="0040324A"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w:t>
            </w:r>
            <w:r w:rsidR="00651E15">
              <w:rPr>
                <w:rFonts w:asciiTheme="minorHAnsi" w:hAnsiTheme="minorHAnsi" w:cstheme="minorHAnsi"/>
                <w:sz w:val="22"/>
                <w:szCs w:val="22"/>
              </w:rPr>
              <w:t>.7M</w:t>
            </w:r>
          </w:p>
        </w:tc>
      </w:tr>
      <w:tr w:rsidR="00CE47CF" w:rsidRPr="00A34F8A" w14:paraId="13CD86E3" w14:textId="77777777" w:rsidTr="00CE47CF">
        <w:tc>
          <w:tcPr>
            <w:tcW w:w="3402" w:type="dxa"/>
            <w:tcBorders>
              <w:right w:val="single" w:sz="4" w:space="0" w:color="C4BC96" w:themeColor="background2" w:themeShade="BF"/>
            </w:tcBorders>
            <w:tcMar>
              <w:top w:w="57" w:type="dxa"/>
              <w:left w:w="57" w:type="dxa"/>
              <w:bottom w:w="57" w:type="dxa"/>
              <w:right w:w="57" w:type="dxa"/>
            </w:tcMar>
            <w:vAlign w:val="top"/>
          </w:tcPr>
          <w:p w14:paraId="1E287266" w14:textId="77777777" w:rsidR="0040324A" w:rsidRPr="00A34F8A" w:rsidRDefault="0040324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Net societal benefit (NPV $ NZD)</w:t>
            </w:r>
          </w:p>
        </w:tc>
        <w:tc>
          <w:tcPr>
            <w:tcW w:w="1406"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10B96629" w14:textId="6CE7E5E6"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w:t>
            </w:r>
            <w:r w:rsidR="00651E15">
              <w:rPr>
                <w:rFonts w:asciiTheme="minorHAnsi" w:hAnsiTheme="minorHAnsi" w:cstheme="minorHAnsi"/>
                <w:b/>
                <w:bCs/>
                <w:sz w:val="22"/>
                <w:szCs w:val="22"/>
              </w:rPr>
              <w:t>0.6M</w:t>
            </w:r>
          </w:p>
        </w:tc>
        <w:tc>
          <w:tcPr>
            <w:tcW w:w="1406" w:type="dxa"/>
            <w:tcBorders>
              <w:left w:val="single" w:sz="4" w:space="0" w:color="AEAAAA"/>
            </w:tcBorders>
            <w:tcMar>
              <w:top w:w="57" w:type="dxa"/>
              <w:left w:w="57" w:type="dxa"/>
              <w:bottom w:w="57" w:type="dxa"/>
              <w:right w:w="57" w:type="dxa"/>
            </w:tcMar>
            <w:vAlign w:val="top"/>
          </w:tcPr>
          <w:p w14:paraId="3390E1BA" w14:textId="176BA829"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w:t>
            </w:r>
            <w:r w:rsidR="00651E15">
              <w:rPr>
                <w:rFonts w:asciiTheme="minorHAnsi" w:hAnsiTheme="minorHAnsi" w:cstheme="minorHAnsi"/>
                <w:b/>
                <w:bCs/>
                <w:sz w:val="22"/>
                <w:szCs w:val="22"/>
              </w:rPr>
              <w:t>0.1M</w:t>
            </w:r>
          </w:p>
        </w:tc>
        <w:tc>
          <w:tcPr>
            <w:tcW w:w="1406" w:type="dxa"/>
            <w:tcBorders>
              <w:left w:val="single" w:sz="4" w:space="0" w:color="AEAAAA"/>
            </w:tcBorders>
            <w:tcMar>
              <w:top w:w="57" w:type="dxa"/>
              <w:left w:w="57" w:type="dxa"/>
              <w:bottom w:w="57" w:type="dxa"/>
              <w:right w:w="57" w:type="dxa"/>
            </w:tcMar>
            <w:vAlign w:val="top"/>
          </w:tcPr>
          <w:p w14:paraId="58306433" w14:textId="181EED43"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w:t>
            </w:r>
            <w:r w:rsidR="00651E15">
              <w:rPr>
                <w:rFonts w:asciiTheme="minorHAnsi" w:hAnsiTheme="minorHAnsi" w:cstheme="minorHAnsi"/>
                <w:b/>
                <w:bCs/>
                <w:sz w:val="22"/>
                <w:szCs w:val="22"/>
              </w:rPr>
              <w:t>0.</w:t>
            </w:r>
            <w:r w:rsidRPr="00A34F8A">
              <w:rPr>
                <w:rFonts w:asciiTheme="minorHAnsi" w:hAnsiTheme="minorHAnsi" w:cstheme="minorHAnsi"/>
                <w:b/>
                <w:bCs/>
                <w:sz w:val="22"/>
                <w:szCs w:val="22"/>
              </w:rPr>
              <w:t>9</w:t>
            </w:r>
            <w:r w:rsidR="00651E15">
              <w:rPr>
                <w:rFonts w:asciiTheme="minorHAnsi" w:hAnsiTheme="minorHAnsi" w:cstheme="minorHAnsi"/>
                <w:b/>
                <w:bCs/>
                <w:sz w:val="22"/>
                <w:szCs w:val="22"/>
              </w:rPr>
              <w:t>M</w:t>
            </w:r>
          </w:p>
        </w:tc>
        <w:tc>
          <w:tcPr>
            <w:tcW w:w="1406" w:type="dxa"/>
            <w:tcBorders>
              <w:left w:val="single" w:sz="4" w:space="0" w:color="AEAAAA"/>
            </w:tcBorders>
            <w:tcMar>
              <w:top w:w="57" w:type="dxa"/>
              <w:left w:w="57" w:type="dxa"/>
              <w:bottom w:w="57" w:type="dxa"/>
              <w:right w:w="57" w:type="dxa"/>
            </w:tcMar>
            <w:vAlign w:val="top"/>
          </w:tcPr>
          <w:p w14:paraId="5380EB3E" w14:textId="6AE8FFA8"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$3</w:t>
            </w:r>
            <w:r w:rsidR="00651E15">
              <w:rPr>
                <w:rFonts w:asciiTheme="minorHAnsi" w:hAnsiTheme="minorHAnsi" w:cstheme="minorHAnsi"/>
                <w:b/>
                <w:bCs/>
                <w:sz w:val="22"/>
                <w:szCs w:val="22"/>
              </w:rPr>
              <w:t>.</w:t>
            </w:r>
            <w:r w:rsidRPr="00A34F8A">
              <w:rPr>
                <w:rFonts w:asciiTheme="minorHAnsi" w:hAnsiTheme="minorHAnsi" w:cstheme="minorHAnsi"/>
                <w:b/>
                <w:bCs/>
                <w:sz w:val="22"/>
                <w:szCs w:val="22"/>
              </w:rPr>
              <w:t>0</w:t>
            </w:r>
            <w:r w:rsidR="00651E15">
              <w:rPr>
                <w:rFonts w:asciiTheme="minorHAnsi" w:hAnsiTheme="minorHAnsi" w:cstheme="minorHAnsi"/>
                <w:b/>
                <w:bCs/>
                <w:sz w:val="22"/>
                <w:szCs w:val="22"/>
              </w:rPr>
              <w:t>M</w:t>
            </w:r>
          </w:p>
        </w:tc>
      </w:tr>
      <w:tr w:rsidR="00CE47CF" w:rsidRPr="00A34F8A" w14:paraId="09C0B397" w14:textId="77777777" w:rsidTr="00CE47CF">
        <w:tc>
          <w:tcPr>
            <w:tcW w:w="3402" w:type="dxa"/>
            <w:tcBorders>
              <w:right w:val="single" w:sz="4" w:space="0" w:color="C4BC96" w:themeColor="background2" w:themeShade="BF"/>
            </w:tcBorders>
            <w:tcMar>
              <w:top w:w="57" w:type="dxa"/>
              <w:left w:w="57" w:type="dxa"/>
              <w:bottom w:w="57" w:type="dxa"/>
              <w:right w:w="57" w:type="dxa"/>
            </w:tcMar>
            <w:vAlign w:val="top"/>
          </w:tcPr>
          <w:p w14:paraId="4EBC7261" w14:textId="77777777" w:rsidR="0040324A" w:rsidRPr="00A34F8A" w:rsidRDefault="0040324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societal benefit cost ratio</w:t>
            </w:r>
          </w:p>
        </w:tc>
        <w:tc>
          <w:tcPr>
            <w:tcW w:w="1406"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2E7CCAC2" w14:textId="77777777"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0.45</w:t>
            </w:r>
          </w:p>
        </w:tc>
        <w:tc>
          <w:tcPr>
            <w:tcW w:w="1406" w:type="dxa"/>
            <w:tcBorders>
              <w:left w:val="single" w:sz="4" w:space="0" w:color="AEAAAA"/>
            </w:tcBorders>
            <w:tcMar>
              <w:top w:w="57" w:type="dxa"/>
              <w:left w:w="57" w:type="dxa"/>
              <w:bottom w:w="57" w:type="dxa"/>
              <w:right w:w="57" w:type="dxa"/>
            </w:tcMar>
            <w:vAlign w:val="top"/>
          </w:tcPr>
          <w:p w14:paraId="047B2DF3" w14:textId="77777777"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1.45</w:t>
            </w:r>
          </w:p>
        </w:tc>
        <w:tc>
          <w:tcPr>
            <w:tcW w:w="1406" w:type="dxa"/>
            <w:tcBorders>
              <w:left w:val="single" w:sz="4" w:space="0" w:color="AEAAAA"/>
            </w:tcBorders>
            <w:tcMar>
              <w:top w:w="57" w:type="dxa"/>
              <w:left w:w="57" w:type="dxa"/>
              <w:bottom w:w="57" w:type="dxa"/>
              <w:right w:w="57" w:type="dxa"/>
            </w:tcMar>
            <w:vAlign w:val="top"/>
          </w:tcPr>
          <w:p w14:paraId="049E82F8" w14:textId="77777777"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1.40</w:t>
            </w:r>
          </w:p>
        </w:tc>
        <w:tc>
          <w:tcPr>
            <w:tcW w:w="1406" w:type="dxa"/>
            <w:tcBorders>
              <w:left w:val="single" w:sz="4" w:space="0" w:color="AEAAAA"/>
            </w:tcBorders>
            <w:tcMar>
              <w:top w:w="57" w:type="dxa"/>
              <w:left w:w="57" w:type="dxa"/>
              <w:bottom w:w="57" w:type="dxa"/>
              <w:right w:w="57" w:type="dxa"/>
            </w:tcMar>
            <w:vAlign w:val="top"/>
          </w:tcPr>
          <w:p w14:paraId="501326B4" w14:textId="77777777" w:rsidR="0040324A" w:rsidRPr="00A34F8A" w:rsidRDefault="0040324A" w:rsidP="005D3977">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1.45</w:t>
            </w:r>
          </w:p>
        </w:tc>
      </w:tr>
    </w:tbl>
    <w:p w14:paraId="2D730E3A" w14:textId="77777777" w:rsidR="008C5176" w:rsidRPr="003454CD" w:rsidRDefault="008C5176" w:rsidP="00594D72">
      <w:pPr>
        <w:pStyle w:val="BlueLineBottom"/>
      </w:pPr>
    </w:p>
    <w:p w14:paraId="6AF5CDDA" w14:textId="5883F2EA" w:rsidR="00961FEE" w:rsidRPr="00A34F8A" w:rsidRDefault="00961FEE" w:rsidP="00961FEE">
      <w:pPr>
        <w:rPr>
          <w:rFonts w:asciiTheme="minorHAnsi" w:hAnsiTheme="minorHAnsi" w:cstheme="minorHAnsi"/>
          <w:szCs w:val="22"/>
        </w:rPr>
      </w:pPr>
      <w:r w:rsidRPr="008A1470">
        <w:rPr>
          <w:rFonts w:asciiTheme="minorHAnsi" w:hAnsiTheme="minorHAnsi" w:cstheme="minorHAnsi"/>
          <w:szCs w:val="22"/>
        </w:rPr>
        <w:t xml:space="preserve">Scenario 5 provides the highest net benefit for both Australia and New Zealand. Scenario 5 would see both countries aligning with international regulations in the short-term by increasing the MEPS to mark VI and expanding the scope, followed by a further increase to the anticipated “mark VII” two years after the US or EU implement the increased standard. While scenario 5 has a lower total benefit-to-cost ratio than scenario 4 in Australia, it results in a </w:t>
      </w:r>
      <w:r w:rsidRPr="008A1470">
        <w:rPr>
          <w:rFonts w:asciiTheme="minorHAnsi" w:hAnsiTheme="minorHAnsi" w:cstheme="minorHAnsi"/>
          <w:szCs w:val="22"/>
        </w:rPr>
        <w:lastRenderedPageBreak/>
        <w:t xml:space="preserve">significantly larger net benefit of </w:t>
      </w:r>
      <w:r w:rsidRPr="002D56D8">
        <w:rPr>
          <w:rFonts w:asciiTheme="minorHAnsi" w:hAnsiTheme="minorHAnsi" w:cstheme="minorHAnsi"/>
          <w:szCs w:val="22"/>
        </w:rPr>
        <w:t>$7</w:t>
      </w:r>
      <w:r w:rsidR="002D56D8" w:rsidRPr="00CE47CF">
        <w:rPr>
          <w:rFonts w:asciiTheme="minorHAnsi" w:hAnsiTheme="minorHAnsi" w:cstheme="minorHAnsi"/>
          <w:szCs w:val="22"/>
        </w:rPr>
        <w:t>0</w:t>
      </w:r>
      <w:r w:rsidRPr="002D56D8">
        <w:rPr>
          <w:rFonts w:asciiTheme="minorHAnsi" w:hAnsiTheme="minorHAnsi" w:cstheme="minorHAnsi"/>
          <w:szCs w:val="22"/>
        </w:rPr>
        <w:t>m</w:t>
      </w:r>
      <w:r w:rsidRPr="008A1470">
        <w:rPr>
          <w:rFonts w:asciiTheme="minorHAnsi" w:hAnsiTheme="minorHAnsi" w:cstheme="minorHAnsi"/>
          <w:szCs w:val="22"/>
        </w:rPr>
        <w:t xml:space="preserve"> AUD. Similarly in New Zealand, scenario 5 delivers a $3m NZD net societal benefit with a positive benefit</w:t>
      </w:r>
      <w:r w:rsidRPr="00A34F8A">
        <w:rPr>
          <w:rFonts w:asciiTheme="minorHAnsi" w:hAnsiTheme="minorHAnsi" w:cstheme="minorHAnsi"/>
          <w:szCs w:val="22"/>
        </w:rPr>
        <w:t>-to-cost ratio. Both scenarios also involve amending the existing regulations to allow manufacturers and suppliers to register products using a test certificate that references the internationally consistent test standards</w:t>
      </w:r>
      <w:r w:rsidR="00E93095">
        <w:rPr>
          <w:rFonts w:asciiTheme="minorHAnsi" w:hAnsiTheme="minorHAnsi" w:cstheme="minorHAnsi"/>
          <w:szCs w:val="22"/>
        </w:rPr>
        <w:t xml:space="preserve"> (EN and DOE)</w:t>
      </w:r>
      <w:r w:rsidRPr="00A34F8A">
        <w:rPr>
          <w:rFonts w:asciiTheme="minorHAnsi" w:hAnsiTheme="minorHAnsi" w:cstheme="minorHAnsi"/>
          <w:szCs w:val="22"/>
        </w:rPr>
        <w:t>.</w:t>
      </w:r>
    </w:p>
    <w:p w14:paraId="5D57A642" w14:textId="6D99404B" w:rsidR="00961FEE" w:rsidRPr="00896495" w:rsidRDefault="00961FEE" w:rsidP="00961FEE">
      <w:pPr>
        <w:pStyle w:val="Heading1"/>
      </w:pPr>
      <w:bookmarkStart w:id="19" w:name="_Toc168660712"/>
      <w:bookmarkStart w:id="20" w:name="_Toc183163222"/>
      <w:r w:rsidRPr="00896495">
        <w:t>S</w:t>
      </w:r>
      <w:r w:rsidR="00C67525" w:rsidRPr="00896495">
        <w:t>takeholder feedback</w:t>
      </w:r>
      <w:bookmarkEnd w:id="19"/>
      <w:bookmarkEnd w:id="20"/>
    </w:p>
    <w:p w14:paraId="7999C431" w14:textId="77777777" w:rsidR="00E92026" w:rsidRDefault="004179F8" w:rsidP="004179F8">
      <w:pPr>
        <w:rPr>
          <w:rFonts w:asciiTheme="minorHAnsi" w:hAnsiTheme="minorHAnsi" w:cstheme="minorHAnsi"/>
          <w:szCs w:val="22"/>
        </w:rPr>
      </w:pPr>
      <w:r w:rsidRPr="00A34F8A">
        <w:rPr>
          <w:rFonts w:asciiTheme="minorHAnsi" w:hAnsiTheme="minorHAnsi" w:cstheme="minorHAnsi"/>
          <w:szCs w:val="22"/>
        </w:rPr>
        <w:t xml:space="preserve">Stakeholder feedback is sought on the policy options and results presented in this consultation RIS. Questions for consideration by stakeholders are included in section 5 of this document. </w:t>
      </w:r>
    </w:p>
    <w:p w14:paraId="731C098E" w14:textId="53BF60ED" w:rsidR="005F52AE" w:rsidRPr="005F52AE" w:rsidRDefault="00E92026" w:rsidP="00D20A75">
      <w:pPr>
        <w:rPr>
          <w:rFonts w:asciiTheme="minorHAnsi" w:hAnsiTheme="minorHAnsi" w:cstheme="minorHAnsi"/>
          <w:szCs w:val="22"/>
          <w:highlight w:val="yellow"/>
        </w:rPr>
      </w:pPr>
      <w:r>
        <w:rPr>
          <w:rFonts w:asciiTheme="minorHAnsi" w:hAnsiTheme="minorHAnsi" w:cstheme="minorHAnsi"/>
          <w:szCs w:val="22"/>
        </w:rPr>
        <w:t xml:space="preserve">Submissions should be provided by </w:t>
      </w:r>
      <w:r w:rsidR="00DC656F">
        <w:rPr>
          <w:rFonts w:asciiTheme="minorHAnsi" w:hAnsiTheme="minorHAnsi" w:cstheme="minorHAnsi"/>
          <w:szCs w:val="22"/>
        </w:rPr>
        <w:t>28 April 2025.</w:t>
      </w:r>
    </w:p>
    <w:p w14:paraId="15A790F3" w14:textId="6AA468C9" w:rsidR="005F52AE" w:rsidRPr="005F52AE" w:rsidRDefault="005F52AE" w:rsidP="005F52AE">
      <w:pPr>
        <w:rPr>
          <w:rFonts w:asciiTheme="minorHAnsi" w:hAnsiTheme="minorHAnsi" w:cstheme="minorHAnsi"/>
          <w:szCs w:val="22"/>
        </w:rPr>
      </w:pPr>
      <w:r w:rsidRPr="005F52AE">
        <w:rPr>
          <w:rFonts w:asciiTheme="minorHAnsi" w:hAnsiTheme="minorHAnsi" w:cstheme="minorHAnsi"/>
          <w:b/>
          <w:bCs/>
          <w:szCs w:val="22"/>
        </w:rPr>
        <w:t xml:space="preserve">To provide feedback on the </w:t>
      </w:r>
      <w:r w:rsidR="00D20A75" w:rsidRPr="001C0F26">
        <w:rPr>
          <w:rFonts w:asciiTheme="minorHAnsi" w:hAnsiTheme="minorHAnsi" w:cstheme="minorHAnsi"/>
          <w:b/>
          <w:bCs/>
          <w:szCs w:val="22"/>
        </w:rPr>
        <w:t>RIS</w:t>
      </w:r>
      <w:r w:rsidRPr="005F52AE">
        <w:rPr>
          <w:rFonts w:asciiTheme="minorHAnsi" w:hAnsiTheme="minorHAnsi" w:cstheme="minorHAnsi"/>
          <w:b/>
          <w:bCs/>
          <w:szCs w:val="22"/>
        </w:rPr>
        <w:t>, please make a submission at:</w:t>
      </w:r>
    </w:p>
    <w:p w14:paraId="0C39730F" w14:textId="0F5A2271" w:rsidR="00D257CB" w:rsidRDefault="00E72DAE" w:rsidP="005F52AE">
      <w:r>
        <w:t>For Australian stakeholders</w:t>
      </w:r>
      <w:r w:rsidR="0013755A" w:rsidRPr="005F52AE">
        <w:rPr>
          <w:rFonts w:asciiTheme="minorHAnsi" w:hAnsiTheme="minorHAnsi" w:cstheme="minorHAnsi"/>
          <w:szCs w:val="22"/>
        </w:rPr>
        <w:t>—</w:t>
      </w:r>
      <w:r w:rsidR="0013755A">
        <w:rPr>
          <w:rFonts w:asciiTheme="minorHAnsi" w:hAnsiTheme="minorHAnsi" w:cstheme="minorHAnsi"/>
          <w:szCs w:val="22"/>
        </w:rPr>
        <w:t>t</w:t>
      </w:r>
      <w:r w:rsidR="00695630">
        <w:t xml:space="preserve">he </w:t>
      </w:r>
      <w:r w:rsidR="00331F18" w:rsidRPr="00331F18">
        <w:t xml:space="preserve">Department of Climate Change, Energy, the Environment and Water’s </w:t>
      </w:r>
      <w:hyperlink r:id="rId16" w:tgtFrame="_blank" w:history="1">
        <w:r w:rsidR="00331F18" w:rsidRPr="00331F18">
          <w:rPr>
            <w:rStyle w:val="Hyperlink"/>
          </w:rPr>
          <w:t>consultation website</w:t>
        </w:r>
      </w:hyperlink>
    </w:p>
    <w:p w14:paraId="547E99CE" w14:textId="258906B8" w:rsidR="0013755A" w:rsidRDefault="0013755A" w:rsidP="005F52AE">
      <w:r>
        <w:t>For New Zealand stakeholders</w:t>
      </w:r>
      <w:r w:rsidRPr="005F52AE">
        <w:rPr>
          <w:rFonts w:asciiTheme="minorHAnsi" w:hAnsiTheme="minorHAnsi" w:cstheme="minorHAnsi"/>
          <w:szCs w:val="22"/>
        </w:rPr>
        <w:t>—</w:t>
      </w:r>
      <w:r w:rsidR="00C547E3">
        <w:rPr>
          <w:rFonts w:asciiTheme="minorHAnsi" w:hAnsiTheme="minorHAnsi" w:cstheme="minorHAnsi"/>
          <w:szCs w:val="22"/>
        </w:rPr>
        <w:t xml:space="preserve">by </w:t>
      </w:r>
      <w:r w:rsidR="008904B4">
        <w:rPr>
          <w:rFonts w:asciiTheme="minorHAnsi" w:hAnsiTheme="minorHAnsi" w:cstheme="minorHAnsi"/>
          <w:szCs w:val="22"/>
        </w:rPr>
        <w:t xml:space="preserve">email to </w:t>
      </w:r>
      <w:hyperlink r:id="rId17" w:history="1">
        <w:r w:rsidR="008904B4" w:rsidRPr="0007183F">
          <w:rPr>
            <w:rStyle w:val="Hyperlink"/>
            <w:rFonts w:asciiTheme="minorHAnsi" w:hAnsiTheme="minorHAnsi" w:cstheme="minorHAnsi"/>
            <w:szCs w:val="22"/>
          </w:rPr>
          <w:t>star@eeca.govt.nz</w:t>
        </w:r>
      </w:hyperlink>
      <w:r w:rsidR="008904B4">
        <w:rPr>
          <w:rFonts w:asciiTheme="minorHAnsi" w:hAnsiTheme="minorHAnsi" w:cstheme="minorHAnsi"/>
          <w:szCs w:val="22"/>
        </w:rPr>
        <w:t xml:space="preserve"> </w:t>
      </w:r>
    </w:p>
    <w:p w14:paraId="6E517E36" w14:textId="37C7EF70" w:rsidR="005F52AE" w:rsidRPr="005F52AE" w:rsidRDefault="005F52AE" w:rsidP="005F52AE">
      <w:pPr>
        <w:rPr>
          <w:rFonts w:asciiTheme="minorHAnsi" w:hAnsiTheme="minorHAnsi" w:cstheme="minorHAnsi"/>
          <w:szCs w:val="22"/>
        </w:rPr>
      </w:pPr>
      <w:r w:rsidRPr="005F52AE">
        <w:rPr>
          <w:rFonts w:asciiTheme="minorHAnsi" w:hAnsiTheme="minorHAnsi" w:cstheme="minorHAnsi"/>
          <w:szCs w:val="22"/>
        </w:rPr>
        <w:t>Enquiries may be emailed with the subject line “</w:t>
      </w:r>
      <w:r w:rsidR="00EA5261" w:rsidRPr="001C0F26">
        <w:rPr>
          <w:rFonts w:asciiTheme="minorHAnsi" w:hAnsiTheme="minorHAnsi" w:cstheme="minorHAnsi"/>
          <w:szCs w:val="22"/>
        </w:rPr>
        <w:t>External Power Supplies CRIS</w:t>
      </w:r>
      <w:r w:rsidRPr="005F52AE">
        <w:rPr>
          <w:rFonts w:asciiTheme="minorHAnsi" w:hAnsiTheme="minorHAnsi" w:cstheme="minorHAnsi"/>
          <w:szCs w:val="22"/>
        </w:rPr>
        <w:t>”: </w:t>
      </w:r>
    </w:p>
    <w:p w14:paraId="4763CDA3" w14:textId="05FC1975" w:rsidR="005F52AE" w:rsidRPr="005F52AE" w:rsidRDefault="005F52AE" w:rsidP="005F52AE">
      <w:pPr>
        <w:numPr>
          <w:ilvl w:val="0"/>
          <w:numId w:val="32"/>
        </w:numPr>
        <w:rPr>
          <w:rFonts w:asciiTheme="minorHAnsi" w:hAnsiTheme="minorHAnsi" w:cstheme="minorHAnsi"/>
          <w:szCs w:val="22"/>
        </w:rPr>
      </w:pPr>
      <w:r w:rsidRPr="005F52AE">
        <w:rPr>
          <w:rFonts w:asciiTheme="minorHAnsi" w:hAnsiTheme="minorHAnsi" w:cstheme="minorHAnsi"/>
          <w:szCs w:val="22"/>
        </w:rPr>
        <w:t xml:space="preserve">for Australian stakeholders—to the Australian Government Department of Climate Change, Energy the Environment and Water (DCCEEW): </w:t>
      </w:r>
      <w:hyperlink r:id="rId18" w:history="1">
        <w:r w:rsidR="008F232C" w:rsidRPr="00D71F32">
          <w:rPr>
            <w:rStyle w:val="Hyperlink"/>
            <w:rFonts w:asciiTheme="minorHAnsi" w:hAnsiTheme="minorHAnsi" w:cstheme="minorHAnsi"/>
            <w:szCs w:val="22"/>
          </w:rPr>
          <w:t>GEMSProductReview@dcceew.gov.au</w:t>
        </w:r>
      </w:hyperlink>
    </w:p>
    <w:p w14:paraId="5AD4AEF8" w14:textId="6813D14F" w:rsidR="005F52AE" w:rsidRPr="005F52AE" w:rsidRDefault="005F52AE" w:rsidP="005F52AE">
      <w:pPr>
        <w:numPr>
          <w:ilvl w:val="0"/>
          <w:numId w:val="33"/>
        </w:numPr>
        <w:rPr>
          <w:rFonts w:asciiTheme="minorHAnsi" w:hAnsiTheme="minorHAnsi" w:cstheme="minorHAnsi"/>
          <w:szCs w:val="22"/>
        </w:rPr>
      </w:pPr>
      <w:r w:rsidRPr="005F52AE">
        <w:rPr>
          <w:rFonts w:asciiTheme="minorHAnsi" w:hAnsiTheme="minorHAnsi" w:cstheme="minorHAnsi"/>
          <w:szCs w:val="22"/>
        </w:rPr>
        <w:t>for New Zealand stakeholders—to the Energy Efficiency and Conservation Authority (EECA) of New Zealand:</w:t>
      </w:r>
      <w:r w:rsidR="002D37BB">
        <w:rPr>
          <w:rFonts w:asciiTheme="minorHAnsi" w:hAnsiTheme="minorHAnsi" w:cstheme="minorHAnsi"/>
          <w:szCs w:val="22"/>
        </w:rPr>
        <w:t xml:space="preserve"> </w:t>
      </w:r>
      <w:hyperlink r:id="rId19" w:history="1">
        <w:r w:rsidR="002D37BB" w:rsidRPr="009D7641">
          <w:rPr>
            <w:rStyle w:val="Hyperlink"/>
            <w:rFonts w:asciiTheme="minorHAnsi" w:hAnsiTheme="minorHAnsi" w:cstheme="minorHAnsi"/>
            <w:szCs w:val="22"/>
          </w:rPr>
          <w:t>star@eeca.govt.nz</w:t>
        </w:r>
      </w:hyperlink>
    </w:p>
    <w:p w14:paraId="7E13AAAB" w14:textId="77777777" w:rsidR="005F52AE" w:rsidRDefault="005F52AE" w:rsidP="004179F8">
      <w:pPr>
        <w:rPr>
          <w:rFonts w:asciiTheme="minorHAnsi" w:hAnsiTheme="minorHAnsi" w:cstheme="minorHAnsi"/>
          <w:szCs w:val="22"/>
          <w:highlight w:val="yellow"/>
        </w:rPr>
      </w:pPr>
    </w:p>
    <w:p w14:paraId="5BCD47A6" w14:textId="0344D517" w:rsidR="004179F8" w:rsidRPr="00A34F8A" w:rsidRDefault="004179F8">
      <w:pPr>
        <w:spacing w:after="0" w:line="240" w:lineRule="auto"/>
        <w:rPr>
          <w:rFonts w:asciiTheme="minorHAnsi" w:eastAsiaTheme="majorEastAsia" w:hAnsiTheme="minorHAnsi" w:cstheme="minorHAnsi"/>
          <w:b/>
          <w:bCs/>
          <w:color w:val="000000"/>
          <w:szCs w:val="22"/>
        </w:rPr>
      </w:pPr>
      <w:r w:rsidRPr="00A34F8A">
        <w:rPr>
          <w:rFonts w:asciiTheme="minorHAnsi" w:hAnsiTheme="minorHAnsi" w:cstheme="minorHAnsi"/>
          <w:szCs w:val="22"/>
        </w:rPr>
        <w:br w:type="page"/>
      </w:r>
    </w:p>
    <w:sdt>
      <w:sdtPr>
        <w:rPr>
          <w:rFonts w:ascii="Calibri" w:eastAsiaTheme="minorEastAsia" w:hAnsi="Calibri" w:cs="Times New Roman"/>
          <w:b w:val="0"/>
          <w:bCs w:val="0"/>
          <w:color w:val="auto"/>
          <w:sz w:val="22"/>
          <w:szCs w:val="22"/>
          <w:lang w:val="en-AU" w:eastAsia="en-US"/>
        </w:rPr>
        <w:id w:val="1610923544"/>
        <w:docPartObj>
          <w:docPartGallery w:val="Table of Contents"/>
          <w:docPartUnique/>
        </w:docPartObj>
      </w:sdtPr>
      <w:sdtContent>
        <w:p w14:paraId="179C30AD" w14:textId="1A7FB2FC" w:rsidR="003B5ED5" w:rsidRDefault="003B5ED5">
          <w:pPr>
            <w:pStyle w:val="TOCHeading"/>
          </w:pPr>
          <w:r>
            <w:t>Table of Contents</w:t>
          </w:r>
        </w:p>
        <w:p w14:paraId="032387A3" w14:textId="36358A6D" w:rsidR="00403DB1" w:rsidRDefault="003B5ED5">
          <w:pPr>
            <w:pStyle w:val="TOC1"/>
            <w:rPr>
              <w:b w:val="0"/>
              <w:noProof/>
              <w:kern w:val="2"/>
              <w:sz w:val="24"/>
              <w:szCs w:val="24"/>
              <w:lang w:val="en-AU" w:eastAsia="en-AU"/>
              <w14:ligatures w14:val="standardContextual"/>
            </w:rPr>
          </w:pPr>
          <w:r>
            <w:fldChar w:fldCharType="begin"/>
          </w:r>
          <w:r>
            <w:instrText xml:space="preserve"> TOC \o "1-3" \h \z \u </w:instrText>
          </w:r>
          <w:r>
            <w:fldChar w:fldCharType="separate"/>
          </w:r>
          <w:hyperlink w:anchor="_Toc183163214" w:history="1">
            <w:r w:rsidR="00403DB1" w:rsidRPr="008B4AD3">
              <w:rPr>
                <w:rStyle w:val="Hyperlink"/>
                <w:rFonts w:cstheme="minorHAnsi"/>
                <w:noProof/>
              </w:rPr>
              <w:t>Executive Summary</w:t>
            </w:r>
            <w:r w:rsidR="00403DB1">
              <w:rPr>
                <w:noProof/>
                <w:webHidden/>
              </w:rPr>
              <w:tab/>
            </w:r>
            <w:r w:rsidR="00403DB1">
              <w:rPr>
                <w:noProof/>
                <w:webHidden/>
              </w:rPr>
              <w:fldChar w:fldCharType="begin"/>
            </w:r>
            <w:r w:rsidR="00403DB1">
              <w:rPr>
                <w:noProof/>
                <w:webHidden/>
              </w:rPr>
              <w:instrText xml:space="preserve"> PAGEREF _Toc183163214 \h </w:instrText>
            </w:r>
            <w:r w:rsidR="00403DB1">
              <w:rPr>
                <w:noProof/>
                <w:webHidden/>
              </w:rPr>
            </w:r>
            <w:r w:rsidR="00403DB1">
              <w:rPr>
                <w:noProof/>
                <w:webHidden/>
              </w:rPr>
              <w:fldChar w:fldCharType="separate"/>
            </w:r>
            <w:r w:rsidR="00C6363F">
              <w:rPr>
                <w:noProof/>
                <w:webHidden/>
              </w:rPr>
              <w:t>3</w:t>
            </w:r>
            <w:r w:rsidR="00403DB1">
              <w:rPr>
                <w:noProof/>
                <w:webHidden/>
              </w:rPr>
              <w:fldChar w:fldCharType="end"/>
            </w:r>
          </w:hyperlink>
        </w:p>
        <w:p w14:paraId="05172F11" w14:textId="57B0FAF1" w:rsidR="00403DB1" w:rsidRDefault="00403DB1">
          <w:pPr>
            <w:pStyle w:val="TOC1"/>
            <w:rPr>
              <w:b w:val="0"/>
              <w:noProof/>
              <w:kern w:val="2"/>
              <w:sz w:val="24"/>
              <w:szCs w:val="24"/>
              <w:lang w:val="en-AU" w:eastAsia="en-AU"/>
              <w14:ligatures w14:val="standardContextual"/>
            </w:rPr>
          </w:pPr>
          <w:hyperlink w:anchor="_Toc183163215" w:history="1">
            <w:r w:rsidRPr="008B4AD3">
              <w:rPr>
                <w:rStyle w:val="Hyperlink"/>
                <w:noProof/>
              </w:rPr>
              <w:t>Summary of key findings</w:t>
            </w:r>
            <w:r>
              <w:rPr>
                <w:noProof/>
                <w:webHidden/>
              </w:rPr>
              <w:tab/>
            </w:r>
            <w:r>
              <w:rPr>
                <w:noProof/>
                <w:webHidden/>
              </w:rPr>
              <w:fldChar w:fldCharType="begin"/>
            </w:r>
            <w:r>
              <w:rPr>
                <w:noProof/>
                <w:webHidden/>
              </w:rPr>
              <w:instrText xml:space="preserve"> PAGEREF _Toc183163215 \h </w:instrText>
            </w:r>
            <w:r>
              <w:rPr>
                <w:noProof/>
                <w:webHidden/>
              </w:rPr>
            </w:r>
            <w:r>
              <w:rPr>
                <w:noProof/>
                <w:webHidden/>
              </w:rPr>
              <w:fldChar w:fldCharType="separate"/>
            </w:r>
            <w:r w:rsidR="00C6363F">
              <w:rPr>
                <w:noProof/>
                <w:webHidden/>
              </w:rPr>
              <w:t>4</w:t>
            </w:r>
            <w:r>
              <w:rPr>
                <w:noProof/>
                <w:webHidden/>
              </w:rPr>
              <w:fldChar w:fldCharType="end"/>
            </w:r>
          </w:hyperlink>
        </w:p>
        <w:p w14:paraId="65755127" w14:textId="4CF86641" w:rsidR="00403DB1" w:rsidRDefault="00403DB1">
          <w:pPr>
            <w:pStyle w:val="TOC2"/>
            <w:rPr>
              <w:noProof/>
              <w:kern w:val="2"/>
              <w:sz w:val="24"/>
              <w:szCs w:val="24"/>
              <w:lang w:val="en-AU" w:eastAsia="en-AU"/>
              <w14:ligatures w14:val="standardContextual"/>
            </w:rPr>
          </w:pPr>
          <w:hyperlink w:anchor="_Toc183163216" w:history="1">
            <w:r w:rsidRPr="008B4AD3">
              <w:rPr>
                <w:rStyle w:val="Hyperlink"/>
                <w:noProof/>
              </w:rPr>
              <w:t>The effectiveness of the current regulation has declined</w:t>
            </w:r>
            <w:r>
              <w:rPr>
                <w:noProof/>
                <w:webHidden/>
              </w:rPr>
              <w:tab/>
            </w:r>
            <w:r>
              <w:rPr>
                <w:noProof/>
                <w:webHidden/>
              </w:rPr>
              <w:fldChar w:fldCharType="begin"/>
            </w:r>
            <w:r>
              <w:rPr>
                <w:noProof/>
                <w:webHidden/>
              </w:rPr>
              <w:instrText xml:space="preserve"> PAGEREF _Toc183163216 \h </w:instrText>
            </w:r>
            <w:r>
              <w:rPr>
                <w:noProof/>
                <w:webHidden/>
              </w:rPr>
            </w:r>
            <w:r>
              <w:rPr>
                <w:noProof/>
                <w:webHidden/>
              </w:rPr>
              <w:fldChar w:fldCharType="separate"/>
            </w:r>
            <w:r w:rsidR="00C6363F">
              <w:rPr>
                <w:noProof/>
                <w:webHidden/>
              </w:rPr>
              <w:t>4</w:t>
            </w:r>
            <w:r>
              <w:rPr>
                <w:noProof/>
                <w:webHidden/>
              </w:rPr>
              <w:fldChar w:fldCharType="end"/>
            </w:r>
          </w:hyperlink>
        </w:p>
        <w:p w14:paraId="60B73BEB" w14:textId="380AB0B6" w:rsidR="00403DB1" w:rsidRDefault="00403DB1">
          <w:pPr>
            <w:pStyle w:val="TOC2"/>
            <w:rPr>
              <w:noProof/>
              <w:kern w:val="2"/>
              <w:sz w:val="24"/>
              <w:szCs w:val="24"/>
              <w:lang w:val="en-AU" w:eastAsia="en-AU"/>
              <w14:ligatures w14:val="standardContextual"/>
            </w:rPr>
          </w:pPr>
          <w:hyperlink w:anchor="_Toc183163217" w:history="1">
            <w:r w:rsidRPr="008B4AD3">
              <w:rPr>
                <w:rStyle w:val="Hyperlink"/>
                <w:noProof/>
              </w:rPr>
              <w:t>There are inefficiencies with the current regulation</w:t>
            </w:r>
            <w:r>
              <w:rPr>
                <w:noProof/>
                <w:webHidden/>
              </w:rPr>
              <w:tab/>
            </w:r>
            <w:r>
              <w:rPr>
                <w:noProof/>
                <w:webHidden/>
              </w:rPr>
              <w:fldChar w:fldCharType="begin"/>
            </w:r>
            <w:r>
              <w:rPr>
                <w:noProof/>
                <w:webHidden/>
              </w:rPr>
              <w:instrText xml:space="preserve"> PAGEREF _Toc183163217 \h </w:instrText>
            </w:r>
            <w:r>
              <w:rPr>
                <w:noProof/>
                <w:webHidden/>
              </w:rPr>
            </w:r>
            <w:r>
              <w:rPr>
                <w:noProof/>
                <w:webHidden/>
              </w:rPr>
              <w:fldChar w:fldCharType="separate"/>
            </w:r>
            <w:r w:rsidR="00C6363F">
              <w:rPr>
                <w:noProof/>
                <w:webHidden/>
              </w:rPr>
              <w:t>4</w:t>
            </w:r>
            <w:r>
              <w:rPr>
                <w:noProof/>
                <w:webHidden/>
              </w:rPr>
              <w:fldChar w:fldCharType="end"/>
            </w:r>
          </w:hyperlink>
        </w:p>
        <w:p w14:paraId="70829377" w14:textId="20FB03F4" w:rsidR="00403DB1" w:rsidRDefault="00403DB1">
          <w:pPr>
            <w:pStyle w:val="TOC2"/>
            <w:rPr>
              <w:noProof/>
              <w:kern w:val="2"/>
              <w:sz w:val="24"/>
              <w:szCs w:val="24"/>
              <w:lang w:val="en-AU" w:eastAsia="en-AU"/>
              <w14:ligatures w14:val="standardContextual"/>
            </w:rPr>
          </w:pPr>
          <w:hyperlink w:anchor="_Toc183163218" w:history="1">
            <w:r w:rsidRPr="008B4AD3">
              <w:rPr>
                <w:rStyle w:val="Hyperlink"/>
                <w:noProof/>
              </w:rPr>
              <w:t>Local and international regulations are preventing market failures</w:t>
            </w:r>
            <w:r>
              <w:rPr>
                <w:noProof/>
                <w:webHidden/>
              </w:rPr>
              <w:tab/>
            </w:r>
            <w:r>
              <w:rPr>
                <w:noProof/>
                <w:webHidden/>
              </w:rPr>
              <w:fldChar w:fldCharType="begin"/>
            </w:r>
            <w:r>
              <w:rPr>
                <w:noProof/>
                <w:webHidden/>
              </w:rPr>
              <w:instrText xml:space="preserve"> PAGEREF _Toc183163218 \h </w:instrText>
            </w:r>
            <w:r>
              <w:rPr>
                <w:noProof/>
                <w:webHidden/>
              </w:rPr>
            </w:r>
            <w:r>
              <w:rPr>
                <w:noProof/>
                <w:webHidden/>
              </w:rPr>
              <w:fldChar w:fldCharType="separate"/>
            </w:r>
            <w:r w:rsidR="00C6363F">
              <w:rPr>
                <w:noProof/>
                <w:webHidden/>
              </w:rPr>
              <w:t>5</w:t>
            </w:r>
            <w:r>
              <w:rPr>
                <w:noProof/>
                <w:webHidden/>
              </w:rPr>
              <w:fldChar w:fldCharType="end"/>
            </w:r>
          </w:hyperlink>
        </w:p>
        <w:p w14:paraId="5C60280D" w14:textId="4451E669" w:rsidR="00403DB1" w:rsidRDefault="00403DB1">
          <w:pPr>
            <w:pStyle w:val="TOC1"/>
            <w:rPr>
              <w:b w:val="0"/>
              <w:noProof/>
              <w:kern w:val="2"/>
              <w:sz w:val="24"/>
              <w:szCs w:val="24"/>
              <w:lang w:val="en-AU" w:eastAsia="en-AU"/>
              <w14:ligatures w14:val="standardContextual"/>
            </w:rPr>
          </w:pPr>
          <w:hyperlink w:anchor="_Toc183163219" w:history="1">
            <w:r w:rsidRPr="008B4AD3">
              <w:rPr>
                <w:rStyle w:val="Hyperlink"/>
                <w:noProof/>
              </w:rPr>
              <w:t>Summary of results</w:t>
            </w:r>
            <w:r>
              <w:rPr>
                <w:noProof/>
                <w:webHidden/>
              </w:rPr>
              <w:tab/>
            </w:r>
            <w:r>
              <w:rPr>
                <w:noProof/>
                <w:webHidden/>
              </w:rPr>
              <w:fldChar w:fldCharType="begin"/>
            </w:r>
            <w:r>
              <w:rPr>
                <w:noProof/>
                <w:webHidden/>
              </w:rPr>
              <w:instrText xml:space="preserve"> PAGEREF _Toc183163219 \h </w:instrText>
            </w:r>
            <w:r>
              <w:rPr>
                <w:noProof/>
                <w:webHidden/>
              </w:rPr>
            </w:r>
            <w:r>
              <w:rPr>
                <w:noProof/>
                <w:webHidden/>
              </w:rPr>
              <w:fldChar w:fldCharType="separate"/>
            </w:r>
            <w:r w:rsidR="00C6363F">
              <w:rPr>
                <w:noProof/>
                <w:webHidden/>
              </w:rPr>
              <w:t>5</w:t>
            </w:r>
            <w:r>
              <w:rPr>
                <w:noProof/>
                <w:webHidden/>
              </w:rPr>
              <w:fldChar w:fldCharType="end"/>
            </w:r>
          </w:hyperlink>
        </w:p>
        <w:p w14:paraId="6FED633F" w14:textId="64F9ECCF" w:rsidR="00403DB1" w:rsidRDefault="00403DB1">
          <w:pPr>
            <w:pStyle w:val="TOC2"/>
            <w:rPr>
              <w:noProof/>
              <w:kern w:val="2"/>
              <w:sz w:val="24"/>
              <w:szCs w:val="24"/>
              <w:lang w:val="en-AU" w:eastAsia="en-AU"/>
              <w14:ligatures w14:val="standardContextual"/>
            </w:rPr>
          </w:pPr>
          <w:hyperlink w:anchor="_Toc183163220" w:history="1">
            <w:r w:rsidRPr="008B4AD3">
              <w:rPr>
                <w:rStyle w:val="Hyperlink"/>
                <w:noProof/>
              </w:rPr>
              <w:t>Policy options considered</w:t>
            </w:r>
            <w:r>
              <w:rPr>
                <w:noProof/>
                <w:webHidden/>
              </w:rPr>
              <w:tab/>
            </w:r>
            <w:r>
              <w:rPr>
                <w:noProof/>
                <w:webHidden/>
              </w:rPr>
              <w:fldChar w:fldCharType="begin"/>
            </w:r>
            <w:r>
              <w:rPr>
                <w:noProof/>
                <w:webHidden/>
              </w:rPr>
              <w:instrText xml:space="preserve"> PAGEREF _Toc183163220 \h </w:instrText>
            </w:r>
            <w:r>
              <w:rPr>
                <w:noProof/>
                <w:webHidden/>
              </w:rPr>
            </w:r>
            <w:r>
              <w:rPr>
                <w:noProof/>
                <w:webHidden/>
              </w:rPr>
              <w:fldChar w:fldCharType="separate"/>
            </w:r>
            <w:r w:rsidR="00C6363F">
              <w:rPr>
                <w:noProof/>
                <w:webHidden/>
              </w:rPr>
              <w:t>5</w:t>
            </w:r>
            <w:r>
              <w:rPr>
                <w:noProof/>
                <w:webHidden/>
              </w:rPr>
              <w:fldChar w:fldCharType="end"/>
            </w:r>
          </w:hyperlink>
        </w:p>
        <w:p w14:paraId="010550A4" w14:textId="5CE4DC6C" w:rsidR="00403DB1" w:rsidRDefault="00403DB1">
          <w:pPr>
            <w:pStyle w:val="TOC2"/>
            <w:rPr>
              <w:noProof/>
              <w:kern w:val="2"/>
              <w:sz w:val="24"/>
              <w:szCs w:val="24"/>
              <w:lang w:val="en-AU" w:eastAsia="en-AU"/>
              <w14:ligatures w14:val="standardContextual"/>
            </w:rPr>
          </w:pPr>
          <w:hyperlink w:anchor="_Toc183163221" w:history="1">
            <w:r w:rsidRPr="008B4AD3">
              <w:rPr>
                <w:rStyle w:val="Hyperlink"/>
                <w:noProof/>
              </w:rPr>
              <w:t>Summary of results</w:t>
            </w:r>
            <w:r>
              <w:rPr>
                <w:noProof/>
                <w:webHidden/>
              </w:rPr>
              <w:tab/>
            </w:r>
            <w:r>
              <w:rPr>
                <w:noProof/>
                <w:webHidden/>
              </w:rPr>
              <w:fldChar w:fldCharType="begin"/>
            </w:r>
            <w:r>
              <w:rPr>
                <w:noProof/>
                <w:webHidden/>
              </w:rPr>
              <w:instrText xml:space="preserve"> PAGEREF _Toc183163221 \h </w:instrText>
            </w:r>
            <w:r>
              <w:rPr>
                <w:noProof/>
                <w:webHidden/>
              </w:rPr>
            </w:r>
            <w:r>
              <w:rPr>
                <w:noProof/>
                <w:webHidden/>
              </w:rPr>
              <w:fldChar w:fldCharType="separate"/>
            </w:r>
            <w:r w:rsidR="00C6363F">
              <w:rPr>
                <w:noProof/>
                <w:webHidden/>
              </w:rPr>
              <w:t>5</w:t>
            </w:r>
            <w:r>
              <w:rPr>
                <w:noProof/>
                <w:webHidden/>
              </w:rPr>
              <w:fldChar w:fldCharType="end"/>
            </w:r>
          </w:hyperlink>
        </w:p>
        <w:p w14:paraId="43F354A8" w14:textId="527578E1" w:rsidR="00403DB1" w:rsidRDefault="00403DB1">
          <w:pPr>
            <w:pStyle w:val="TOC1"/>
            <w:rPr>
              <w:b w:val="0"/>
              <w:noProof/>
              <w:kern w:val="2"/>
              <w:sz w:val="24"/>
              <w:szCs w:val="24"/>
              <w:lang w:val="en-AU" w:eastAsia="en-AU"/>
              <w14:ligatures w14:val="standardContextual"/>
            </w:rPr>
          </w:pPr>
          <w:hyperlink w:anchor="_Toc183163222" w:history="1">
            <w:r w:rsidRPr="008B4AD3">
              <w:rPr>
                <w:rStyle w:val="Hyperlink"/>
                <w:noProof/>
              </w:rPr>
              <w:t>Stakeholder feedback</w:t>
            </w:r>
            <w:r>
              <w:rPr>
                <w:noProof/>
                <w:webHidden/>
              </w:rPr>
              <w:tab/>
            </w:r>
            <w:r>
              <w:rPr>
                <w:noProof/>
                <w:webHidden/>
              </w:rPr>
              <w:fldChar w:fldCharType="begin"/>
            </w:r>
            <w:r>
              <w:rPr>
                <w:noProof/>
                <w:webHidden/>
              </w:rPr>
              <w:instrText xml:space="preserve"> PAGEREF _Toc183163222 \h </w:instrText>
            </w:r>
            <w:r>
              <w:rPr>
                <w:noProof/>
                <w:webHidden/>
              </w:rPr>
            </w:r>
            <w:r>
              <w:rPr>
                <w:noProof/>
                <w:webHidden/>
              </w:rPr>
              <w:fldChar w:fldCharType="separate"/>
            </w:r>
            <w:r w:rsidR="00C6363F">
              <w:rPr>
                <w:noProof/>
                <w:webHidden/>
              </w:rPr>
              <w:t>7</w:t>
            </w:r>
            <w:r>
              <w:rPr>
                <w:noProof/>
                <w:webHidden/>
              </w:rPr>
              <w:fldChar w:fldCharType="end"/>
            </w:r>
          </w:hyperlink>
        </w:p>
        <w:p w14:paraId="690389E5" w14:textId="63B4AC74" w:rsidR="00403DB1" w:rsidRDefault="00403DB1">
          <w:pPr>
            <w:pStyle w:val="TOC1"/>
            <w:rPr>
              <w:b w:val="0"/>
              <w:noProof/>
              <w:kern w:val="2"/>
              <w:sz w:val="24"/>
              <w:szCs w:val="24"/>
              <w:lang w:val="en-AU" w:eastAsia="en-AU"/>
              <w14:ligatures w14:val="standardContextual"/>
            </w:rPr>
          </w:pPr>
          <w:hyperlink w:anchor="_Toc183163223" w:history="1">
            <w:r w:rsidRPr="008B4AD3">
              <w:rPr>
                <w:rStyle w:val="Hyperlink"/>
                <w:rFonts w:cstheme="minorHAnsi"/>
                <w:noProof/>
              </w:rPr>
              <w:t>Background</w:t>
            </w:r>
            <w:r>
              <w:rPr>
                <w:noProof/>
                <w:webHidden/>
              </w:rPr>
              <w:tab/>
            </w:r>
            <w:r>
              <w:rPr>
                <w:noProof/>
                <w:webHidden/>
              </w:rPr>
              <w:fldChar w:fldCharType="begin"/>
            </w:r>
            <w:r>
              <w:rPr>
                <w:noProof/>
                <w:webHidden/>
              </w:rPr>
              <w:instrText xml:space="preserve"> PAGEREF _Toc183163223 \h </w:instrText>
            </w:r>
            <w:r>
              <w:rPr>
                <w:noProof/>
                <w:webHidden/>
              </w:rPr>
            </w:r>
            <w:r>
              <w:rPr>
                <w:noProof/>
                <w:webHidden/>
              </w:rPr>
              <w:fldChar w:fldCharType="separate"/>
            </w:r>
            <w:r w:rsidR="00C6363F">
              <w:rPr>
                <w:noProof/>
                <w:webHidden/>
              </w:rPr>
              <w:t>12</w:t>
            </w:r>
            <w:r>
              <w:rPr>
                <w:noProof/>
                <w:webHidden/>
              </w:rPr>
              <w:fldChar w:fldCharType="end"/>
            </w:r>
          </w:hyperlink>
        </w:p>
        <w:p w14:paraId="47CE0BD4" w14:textId="75813EEB" w:rsidR="00403DB1" w:rsidRDefault="00403DB1">
          <w:pPr>
            <w:pStyle w:val="TOC1"/>
            <w:rPr>
              <w:b w:val="0"/>
              <w:noProof/>
              <w:kern w:val="2"/>
              <w:sz w:val="24"/>
              <w:szCs w:val="24"/>
              <w:lang w:val="en-AU" w:eastAsia="en-AU"/>
              <w14:ligatures w14:val="standardContextual"/>
            </w:rPr>
          </w:pPr>
          <w:hyperlink w:anchor="_Toc183163224" w:history="1">
            <w:r w:rsidRPr="008B4AD3">
              <w:rPr>
                <w:rStyle w:val="Hyperlink"/>
                <w:noProof/>
              </w:rPr>
              <w:t>Introduction to Australia and New Zealand legislation and external power supplies</w:t>
            </w:r>
            <w:r>
              <w:rPr>
                <w:noProof/>
                <w:webHidden/>
              </w:rPr>
              <w:tab/>
            </w:r>
            <w:r>
              <w:rPr>
                <w:noProof/>
                <w:webHidden/>
              </w:rPr>
              <w:fldChar w:fldCharType="begin"/>
            </w:r>
            <w:r>
              <w:rPr>
                <w:noProof/>
                <w:webHidden/>
              </w:rPr>
              <w:instrText xml:space="preserve"> PAGEREF _Toc183163224 \h </w:instrText>
            </w:r>
            <w:r>
              <w:rPr>
                <w:noProof/>
                <w:webHidden/>
              </w:rPr>
            </w:r>
            <w:r>
              <w:rPr>
                <w:noProof/>
                <w:webHidden/>
              </w:rPr>
              <w:fldChar w:fldCharType="separate"/>
            </w:r>
            <w:r w:rsidR="00C6363F">
              <w:rPr>
                <w:noProof/>
                <w:webHidden/>
              </w:rPr>
              <w:t>12</w:t>
            </w:r>
            <w:r>
              <w:rPr>
                <w:noProof/>
                <w:webHidden/>
              </w:rPr>
              <w:fldChar w:fldCharType="end"/>
            </w:r>
          </w:hyperlink>
        </w:p>
        <w:p w14:paraId="4EBF6097" w14:textId="0F2DEEE6" w:rsidR="00403DB1" w:rsidRDefault="00403DB1">
          <w:pPr>
            <w:pStyle w:val="TOC1"/>
            <w:rPr>
              <w:b w:val="0"/>
              <w:noProof/>
              <w:kern w:val="2"/>
              <w:sz w:val="24"/>
              <w:szCs w:val="24"/>
              <w:lang w:val="en-AU" w:eastAsia="en-AU"/>
              <w14:ligatures w14:val="standardContextual"/>
            </w:rPr>
          </w:pPr>
          <w:hyperlink w:anchor="_Toc183163226" w:history="1">
            <w:r w:rsidRPr="008B4AD3">
              <w:rPr>
                <w:rStyle w:val="Hyperlink"/>
                <w:rFonts w:cstheme="minorHAnsi"/>
                <w:noProof/>
              </w:rPr>
              <w:t>Section 1: Understanding the problem</w:t>
            </w:r>
            <w:r>
              <w:rPr>
                <w:noProof/>
                <w:webHidden/>
              </w:rPr>
              <w:tab/>
            </w:r>
            <w:r>
              <w:rPr>
                <w:noProof/>
                <w:webHidden/>
              </w:rPr>
              <w:fldChar w:fldCharType="begin"/>
            </w:r>
            <w:r>
              <w:rPr>
                <w:noProof/>
                <w:webHidden/>
              </w:rPr>
              <w:instrText xml:space="preserve"> PAGEREF _Toc183163226 \h </w:instrText>
            </w:r>
            <w:r>
              <w:rPr>
                <w:noProof/>
                <w:webHidden/>
              </w:rPr>
            </w:r>
            <w:r>
              <w:rPr>
                <w:noProof/>
                <w:webHidden/>
              </w:rPr>
              <w:fldChar w:fldCharType="separate"/>
            </w:r>
            <w:r w:rsidR="00C6363F">
              <w:rPr>
                <w:noProof/>
                <w:webHidden/>
              </w:rPr>
              <w:t>14</w:t>
            </w:r>
            <w:r>
              <w:rPr>
                <w:noProof/>
                <w:webHidden/>
              </w:rPr>
              <w:fldChar w:fldCharType="end"/>
            </w:r>
          </w:hyperlink>
        </w:p>
        <w:p w14:paraId="1EE966FC" w14:textId="634CAB13" w:rsidR="00403DB1" w:rsidRDefault="00403DB1">
          <w:pPr>
            <w:pStyle w:val="TOC2"/>
            <w:rPr>
              <w:noProof/>
              <w:kern w:val="2"/>
              <w:sz w:val="24"/>
              <w:szCs w:val="24"/>
              <w:lang w:val="en-AU" w:eastAsia="en-AU"/>
              <w14:ligatures w14:val="standardContextual"/>
            </w:rPr>
          </w:pPr>
          <w:hyperlink w:anchor="_Toc183163227" w:history="1">
            <w:r w:rsidRPr="008B4AD3">
              <w:rPr>
                <w:rStyle w:val="Hyperlink"/>
                <w:noProof/>
              </w:rPr>
              <w:t>1.1 Inefficient products increase energy demand and emissions</w:t>
            </w:r>
            <w:r>
              <w:rPr>
                <w:noProof/>
                <w:webHidden/>
              </w:rPr>
              <w:tab/>
            </w:r>
            <w:r>
              <w:rPr>
                <w:noProof/>
                <w:webHidden/>
              </w:rPr>
              <w:fldChar w:fldCharType="begin"/>
            </w:r>
            <w:r>
              <w:rPr>
                <w:noProof/>
                <w:webHidden/>
              </w:rPr>
              <w:instrText xml:space="preserve"> PAGEREF _Toc183163227 \h </w:instrText>
            </w:r>
            <w:r>
              <w:rPr>
                <w:noProof/>
                <w:webHidden/>
              </w:rPr>
            </w:r>
            <w:r>
              <w:rPr>
                <w:noProof/>
                <w:webHidden/>
              </w:rPr>
              <w:fldChar w:fldCharType="separate"/>
            </w:r>
            <w:r w:rsidR="00C6363F">
              <w:rPr>
                <w:noProof/>
                <w:webHidden/>
              </w:rPr>
              <w:t>14</w:t>
            </w:r>
            <w:r>
              <w:rPr>
                <w:noProof/>
                <w:webHidden/>
              </w:rPr>
              <w:fldChar w:fldCharType="end"/>
            </w:r>
          </w:hyperlink>
        </w:p>
        <w:p w14:paraId="7B209B20" w14:textId="6C6F2409" w:rsidR="00403DB1" w:rsidRDefault="00403DB1">
          <w:pPr>
            <w:pStyle w:val="TOC2"/>
            <w:rPr>
              <w:noProof/>
              <w:kern w:val="2"/>
              <w:sz w:val="24"/>
              <w:szCs w:val="24"/>
              <w:lang w:val="en-AU" w:eastAsia="en-AU"/>
              <w14:ligatures w14:val="standardContextual"/>
            </w:rPr>
          </w:pPr>
          <w:hyperlink w:anchor="_Toc183163228" w:history="1">
            <w:r w:rsidRPr="008B4AD3">
              <w:rPr>
                <w:rStyle w:val="Hyperlink"/>
                <w:noProof/>
              </w:rPr>
              <w:t>1.2 The effectiveness of the current regulation has declined</w:t>
            </w:r>
            <w:r>
              <w:rPr>
                <w:noProof/>
                <w:webHidden/>
              </w:rPr>
              <w:tab/>
            </w:r>
            <w:r>
              <w:rPr>
                <w:noProof/>
                <w:webHidden/>
              </w:rPr>
              <w:fldChar w:fldCharType="begin"/>
            </w:r>
            <w:r>
              <w:rPr>
                <w:noProof/>
                <w:webHidden/>
              </w:rPr>
              <w:instrText xml:space="preserve"> PAGEREF _Toc183163228 \h </w:instrText>
            </w:r>
            <w:r>
              <w:rPr>
                <w:noProof/>
                <w:webHidden/>
              </w:rPr>
            </w:r>
            <w:r>
              <w:rPr>
                <w:noProof/>
                <w:webHidden/>
              </w:rPr>
              <w:fldChar w:fldCharType="separate"/>
            </w:r>
            <w:r w:rsidR="00C6363F">
              <w:rPr>
                <w:noProof/>
                <w:webHidden/>
              </w:rPr>
              <w:t>15</w:t>
            </w:r>
            <w:r>
              <w:rPr>
                <w:noProof/>
                <w:webHidden/>
              </w:rPr>
              <w:fldChar w:fldCharType="end"/>
            </w:r>
          </w:hyperlink>
        </w:p>
        <w:p w14:paraId="2CEC02B4" w14:textId="1B6E6336" w:rsidR="00403DB1" w:rsidRDefault="00403DB1">
          <w:pPr>
            <w:pStyle w:val="TOC3"/>
            <w:tabs>
              <w:tab w:val="right" w:leader="dot" w:pos="8449"/>
            </w:tabs>
            <w:rPr>
              <w:noProof/>
              <w:kern w:val="2"/>
              <w:sz w:val="24"/>
              <w:szCs w:val="24"/>
              <w:lang w:val="en-AU" w:eastAsia="en-AU"/>
              <w14:ligatures w14:val="standardContextual"/>
            </w:rPr>
          </w:pPr>
          <w:hyperlink w:anchor="_Toc183163229" w:history="1">
            <w:r w:rsidRPr="008B4AD3">
              <w:rPr>
                <w:rStyle w:val="Hyperlink"/>
                <w:rFonts w:cstheme="minorHAnsi"/>
                <w:noProof/>
              </w:rPr>
              <w:t>The scope of the MEPS excludes the majority of the current EPS market</w:t>
            </w:r>
            <w:r>
              <w:rPr>
                <w:noProof/>
                <w:webHidden/>
              </w:rPr>
              <w:tab/>
            </w:r>
            <w:r>
              <w:rPr>
                <w:noProof/>
                <w:webHidden/>
              </w:rPr>
              <w:fldChar w:fldCharType="begin"/>
            </w:r>
            <w:r>
              <w:rPr>
                <w:noProof/>
                <w:webHidden/>
              </w:rPr>
              <w:instrText xml:space="preserve"> PAGEREF _Toc183163229 \h </w:instrText>
            </w:r>
            <w:r>
              <w:rPr>
                <w:noProof/>
                <w:webHidden/>
              </w:rPr>
            </w:r>
            <w:r>
              <w:rPr>
                <w:noProof/>
                <w:webHidden/>
              </w:rPr>
              <w:fldChar w:fldCharType="separate"/>
            </w:r>
            <w:r w:rsidR="00C6363F">
              <w:rPr>
                <w:noProof/>
                <w:webHidden/>
              </w:rPr>
              <w:t>15</w:t>
            </w:r>
            <w:r>
              <w:rPr>
                <w:noProof/>
                <w:webHidden/>
              </w:rPr>
              <w:fldChar w:fldCharType="end"/>
            </w:r>
          </w:hyperlink>
        </w:p>
        <w:p w14:paraId="75307267" w14:textId="6CB9AD71" w:rsidR="00403DB1" w:rsidRDefault="00403DB1">
          <w:pPr>
            <w:pStyle w:val="TOC3"/>
            <w:tabs>
              <w:tab w:val="right" w:leader="dot" w:pos="8449"/>
            </w:tabs>
            <w:rPr>
              <w:noProof/>
              <w:kern w:val="2"/>
              <w:sz w:val="24"/>
              <w:szCs w:val="24"/>
              <w:lang w:val="en-AU" w:eastAsia="en-AU"/>
              <w14:ligatures w14:val="standardContextual"/>
            </w:rPr>
          </w:pPr>
          <w:hyperlink w:anchor="_Toc183163230" w:history="1">
            <w:r w:rsidRPr="008B4AD3">
              <w:rPr>
                <w:rStyle w:val="Hyperlink"/>
                <w:rFonts w:cstheme="minorHAnsi"/>
                <w:noProof/>
              </w:rPr>
              <w:t>International standards have increased considerably, driving efficiency above the MEPS</w:t>
            </w:r>
            <w:r>
              <w:rPr>
                <w:noProof/>
                <w:webHidden/>
              </w:rPr>
              <w:tab/>
            </w:r>
            <w:r>
              <w:rPr>
                <w:noProof/>
                <w:webHidden/>
              </w:rPr>
              <w:fldChar w:fldCharType="begin"/>
            </w:r>
            <w:r>
              <w:rPr>
                <w:noProof/>
                <w:webHidden/>
              </w:rPr>
              <w:instrText xml:space="preserve"> PAGEREF _Toc183163230 \h </w:instrText>
            </w:r>
            <w:r>
              <w:rPr>
                <w:noProof/>
                <w:webHidden/>
              </w:rPr>
            </w:r>
            <w:r>
              <w:rPr>
                <w:noProof/>
                <w:webHidden/>
              </w:rPr>
              <w:fldChar w:fldCharType="separate"/>
            </w:r>
            <w:r w:rsidR="00C6363F">
              <w:rPr>
                <w:noProof/>
                <w:webHidden/>
              </w:rPr>
              <w:t>18</w:t>
            </w:r>
            <w:r>
              <w:rPr>
                <w:noProof/>
                <w:webHidden/>
              </w:rPr>
              <w:fldChar w:fldCharType="end"/>
            </w:r>
          </w:hyperlink>
        </w:p>
        <w:p w14:paraId="5EA1D067" w14:textId="691DD7F3" w:rsidR="00403DB1" w:rsidRDefault="00403DB1">
          <w:pPr>
            <w:pStyle w:val="TOC3"/>
            <w:tabs>
              <w:tab w:val="right" w:leader="dot" w:pos="8449"/>
            </w:tabs>
            <w:rPr>
              <w:noProof/>
              <w:kern w:val="2"/>
              <w:sz w:val="24"/>
              <w:szCs w:val="24"/>
              <w:lang w:val="en-AU" w:eastAsia="en-AU"/>
              <w14:ligatures w14:val="standardContextual"/>
            </w:rPr>
          </w:pPr>
          <w:hyperlink w:anchor="_Toc183163231" w:history="1">
            <w:r w:rsidRPr="008B4AD3">
              <w:rPr>
                <w:rStyle w:val="Hyperlink"/>
                <w:rFonts w:cstheme="minorHAnsi"/>
                <w:noProof/>
              </w:rPr>
              <w:t>The efficiency of the market is now well above the MEPS</w:t>
            </w:r>
            <w:r>
              <w:rPr>
                <w:noProof/>
                <w:webHidden/>
              </w:rPr>
              <w:tab/>
            </w:r>
            <w:r>
              <w:rPr>
                <w:noProof/>
                <w:webHidden/>
              </w:rPr>
              <w:fldChar w:fldCharType="begin"/>
            </w:r>
            <w:r>
              <w:rPr>
                <w:noProof/>
                <w:webHidden/>
              </w:rPr>
              <w:instrText xml:space="preserve"> PAGEREF _Toc183163231 \h </w:instrText>
            </w:r>
            <w:r>
              <w:rPr>
                <w:noProof/>
                <w:webHidden/>
              </w:rPr>
            </w:r>
            <w:r>
              <w:rPr>
                <w:noProof/>
                <w:webHidden/>
              </w:rPr>
              <w:fldChar w:fldCharType="separate"/>
            </w:r>
            <w:r w:rsidR="00C6363F">
              <w:rPr>
                <w:noProof/>
                <w:webHidden/>
              </w:rPr>
              <w:t>20</w:t>
            </w:r>
            <w:r>
              <w:rPr>
                <w:noProof/>
                <w:webHidden/>
              </w:rPr>
              <w:fldChar w:fldCharType="end"/>
            </w:r>
          </w:hyperlink>
        </w:p>
        <w:p w14:paraId="00C4EA58" w14:textId="469963AA" w:rsidR="00403DB1" w:rsidRDefault="00403DB1">
          <w:pPr>
            <w:pStyle w:val="TOC2"/>
            <w:rPr>
              <w:noProof/>
              <w:kern w:val="2"/>
              <w:sz w:val="24"/>
              <w:szCs w:val="24"/>
              <w:lang w:val="en-AU" w:eastAsia="en-AU"/>
              <w14:ligatures w14:val="standardContextual"/>
            </w:rPr>
          </w:pPr>
          <w:hyperlink w:anchor="_Toc183163232" w:history="1">
            <w:r w:rsidRPr="008B4AD3">
              <w:rPr>
                <w:rStyle w:val="Hyperlink"/>
                <w:noProof/>
              </w:rPr>
              <w:t>1.3 The current regulation is inefficient</w:t>
            </w:r>
            <w:r>
              <w:rPr>
                <w:noProof/>
                <w:webHidden/>
              </w:rPr>
              <w:tab/>
            </w:r>
            <w:r>
              <w:rPr>
                <w:noProof/>
                <w:webHidden/>
              </w:rPr>
              <w:fldChar w:fldCharType="begin"/>
            </w:r>
            <w:r>
              <w:rPr>
                <w:noProof/>
                <w:webHidden/>
              </w:rPr>
              <w:instrText xml:space="preserve"> PAGEREF _Toc183163232 \h </w:instrText>
            </w:r>
            <w:r>
              <w:rPr>
                <w:noProof/>
                <w:webHidden/>
              </w:rPr>
            </w:r>
            <w:r>
              <w:rPr>
                <w:noProof/>
                <w:webHidden/>
              </w:rPr>
              <w:fldChar w:fldCharType="separate"/>
            </w:r>
            <w:r w:rsidR="00C6363F">
              <w:rPr>
                <w:noProof/>
                <w:webHidden/>
              </w:rPr>
              <w:t>21</w:t>
            </w:r>
            <w:r>
              <w:rPr>
                <w:noProof/>
                <w:webHidden/>
              </w:rPr>
              <w:fldChar w:fldCharType="end"/>
            </w:r>
          </w:hyperlink>
        </w:p>
        <w:p w14:paraId="1D5EED2A" w14:textId="309D1021" w:rsidR="00403DB1" w:rsidRDefault="00403DB1">
          <w:pPr>
            <w:pStyle w:val="TOC2"/>
            <w:rPr>
              <w:noProof/>
              <w:kern w:val="2"/>
              <w:sz w:val="24"/>
              <w:szCs w:val="24"/>
              <w:lang w:val="en-AU" w:eastAsia="en-AU"/>
              <w14:ligatures w14:val="standardContextual"/>
            </w:rPr>
          </w:pPr>
          <w:hyperlink w:anchor="_Toc183163233" w:history="1">
            <w:r w:rsidRPr="008B4AD3">
              <w:rPr>
                <w:rStyle w:val="Hyperlink"/>
                <w:noProof/>
              </w:rPr>
              <w:t>1.4 There are challenges with compliance</w:t>
            </w:r>
            <w:r>
              <w:rPr>
                <w:noProof/>
                <w:webHidden/>
              </w:rPr>
              <w:tab/>
            </w:r>
            <w:r>
              <w:rPr>
                <w:noProof/>
                <w:webHidden/>
              </w:rPr>
              <w:fldChar w:fldCharType="begin"/>
            </w:r>
            <w:r>
              <w:rPr>
                <w:noProof/>
                <w:webHidden/>
              </w:rPr>
              <w:instrText xml:space="preserve"> PAGEREF _Toc183163233 \h </w:instrText>
            </w:r>
            <w:r>
              <w:rPr>
                <w:noProof/>
                <w:webHidden/>
              </w:rPr>
            </w:r>
            <w:r>
              <w:rPr>
                <w:noProof/>
                <w:webHidden/>
              </w:rPr>
              <w:fldChar w:fldCharType="separate"/>
            </w:r>
            <w:r w:rsidR="00C6363F">
              <w:rPr>
                <w:noProof/>
                <w:webHidden/>
              </w:rPr>
              <w:t>22</w:t>
            </w:r>
            <w:r>
              <w:rPr>
                <w:noProof/>
                <w:webHidden/>
              </w:rPr>
              <w:fldChar w:fldCharType="end"/>
            </w:r>
          </w:hyperlink>
        </w:p>
        <w:p w14:paraId="5DBD2AC4" w14:textId="211E3146" w:rsidR="00403DB1" w:rsidRDefault="00403DB1">
          <w:pPr>
            <w:pStyle w:val="TOC1"/>
            <w:rPr>
              <w:b w:val="0"/>
              <w:noProof/>
              <w:kern w:val="2"/>
              <w:sz w:val="24"/>
              <w:szCs w:val="24"/>
              <w:lang w:val="en-AU" w:eastAsia="en-AU"/>
              <w14:ligatures w14:val="standardContextual"/>
            </w:rPr>
          </w:pPr>
          <w:hyperlink w:anchor="_Toc183163234" w:history="1">
            <w:r w:rsidRPr="008B4AD3">
              <w:rPr>
                <w:rStyle w:val="Hyperlink"/>
                <w:rFonts w:cstheme="minorHAnsi"/>
                <w:noProof/>
              </w:rPr>
              <w:t>Section 2 Rationale for government action</w:t>
            </w:r>
            <w:r>
              <w:rPr>
                <w:noProof/>
                <w:webHidden/>
              </w:rPr>
              <w:tab/>
            </w:r>
            <w:r>
              <w:rPr>
                <w:noProof/>
                <w:webHidden/>
              </w:rPr>
              <w:fldChar w:fldCharType="begin"/>
            </w:r>
            <w:r>
              <w:rPr>
                <w:noProof/>
                <w:webHidden/>
              </w:rPr>
              <w:instrText xml:space="preserve"> PAGEREF _Toc183163234 \h </w:instrText>
            </w:r>
            <w:r>
              <w:rPr>
                <w:noProof/>
                <w:webHidden/>
              </w:rPr>
            </w:r>
            <w:r>
              <w:rPr>
                <w:noProof/>
                <w:webHidden/>
              </w:rPr>
              <w:fldChar w:fldCharType="separate"/>
            </w:r>
            <w:r w:rsidR="00C6363F">
              <w:rPr>
                <w:noProof/>
                <w:webHidden/>
              </w:rPr>
              <w:t>24</w:t>
            </w:r>
            <w:r>
              <w:rPr>
                <w:noProof/>
                <w:webHidden/>
              </w:rPr>
              <w:fldChar w:fldCharType="end"/>
            </w:r>
          </w:hyperlink>
        </w:p>
        <w:p w14:paraId="56AC47D2" w14:textId="3EB45269" w:rsidR="00403DB1" w:rsidRDefault="00403DB1">
          <w:pPr>
            <w:pStyle w:val="TOC2"/>
            <w:rPr>
              <w:noProof/>
              <w:kern w:val="2"/>
              <w:sz w:val="24"/>
              <w:szCs w:val="24"/>
              <w:lang w:val="en-AU" w:eastAsia="en-AU"/>
              <w14:ligatures w14:val="standardContextual"/>
            </w:rPr>
          </w:pPr>
          <w:hyperlink w:anchor="_Toc183163236" w:history="1">
            <w:r w:rsidRPr="008B4AD3">
              <w:rPr>
                <w:rStyle w:val="Hyperlink"/>
                <w:noProof/>
              </w:rPr>
              <w:t>2.1 Regulation is needed to prevent market failures</w:t>
            </w:r>
            <w:r>
              <w:rPr>
                <w:noProof/>
                <w:webHidden/>
              </w:rPr>
              <w:tab/>
            </w:r>
            <w:r>
              <w:rPr>
                <w:noProof/>
                <w:webHidden/>
              </w:rPr>
              <w:fldChar w:fldCharType="begin"/>
            </w:r>
            <w:r>
              <w:rPr>
                <w:noProof/>
                <w:webHidden/>
              </w:rPr>
              <w:instrText xml:space="preserve"> PAGEREF _Toc183163236 \h </w:instrText>
            </w:r>
            <w:r>
              <w:rPr>
                <w:noProof/>
                <w:webHidden/>
              </w:rPr>
            </w:r>
            <w:r>
              <w:rPr>
                <w:noProof/>
                <w:webHidden/>
              </w:rPr>
              <w:fldChar w:fldCharType="separate"/>
            </w:r>
            <w:r w:rsidR="00C6363F">
              <w:rPr>
                <w:noProof/>
                <w:webHidden/>
              </w:rPr>
              <w:t>24</w:t>
            </w:r>
            <w:r>
              <w:rPr>
                <w:noProof/>
                <w:webHidden/>
              </w:rPr>
              <w:fldChar w:fldCharType="end"/>
            </w:r>
          </w:hyperlink>
        </w:p>
        <w:p w14:paraId="2A4C340F" w14:textId="3A55D4CD" w:rsidR="00403DB1" w:rsidRDefault="00403DB1">
          <w:pPr>
            <w:pStyle w:val="TOC3"/>
            <w:tabs>
              <w:tab w:val="right" w:leader="dot" w:pos="8449"/>
            </w:tabs>
            <w:rPr>
              <w:noProof/>
              <w:kern w:val="2"/>
              <w:sz w:val="24"/>
              <w:szCs w:val="24"/>
              <w:lang w:val="en-AU" w:eastAsia="en-AU"/>
              <w14:ligatures w14:val="standardContextual"/>
            </w:rPr>
          </w:pPr>
          <w:hyperlink w:anchor="_Toc183163237" w:history="1">
            <w:r w:rsidRPr="008B4AD3">
              <w:rPr>
                <w:rStyle w:val="Hyperlink"/>
                <w:noProof/>
              </w:rPr>
              <w:t>Consumer behaviour does not drive efficiency</w:t>
            </w:r>
            <w:r>
              <w:rPr>
                <w:noProof/>
                <w:webHidden/>
              </w:rPr>
              <w:tab/>
            </w:r>
            <w:r>
              <w:rPr>
                <w:noProof/>
                <w:webHidden/>
              </w:rPr>
              <w:fldChar w:fldCharType="begin"/>
            </w:r>
            <w:r>
              <w:rPr>
                <w:noProof/>
                <w:webHidden/>
              </w:rPr>
              <w:instrText xml:space="preserve"> PAGEREF _Toc183163237 \h </w:instrText>
            </w:r>
            <w:r>
              <w:rPr>
                <w:noProof/>
                <w:webHidden/>
              </w:rPr>
            </w:r>
            <w:r>
              <w:rPr>
                <w:noProof/>
                <w:webHidden/>
              </w:rPr>
              <w:fldChar w:fldCharType="separate"/>
            </w:r>
            <w:r w:rsidR="00C6363F">
              <w:rPr>
                <w:noProof/>
                <w:webHidden/>
              </w:rPr>
              <w:t>24</w:t>
            </w:r>
            <w:r>
              <w:rPr>
                <w:noProof/>
                <w:webHidden/>
              </w:rPr>
              <w:fldChar w:fldCharType="end"/>
            </w:r>
          </w:hyperlink>
        </w:p>
        <w:p w14:paraId="4875E516" w14:textId="46F0BEB6" w:rsidR="00403DB1" w:rsidRDefault="00403DB1">
          <w:pPr>
            <w:pStyle w:val="TOC3"/>
            <w:tabs>
              <w:tab w:val="right" w:leader="dot" w:pos="8449"/>
            </w:tabs>
            <w:rPr>
              <w:noProof/>
              <w:kern w:val="2"/>
              <w:sz w:val="24"/>
              <w:szCs w:val="24"/>
              <w:lang w:val="en-AU" w:eastAsia="en-AU"/>
              <w14:ligatures w14:val="standardContextual"/>
            </w:rPr>
          </w:pPr>
          <w:hyperlink w:anchor="_Toc183163238" w:history="1">
            <w:r w:rsidRPr="008B4AD3">
              <w:rPr>
                <w:rStyle w:val="Hyperlink"/>
                <w:noProof/>
              </w:rPr>
              <w:t>Product labelling is unlikely to drive energy efficiency in EPS</w:t>
            </w:r>
            <w:r>
              <w:rPr>
                <w:noProof/>
                <w:webHidden/>
              </w:rPr>
              <w:tab/>
            </w:r>
            <w:r>
              <w:rPr>
                <w:noProof/>
                <w:webHidden/>
              </w:rPr>
              <w:fldChar w:fldCharType="begin"/>
            </w:r>
            <w:r>
              <w:rPr>
                <w:noProof/>
                <w:webHidden/>
              </w:rPr>
              <w:instrText xml:space="preserve"> PAGEREF _Toc183163238 \h </w:instrText>
            </w:r>
            <w:r>
              <w:rPr>
                <w:noProof/>
                <w:webHidden/>
              </w:rPr>
            </w:r>
            <w:r>
              <w:rPr>
                <w:noProof/>
                <w:webHidden/>
              </w:rPr>
              <w:fldChar w:fldCharType="separate"/>
            </w:r>
            <w:r w:rsidR="00C6363F">
              <w:rPr>
                <w:noProof/>
                <w:webHidden/>
              </w:rPr>
              <w:t>24</w:t>
            </w:r>
            <w:r>
              <w:rPr>
                <w:noProof/>
                <w:webHidden/>
              </w:rPr>
              <w:fldChar w:fldCharType="end"/>
            </w:r>
          </w:hyperlink>
        </w:p>
        <w:p w14:paraId="6DE25B53" w14:textId="1E341EFB" w:rsidR="00403DB1" w:rsidRDefault="00403DB1">
          <w:pPr>
            <w:pStyle w:val="TOC3"/>
            <w:tabs>
              <w:tab w:val="right" w:leader="dot" w:pos="8449"/>
            </w:tabs>
            <w:rPr>
              <w:noProof/>
              <w:kern w:val="2"/>
              <w:sz w:val="24"/>
              <w:szCs w:val="24"/>
              <w:lang w:val="en-AU" w:eastAsia="en-AU"/>
              <w14:ligatures w14:val="standardContextual"/>
            </w:rPr>
          </w:pPr>
          <w:hyperlink w:anchor="_Toc183163239" w:history="1">
            <w:r w:rsidRPr="008B4AD3">
              <w:rPr>
                <w:rStyle w:val="Hyperlink"/>
                <w:rFonts w:cstheme="minorHAnsi"/>
                <w:noProof/>
              </w:rPr>
              <w:t>Manufacturers are not incentivised to increase the energy efficiency of EPS</w:t>
            </w:r>
            <w:r>
              <w:rPr>
                <w:noProof/>
                <w:webHidden/>
              </w:rPr>
              <w:tab/>
            </w:r>
            <w:r>
              <w:rPr>
                <w:noProof/>
                <w:webHidden/>
              </w:rPr>
              <w:fldChar w:fldCharType="begin"/>
            </w:r>
            <w:r>
              <w:rPr>
                <w:noProof/>
                <w:webHidden/>
              </w:rPr>
              <w:instrText xml:space="preserve"> PAGEREF _Toc183163239 \h </w:instrText>
            </w:r>
            <w:r>
              <w:rPr>
                <w:noProof/>
                <w:webHidden/>
              </w:rPr>
            </w:r>
            <w:r>
              <w:rPr>
                <w:noProof/>
                <w:webHidden/>
              </w:rPr>
              <w:fldChar w:fldCharType="separate"/>
            </w:r>
            <w:r w:rsidR="00C6363F">
              <w:rPr>
                <w:noProof/>
                <w:webHidden/>
              </w:rPr>
              <w:t>25</w:t>
            </w:r>
            <w:r>
              <w:rPr>
                <w:noProof/>
                <w:webHidden/>
              </w:rPr>
              <w:fldChar w:fldCharType="end"/>
            </w:r>
          </w:hyperlink>
        </w:p>
        <w:p w14:paraId="1FD6734B" w14:textId="09A08913" w:rsidR="00403DB1" w:rsidRDefault="00403DB1">
          <w:pPr>
            <w:pStyle w:val="TOC2"/>
            <w:rPr>
              <w:noProof/>
              <w:kern w:val="2"/>
              <w:sz w:val="24"/>
              <w:szCs w:val="24"/>
              <w:lang w:val="en-AU" w:eastAsia="en-AU"/>
              <w14:ligatures w14:val="standardContextual"/>
            </w:rPr>
          </w:pPr>
          <w:hyperlink w:anchor="_Toc183163240" w:history="1">
            <w:r w:rsidRPr="008B4AD3">
              <w:rPr>
                <w:rStyle w:val="Hyperlink"/>
                <w:noProof/>
              </w:rPr>
              <w:t>2.2 Current standards must be increased to remain effective</w:t>
            </w:r>
            <w:r>
              <w:rPr>
                <w:noProof/>
                <w:webHidden/>
              </w:rPr>
              <w:tab/>
            </w:r>
            <w:r>
              <w:rPr>
                <w:noProof/>
                <w:webHidden/>
              </w:rPr>
              <w:fldChar w:fldCharType="begin"/>
            </w:r>
            <w:r>
              <w:rPr>
                <w:noProof/>
                <w:webHidden/>
              </w:rPr>
              <w:instrText xml:space="preserve"> PAGEREF _Toc183163240 \h </w:instrText>
            </w:r>
            <w:r>
              <w:rPr>
                <w:noProof/>
                <w:webHidden/>
              </w:rPr>
            </w:r>
            <w:r>
              <w:rPr>
                <w:noProof/>
                <w:webHidden/>
              </w:rPr>
              <w:fldChar w:fldCharType="separate"/>
            </w:r>
            <w:r w:rsidR="00C6363F">
              <w:rPr>
                <w:noProof/>
                <w:webHidden/>
              </w:rPr>
              <w:t>25</w:t>
            </w:r>
            <w:r>
              <w:rPr>
                <w:noProof/>
                <w:webHidden/>
              </w:rPr>
              <w:fldChar w:fldCharType="end"/>
            </w:r>
          </w:hyperlink>
        </w:p>
        <w:p w14:paraId="0111CCB5" w14:textId="0C014DA9" w:rsidR="00403DB1" w:rsidRDefault="00403DB1">
          <w:pPr>
            <w:pStyle w:val="TOC3"/>
            <w:tabs>
              <w:tab w:val="right" w:leader="dot" w:pos="8449"/>
            </w:tabs>
            <w:rPr>
              <w:noProof/>
              <w:kern w:val="2"/>
              <w:sz w:val="24"/>
              <w:szCs w:val="24"/>
              <w:lang w:val="en-AU" w:eastAsia="en-AU"/>
              <w14:ligatures w14:val="standardContextual"/>
            </w:rPr>
          </w:pPr>
          <w:hyperlink w:anchor="_Toc183163241" w:history="1">
            <w:r w:rsidRPr="008B4AD3">
              <w:rPr>
                <w:rStyle w:val="Hyperlink"/>
                <w:noProof/>
              </w:rPr>
              <w:t>Australian and New Zealand efficiency gains lag international standards</w:t>
            </w:r>
            <w:r>
              <w:rPr>
                <w:noProof/>
                <w:webHidden/>
              </w:rPr>
              <w:tab/>
            </w:r>
            <w:r>
              <w:rPr>
                <w:noProof/>
                <w:webHidden/>
              </w:rPr>
              <w:fldChar w:fldCharType="begin"/>
            </w:r>
            <w:r>
              <w:rPr>
                <w:noProof/>
                <w:webHidden/>
              </w:rPr>
              <w:instrText xml:space="preserve"> PAGEREF _Toc183163241 \h </w:instrText>
            </w:r>
            <w:r>
              <w:rPr>
                <w:noProof/>
                <w:webHidden/>
              </w:rPr>
            </w:r>
            <w:r>
              <w:rPr>
                <w:noProof/>
                <w:webHidden/>
              </w:rPr>
              <w:fldChar w:fldCharType="separate"/>
            </w:r>
            <w:r w:rsidR="00C6363F">
              <w:rPr>
                <w:noProof/>
                <w:webHidden/>
              </w:rPr>
              <w:t>26</w:t>
            </w:r>
            <w:r>
              <w:rPr>
                <w:noProof/>
                <w:webHidden/>
              </w:rPr>
              <w:fldChar w:fldCharType="end"/>
            </w:r>
          </w:hyperlink>
        </w:p>
        <w:p w14:paraId="22E6E1AB" w14:textId="73CF1386" w:rsidR="00403DB1" w:rsidRDefault="00403DB1">
          <w:pPr>
            <w:pStyle w:val="TOC1"/>
            <w:rPr>
              <w:b w:val="0"/>
              <w:noProof/>
              <w:kern w:val="2"/>
              <w:sz w:val="24"/>
              <w:szCs w:val="24"/>
              <w:lang w:val="en-AU" w:eastAsia="en-AU"/>
              <w14:ligatures w14:val="standardContextual"/>
            </w:rPr>
          </w:pPr>
          <w:hyperlink w:anchor="_Toc183163242" w:history="1">
            <w:r w:rsidRPr="008B4AD3">
              <w:rPr>
                <w:rStyle w:val="Hyperlink"/>
                <w:rFonts w:cstheme="minorHAnsi"/>
                <w:noProof/>
              </w:rPr>
              <w:t>Section 3: Policy options for consideration</w:t>
            </w:r>
            <w:r>
              <w:rPr>
                <w:noProof/>
                <w:webHidden/>
              </w:rPr>
              <w:tab/>
            </w:r>
            <w:r>
              <w:rPr>
                <w:noProof/>
                <w:webHidden/>
              </w:rPr>
              <w:fldChar w:fldCharType="begin"/>
            </w:r>
            <w:r>
              <w:rPr>
                <w:noProof/>
                <w:webHidden/>
              </w:rPr>
              <w:instrText xml:space="preserve"> PAGEREF _Toc183163242 \h </w:instrText>
            </w:r>
            <w:r>
              <w:rPr>
                <w:noProof/>
                <w:webHidden/>
              </w:rPr>
            </w:r>
            <w:r>
              <w:rPr>
                <w:noProof/>
                <w:webHidden/>
              </w:rPr>
              <w:fldChar w:fldCharType="separate"/>
            </w:r>
            <w:r w:rsidR="00C6363F">
              <w:rPr>
                <w:noProof/>
                <w:webHidden/>
              </w:rPr>
              <w:t>27</w:t>
            </w:r>
            <w:r>
              <w:rPr>
                <w:noProof/>
                <w:webHidden/>
              </w:rPr>
              <w:fldChar w:fldCharType="end"/>
            </w:r>
          </w:hyperlink>
        </w:p>
        <w:p w14:paraId="68011E7D" w14:textId="5A26E617" w:rsidR="00403DB1" w:rsidRDefault="00403DB1">
          <w:pPr>
            <w:pStyle w:val="TOC2"/>
            <w:rPr>
              <w:noProof/>
              <w:kern w:val="2"/>
              <w:sz w:val="24"/>
              <w:szCs w:val="24"/>
              <w:lang w:val="en-AU" w:eastAsia="en-AU"/>
              <w14:ligatures w14:val="standardContextual"/>
            </w:rPr>
          </w:pPr>
          <w:hyperlink w:anchor="_Toc183163244" w:history="1">
            <w:r w:rsidRPr="008B4AD3">
              <w:rPr>
                <w:rStyle w:val="Hyperlink"/>
                <w:noProof/>
              </w:rPr>
              <w:t>3.1 Principles for policy option design</w:t>
            </w:r>
            <w:r>
              <w:rPr>
                <w:noProof/>
                <w:webHidden/>
              </w:rPr>
              <w:tab/>
            </w:r>
            <w:r>
              <w:rPr>
                <w:noProof/>
                <w:webHidden/>
              </w:rPr>
              <w:fldChar w:fldCharType="begin"/>
            </w:r>
            <w:r>
              <w:rPr>
                <w:noProof/>
                <w:webHidden/>
              </w:rPr>
              <w:instrText xml:space="preserve"> PAGEREF _Toc183163244 \h </w:instrText>
            </w:r>
            <w:r>
              <w:rPr>
                <w:noProof/>
                <w:webHidden/>
              </w:rPr>
            </w:r>
            <w:r>
              <w:rPr>
                <w:noProof/>
                <w:webHidden/>
              </w:rPr>
              <w:fldChar w:fldCharType="separate"/>
            </w:r>
            <w:r w:rsidR="00C6363F">
              <w:rPr>
                <w:noProof/>
                <w:webHidden/>
              </w:rPr>
              <w:t>27</w:t>
            </w:r>
            <w:r>
              <w:rPr>
                <w:noProof/>
                <w:webHidden/>
              </w:rPr>
              <w:fldChar w:fldCharType="end"/>
            </w:r>
          </w:hyperlink>
        </w:p>
        <w:p w14:paraId="0DFB8734" w14:textId="76B1958C" w:rsidR="00403DB1" w:rsidRDefault="00403DB1">
          <w:pPr>
            <w:pStyle w:val="TOC2"/>
            <w:rPr>
              <w:noProof/>
              <w:kern w:val="2"/>
              <w:sz w:val="24"/>
              <w:szCs w:val="24"/>
              <w:lang w:val="en-AU" w:eastAsia="en-AU"/>
              <w14:ligatures w14:val="standardContextual"/>
            </w:rPr>
          </w:pPr>
          <w:hyperlink w:anchor="_Toc183163245" w:history="1">
            <w:r w:rsidRPr="008B4AD3">
              <w:rPr>
                <w:rStyle w:val="Hyperlink"/>
                <w:noProof/>
              </w:rPr>
              <w:t>3.2 Considerations for increasing MEPS stringency</w:t>
            </w:r>
            <w:r>
              <w:rPr>
                <w:noProof/>
                <w:webHidden/>
              </w:rPr>
              <w:tab/>
            </w:r>
            <w:r>
              <w:rPr>
                <w:noProof/>
                <w:webHidden/>
              </w:rPr>
              <w:fldChar w:fldCharType="begin"/>
            </w:r>
            <w:r>
              <w:rPr>
                <w:noProof/>
                <w:webHidden/>
              </w:rPr>
              <w:instrText xml:space="preserve"> PAGEREF _Toc183163245 \h </w:instrText>
            </w:r>
            <w:r>
              <w:rPr>
                <w:noProof/>
                <w:webHidden/>
              </w:rPr>
            </w:r>
            <w:r>
              <w:rPr>
                <w:noProof/>
                <w:webHidden/>
              </w:rPr>
              <w:fldChar w:fldCharType="separate"/>
            </w:r>
            <w:r w:rsidR="00C6363F">
              <w:rPr>
                <w:noProof/>
                <w:webHidden/>
              </w:rPr>
              <w:t>28</w:t>
            </w:r>
            <w:r>
              <w:rPr>
                <w:noProof/>
                <w:webHidden/>
              </w:rPr>
              <w:fldChar w:fldCharType="end"/>
            </w:r>
          </w:hyperlink>
        </w:p>
        <w:p w14:paraId="057E9356" w14:textId="77D951D6" w:rsidR="00403DB1" w:rsidRDefault="00403DB1">
          <w:pPr>
            <w:pStyle w:val="TOC3"/>
            <w:tabs>
              <w:tab w:val="right" w:leader="dot" w:pos="8449"/>
            </w:tabs>
            <w:rPr>
              <w:noProof/>
              <w:kern w:val="2"/>
              <w:sz w:val="24"/>
              <w:szCs w:val="24"/>
              <w:lang w:val="en-AU" w:eastAsia="en-AU"/>
              <w14:ligatures w14:val="standardContextual"/>
            </w:rPr>
          </w:pPr>
          <w:hyperlink w:anchor="_Toc183163246" w:history="1">
            <w:r w:rsidRPr="008B4AD3">
              <w:rPr>
                <w:rStyle w:val="Hyperlink"/>
                <w:noProof/>
              </w:rPr>
              <w:t>Aligning MEPS stringency with international standards</w:t>
            </w:r>
            <w:r>
              <w:rPr>
                <w:noProof/>
                <w:webHidden/>
              </w:rPr>
              <w:tab/>
            </w:r>
            <w:r>
              <w:rPr>
                <w:noProof/>
                <w:webHidden/>
              </w:rPr>
              <w:fldChar w:fldCharType="begin"/>
            </w:r>
            <w:r>
              <w:rPr>
                <w:noProof/>
                <w:webHidden/>
              </w:rPr>
              <w:instrText xml:space="preserve"> PAGEREF _Toc183163246 \h </w:instrText>
            </w:r>
            <w:r>
              <w:rPr>
                <w:noProof/>
                <w:webHidden/>
              </w:rPr>
            </w:r>
            <w:r>
              <w:rPr>
                <w:noProof/>
                <w:webHidden/>
              </w:rPr>
              <w:fldChar w:fldCharType="separate"/>
            </w:r>
            <w:r w:rsidR="00C6363F">
              <w:rPr>
                <w:noProof/>
                <w:webHidden/>
              </w:rPr>
              <w:t>29</w:t>
            </w:r>
            <w:r>
              <w:rPr>
                <w:noProof/>
                <w:webHidden/>
              </w:rPr>
              <w:fldChar w:fldCharType="end"/>
            </w:r>
          </w:hyperlink>
        </w:p>
        <w:p w14:paraId="63E6FB9E" w14:textId="2402818F" w:rsidR="00403DB1" w:rsidRDefault="00403DB1">
          <w:pPr>
            <w:pStyle w:val="TOC3"/>
            <w:tabs>
              <w:tab w:val="right" w:leader="dot" w:pos="8449"/>
            </w:tabs>
            <w:rPr>
              <w:noProof/>
              <w:kern w:val="2"/>
              <w:sz w:val="24"/>
              <w:szCs w:val="24"/>
              <w:lang w:val="en-AU" w:eastAsia="en-AU"/>
              <w14:ligatures w14:val="standardContextual"/>
            </w:rPr>
          </w:pPr>
          <w:hyperlink w:anchor="_Toc183163247" w:history="1">
            <w:r w:rsidRPr="008B4AD3">
              <w:rPr>
                <w:rStyle w:val="Hyperlink"/>
                <w:noProof/>
              </w:rPr>
              <w:t>Including a 10% load efficiency</w:t>
            </w:r>
            <w:r>
              <w:rPr>
                <w:noProof/>
                <w:webHidden/>
              </w:rPr>
              <w:tab/>
            </w:r>
            <w:r>
              <w:rPr>
                <w:noProof/>
                <w:webHidden/>
              </w:rPr>
              <w:fldChar w:fldCharType="begin"/>
            </w:r>
            <w:r>
              <w:rPr>
                <w:noProof/>
                <w:webHidden/>
              </w:rPr>
              <w:instrText xml:space="preserve"> PAGEREF _Toc183163247 \h </w:instrText>
            </w:r>
            <w:r>
              <w:rPr>
                <w:noProof/>
                <w:webHidden/>
              </w:rPr>
            </w:r>
            <w:r>
              <w:rPr>
                <w:noProof/>
                <w:webHidden/>
              </w:rPr>
              <w:fldChar w:fldCharType="separate"/>
            </w:r>
            <w:r w:rsidR="00C6363F">
              <w:rPr>
                <w:noProof/>
                <w:webHidden/>
              </w:rPr>
              <w:t>31</w:t>
            </w:r>
            <w:r>
              <w:rPr>
                <w:noProof/>
                <w:webHidden/>
              </w:rPr>
              <w:fldChar w:fldCharType="end"/>
            </w:r>
          </w:hyperlink>
        </w:p>
        <w:p w14:paraId="2F4FD123" w14:textId="66AE80FB" w:rsidR="00403DB1" w:rsidRDefault="00403DB1">
          <w:pPr>
            <w:pStyle w:val="TOC2"/>
            <w:rPr>
              <w:noProof/>
              <w:kern w:val="2"/>
              <w:sz w:val="24"/>
              <w:szCs w:val="24"/>
              <w:lang w:val="en-AU" w:eastAsia="en-AU"/>
              <w14:ligatures w14:val="standardContextual"/>
            </w:rPr>
          </w:pPr>
          <w:hyperlink w:anchor="_Toc183163248" w:history="1">
            <w:r w:rsidRPr="008B4AD3">
              <w:rPr>
                <w:rStyle w:val="Hyperlink"/>
                <w:noProof/>
              </w:rPr>
              <w:t>3.3 Considerations for expanding scope</w:t>
            </w:r>
            <w:r>
              <w:rPr>
                <w:noProof/>
                <w:webHidden/>
              </w:rPr>
              <w:tab/>
            </w:r>
            <w:r>
              <w:rPr>
                <w:noProof/>
                <w:webHidden/>
              </w:rPr>
              <w:fldChar w:fldCharType="begin"/>
            </w:r>
            <w:r>
              <w:rPr>
                <w:noProof/>
                <w:webHidden/>
              </w:rPr>
              <w:instrText xml:space="preserve"> PAGEREF _Toc183163248 \h </w:instrText>
            </w:r>
            <w:r>
              <w:rPr>
                <w:noProof/>
                <w:webHidden/>
              </w:rPr>
            </w:r>
            <w:r>
              <w:rPr>
                <w:noProof/>
                <w:webHidden/>
              </w:rPr>
              <w:fldChar w:fldCharType="separate"/>
            </w:r>
            <w:r w:rsidR="00C6363F">
              <w:rPr>
                <w:noProof/>
                <w:webHidden/>
              </w:rPr>
              <w:t>32</w:t>
            </w:r>
            <w:r>
              <w:rPr>
                <w:noProof/>
                <w:webHidden/>
              </w:rPr>
              <w:fldChar w:fldCharType="end"/>
            </w:r>
          </w:hyperlink>
        </w:p>
        <w:p w14:paraId="24170568" w14:textId="72101EFD" w:rsidR="00403DB1" w:rsidRDefault="00403DB1">
          <w:pPr>
            <w:pStyle w:val="TOC3"/>
            <w:tabs>
              <w:tab w:val="right" w:leader="dot" w:pos="8449"/>
            </w:tabs>
            <w:rPr>
              <w:noProof/>
              <w:kern w:val="2"/>
              <w:sz w:val="24"/>
              <w:szCs w:val="24"/>
              <w:lang w:val="en-AU" w:eastAsia="en-AU"/>
              <w14:ligatures w14:val="standardContextual"/>
            </w:rPr>
          </w:pPr>
          <w:hyperlink w:anchor="_Toc183163249" w:history="1">
            <w:r w:rsidRPr="008B4AD3">
              <w:rPr>
                <w:rStyle w:val="Hyperlink"/>
                <w:noProof/>
              </w:rPr>
              <w:t>Aligning scope with international standards</w:t>
            </w:r>
            <w:r>
              <w:rPr>
                <w:noProof/>
                <w:webHidden/>
              </w:rPr>
              <w:tab/>
            </w:r>
            <w:r>
              <w:rPr>
                <w:noProof/>
                <w:webHidden/>
              </w:rPr>
              <w:fldChar w:fldCharType="begin"/>
            </w:r>
            <w:r>
              <w:rPr>
                <w:noProof/>
                <w:webHidden/>
              </w:rPr>
              <w:instrText xml:space="preserve"> PAGEREF _Toc183163249 \h </w:instrText>
            </w:r>
            <w:r>
              <w:rPr>
                <w:noProof/>
                <w:webHidden/>
              </w:rPr>
            </w:r>
            <w:r>
              <w:rPr>
                <w:noProof/>
                <w:webHidden/>
              </w:rPr>
              <w:fldChar w:fldCharType="separate"/>
            </w:r>
            <w:r w:rsidR="00C6363F">
              <w:rPr>
                <w:noProof/>
                <w:webHidden/>
              </w:rPr>
              <w:t>32</w:t>
            </w:r>
            <w:r>
              <w:rPr>
                <w:noProof/>
                <w:webHidden/>
              </w:rPr>
              <w:fldChar w:fldCharType="end"/>
            </w:r>
          </w:hyperlink>
        </w:p>
        <w:p w14:paraId="22372A85" w14:textId="6198602D" w:rsidR="00403DB1" w:rsidRDefault="00403DB1">
          <w:pPr>
            <w:pStyle w:val="TOC3"/>
            <w:tabs>
              <w:tab w:val="right" w:leader="dot" w:pos="8449"/>
            </w:tabs>
            <w:rPr>
              <w:noProof/>
              <w:kern w:val="2"/>
              <w:sz w:val="24"/>
              <w:szCs w:val="24"/>
              <w:lang w:val="en-AU" w:eastAsia="en-AU"/>
              <w14:ligatures w14:val="standardContextual"/>
            </w:rPr>
          </w:pPr>
          <w:hyperlink w:anchor="_Toc183163250" w:history="1">
            <w:r w:rsidRPr="008B4AD3">
              <w:rPr>
                <w:rStyle w:val="Hyperlink"/>
                <w:noProof/>
              </w:rPr>
              <w:t>Including wireless chargers</w:t>
            </w:r>
            <w:r>
              <w:rPr>
                <w:noProof/>
                <w:webHidden/>
              </w:rPr>
              <w:tab/>
            </w:r>
            <w:r>
              <w:rPr>
                <w:noProof/>
                <w:webHidden/>
              </w:rPr>
              <w:fldChar w:fldCharType="begin"/>
            </w:r>
            <w:r>
              <w:rPr>
                <w:noProof/>
                <w:webHidden/>
              </w:rPr>
              <w:instrText xml:space="preserve"> PAGEREF _Toc183163250 \h </w:instrText>
            </w:r>
            <w:r>
              <w:rPr>
                <w:noProof/>
                <w:webHidden/>
              </w:rPr>
            </w:r>
            <w:r>
              <w:rPr>
                <w:noProof/>
                <w:webHidden/>
              </w:rPr>
              <w:fldChar w:fldCharType="separate"/>
            </w:r>
            <w:r w:rsidR="00C6363F">
              <w:rPr>
                <w:noProof/>
                <w:webHidden/>
              </w:rPr>
              <w:t>33</w:t>
            </w:r>
            <w:r>
              <w:rPr>
                <w:noProof/>
                <w:webHidden/>
              </w:rPr>
              <w:fldChar w:fldCharType="end"/>
            </w:r>
          </w:hyperlink>
        </w:p>
        <w:p w14:paraId="3966EB96" w14:textId="1A598EB2" w:rsidR="00403DB1" w:rsidRDefault="00403DB1">
          <w:pPr>
            <w:pStyle w:val="TOC2"/>
            <w:rPr>
              <w:noProof/>
              <w:kern w:val="2"/>
              <w:sz w:val="24"/>
              <w:szCs w:val="24"/>
              <w:lang w:val="en-AU" w:eastAsia="en-AU"/>
              <w14:ligatures w14:val="standardContextual"/>
            </w:rPr>
          </w:pPr>
          <w:hyperlink w:anchor="_Toc183163251" w:history="1">
            <w:r w:rsidRPr="008B4AD3">
              <w:rPr>
                <w:rStyle w:val="Hyperlink"/>
                <w:noProof/>
              </w:rPr>
              <w:t>3.4 Modelling scenarios</w:t>
            </w:r>
            <w:r>
              <w:rPr>
                <w:noProof/>
                <w:webHidden/>
              </w:rPr>
              <w:tab/>
            </w:r>
            <w:r>
              <w:rPr>
                <w:noProof/>
                <w:webHidden/>
              </w:rPr>
              <w:fldChar w:fldCharType="begin"/>
            </w:r>
            <w:r>
              <w:rPr>
                <w:noProof/>
                <w:webHidden/>
              </w:rPr>
              <w:instrText xml:space="preserve"> PAGEREF _Toc183163251 \h </w:instrText>
            </w:r>
            <w:r>
              <w:rPr>
                <w:noProof/>
                <w:webHidden/>
              </w:rPr>
            </w:r>
            <w:r>
              <w:rPr>
                <w:noProof/>
                <w:webHidden/>
              </w:rPr>
              <w:fldChar w:fldCharType="separate"/>
            </w:r>
            <w:r w:rsidR="00C6363F">
              <w:rPr>
                <w:noProof/>
                <w:webHidden/>
              </w:rPr>
              <w:t>34</w:t>
            </w:r>
            <w:r>
              <w:rPr>
                <w:noProof/>
                <w:webHidden/>
              </w:rPr>
              <w:fldChar w:fldCharType="end"/>
            </w:r>
          </w:hyperlink>
        </w:p>
        <w:p w14:paraId="3C68A6F8" w14:textId="14A92802" w:rsidR="00403DB1" w:rsidRDefault="00403DB1">
          <w:pPr>
            <w:pStyle w:val="TOC3"/>
            <w:tabs>
              <w:tab w:val="right" w:leader="dot" w:pos="8449"/>
            </w:tabs>
            <w:rPr>
              <w:noProof/>
              <w:kern w:val="2"/>
              <w:sz w:val="24"/>
              <w:szCs w:val="24"/>
              <w:lang w:val="en-AU" w:eastAsia="en-AU"/>
              <w14:ligatures w14:val="standardContextual"/>
            </w:rPr>
          </w:pPr>
          <w:hyperlink w:anchor="_Toc183163252" w:history="1">
            <w:r w:rsidRPr="008B4AD3">
              <w:rPr>
                <w:rStyle w:val="Hyperlink"/>
                <w:noProof/>
              </w:rPr>
              <w:t>Scenario 1: Business as usual (BAU)</w:t>
            </w:r>
            <w:r>
              <w:rPr>
                <w:noProof/>
                <w:webHidden/>
              </w:rPr>
              <w:tab/>
            </w:r>
            <w:r>
              <w:rPr>
                <w:noProof/>
                <w:webHidden/>
              </w:rPr>
              <w:fldChar w:fldCharType="begin"/>
            </w:r>
            <w:r>
              <w:rPr>
                <w:noProof/>
                <w:webHidden/>
              </w:rPr>
              <w:instrText xml:space="preserve"> PAGEREF _Toc183163252 \h </w:instrText>
            </w:r>
            <w:r>
              <w:rPr>
                <w:noProof/>
                <w:webHidden/>
              </w:rPr>
            </w:r>
            <w:r>
              <w:rPr>
                <w:noProof/>
                <w:webHidden/>
              </w:rPr>
              <w:fldChar w:fldCharType="separate"/>
            </w:r>
            <w:r w:rsidR="00C6363F">
              <w:rPr>
                <w:noProof/>
                <w:webHidden/>
              </w:rPr>
              <w:t>34</w:t>
            </w:r>
            <w:r>
              <w:rPr>
                <w:noProof/>
                <w:webHidden/>
              </w:rPr>
              <w:fldChar w:fldCharType="end"/>
            </w:r>
          </w:hyperlink>
        </w:p>
        <w:p w14:paraId="15DA4AE4" w14:textId="4F1D9076" w:rsidR="00403DB1" w:rsidRDefault="00403DB1">
          <w:pPr>
            <w:pStyle w:val="TOC3"/>
            <w:tabs>
              <w:tab w:val="right" w:leader="dot" w:pos="8449"/>
            </w:tabs>
            <w:rPr>
              <w:noProof/>
              <w:kern w:val="2"/>
              <w:sz w:val="24"/>
              <w:szCs w:val="24"/>
              <w:lang w:val="en-AU" w:eastAsia="en-AU"/>
              <w14:ligatures w14:val="standardContextual"/>
            </w:rPr>
          </w:pPr>
          <w:hyperlink w:anchor="_Toc183163253" w:history="1">
            <w:r w:rsidRPr="008B4AD3">
              <w:rPr>
                <w:rStyle w:val="Hyperlink"/>
                <w:noProof/>
              </w:rPr>
              <w:t>Scenario 2: Remove regulations from 2025</w:t>
            </w:r>
            <w:r>
              <w:rPr>
                <w:noProof/>
                <w:webHidden/>
              </w:rPr>
              <w:tab/>
            </w:r>
            <w:r>
              <w:rPr>
                <w:noProof/>
                <w:webHidden/>
              </w:rPr>
              <w:fldChar w:fldCharType="begin"/>
            </w:r>
            <w:r>
              <w:rPr>
                <w:noProof/>
                <w:webHidden/>
              </w:rPr>
              <w:instrText xml:space="preserve"> PAGEREF _Toc183163253 \h </w:instrText>
            </w:r>
            <w:r>
              <w:rPr>
                <w:noProof/>
                <w:webHidden/>
              </w:rPr>
            </w:r>
            <w:r>
              <w:rPr>
                <w:noProof/>
                <w:webHidden/>
              </w:rPr>
              <w:fldChar w:fldCharType="separate"/>
            </w:r>
            <w:r w:rsidR="00C6363F">
              <w:rPr>
                <w:noProof/>
                <w:webHidden/>
              </w:rPr>
              <w:t>35</w:t>
            </w:r>
            <w:r>
              <w:rPr>
                <w:noProof/>
                <w:webHidden/>
              </w:rPr>
              <w:fldChar w:fldCharType="end"/>
            </w:r>
          </w:hyperlink>
        </w:p>
        <w:p w14:paraId="7277DBA6" w14:textId="5E37B1F6" w:rsidR="00403DB1" w:rsidRDefault="00403DB1">
          <w:pPr>
            <w:pStyle w:val="TOC3"/>
            <w:tabs>
              <w:tab w:val="right" w:leader="dot" w:pos="8449"/>
            </w:tabs>
            <w:rPr>
              <w:noProof/>
              <w:kern w:val="2"/>
              <w:sz w:val="24"/>
              <w:szCs w:val="24"/>
              <w:lang w:val="en-AU" w:eastAsia="en-AU"/>
              <w14:ligatures w14:val="standardContextual"/>
            </w:rPr>
          </w:pPr>
          <w:hyperlink w:anchor="_Toc183163254" w:history="1">
            <w:r w:rsidRPr="008B4AD3">
              <w:rPr>
                <w:rStyle w:val="Hyperlink"/>
                <w:noProof/>
              </w:rPr>
              <w:t>Scenario 3: Increase MEPS to align with international standards without changing the scope</w:t>
            </w:r>
            <w:r>
              <w:rPr>
                <w:noProof/>
                <w:webHidden/>
              </w:rPr>
              <w:tab/>
            </w:r>
            <w:r>
              <w:rPr>
                <w:noProof/>
                <w:webHidden/>
              </w:rPr>
              <w:fldChar w:fldCharType="begin"/>
            </w:r>
            <w:r>
              <w:rPr>
                <w:noProof/>
                <w:webHidden/>
              </w:rPr>
              <w:instrText xml:space="preserve"> PAGEREF _Toc183163254 \h </w:instrText>
            </w:r>
            <w:r>
              <w:rPr>
                <w:noProof/>
                <w:webHidden/>
              </w:rPr>
            </w:r>
            <w:r>
              <w:rPr>
                <w:noProof/>
                <w:webHidden/>
              </w:rPr>
              <w:fldChar w:fldCharType="separate"/>
            </w:r>
            <w:r w:rsidR="00C6363F">
              <w:rPr>
                <w:noProof/>
                <w:webHidden/>
              </w:rPr>
              <w:t>35</w:t>
            </w:r>
            <w:r>
              <w:rPr>
                <w:noProof/>
                <w:webHidden/>
              </w:rPr>
              <w:fldChar w:fldCharType="end"/>
            </w:r>
          </w:hyperlink>
        </w:p>
        <w:p w14:paraId="7B3272CD" w14:textId="042831C2" w:rsidR="00403DB1" w:rsidRDefault="00403DB1">
          <w:pPr>
            <w:pStyle w:val="TOC3"/>
            <w:tabs>
              <w:tab w:val="right" w:leader="dot" w:pos="8449"/>
            </w:tabs>
            <w:rPr>
              <w:noProof/>
              <w:kern w:val="2"/>
              <w:sz w:val="24"/>
              <w:szCs w:val="24"/>
              <w:lang w:val="en-AU" w:eastAsia="en-AU"/>
              <w14:ligatures w14:val="standardContextual"/>
            </w:rPr>
          </w:pPr>
          <w:hyperlink w:anchor="_Toc183163255" w:history="1">
            <w:r w:rsidRPr="008B4AD3">
              <w:rPr>
                <w:rStyle w:val="Hyperlink"/>
                <w:noProof/>
              </w:rPr>
              <w:t>Scenario 4: Increase scope and MEPS to align with international standards</w:t>
            </w:r>
            <w:r>
              <w:rPr>
                <w:noProof/>
                <w:webHidden/>
              </w:rPr>
              <w:tab/>
            </w:r>
            <w:r>
              <w:rPr>
                <w:noProof/>
                <w:webHidden/>
              </w:rPr>
              <w:fldChar w:fldCharType="begin"/>
            </w:r>
            <w:r>
              <w:rPr>
                <w:noProof/>
                <w:webHidden/>
              </w:rPr>
              <w:instrText xml:space="preserve"> PAGEREF _Toc183163255 \h </w:instrText>
            </w:r>
            <w:r>
              <w:rPr>
                <w:noProof/>
                <w:webHidden/>
              </w:rPr>
            </w:r>
            <w:r>
              <w:rPr>
                <w:noProof/>
                <w:webHidden/>
              </w:rPr>
              <w:fldChar w:fldCharType="separate"/>
            </w:r>
            <w:r w:rsidR="00C6363F">
              <w:rPr>
                <w:noProof/>
                <w:webHidden/>
              </w:rPr>
              <w:t>36</w:t>
            </w:r>
            <w:r>
              <w:rPr>
                <w:noProof/>
                <w:webHidden/>
              </w:rPr>
              <w:fldChar w:fldCharType="end"/>
            </w:r>
          </w:hyperlink>
        </w:p>
        <w:p w14:paraId="596B1A48" w14:textId="299140BF" w:rsidR="00403DB1" w:rsidRDefault="00403DB1">
          <w:pPr>
            <w:pStyle w:val="TOC3"/>
            <w:tabs>
              <w:tab w:val="right" w:leader="dot" w:pos="8449"/>
            </w:tabs>
            <w:rPr>
              <w:noProof/>
              <w:kern w:val="2"/>
              <w:sz w:val="24"/>
              <w:szCs w:val="24"/>
              <w:lang w:val="en-AU" w:eastAsia="en-AU"/>
              <w14:ligatures w14:val="standardContextual"/>
            </w:rPr>
          </w:pPr>
          <w:hyperlink w:anchor="_Toc183163256" w:history="1">
            <w:r w:rsidRPr="008B4AD3">
              <w:rPr>
                <w:rStyle w:val="Hyperlink"/>
                <w:rFonts w:cstheme="minorHAnsi"/>
                <w:noProof/>
              </w:rPr>
              <w:t>Adopt international testing standards</w:t>
            </w:r>
            <w:r>
              <w:rPr>
                <w:noProof/>
                <w:webHidden/>
              </w:rPr>
              <w:tab/>
            </w:r>
            <w:r>
              <w:rPr>
                <w:noProof/>
                <w:webHidden/>
              </w:rPr>
              <w:fldChar w:fldCharType="begin"/>
            </w:r>
            <w:r>
              <w:rPr>
                <w:noProof/>
                <w:webHidden/>
              </w:rPr>
              <w:instrText xml:space="preserve"> PAGEREF _Toc183163256 \h </w:instrText>
            </w:r>
            <w:r>
              <w:rPr>
                <w:noProof/>
                <w:webHidden/>
              </w:rPr>
            </w:r>
            <w:r>
              <w:rPr>
                <w:noProof/>
                <w:webHidden/>
              </w:rPr>
              <w:fldChar w:fldCharType="separate"/>
            </w:r>
            <w:r w:rsidR="00C6363F">
              <w:rPr>
                <w:noProof/>
                <w:webHidden/>
              </w:rPr>
              <w:t>36</w:t>
            </w:r>
            <w:r>
              <w:rPr>
                <w:noProof/>
                <w:webHidden/>
              </w:rPr>
              <w:fldChar w:fldCharType="end"/>
            </w:r>
          </w:hyperlink>
        </w:p>
        <w:p w14:paraId="7CDC2713" w14:textId="402E3A54" w:rsidR="00403DB1" w:rsidRDefault="00403DB1">
          <w:pPr>
            <w:pStyle w:val="TOC3"/>
            <w:tabs>
              <w:tab w:val="right" w:leader="dot" w:pos="8449"/>
            </w:tabs>
            <w:rPr>
              <w:noProof/>
              <w:kern w:val="2"/>
              <w:sz w:val="24"/>
              <w:szCs w:val="24"/>
              <w:lang w:val="en-AU" w:eastAsia="en-AU"/>
              <w14:ligatures w14:val="standardContextual"/>
            </w:rPr>
          </w:pPr>
          <w:hyperlink w:anchor="_Toc183163257" w:history="1">
            <w:r w:rsidRPr="008B4AD3">
              <w:rPr>
                <w:rStyle w:val="Hyperlink"/>
                <w:noProof/>
              </w:rPr>
              <w:t>Scenario 5: Direct harmonisation with international standards</w:t>
            </w:r>
            <w:r>
              <w:rPr>
                <w:noProof/>
                <w:webHidden/>
              </w:rPr>
              <w:tab/>
            </w:r>
            <w:r>
              <w:rPr>
                <w:noProof/>
                <w:webHidden/>
              </w:rPr>
              <w:fldChar w:fldCharType="begin"/>
            </w:r>
            <w:r>
              <w:rPr>
                <w:noProof/>
                <w:webHidden/>
              </w:rPr>
              <w:instrText xml:space="preserve"> PAGEREF _Toc183163257 \h </w:instrText>
            </w:r>
            <w:r>
              <w:rPr>
                <w:noProof/>
                <w:webHidden/>
              </w:rPr>
            </w:r>
            <w:r>
              <w:rPr>
                <w:noProof/>
                <w:webHidden/>
              </w:rPr>
              <w:fldChar w:fldCharType="separate"/>
            </w:r>
            <w:r w:rsidR="00C6363F">
              <w:rPr>
                <w:noProof/>
                <w:webHidden/>
              </w:rPr>
              <w:t>37</w:t>
            </w:r>
            <w:r>
              <w:rPr>
                <w:noProof/>
                <w:webHidden/>
              </w:rPr>
              <w:fldChar w:fldCharType="end"/>
            </w:r>
          </w:hyperlink>
        </w:p>
        <w:p w14:paraId="24D40BD3" w14:textId="05DEE5AE" w:rsidR="00403DB1" w:rsidRDefault="00403DB1">
          <w:pPr>
            <w:pStyle w:val="TOC1"/>
            <w:rPr>
              <w:b w:val="0"/>
              <w:noProof/>
              <w:kern w:val="2"/>
              <w:sz w:val="24"/>
              <w:szCs w:val="24"/>
              <w:lang w:val="en-AU" w:eastAsia="en-AU"/>
              <w14:ligatures w14:val="standardContextual"/>
            </w:rPr>
          </w:pPr>
          <w:hyperlink w:anchor="_Toc183163258" w:history="1">
            <w:r w:rsidRPr="008B4AD3">
              <w:rPr>
                <w:rStyle w:val="Hyperlink"/>
                <w:rFonts w:cstheme="minorHAnsi"/>
                <w:noProof/>
              </w:rPr>
              <w:t>Section 4: Impact assessment</w:t>
            </w:r>
            <w:r>
              <w:rPr>
                <w:noProof/>
                <w:webHidden/>
              </w:rPr>
              <w:tab/>
            </w:r>
            <w:r>
              <w:rPr>
                <w:noProof/>
                <w:webHidden/>
              </w:rPr>
              <w:fldChar w:fldCharType="begin"/>
            </w:r>
            <w:r>
              <w:rPr>
                <w:noProof/>
                <w:webHidden/>
              </w:rPr>
              <w:instrText xml:space="preserve"> PAGEREF _Toc183163258 \h </w:instrText>
            </w:r>
            <w:r>
              <w:rPr>
                <w:noProof/>
                <w:webHidden/>
              </w:rPr>
            </w:r>
            <w:r>
              <w:rPr>
                <w:noProof/>
                <w:webHidden/>
              </w:rPr>
              <w:fldChar w:fldCharType="separate"/>
            </w:r>
            <w:r w:rsidR="00C6363F">
              <w:rPr>
                <w:noProof/>
                <w:webHidden/>
              </w:rPr>
              <w:t>38</w:t>
            </w:r>
            <w:r>
              <w:rPr>
                <w:noProof/>
                <w:webHidden/>
              </w:rPr>
              <w:fldChar w:fldCharType="end"/>
            </w:r>
          </w:hyperlink>
        </w:p>
        <w:p w14:paraId="75D6644F" w14:textId="4265CD92" w:rsidR="00403DB1" w:rsidRDefault="00403DB1">
          <w:pPr>
            <w:pStyle w:val="TOC2"/>
            <w:rPr>
              <w:noProof/>
              <w:kern w:val="2"/>
              <w:sz w:val="24"/>
              <w:szCs w:val="24"/>
              <w:lang w:val="en-AU" w:eastAsia="en-AU"/>
              <w14:ligatures w14:val="standardContextual"/>
            </w:rPr>
          </w:pPr>
          <w:hyperlink w:anchor="_Toc183163259" w:history="1">
            <w:r w:rsidRPr="008B4AD3">
              <w:rPr>
                <w:rStyle w:val="Hyperlink"/>
                <w:noProof/>
              </w:rPr>
              <w:t>4.1 Framework for analysis</w:t>
            </w:r>
            <w:r>
              <w:rPr>
                <w:noProof/>
                <w:webHidden/>
              </w:rPr>
              <w:tab/>
            </w:r>
            <w:r>
              <w:rPr>
                <w:noProof/>
                <w:webHidden/>
              </w:rPr>
              <w:fldChar w:fldCharType="begin"/>
            </w:r>
            <w:r>
              <w:rPr>
                <w:noProof/>
                <w:webHidden/>
              </w:rPr>
              <w:instrText xml:space="preserve"> PAGEREF _Toc183163259 \h </w:instrText>
            </w:r>
            <w:r>
              <w:rPr>
                <w:noProof/>
                <w:webHidden/>
              </w:rPr>
            </w:r>
            <w:r>
              <w:rPr>
                <w:noProof/>
                <w:webHidden/>
              </w:rPr>
              <w:fldChar w:fldCharType="separate"/>
            </w:r>
            <w:r w:rsidR="00C6363F">
              <w:rPr>
                <w:noProof/>
                <w:webHidden/>
              </w:rPr>
              <w:t>38</w:t>
            </w:r>
            <w:r>
              <w:rPr>
                <w:noProof/>
                <w:webHidden/>
              </w:rPr>
              <w:fldChar w:fldCharType="end"/>
            </w:r>
          </w:hyperlink>
        </w:p>
        <w:p w14:paraId="3CD30F8E" w14:textId="5CDFC2B3" w:rsidR="00403DB1" w:rsidRDefault="00403DB1">
          <w:pPr>
            <w:pStyle w:val="TOC3"/>
            <w:tabs>
              <w:tab w:val="right" w:leader="dot" w:pos="8449"/>
            </w:tabs>
            <w:rPr>
              <w:noProof/>
              <w:kern w:val="2"/>
              <w:sz w:val="24"/>
              <w:szCs w:val="24"/>
              <w:lang w:val="en-AU" w:eastAsia="en-AU"/>
              <w14:ligatures w14:val="standardContextual"/>
            </w:rPr>
          </w:pPr>
          <w:hyperlink w:anchor="_Toc183163260" w:history="1">
            <w:r w:rsidRPr="008B4AD3">
              <w:rPr>
                <w:rStyle w:val="Hyperlink"/>
                <w:noProof/>
              </w:rPr>
              <w:t>Cost-benefit analysis input and assumptions</w:t>
            </w:r>
            <w:r>
              <w:rPr>
                <w:noProof/>
                <w:webHidden/>
              </w:rPr>
              <w:tab/>
            </w:r>
            <w:r>
              <w:rPr>
                <w:noProof/>
                <w:webHidden/>
              </w:rPr>
              <w:fldChar w:fldCharType="begin"/>
            </w:r>
            <w:r>
              <w:rPr>
                <w:noProof/>
                <w:webHidden/>
              </w:rPr>
              <w:instrText xml:space="preserve"> PAGEREF _Toc183163260 \h </w:instrText>
            </w:r>
            <w:r>
              <w:rPr>
                <w:noProof/>
                <w:webHidden/>
              </w:rPr>
            </w:r>
            <w:r>
              <w:rPr>
                <w:noProof/>
                <w:webHidden/>
              </w:rPr>
              <w:fldChar w:fldCharType="separate"/>
            </w:r>
            <w:r w:rsidR="00C6363F">
              <w:rPr>
                <w:noProof/>
                <w:webHidden/>
              </w:rPr>
              <w:t>39</w:t>
            </w:r>
            <w:r>
              <w:rPr>
                <w:noProof/>
                <w:webHidden/>
              </w:rPr>
              <w:fldChar w:fldCharType="end"/>
            </w:r>
          </w:hyperlink>
        </w:p>
        <w:p w14:paraId="080880F3" w14:textId="3B7E3C7D" w:rsidR="00403DB1" w:rsidRDefault="00403DB1">
          <w:pPr>
            <w:pStyle w:val="TOC3"/>
            <w:tabs>
              <w:tab w:val="right" w:leader="dot" w:pos="8449"/>
            </w:tabs>
            <w:rPr>
              <w:noProof/>
              <w:kern w:val="2"/>
              <w:sz w:val="24"/>
              <w:szCs w:val="24"/>
              <w:lang w:val="en-AU" w:eastAsia="en-AU"/>
              <w14:ligatures w14:val="standardContextual"/>
            </w:rPr>
          </w:pPr>
          <w:hyperlink w:anchor="_Toc183163261" w:history="1">
            <w:r w:rsidRPr="008B4AD3">
              <w:rPr>
                <w:rStyle w:val="Hyperlink"/>
                <w:noProof/>
              </w:rPr>
              <w:t>Market size and distribution</w:t>
            </w:r>
            <w:r>
              <w:rPr>
                <w:noProof/>
                <w:webHidden/>
              </w:rPr>
              <w:tab/>
            </w:r>
            <w:r>
              <w:rPr>
                <w:noProof/>
                <w:webHidden/>
              </w:rPr>
              <w:fldChar w:fldCharType="begin"/>
            </w:r>
            <w:r>
              <w:rPr>
                <w:noProof/>
                <w:webHidden/>
              </w:rPr>
              <w:instrText xml:space="preserve"> PAGEREF _Toc183163261 \h </w:instrText>
            </w:r>
            <w:r>
              <w:rPr>
                <w:noProof/>
                <w:webHidden/>
              </w:rPr>
            </w:r>
            <w:r>
              <w:rPr>
                <w:noProof/>
                <w:webHidden/>
              </w:rPr>
              <w:fldChar w:fldCharType="separate"/>
            </w:r>
            <w:r w:rsidR="00C6363F">
              <w:rPr>
                <w:noProof/>
                <w:webHidden/>
              </w:rPr>
              <w:t>40</w:t>
            </w:r>
            <w:r>
              <w:rPr>
                <w:noProof/>
                <w:webHidden/>
              </w:rPr>
              <w:fldChar w:fldCharType="end"/>
            </w:r>
          </w:hyperlink>
        </w:p>
        <w:p w14:paraId="49478CE5" w14:textId="5186EC63" w:rsidR="00403DB1" w:rsidRDefault="00403DB1">
          <w:pPr>
            <w:pStyle w:val="TOC3"/>
            <w:tabs>
              <w:tab w:val="right" w:leader="dot" w:pos="8449"/>
            </w:tabs>
            <w:rPr>
              <w:noProof/>
              <w:kern w:val="2"/>
              <w:sz w:val="24"/>
              <w:szCs w:val="24"/>
              <w:lang w:val="en-AU" w:eastAsia="en-AU"/>
              <w14:ligatures w14:val="standardContextual"/>
            </w:rPr>
          </w:pPr>
          <w:hyperlink w:anchor="_Toc183163262" w:history="1">
            <w:r w:rsidRPr="008B4AD3">
              <w:rPr>
                <w:rStyle w:val="Hyperlink"/>
                <w:noProof/>
              </w:rPr>
              <w:t>Market growth</w:t>
            </w:r>
            <w:r>
              <w:rPr>
                <w:noProof/>
                <w:webHidden/>
              </w:rPr>
              <w:tab/>
            </w:r>
            <w:r>
              <w:rPr>
                <w:noProof/>
                <w:webHidden/>
              </w:rPr>
              <w:fldChar w:fldCharType="begin"/>
            </w:r>
            <w:r>
              <w:rPr>
                <w:noProof/>
                <w:webHidden/>
              </w:rPr>
              <w:instrText xml:space="preserve"> PAGEREF _Toc183163262 \h </w:instrText>
            </w:r>
            <w:r>
              <w:rPr>
                <w:noProof/>
                <w:webHidden/>
              </w:rPr>
            </w:r>
            <w:r>
              <w:rPr>
                <w:noProof/>
                <w:webHidden/>
              </w:rPr>
              <w:fldChar w:fldCharType="separate"/>
            </w:r>
            <w:r w:rsidR="00C6363F">
              <w:rPr>
                <w:noProof/>
                <w:webHidden/>
              </w:rPr>
              <w:t>41</w:t>
            </w:r>
            <w:r>
              <w:rPr>
                <w:noProof/>
                <w:webHidden/>
              </w:rPr>
              <w:fldChar w:fldCharType="end"/>
            </w:r>
          </w:hyperlink>
        </w:p>
        <w:p w14:paraId="58F503E2" w14:textId="457077B6" w:rsidR="00403DB1" w:rsidRDefault="00403DB1">
          <w:pPr>
            <w:pStyle w:val="TOC3"/>
            <w:tabs>
              <w:tab w:val="right" w:leader="dot" w:pos="8449"/>
            </w:tabs>
            <w:rPr>
              <w:noProof/>
              <w:kern w:val="2"/>
              <w:sz w:val="24"/>
              <w:szCs w:val="24"/>
              <w:lang w:val="en-AU" w:eastAsia="en-AU"/>
              <w14:ligatures w14:val="standardContextual"/>
            </w:rPr>
          </w:pPr>
          <w:hyperlink w:anchor="_Toc183163263" w:history="1">
            <w:r w:rsidRPr="008B4AD3">
              <w:rPr>
                <w:rStyle w:val="Hyperlink"/>
                <w:noProof/>
              </w:rPr>
              <w:t>Cost to industry</w:t>
            </w:r>
            <w:r>
              <w:rPr>
                <w:noProof/>
                <w:webHidden/>
              </w:rPr>
              <w:tab/>
            </w:r>
            <w:r>
              <w:rPr>
                <w:noProof/>
                <w:webHidden/>
              </w:rPr>
              <w:fldChar w:fldCharType="begin"/>
            </w:r>
            <w:r>
              <w:rPr>
                <w:noProof/>
                <w:webHidden/>
              </w:rPr>
              <w:instrText xml:space="preserve"> PAGEREF _Toc183163263 \h </w:instrText>
            </w:r>
            <w:r>
              <w:rPr>
                <w:noProof/>
                <w:webHidden/>
              </w:rPr>
            </w:r>
            <w:r>
              <w:rPr>
                <w:noProof/>
                <w:webHidden/>
              </w:rPr>
              <w:fldChar w:fldCharType="separate"/>
            </w:r>
            <w:r w:rsidR="00C6363F">
              <w:rPr>
                <w:noProof/>
                <w:webHidden/>
              </w:rPr>
              <w:t>41</w:t>
            </w:r>
            <w:r>
              <w:rPr>
                <w:noProof/>
                <w:webHidden/>
              </w:rPr>
              <w:fldChar w:fldCharType="end"/>
            </w:r>
          </w:hyperlink>
        </w:p>
        <w:p w14:paraId="4AA2D502" w14:textId="44CEEBEF" w:rsidR="00403DB1" w:rsidRDefault="00403DB1">
          <w:pPr>
            <w:pStyle w:val="TOC3"/>
            <w:tabs>
              <w:tab w:val="right" w:leader="dot" w:pos="8449"/>
            </w:tabs>
            <w:rPr>
              <w:noProof/>
              <w:kern w:val="2"/>
              <w:sz w:val="24"/>
              <w:szCs w:val="24"/>
              <w:lang w:val="en-AU" w:eastAsia="en-AU"/>
              <w14:ligatures w14:val="standardContextual"/>
            </w:rPr>
          </w:pPr>
          <w:hyperlink w:anchor="_Toc183163264" w:history="1">
            <w:r w:rsidRPr="008B4AD3">
              <w:rPr>
                <w:rStyle w:val="Hyperlink"/>
                <w:noProof/>
              </w:rPr>
              <w:t>Incremental product cost for increased efficiency</w:t>
            </w:r>
            <w:r>
              <w:rPr>
                <w:noProof/>
                <w:webHidden/>
              </w:rPr>
              <w:tab/>
            </w:r>
            <w:r>
              <w:rPr>
                <w:noProof/>
                <w:webHidden/>
              </w:rPr>
              <w:fldChar w:fldCharType="begin"/>
            </w:r>
            <w:r>
              <w:rPr>
                <w:noProof/>
                <w:webHidden/>
              </w:rPr>
              <w:instrText xml:space="preserve"> PAGEREF _Toc183163264 \h </w:instrText>
            </w:r>
            <w:r>
              <w:rPr>
                <w:noProof/>
                <w:webHidden/>
              </w:rPr>
            </w:r>
            <w:r>
              <w:rPr>
                <w:noProof/>
                <w:webHidden/>
              </w:rPr>
              <w:fldChar w:fldCharType="separate"/>
            </w:r>
            <w:r w:rsidR="00C6363F">
              <w:rPr>
                <w:noProof/>
                <w:webHidden/>
              </w:rPr>
              <w:t>42</w:t>
            </w:r>
            <w:r>
              <w:rPr>
                <w:noProof/>
                <w:webHidden/>
              </w:rPr>
              <w:fldChar w:fldCharType="end"/>
            </w:r>
          </w:hyperlink>
        </w:p>
        <w:p w14:paraId="63D29ABF" w14:textId="528A2180" w:rsidR="00403DB1" w:rsidRDefault="00403DB1">
          <w:pPr>
            <w:pStyle w:val="TOC3"/>
            <w:tabs>
              <w:tab w:val="right" w:leader="dot" w:pos="8449"/>
            </w:tabs>
            <w:rPr>
              <w:noProof/>
              <w:kern w:val="2"/>
              <w:sz w:val="24"/>
              <w:szCs w:val="24"/>
              <w:lang w:val="en-AU" w:eastAsia="en-AU"/>
              <w14:ligatures w14:val="standardContextual"/>
            </w:rPr>
          </w:pPr>
          <w:hyperlink w:anchor="_Toc183163265" w:history="1">
            <w:r w:rsidRPr="008B4AD3">
              <w:rPr>
                <w:rStyle w:val="Hyperlink"/>
                <w:noProof/>
              </w:rPr>
              <w:t>Electricity prices</w:t>
            </w:r>
            <w:r>
              <w:rPr>
                <w:noProof/>
                <w:webHidden/>
              </w:rPr>
              <w:tab/>
            </w:r>
            <w:r>
              <w:rPr>
                <w:noProof/>
                <w:webHidden/>
              </w:rPr>
              <w:fldChar w:fldCharType="begin"/>
            </w:r>
            <w:r>
              <w:rPr>
                <w:noProof/>
                <w:webHidden/>
              </w:rPr>
              <w:instrText xml:space="preserve"> PAGEREF _Toc183163265 \h </w:instrText>
            </w:r>
            <w:r>
              <w:rPr>
                <w:noProof/>
                <w:webHidden/>
              </w:rPr>
            </w:r>
            <w:r>
              <w:rPr>
                <w:noProof/>
                <w:webHidden/>
              </w:rPr>
              <w:fldChar w:fldCharType="separate"/>
            </w:r>
            <w:r w:rsidR="00C6363F">
              <w:rPr>
                <w:noProof/>
                <w:webHidden/>
              </w:rPr>
              <w:t>43</w:t>
            </w:r>
            <w:r>
              <w:rPr>
                <w:noProof/>
                <w:webHidden/>
              </w:rPr>
              <w:fldChar w:fldCharType="end"/>
            </w:r>
          </w:hyperlink>
        </w:p>
        <w:p w14:paraId="2187763E" w14:textId="1FB4E128" w:rsidR="00403DB1" w:rsidRDefault="00403DB1">
          <w:pPr>
            <w:pStyle w:val="TOC3"/>
            <w:tabs>
              <w:tab w:val="right" w:leader="dot" w:pos="8449"/>
            </w:tabs>
            <w:rPr>
              <w:noProof/>
              <w:kern w:val="2"/>
              <w:sz w:val="24"/>
              <w:szCs w:val="24"/>
              <w:lang w:val="en-AU" w:eastAsia="en-AU"/>
              <w14:ligatures w14:val="standardContextual"/>
            </w:rPr>
          </w:pPr>
          <w:hyperlink w:anchor="_Toc183163266" w:history="1">
            <w:r w:rsidRPr="008B4AD3">
              <w:rPr>
                <w:rStyle w:val="Hyperlink"/>
                <w:noProof/>
              </w:rPr>
              <w:t>Government costs</w:t>
            </w:r>
            <w:r>
              <w:rPr>
                <w:noProof/>
                <w:webHidden/>
              </w:rPr>
              <w:tab/>
            </w:r>
            <w:r>
              <w:rPr>
                <w:noProof/>
                <w:webHidden/>
              </w:rPr>
              <w:fldChar w:fldCharType="begin"/>
            </w:r>
            <w:r>
              <w:rPr>
                <w:noProof/>
                <w:webHidden/>
              </w:rPr>
              <w:instrText xml:space="preserve"> PAGEREF _Toc183163266 \h </w:instrText>
            </w:r>
            <w:r>
              <w:rPr>
                <w:noProof/>
                <w:webHidden/>
              </w:rPr>
            </w:r>
            <w:r>
              <w:rPr>
                <w:noProof/>
                <w:webHidden/>
              </w:rPr>
              <w:fldChar w:fldCharType="separate"/>
            </w:r>
            <w:r w:rsidR="00C6363F">
              <w:rPr>
                <w:noProof/>
                <w:webHidden/>
              </w:rPr>
              <w:t>45</w:t>
            </w:r>
            <w:r>
              <w:rPr>
                <w:noProof/>
                <w:webHidden/>
              </w:rPr>
              <w:fldChar w:fldCharType="end"/>
            </w:r>
          </w:hyperlink>
        </w:p>
        <w:p w14:paraId="64CFEEBB" w14:textId="09B53FBE" w:rsidR="00403DB1" w:rsidRDefault="00403DB1">
          <w:pPr>
            <w:pStyle w:val="TOC3"/>
            <w:tabs>
              <w:tab w:val="right" w:leader="dot" w:pos="8449"/>
            </w:tabs>
            <w:rPr>
              <w:noProof/>
              <w:kern w:val="2"/>
              <w:sz w:val="24"/>
              <w:szCs w:val="24"/>
              <w:lang w:val="en-AU" w:eastAsia="en-AU"/>
              <w14:ligatures w14:val="standardContextual"/>
            </w:rPr>
          </w:pPr>
          <w:hyperlink w:anchor="_Toc183163267" w:history="1">
            <w:r w:rsidRPr="008B4AD3">
              <w:rPr>
                <w:rStyle w:val="Hyperlink"/>
                <w:noProof/>
              </w:rPr>
              <w:t>Avoided energy network costs</w:t>
            </w:r>
            <w:r>
              <w:rPr>
                <w:noProof/>
                <w:webHidden/>
              </w:rPr>
              <w:tab/>
            </w:r>
            <w:r>
              <w:rPr>
                <w:noProof/>
                <w:webHidden/>
              </w:rPr>
              <w:fldChar w:fldCharType="begin"/>
            </w:r>
            <w:r>
              <w:rPr>
                <w:noProof/>
                <w:webHidden/>
              </w:rPr>
              <w:instrText xml:space="preserve"> PAGEREF _Toc183163267 \h </w:instrText>
            </w:r>
            <w:r>
              <w:rPr>
                <w:noProof/>
                <w:webHidden/>
              </w:rPr>
            </w:r>
            <w:r>
              <w:rPr>
                <w:noProof/>
                <w:webHidden/>
              </w:rPr>
              <w:fldChar w:fldCharType="separate"/>
            </w:r>
            <w:r w:rsidR="00C6363F">
              <w:rPr>
                <w:noProof/>
                <w:webHidden/>
              </w:rPr>
              <w:t>45</w:t>
            </w:r>
            <w:r>
              <w:rPr>
                <w:noProof/>
                <w:webHidden/>
              </w:rPr>
              <w:fldChar w:fldCharType="end"/>
            </w:r>
          </w:hyperlink>
        </w:p>
        <w:p w14:paraId="18065D58" w14:textId="03F3043F" w:rsidR="00403DB1" w:rsidRDefault="00403DB1">
          <w:pPr>
            <w:pStyle w:val="TOC3"/>
            <w:tabs>
              <w:tab w:val="right" w:leader="dot" w:pos="8449"/>
            </w:tabs>
            <w:rPr>
              <w:noProof/>
              <w:kern w:val="2"/>
              <w:sz w:val="24"/>
              <w:szCs w:val="24"/>
              <w:lang w:val="en-AU" w:eastAsia="en-AU"/>
              <w14:ligatures w14:val="standardContextual"/>
            </w:rPr>
          </w:pPr>
          <w:hyperlink w:anchor="_Toc183163268" w:history="1">
            <w:r w:rsidRPr="008B4AD3">
              <w:rPr>
                <w:rStyle w:val="Hyperlink"/>
                <w:noProof/>
              </w:rPr>
              <w:t>Health benefits associated with improved air quality</w:t>
            </w:r>
            <w:r>
              <w:rPr>
                <w:noProof/>
                <w:webHidden/>
              </w:rPr>
              <w:tab/>
            </w:r>
            <w:r>
              <w:rPr>
                <w:noProof/>
                <w:webHidden/>
              </w:rPr>
              <w:fldChar w:fldCharType="begin"/>
            </w:r>
            <w:r>
              <w:rPr>
                <w:noProof/>
                <w:webHidden/>
              </w:rPr>
              <w:instrText xml:space="preserve"> PAGEREF _Toc183163268 \h </w:instrText>
            </w:r>
            <w:r>
              <w:rPr>
                <w:noProof/>
                <w:webHidden/>
              </w:rPr>
            </w:r>
            <w:r>
              <w:rPr>
                <w:noProof/>
                <w:webHidden/>
              </w:rPr>
              <w:fldChar w:fldCharType="separate"/>
            </w:r>
            <w:r w:rsidR="00C6363F">
              <w:rPr>
                <w:noProof/>
                <w:webHidden/>
              </w:rPr>
              <w:t>45</w:t>
            </w:r>
            <w:r>
              <w:rPr>
                <w:noProof/>
                <w:webHidden/>
              </w:rPr>
              <w:fldChar w:fldCharType="end"/>
            </w:r>
          </w:hyperlink>
        </w:p>
        <w:p w14:paraId="4737B18A" w14:textId="3C372E56" w:rsidR="00403DB1" w:rsidRDefault="00403DB1">
          <w:pPr>
            <w:pStyle w:val="TOC3"/>
            <w:tabs>
              <w:tab w:val="right" w:leader="dot" w:pos="8449"/>
            </w:tabs>
            <w:rPr>
              <w:noProof/>
              <w:kern w:val="2"/>
              <w:sz w:val="24"/>
              <w:szCs w:val="24"/>
              <w:lang w:val="en-AU" w:eastAsia="en-AU"/>
              <w14:ligatures w14:val="standardContextual"/>
            </w:rPr>
          </w:pPr>
          <w:hyperlink w:anchor="_Toc183163269" w:history="1">
            <w:r w:rsidRPr="008B4AD3">
              <w:rPr>
                <w:rStyle w:val="Hyperlink"/>
                <w:noProof/>
              </w:rPr>
              <w:t>Reduced greenhouse gas emissions</w:t>
            </w:r>
            <w:r>
              <w:rPr>
                <w:noProof/>
                <w:webHidden/>
              </w:rPr>
              <w:tab/>
            </w:r>
            <w:r>
              <w:rPr>
                <w:noProof/>
                <w:webHidden/>
              </w:rPr>
              <w:fldChar w:fldCharType="begin"/>
            </w:r>
            <w:r>
              <w:rPr>
                <w:noProof/>
                <w:webHidden/>
              </w:rPr>
              <w:instrText xml:space="preserve"> PAGEREF _Toc183163269 \h </w:instrText>
            </w:r>
            <w:r>
              <w:rPr>
                <w:noProof/>
                <w:webHidden/>
              </w:rPr>
            </w:r>
            <w:r>
              <w:rPr>
                <w:noProof/>
                <w:webHidden/>
              </w:rPr>
              <w:fldChar w:fldCharType="separate"/>
            </w:r>
            <w:r w:rsidR="00C6363F">
              <w:rPr>
                <w:noProof/>
                <w:webHidden/>
              </w:rPr>
              <w:t>46</w:t>
            </w:r>
            <w:r>
              <w:rPr>
                <w:noProof/>
                <w:webHidden/>
              </w:rPr>
              <w:fldChar w:fldCharType="end"/>
            </w:r>
          </w:hyperlink>
        </w:p>
        <w:p w14:paraId="3EA2DA4B" w14:textId="1A50CEDB" w:rsidR="00403DB1" w:rsidRDefault="00403DB1">
          <w:pPr>
            <w:pStyle w:val="TOC3"/>
            <w:tabs>
              <w:tab w:val="right" w:leader="dot" w:pos="8449"/>
            </w:tabs>
            <w:rPr>
              <w:noProof/>
              <w:kern w:val="2"/>
              <w:sz w:val="24"/>
              <w:szCs w:val="24"/>
              <w:lang w:val="en-AU" w:eastAsia="en-AU"/>
              <w14:ligatures w14:val="standardContextual"/>
            </w:rPr>
          </w:pPr>
          <w:hyperlink w:anchor="_Toc183163270" w:history="1">
            <w:r w:rsidRPr="008B4AD3">
              <w:rPr>
                <w:rStyle w:val="Hyperlink"/>
                <w:noProof/>
              </w:rPr>
              <w:t>Cost of carbon</w:t>
            </w:r>
            <w:r>
              <w:rPr>
                <w:noProof/>
                <w:webHidden/>
              </w:rPr>
              <w:tab/>
            </w:r>
            <w:r>
              <w:rPr>
                <w:noProof/>
                <w:webHidden/>
              </w:rPr>
              <w:fldChar w:fldCharType="begin"/>
            </w:r>
            <w:r>
              <w:rPr>
                <w:noProof/>
                <w:webHidden/>
              </w:rPr>
              <w:instrText xml:space="preserve"> PAGEREF _Toc183163270 \h </w:instrText>
            </w:r>
            <w:r>
              <w:rPr>
                <w:noProof/>
                <w:webHidden/>
              </w:rPr>
            </w:r>
            <w:r>
              <w:rPr>
                <w:noProof/>
                <w:webHidden/>
              </w:rPr>
              <w:fldChar w:fldCharType="separate"/>
            </w:r>
            <w:r w:rsidR="00C6363F">
              <w:rPr>
                <w:noProof/>
                <w:webHidden/>
              </w:rPr>
              <w:t>46</w:t>
            </w:r>
            <w:r>
              <w:rPr>
                <w:noProof/>
                <w:webHidden/>
              </w:rPr>
              <w:fldChar w:fldCharType="end"/>
            </w:r>
          </w:hyperlink>
        </w:p>
        <w:p w14:paraId="089D3CF3" w14:textId="441BC90E" w:rsidR="00403DB1" w:rsidRDefault="00403DB1">
          <w:pPr>
            <w:pStyle w:val="TOC2"/>
            <w:rPr>
              <w:noProof/>
              <w:kern w:val="2"/>
              <w:sz w:val="24"/>
              <w:szCs w:val="24"/>
              <w:lang w:val="en-AU" w:eastAsia="en-AU"/>
              <w14:ligatures w14:val="standardContextual"/>
            </w:rPr>
          </w:pPr>
          <w:hyperlink w:anchor="_Toc183163271" w:history="1">
            <w:r w:rsidRPr="008B4AD3">
              <w:rPr>
                <w:rStyle w:val="Hyperlink"/>
                <w:noProof/>
              </w:rPr>
              <w:t>4.2 Benefit cost ratios</w:t>
            </w:r>
            <w:r>
              <w:rPr>
                <w:noProof/>
                <w:webHidden/>
              </w:rPr>
              <w:tab/>
            </w:r>
            <w:r>
              <w:rPr>
                <w:noProof/>
                <w:webHidden/>
              </w:rPr>
              <w:fldChar w:fldCharType="begin"/>
            </w:r>
            <w:r>
              <w:rPr>
                <w:noProof/>
                <w:webHidden/>
              </w:rPr>
              <w:instrText xml:space="preserve"> PAGEREF _Toc183163271 \h </w:instrText>
            </w:r>
            <w:r>
              <w:rPr>
                <w:noProof/>
                <w:webHidden/>
              </w:rPr>
            </w:r>
            <w:r>
              <w:rPr>
                <w:noProof/>
                <w:webHidden/>
              </w:rPr>
              <w:fldChar w:fldCharType="separate"/>
            </w:r>
            <w:r w:rsidR="00C6363F">
              <w:rPr>
                <w:noProof/>
                <w:webHidden/>
              </w:rPr>
              <w:t>46</w:t>
            </w:r>
            <w:r>
              <w:rPr>
                <w:noProof/>
                <w:webHidden/>
              </w:rPr>
              <w:fldChar w:fldCharType="end"/>
            </w:r>
          </w:hyperlink>
        </w:p>
        <w:p w14:paraId="1337F79E" w14:textId="1DF3776D" w:rsidR="00403DB1" w:rsidRDefault="00403DB1">
          <w:pPr>
            <w:pStyle w:val="TOC3"/>
            <w:tabs>
              <w:tab w:val="right" w:leader="dot" w:pos="8449"/>
            </w:tabs>
            <w:rPr>
              <w:noProof/>
              <w:kern w:val="2"/>
              <w:sz w:val="24"/>
              <w:szCs w:val="24"/>
              <w:lang w:val="en-AU" w:eastAsia="en-AU"/>
              <w14:ligatures w14:val="standardContextual"/>
            </w:rPr>
          </w:pPr>
          <w:hyperlink w:anchor="_Toc183163272" w:history="1">
            <w:r w:rsidRPr="008B4AD3">
              <w:rPr>
                <w:rStyle w:val="Hyperlink"/>
                <w:noProof/>
              </w:rPr>
              <w:t>Incremental product costs assumptions</w:t>
            </w:r>
            <w:r>
              <w:rPr>
                <w:noProof/>
                <w:webHidden/>
              </w:rPr>
              <w:tab/>
            </w:r>
            <w:r>
              <w:rPr>
                <w:noProof/>
                <w:webHidden/>
              </w:rPr>
              <w:fldChar w:fldCharType="begin"/>
            </w:r>
            <w:r>
              <w:rPr>
                <w:noProof/>
                <w:webHidden/>
              </w:rPr>
              <w:instrText xml:space="preserve"> PAGEREF _Toc183163272 \h </w:instrText>
            </w:r>
            <w:r>
              <w:rPr>
                <w:noProof/>
                <w:webHidden/>
              </w:rPr>
            </w:r>
            <w:r>
              <w:rPr>
                <w:noProof/>
                <w:webHidden/>
              </w:rPr>
              <w:fldChar w:fldCharType="separate"/>
            </w:r>
            <w:r w:rsidR="00C6363F">
              <w:rPr>
                <w:noProof/>
                <w:webHidden/>
              </w:rPr>
              <w:t>49</w:t>
            </w:r>
            <w:r>
              <w:rPr>
                <w:noProof/>
                <w:webHidden/>
              </w:rPr>
              <w:fldChar w:fldCharType="end"/>
            </w:r>
          </w:hyperlink>
        </w:p>
        <w:p w14:paraId="65232ADC" w14:textId="4F9962B6" w:rsidR="00403DB1" w:rsidRDefault="00403DB1">
          <w:pPr>
            <w:pStyle w:val="TOC3"/>
            <w:tabs>
              <w:tab w:val="right" w:leader="dot" w:pos="8449"/>
            </w:tabs>
            <w:rPr>
              <w:noProof/>
              <w:kern w:val="2"/>
              <w:sz w:val="24"/>
              <w:szCs w:val="24"/>
              <w:lang w:val="en-AU" w:eastAsia="en-AU"/>
              <w14:ligatures w14:val="standardContextual"/>
            </w:rPr>
          </w:pPr>
          <w:hyperlink w:anchor="_Toc183163273" w:history="1">
            <w:r w:rsidRPr="008B4AD3">
              <w:rPr>
                <w:rStyle w:val="Hyperlink"/>
                <w:noProof/>
              </w:rPr>
              <w:t>Administrative efficiency improvements</w:t>
            </w:r>
            <w:r>
              <w:rPr>
                <w:noProof/>
                <w:webHidden/>
              </w:rPr>
              <w:tab/>
            </w:r>
            <w:r>
              <w:rPr>
                <w:noProof/>
                <w:webHidden/>
              </w:rPr>
              <w:fldChar w:fldCharType="begin"/>
            </w:r>
            <w:r>
              <w:rPr>
                <w:noProof/>
                <w:webHidden/>
              </w:rPr>
              <w:instrText xml:space="preserve"> PAGEREF _Toc183163273 \h </w:instrText>
            </w:r>
            <w:r>
              <w:rPr>
                <w:noProof/>
                <w:webHidden/>
              </w:rPr>
            </w:r>
            <w:r>
              <w:rPr>
                <w:noProof/>
                <w:webHidden/>
              </w:rPr>
              <w:fldChar w:fldCharType="separate"/>
            </w:r>
            <w:r w:rsidR="00C6363F">
              <w:rPr>
                <w:noProof/>
                <w:webHidden/>
              </w:rPr>
              <w:t>49</w:t>
            </w:r>
            <w:r>
              <w:rPr>
                <w:noProof/>
                <w:webHidden/>
              </w:rPr>
              <w:fldChar w:fldCharType="end"/>
            </w:r>
          </w:hyperlink>
        </w:p>
        <w:p w14:paraId="1130182F" w14:textId="4A99617B" w:rsidR="00403DB1" w:rsidRDefault="00403DB1">
          <w:pPr>
            <w:pStyle w:val="TOC1"/>
            <w:rPr>
              <w:b w:val="0"/>
              <w:noProof/>
              <w:kern w:val="2"/>
              <w:sz w:val="24"/>
              <w:szCs w:val="24"/>
              <w:lang w:val="en-AU" w:eastAsia="en-AU"/>
              <w14:ligatures w14:val="standardContextual"/>
            </w:rPr>
          </w:pPr>
          <w:hyperlink w:anchor="_Toc183163274" w:history="1">
            <w:r w:rsidRPr="008B4AD3">
              <w:rPr>
                <w:rStyle w:val="Hyperlink"/>
                <w:rFonts w:cstheme="minorHAnsi"/>
                <w:noProof/>
              </w:rPr>
              <w:t>Section 5: Proposed changes</w:t>
            </w:r>
            <w:r>
              <w:rPr>
                <w:noProof/>
                <w:webHidden/>
              </w:rPr>
              <w:tab/>
            </w:r>
            <w:r>
              <w:rPr>
                <w:noProof/>
                <w:webHidden/>
              </w:rPr>
              <w:fldChar w:fldCharType="begin"/>
            </w:r>
            <w:r>
              <w:rPr>
                <w:noProof/>
                <w:webHidden/>
              </w:rPr>
              <w:instrText xml:space="preserve"> PAGEREF _Toc183163274 \h </w:instrText>
            </w:r>
            <w:r>
              <w:rPr>
                <w:noProof/>
                <w:webHidden/>
              </w:rPr>
            </w:r>
            <w:r>
              <w:rPr>
                <w:noProof/>
                <w:webHidden/>
              </w:rPr>
              <w:fldChar w:fldCharType="separate"/>
            </w:r>
            <w:r w:rsidR="00C6363F">
              <w:rPr>
                <w:noProof/>
                <w:webHidden/>
              </w:rPr>
              <w:t>51</w:t>
            </w:r>
            <w:r>
              <w:rPr>
                <w:noProof/>
                <w:webHidden/>
              </w:rPr>
              <w:fldChar w:fldCharType="end"/>
            </w:r>
          </w:hyperlink>
        </w:p>
        <w:p w14:paraId="7D1C89E1" w14:textId="4B7F9197" w:rsidR="00403DB1" w:rsidRDefault="00403DB1">
          <w:pPr>
            <w:pStyle w:val="TOC3"/>
            <w:tabs>
              <w:tab w:val="right" w:leader="dot" w:pos="8449"/>
            </w:tabs>
            <w:rPr>
              <w:noProof/>
              <w:kern w:val="2"/>
              <w:sz w:val="24"/>
              <w:szCs w:val="24"/>
              <w:lang w:val="en-AU" w:eastAsia="en-AU"/>
              <w14:ligatures w14:val="standardContextual"/>
            </w:rPr>
          </w:pPr>
          <w:hyperlink w:anchor="_Toc183163275" w:history="1">
            <w:r w:rsidRPr="008B4AD3">
              <w:rPr>
                <w:rStyle w:val="Hyperlink"/>
                <w:noProof/>
              </w:rPr>
              <w:t>Family of models</w:t>
            </w:r>
            <w:r>
              <w:rPr>
                <w:noProof/>
                <w:webHidden/>
              </w:rPr>
              <w:tab/>
            </w:r>
            <w:r>
              <w:rPr>
                <w:noProof/>
                <w:webHidden/>
              </w:rPr>
              <w:fldChar w:fldCharType="begin"/>
            </w:r>
            <w:r>
              <w:rPr>
                <w:noProof/>
                <w:webHidden/>
              </w:rPr>
              <w:instrText xml:space="preserve"> PAGEREF _Toc183163275 \h </w:instrText>
            </w:r>
            <w:r>
              <w:rPr>
                <w:noProof/>
                <w:webHidden/>
              </w:rPr>
            </w:r>
            <w:r>
              <w:rPr>
                <w:noProof/>
                <w:webHidden/>
              </w:rPr>
              <w:fldChar w:fldCharType="separate"/>
            </w:r>
            <w:r w:rsidR="00C6363F">
              <w:rPr>
                <w:noProof/>
                <w:webHidden/>
              </w:rPr>
              <w:t>53</w:t>
            </w:r>
            <w:r>
              <w:rPr>
                <w:noProof/>
                <w:webHidden/>
              </w:rPr>
              <w:fldChar w:fldCharType="end"/>
            </w:r>
          </w:hyperlink>
        </w:p>
        <w:p w14:paraId="4AE26F87" w14:textId="5D34C22A" w:rsidR="00403DB1" w:rsidRDefault="00403DB1">
          <w:pPr>
            <w:pStyle w:val="TOC3"/>
            <w:tabs>
              <w:tab w:val="right" w:leader="dot" w:pos="8449"/>
            </w:tabs>
            <w:rPr>
              <w:noProof/>
              <w:kern w:val="2"/>
              <w:sz w:val="24"/>
              <w:szCs w:val="24"/>
              <w:lang w:val="en-AU" w:eastAsia="en-AU"/>
              <w14:ligatures w14:val="standardContextual"/>
            </w:rPr>
          </w:pPr>
          <w:hyperlink w:anchor="_Toc183163276" w:history="1">
            <w:r w:rsidRPr="008B4AD3">
              <w:rPr>
                <w:rStyle w:val="Hyperlink"/>
                <w:rFonts w:cstheme="minorHAnsi"/>
                <w:noProof/>
              </w:rPr>
              <w:t>Product classes</w:t>
            </w:r>
            <w:r>
              <w:rPr>
                <w:noProof/>
                <w:webHidden/>
              </w:rPr>
              <w:tab/>
            </w:r>
            <w:r>
              <w:rPr>
                <w:noProof/>
                <w:webHidden/>
              </w:rPr>
              <w:fldChar w:fldCharType="begin"/>
            </w:r>
            <w:r>
              <w:rPr>
                <w:noProof/>
                <w:webHidden/>
              </w:rPr>
              <w:instrText xml:space="preserve"> PAGEREF _Toc183163276 \h </w:instrText>
            </w:r>
            <w:r>
              <w:rPr>
                <w:noProof/>
                <w:webHidden/>
              </w:rPr>
            </w:r>
            <w:r>
              <w:rPr>
                <w:noProof/>
                <w:webHidden/>
              </w:rPr>
              <w:fldChar w:fldCharType="separate"/>
            </w:r>
            <w:r w:rsidR="00C6363F">
              <w:rPr>
                <w:noProof/>
                <w:webHidden/>
              </w:rPr>
              <w:t>53</w:t>
            </w:r>
            <w:r>
              <w:rPr>
                <w:noProof/>
                <w:webHidden/>
              </w:rPr>
              <w:fldChar w:fldCharType="end"/>
            </w:r>
          </w:hyperlink>
        </w:p>
        <w:p w14:paraId="6BDD725F" w14:textId="2BB5AAE3" w:rsidR="00403DB1" w:rsidRDefault="00403DB1">
          <w:pPr>
            <w:pStyle w:val="TOC3"/>
            <w:tabs>
              <w:tab w:val="right" w:leader="dot" w:pos="8449"/>
            </w:tabs>
            <w:rPr>
              <w:noProof/>
              <w:kern w:val="2"/>
              <w:sz w:val="24"/>
              <w:szCs w:val="24"/>
              <w:lang w:val="en-AU" w:eastAsia="en-AU"/>
              <w14:ligatures w14:val="standardContextual"/>
            </w:rPr>
          </w:pPr>
          <w:hyperlink w:anchor="_Toc183163277" w:history="1">
            <w:r w:rsidRPr="008B4AD3">
              <w:rPr>
                <w:rStyle w:val="Hyperlink"/>
                <w:rFonts w:cstheme="minorHAnsi"/>
                <w:noProof/>
              </w:rPr>
              <w:t>MEPS</w:t>
            </w:r>
            <w:r>
              <w:rPr>
                <w:noProof/>
                <w:webHidden/>
              </w:rPr>
              <w:tab/>
            </w:r>
            <w:r>
              <w:rPr>
                <w:noProof/>
                <w:webHidden/>
              </w:rPr>
              <w:fldChar w:fldCharType="begin"/>
            </w:r>
            <w:r>
              <w:rPr>
                <w:noProof/>
                <w:webHidden/>
              </w:rPr>
              <w:instrText xml:space="preserve"> PAGEREF _Toc183163277 \h </w:instrText>
            </w:r>
            <w:r>
              <w:rPr>
                <w:noProof/>
                <w:webHidden/>
              </w:rPr>
            </w:r>
            <w:r>
              <w:rPr>
                <w:noProof/>
                <w:webHidden/>
              </w:rPr>
              <w:fldChar w:fldCharType="separate"/>
            </w:r>
            <w:r w:rsidR="00C6363F">
              <w:rPr>
                <w:noProof/>
                <w:webHidden/>
              </w:rPr>
              <w:t>54</w:t>
            </w:r>
            <w:r>
              <w:rPr>
                <w:noProof/>
                <w:webHidden/>
              </w:rPr>
              <w:fldChar w:fldCharType="end"/>
            </w:r>
          </w:hyperlink>
        </w:p>
        <w:p w14:paraId="297988AB" w14:textId="3676DF2A" w:rsidR="00403DB1" w:rsidRDefault="00403DB1">
          <w:pPr>
            <w:pStyle w:val="TOC3"/>
            <w:tabs>
              <w:tab w:val="right" w:leader="dot" w:pos="8449"/>
            </w:tabs>
            <w:rPr>
              <w:noProof/>
              <w:kern w:val="2"/>
              <w:sz w:val="24"/>
              <w:szCs w:val="24"/>
              <w:lang w:val="en-AU" w:eastAsia="en-AU"/>
              <w14:ligatures w14:val="standardContextual"/>
            </w:rPr>
          </w:pPr>
          <w:hyperlink w:anchor="_Toc183163278" w:history="1">
            <w:r w:rsidRPr="008B4AD3">
              <w:rPr>
                <w:rStyle w:val="Hyperlink"/>
                <w:rFonts w:cstheme="minorHAnsi"/>
                <w:noProof/>
              </w:rPr>
              <w:t>Testing</w:t>
            </w:r>
            <w:r>
              <w:rPr>
                <w:noProof/>
                <w:webHidden/>
              </w:rPr>
              <w:tab/>
            </w:r>
            <w:r>
              <w:rPr>
                <w:noProof/>
                <w:webHidden/>
              </w:rPr>
              <w:fldChar w:fldCharType="begin"/>
            </w:r>
            <w:r>
              <w:rPr>
                <w:noProof/>
                <w:webHidden/>
              </w:rPr>
              <w:instrText xml:space="preserve"> PAGEREF _Toc183163278 \h </w:instrText>
            </w:r>
            <w:r>
              <w:rPr>
                <w:noProof/>
                <w:webHidden/>
              </w:rPr>
            </w:r>
            <w:r>
              <w:rPr>
                <w:noProof/>
                <w:webHidden/>
              </w:rPr>
              <w:fldChar w:fldCharType="separate"/>
            </w:r>
            <w:r w:rsidR="00C6363F">
              <w:rPr>
                <w:noProof/>
                <w:webHidden/>
              </w:rPr>
              <w:t>54</w:t>
            </w:r>
            <w:r>
              <w:rPr>
                <w:noProof/>
                <w:webHidden/>
              </w:rPr>
              <w:fldChar w:fldCharType="end"/>
            </w:r>
          </w:hyperlink>
        </w:p>
        <w:p w14:paraId="367CE02A" w14:textId="2D533196" w:rsidR="00403DB1" w:rsidRDefault="00403DB1">
          <w:pPr>
            <w:pStyle w:val="TOC3"/>
            <w:tabs>
              <w:tab w:val="right" w:leader="dot" w:pos="8449"/>
            </w:tabs>
            <w:rPr>
              <w:noProof/>
              <w:kern w:val="2"/>
              <w:sz w:val="24"/>
              <w:szCs w:val="24"/>
              <w:lang w:val="en-AU" w:eastAsia="en-AU"/>
              <w14:ligatures w14:val="standardContextual"/>
            </w:rPr>
          </w:pPr>
          <w:hyperlink w:anchor="_Toc183163279" w:history="1">
            <w:r w:rsidRPr="008B4AD3">
              <w:rPr>
                <w:rStyle w:val="Hyperlink"/>
                <w:rFonts w:cstheme="minorHAnsi"/>
                <w:noProof/>
              </w:rPr>
              <w:t>Name plate requirements</w:t>
            </w:r>
            <w:r>
              <w:rPr>
                <w:noProof/>
                <w:webHidden/>
              </w:rPr>
              <w:tab/>
            </w:r>
            <w:r>
              <w:rPr>
                <w:noProof/>
                <w:webHidden/>
              </w:rPr>
              <w:fldChar w:fldCharType="begin"/>
            </w:r>
            <w:r>
              <w:rPr>
                <w:noProof/>
                <w:webHidden/>
              </w:rPr>
              <w:instrText xml:space="preserve"> PAGEREF _Toc183163279 \h </w:instrText>
            </w:r>
            <w:r>
              <w:rPr>
                <w:noProof/>
                <w:webHidden/>
              </w:rPr>
            </w:r>
            <w:r>
              <w:rPr>
                <w:noProof/>
                <w:webHidden/>
              </w:rPr>
              <w:fldChar w:fldCharType="separate"/>
            </w:r>
            <w:r w:rsidR="00C6363F">
              <w:rPr>
                <w:noProof/>
                <w:webHidden/>
              </w:rPr>
              <w:t>55</w:t>
            </w:r>
            <w:r>
              <w:rPr>
                <w:noProof/>
                <w:webHidden/>
              </w:rPr>
              <w:fldChar w:fldCharType="end"/>
            </w:r>
          </w:hyperlink>
        </w:p>
        <w:p w14:paraId="6FB06F24" w14:textId="43AC6528" w:rsidR="00403DB1" w:rsidRDefault="00403DB1">
          <w:pPr>
            <w:pStyle w:val="TOC1"/>
            <w:rPr>
              <w:b w:val="0"/>
              <w:noProof/>
              <w:kern w:val="2"/>
              <w:sz w:val="24"/>
              <w:szCs w:val="24"/>
              <w:lang w:val="en-AU" w:eastAsia="en-AU"/>
              <w14:ligatures w14:val="standardContextual"/>
            </w:rPr>
          </w:pPr>
          <w:hyperlink w:anchor="_Toc183163280" w:history="1">
            <w:r w:rsidRPr="008B4AD3">
              <w:rPr>
                <w:rStyle w:val="Hyperlink"/>
                <w:rFonts w:cstheme="minorHAnsi"/>
                <w:noProof/>
              </w:rPr>
              <w:t>Section 6: Questions for consultation</w:t>
            </w:r>
            <w:r>
              <w:rPr>
                <w:noProof/>
                <w:webHidden/>
              </w:rPr>
              <w:tab/>
            </w:r>
            <w:r>
              <w:rPr>
                <w:noProof/>
                <w:webHidden/>
              </w:rPr>
              <w:fldChar w:fldCharType="begin"/>
            </w:r>
            <w:r>
              <w:rPr>
                <w:noProof/>
                <w:webHidden/>
              </w:rPr>
              <w:instrText xml:space="preserve"> PAGEREF _Toc183163280 \h </w:instrText>
            </w:r>
            <w:r>
              <w:rPr>
                <w:noProof/>
                <w:webHidden/>
              </w:rPr>
            </w:r>
            <w:r>
              <w:rPr>
                <w:noProof/>
                <w:webHidden/>
              </w:rPr>
              <w:fldChar w:fldCharType="separate"/>
            </w:r>
            <w:r w:rsidR="00C6363F">
              <w:rPr>
                <w:noProof/>
                <w:webHidden/>
              </w:rPr>
              <w:t>56</w:t>
            </w:r>
            <w:r>
              <w:rPr>
                <w:noProof/>
                <w:webHidden/>
              </w:rPr>
              <w:fldChar w:fldCharType="end"/>
            </w:r>
          </w:hyperlink>
        </w:p>
        <w:p w14:paraId="5EA4A7A5" w14:textId="026B421E" w:rsidR="00403DB1" w:rsidRDefault="00403DB1">
          <w:pPr>
            <w:pStyle w:val="TOC1"/>
            <w:rPr>
              <w:b w:val="0"/>
              <w:noProof/>
              <w:kern w:val="2"/>
              <w:sz w:val="24"/>
              <w:szCs w:val="24"/>
              <w:lang w:val="en-AU" w:eastAsia="en-AU"/>
              <w14:ligatures w14:val="standardContextual"/>
            </w:rPr>
          </w:pPr>
          <w:hyperlink w:anchor="_Toc183163281" w:history="1">
            <w:r w:rsidRPr="008B4AD3">
              <w:rPr>
                <w:rStyle w:val="Hyperlink"/>
                <w:noProof/>
              </w:rPr>
              <w:t>Preferred policy option</w:t>
            </w:r>
            <w:r>
              <w:rPr>
                <w:noProof/>
                <w:webHidden/>
              </w:rPr>
              <w:tab/>
            </w:r>
            <w:r>
              <w:rPr>
                <w:noProof/>
                <w:webHidden/>
              </w:rPr>
              <w:fldChar w:fldCharType="begin"/>
            </w:r>
            <w:r>
              <w:rPr>
                <w:noProof/>
                <w:webHidden/>
              </w:rPr>
              <w:instrText xml:space="preserve"> PAGEREF _Toc183163281 \h </w:instrText>
            </w:r>
            <w:r>
              <w:rPr>
                <w:noProof/>
                <w:webHidden/>
              </w:rPr>
            </w:r>
            <w:r>
              <w:rPr>
                <w:noProof/>
                <w:webHidden/>
              </w:rPr>
              <w:fldChar w:fldCharType="separate"/>
            </w:r>
            <w:r w:rsidR="00C6363F">
              <w:rPr>
                <w:noProof/>
                <w:webHidden/>
              </w:rPr>
              <w:t>56</w:t>
            </w:r>
            <w:r>
              <w:rPr>
                <w:noProof/>
                <w:webHidden/>
              </w:rPr>
              <w:fldChar w:fldCharType="end"/>
            </w:r>
          </w:hyperlink>
        </w:p>
        <w:p w14:paraId="6DC0509C" w14:textId="509D7D39" w:rsidR="00403DB1" w:rsidRDefault="00403DB1">
          <w:pPr>
            <w:pStyle w:val="TOC2"/>
            <w:rPr>
              <w:noProof/>
              <w:kern w:val="2"/>
              <w:sz w:val="24"/>
              <w:szCs w:val="24"/>
              <w:lang w:val="en-AU" w:eastAsia="en-AU"/>
              <w14:ligatures w14:val="standardContextual"/>
            </w:rPr>
          </w:pPr>
          <w:hyperlink w:anchor="_Toc183163282" w:history="1">
            <w:r w:rsidRPr="008B4AD3">
              <w:rPr>
                <w:rStyle w:val="Hyperlink"/>
                <w:noProof/>
              </w:rPr>
              <w:t>Compliance</w:t>
            </w:r>
            <w:r>
              <w:rPr>
                <w:noProof/>
                <w:webHidden/>
              </w:rPr>
              <w:tab/>
            </w:r>
            <w:r>
              <w:rPr>
                <w:noProof/>
                <w:webHidden/>
              </w:rPr>
              <w:fldChar w:fldCharType="begin"/>
            </w:r>
            <w:r>
              <w:rPr>
                <w:noProof/>
                <w:webHidden/>
              </w:rPr>
              <w:instrText xml:space="preserve"> PAGEREF _Toc183163282 \h </w:instrText>
            </w:r>
            <w:r>
              <w:rPr>
                <w:noProof/>
                <w:webHidden/>
              </w:rPr>
            </w:r>
            <w:r>
              <w:rPr>
                <w:noProof/>
                <w:webHidden/>
              </w:rPr>
              <w:fldChar w:fldCharType="separate"/>
            </w:r>
            <w:r w:rsidR="00C6363F">
              <w:rPr>
                <w:noProof/>
                <w:webHidden/>
              </w:rPr>
              <w:t>56</w:t>
            </w:r>
            <w:r>
              <w:rPr>
                <w:noProof/>
                <w:webHidden/>
              </w:rPr>
              <w:fldChar w:fldCharType="end"/>
            </w:r>
          </w:hyperlink>
        </w:p>
        <w:p w14:paraId="05E1718D" w14:textId="7358DDE6" w:rsidR="00403DB1" w:rsidRDefault="00403DB1">
          <w:pPr>
            <w:pStyle w:val="TOC2"/>
            <w:rPr>
              <w:noProof/>
              <w:kern w:val="2"/>
              <w:sz w:val="24"/>
              <w:szCs w:val="24"/>
              <w:lang w:val="en-AU" w:eastAsia="en-AU"/>
              <w14:ligatures w14:val="standardContextual"/>
            </w:rPr>
          </w:pPr>
          <w:hyperlink w:anchor="_Toc183163283" w:history="1">
            <w:r w:rsidRPr="008B4AD3">
              <w:rPr>
                <w:rStyle w:val="Hyperlink"/>
                <w:noProof/>
              </w:rPr>
              <w:t>Implementation</w:t>
            </w:r>
            <w:r>
              <w:rPr>
                <w:noProof/>
                <w:webHidden/>
              </w:rPr>
              <w:tab/>
            </w:r>
            <w:r>
              <w:rPr>
                <w:noProof/>
                <w:webHidden/>
              </w:rPr>
              <w:fldChar w:fldCharType="begin"/>
            </w:r>
            <w:r>
              <w:rPr>
                <w:noProof/>
                <w:webHidden/>
              </w:rPr>
              <w:instrText xml:space="preserve"> PAGEREF _Toc183163283 \h </w:instrText>
            </w:r>
            <w:r>
              <w:rPr>
                <w:noProof/>
                <w:webHidden/>
              </w:rPr>
            </w:r>
            <w:r>
              <w:rPr>
                <w:noProof/>
                <w:webHidden/>
              </w:rPr>
              <w:fldChar w:fldCharType="separate"/>
            </w:r>
            <w:r w:rsidR="00C6363F">
              <w:rPr>
                <w:noProof/>
                <w:webHidden/>
              </w:rPr>
              <w:t>57</w:t>
            </w:r>
            <w:r>
              <w:rPr>
                <w:noProof/>
                <w:webHidden/>
              </w:rPr>
              <w:fldChar w:fldCharType="end"/>
            </w:r>
          </w:hyperlink>
        </w:p>
        <w:p w14:paraId="34CDF1E2" w14:textId="13FE1B4D" w:rsidR="00403DB1" w:rsidRDefault="00403DB1">
          <w:pPr>
            <w:pStyle w:val="TOC2"/>
            <w:rPr>
              <w:noProof/>
              <w:kern w:val="2"/>
              <w:sz w:val="24"/>
              <w:szCs w:val="24"/>
              <w:lang w:val="en-AU" w:eastAsia="en-AU"/>
              <w14:ligatures w14:val="standardContextual"/>
            </w:rPr>
          </w:pPr>
          <w:hyperlink w:anchor="_Toc183163284" w:history="1">
            <w:r w:rsidRPr="008B4AD3">
              <w:rPr>
                <w:rStyle w:val="Hyperlink"/>
                <w:noProof/>
              </w:rPr>
              <w:t>EPS market dynamics</w:t>
            </w:r>
            <w:r>
              <w:rPr>
                <w:noProof/>
                <w:webHidden/>
              </w:rPr>
              <w:tab/>
            </w:r>
            <w:r>
              <w:rPr>
                <w:noProof/>
                <w:webHidden/>
              </w:rPr>
              <w:fldChar w:fldCharType="begin"/>
            </w:r>
            <w:r>
              <w:rPr>
                <w:noProof/>
                <w:webHidden/>
              </w:rPr>
              <w:instrText xml:space="preserve"> PAGEREF _Toc183163284 \h </w:instrText>
            </w:r>
            <w:r>
              <w:rPr>
                <w:noProof/>
                <w:webHidden/>
              </w:rPr>
            </w:r>
            <w:r>
              <w:rPr>
                <w:noProof/>
                <w:webHidden/>
              </w:rPr>
              <w:fldChar w:fldCharType="separate"/>
            </w:r>
            <w:r w:rsidR="00C6363F">
              <w:rPr>
                <w:noProof/>
                <w:webHidden/>
              </w:rPr>
              <w:t>57</w:t>
            </w:r>
            <w:r>
              <w:rPr>
                <w:noProof/>
                <w:webHidden/>
              </w:rPr>
              <w:fldChar w:fldCharType="end"/>
            </w:r>
          </w:hyperlink>
        </w:p>
        <w:p w14:paraId="5BC545C3" w14:textId="7EAB7B17" w:rsidR="00403DB1" w:rsidRDefault="00403DB1">
          <w:pPr>
            <w:pStyle w:val="TOC2"/>
            <w:rPr>
              <w:noProof/>
              <w:kern w:val="2"/>
              <w:sz w:val="24"/>
              <w:szCs w:val="24"/>
              <w:lang w:val="en-AU" w:eastAsia="en-AU"/>
              <w14:ligatures w14:val="standardContextual"/>
            </w:rPr>
          </w:pPr>
          <w:hyperlink w:anchor="_Toc183163285" w:history="1">
            <w:r w:rsidRPr="008B4AD3">
              <w:rPr>
                <w:rStyle w:val="Hyperlink"/>
                <w:noProof/>
              </w:rPr>
              <w:t>Estimated costs and benefits</w:t>
            </w:r>
            <w:r>
              <w:rPr>
                <w:noProof/>
                <w:webHidden/>
              </w:rPr>
              <w:tab/>
            </w:r>
            <w:r>
              <w:rPr>
                <w:noProof/>
                <w:webHidden/>
              </w:rPr>
              <w:fldChar w:fldCharType="begin"/>
            </w:r>
            <w:r>
              <w:rPr>
                <w:noProof/>
                <w:webHidden/>
              </w:rPr>
              <w:instrText xml:space="preserve"> PAGEREF _Toc183163285 \h </w:instrText>
            </w:r>
            <w:r>
              <w:rPr>
                <w:noProof/>
                <w:webHidden/>
              </w:rPr>
            </w:r>
            <w:r>
              <w:rPr>
                <w:noProof/>
                <w:webHidden/>
              </w:rPr>
              <w:fldChar w:fldCharType="separate"/>
            </w:r>
            <w:r w:rsidR="00C6363F">
              <w:rPr>
                <w:noProof/>
                <w:webHidden/>
              </w:rPr>
              <w:t>58</w:t>
            </w:r>
            <w:r>
              <w:rPr>
                <w:noProof/>
                <w:webHidden/>
              </w:rPr>
              <w:fldChar w:fldCharType="end"/>
            </w:r>
          </w:hyperlink>
        </w:p>
        <w:p w14:paraId="3A1241CD" w14:textId="34D9185B" w:rsidR="00403DB1" w:rsidRDefault="00403DB1">
          <w:pPr>
            <w:pStyle w:val="TOC1"/>
            <w:rPr>
              <w:b w:val="0"/>
              <w:noProof/>
              <w:kern w:val="2"/>
              <w:sz w:val="24"/>
              <w:szCs w:val="24"/>
              <w:lang w:val="en-AU" w:eastAsia="en-AU"/>
              <w14:ligatures w14:val="standardContextual"/>
            </w:rPr>
          </w:pPr>
          <w:hyperlink w:anchor="_Toc183163286" w:history="1">
            <w:r w:rsidRPr="008B4AD3">
              <w:rPr>
                <w:rStyle w:val="Hyperlink"/>
                <w:rFonts w:cstheme="minorHAnsi"/>
                <w:noProof/>
              </w:rPr>
              <w:t>Section 7: Conclusion</w:t>
            </w:r>
            <w:r>
              <w:rPr>
                <w:noProof/>
                <w:webHidden/>
              </w:rPr>
              <w:tab/>
            </w:r>
            <w:r>
              <w:rPr>
                <w:noProof/>
                <w:webHidden/>
              </w:rPr>
              <w:fldChar w:fldCharType="begin"/>
            </w:r>
            <w:r>
              <w:rPr>
                <w:noProof/>
                <w:webHidden/>
              </w:rPr>
              <w:instrText xml:space="preserve"> PAGEREF _Toc183163286 \h </w:instrText>
            </w:r>
            <w:r>
              <w:rPr>
                <w:noProof/>
                <w:webHidden/>
              </w:rPr>
            </w:r>
            <w:r>
              <w:rPr>
                <w:noProof/>
                <w:webHidden/>
              </w:rPr>
              <w:fldChar w:fldCharType="separate"/>
            </w:r>
            <w:r w:rsidR="00C6363F">
              <w:rPr>
                <w:noProof/>
                <w:webHidden/>
              </w:rPr>
              <w:t>59</w:t>
            </w:r>
            <w:r>
              <w:rPr>
                <w:noProof/>
                <w:webHidden/>
              </w:rPr>
              <w:fldChar w:fldCharType="end"/>
            </w:r>
          </w:hyperlink>
        </w:p>
        <w:p w14:paraId="697327E4" w14:textId="0C2EF216" w:rsidR="00403DB1" w:rsidRDefault="00403DB1">
          <w:pPr>
            <w:pStyle w:val="TOC1"/>
            <w:rPr>
              <w:b w:val="0"/>
              <w:noProof/>
              <w:kern w:val="2"/>
              <w:sz w:val="24"/>
              <w:szCs w:val="24"/>
              <w:lang w:val="en-AU" w:eastAsia="en-AU"/>
              <w14:ligatures w14:val="standardContextual"/>
            </w:rPr>
          </w:pPr>
          <w:hyperlink w:anchor="_Toc183163287" w:history="1">
            <w:r w:rsidRPr="008B4AD3">
              <w:rPr>
                <w:rStyle w:val="Hyperlink"/>
                <w:rFonts w:cstheme="minorHAnsi"/>
                <w:noProof/>
              </w:rPr>
              <w:t>Section 8: Implementation and review</w:t>
            </w:r>
            <w:r>
              <w:rPr>
                <w:noProof/>
                <w:webHidden/>
              </w:rPr>
              <w:tab/>
            </w:r>
            <w:r>
              <w:rPr>
                <w:noProof/>
                <w:webHidden/>
              </w:rPr>
              <w:fldChar w:fldCharType="begin"/>
            </w:r>
            <w:r>
              <w:rPr>
                <w:noProof/>
                <w:webHidden/>
              </w:rPr>
              <w:instrText xml:space="preserve"> PAGEREF _Toc183163287 \h </w:instrText>
            </w:r>
            <w:r>
              <w:rPr>
                <w:noProof/>
                <w:webHidden/>
              </w:rPr>
            </w:r>
            <w:r>
              <w:rPr>
                <w:noProof/>
                <w:webHidden/>
              </w:rPr>
              <w:fldChar w:fldCharType="separate"/>
            </w:r>
            <w:r w:rsidR="00C6363F">
              <w:rPr>
                <w:noProof/>
                <w:webHidden/>
              </w:rPr>
              <w:t>60</w:t>
            </w:r>
            <w:r>
              <w:rPr>
                <w:noProof/>
                <w:webHidden/>
              </w:rPr>
              <w:fldChar w:fldCharType="end"/>
            </w:r>
          </w:hyperlink>
        </w:p>
        <w:p w14:paraId="01CE4E8B" w14:textId="1AC6AA4E" w:rsidR="00403DB1" w:rsidRDefault="00403DB1">
          <w:pPr>
            <w:pStyle w:val="TOC2"/>
            <w:rPr>
              <w:noProof/>
              <w:kern w:val="2"/>
              <w:sz w:val="24"/>
              <w:szCs w:val="24"/>
              <w:lang w:val="en-AU" w:eastAsia="en-AU"/>
              <w14:ligatures w14:val="standardContextual"/>
            </w:rPr>
          </w:pPr>
          <w:hyperlink w:anchor="_Toc183163288" w:history="1">
            <w:r w:rsidRPr="008B4AD3">
              <w:rPr>
                <w:rStyle w:val="Hyperlink"/>
                <w:noProof/>
              </w:rPr>
              <w:t>Implementation – next steps by Government</w:t>
            </w:r>
            <w:r>
              <w:rPr>
                <w:noProof/>
                <w:webHidden/>
              </w:rPr>
              <w:tab/>
            </w:r>
            <w:r>
              <w:rPr>
                <w:noProof/>
                <w:webHidden/>
              </w:rPr>
              <w:fldChar w:fldCharType="begin"/>
            </w:r>
            <w:r>
              <w:rPr>
                <w:noProof/>
                <w:webHidden/>
              </w:rPr>
              <w:instrText xml:space="preserve"> PAGEREF _Toc183163288 \h </w:instrText>
            </w:r>
            <w:r>
              <w:rPr>
                <w:noProof/>
                <w:webHidden/>
              </w:rPr>
            </w:r>
            <w:r>
              <w:rPr>
                <w:noProof/>
                <w:webHidden/>
              </w:rPr>
              <w:fldChar w:fldCharType="separate"/>
            </w:r>
            <w:r w:rsidR="00C6363F">
              <w:rPr>
                <w:noProof/>
                <w:webHidden/>
              </w:rPr>
              <w:t>60</w:t>
            </w:r>
            <w:r>
              <w:rPr>
                <w:noProof/>
                <w:webHidden/>
              </w:rPr>
              <w:fldChar w:fldCharType="end"/>
            </w:r>
          </w:hyperlink>
        </w:p>
        <w:p w14:paraId="62A7CF82" w14:textId="1DC9673D" w:rsidR="00403DB1" w:rsidRDefault="00403DB1">
          <w:pPr>
            <w:pStyle w:val="TOC2"/>
            <w:rPr>
              <w:noProof/>
              <w:kern w:val="2"/>
              <w:sz w:val="24"/>
              <w:szCs w:val="24"/>
              <w:lang w:val="en-AU" w:eastAsia="en-AU"/>
              <w14:ligatures w14:val="standardContextual"/>
            </w:rPr>
          </w:pPr>
          <w:hyperlink w:anchor="_Toc183163289" w:history="1">
            <w:r w:rsidRPr="008B4AD3">
              <w:rPr>
                <w:rStyle w:val="Hyperlink"/>
                <w:noProof/>
              </w:rPr>
              <w:t>Australia</w:t>
            </w:r>
            <w:r>
              <w:rPr>
                <w:noProof/>
                <w:webHidden/>
              </w:rPr>
              <w:tab/>
            </w:r>
            <w:r>
              <w:rPr>
                <w:noProof/>
                <w:webHidden/>
              </w:rPr>
              <w:fldChar w:fldCharType="begin"/>
            </w:r>
            <w:r>
              <w:rPr>
                <w:noProof/>
                <w:webHidden/>
              </w:rPr>
              <w:instrText xml:space="preserve"> PAGEREF _Toc183163289 \h </w:instrText>
            </w:r>
            <w:r>
              <w:rPr>
                <w:noProof/>
                <w:webHidden/>
              </w:rPr>
            </w:r>
            <w:r>
              <w:rPr>
                <w:noProof/>
                <w:webHidden/>
              </w:rPr>
              <w:fldChar w:fldCharType="separate"/>
            </w:r>
            <w:r w:rsidR="00C6363F">
              <w:rPr>
                <w:noProof/>
                <w:webHidden/>
              </w:rPr>
              <w:t>60</w:t>
            </w:r>
            <w:r>
              <w:rPr>
                <w:noProof/>
                <w:webHidden/>
              </w:rPr>
              <w:fldChar w:fldCharType="end"/>
            </w:r>
          </w:hyperlink>
        </w:p>
        <w:p w14:paraId="5AD0A417" w14:textId="1F0B434B" w:rsidR="00403DB1" w:rsidRDefault="00403DB1">
          <w:pPr>
            <w:pStyle w:val="TOC2"/>
            <w:rPr>
              <w:noProof/>
              <w:kern w:val="2"/>
              <w:sz w:val="24"/>
              <w:szCs w:val="24"/>
              <w:lang w:val="en-AU" w:eastAsia="en-AU"/>
              <w14:ligatures w14:val="standardContextual"/>
            </w:rPr>
          </w:pPr>
          <w:hyperlink w:anchor="_Toc183163290" w:history="1">
            <w:r w:rsidRPr="008B4AD3">
              <w:rPr>
                <w:rStyle w:val="Hyperlink"/>
                <w:noProof/>
              </w:rPr>
              <w:t>New Zealand</w:t>
            </w:r>
            <w:r>
              <w:rPr>
                <w:noProof/>
                <w:webHidden/>
              </w:rPr>
              <w:tab/>
            </w:r>
            <w:r>
              <w:rPr>
                <w:noProof/>
                <w:webHidden/>
              </w:rPr>
              <w:fldChar w:fldCharType="begin"/>
            </w:r>
            <w:r>
              <w:rPr>
                <w:noProof/>
                <w:webHidden/>
              </w:rPr>
              <w:instrText xml:space="preserve"> PAGEREF _Toc183163290 \h </w:instrText>
            </w:r>
            <w:r>
              <w:rPr>
                <w:noProof/>
                <w:webHidden/>
              </w:rPr>
            </w:r>
            <w:r>
              <w:rPr>
                <w:noProof/>
                <w:webHidden/>
              </w:rPr>
              <w:fldChar w:fldCharType="separate"/>
            </w:r>
            <w:r w:rsidR="00C6363F">
              <w:rPr>
                <w:noProof/>
                <w:webHidden/>
              </w:rPr>
              <w:t>60</w:t>
            </w:r>
            <w:r>
              <w:rPr>
                <w:noProof/>
                <w:webHidden/>
              </w:rPr>
              <w:fldChar w:fldCharType="end"/>
            </w:r>
          </w:hyperlink>
        </w:p>
        <w:p w14:paraId="1133EC7C" w14:textId="2E1132A6" w:rsidR="00403DB1" w:rsidRDefault="00403DB1">
          <w:pPr>
            <w:pStyle w:val="TOC2"/>
            <w:rPr>
              <w:noProof/>
              <w:kern w:val="2"/>
              <w:sz w:val="24"/>
              <w:szCs w:val="24"/>
              <w:lang w:val="en-AU" w:eastAsia="en-AU"/>
              <w14:ligatures w14:val="standardContextual"/>
            </w:rPr>
          </w:pPr>
          <w:hyperlink w:anchor="_Toc183163291" w:history="1">
            <w:r w:rsidRPr="008B4AD3">
              <w:rPr>
                <w:rStyle w:val="Hyperlink"/>
                <w:noProof/>
              </w:rPr>
              <w:t>Implementation – next steps for industry</w:t>
            </w:r>
            <w:r>
              <w:rPr>
                <w:noProof/>
                <w:webHidden/>
              </w:rPr>
              <w:tab/>
            </w:r>
            <w:r>
              <w:rPr>
                <w:noProof/>
                <w:webHidden/>
              </w:rPr>
              <w:fldChar w:fldCharType="begin"/>
            </w:r>
            <w:r>
              <w:rPr>
                <w:noProof/>
                <w:webHidden/>
              </w:rPr>
              <w:instrText xml:space="preserve"> PAGEREF _Toc183163291 \h </w:instrText>
            </w:r>
            <w:r>
              <w:rPr>
                <w:noProof/>
                <w:webHidden/>
              </w:rPr>
            </w:r>
            <w:r>
              <w:rPr>
                <w:noProof/>
                <w:webHidden/>
              </w:rPr>
              <w:fldChar w:fldCharType="separate"/>
            </w:r>
            <w:r w:rsidR="00C6363F">
              <w:rPr>
                <w:noProof/>
                <w:webHidden/>
              </w:rPr>
              <w:t>61</w:t>
            </w:r>
            <w:r>
              <w:rPr>
                <w:noProof/>
                <w:webHidden/>
              </w:rPr>
              <w:fldChar w:fldCharType="end"/>
            </w:r>
          </w:hyperlink>
        </w:p>
        <w:p w14:paraId="10041AA1" w14:textId="38CAFF49" w:rsidR="00403DB1" w:rsidRDefault="00403DB1">
          <w:pPr>
            <w:pStyle w:val="TOC2"/>
            <w:rPr>
              <w:noProof/>
              <w:kern w:val="2"/>
              <w:sz w:val="24"/>
              <w:szCs w:val="24"/>
              <w:lang w:val="en-AU" w:eastAsia="en-AU"/>
              <w14:ligatures w14:val="standardContextual"/>
            </w:rPr>
          </w:pPr>
          <w:hyperlink w:anchor="_Toc183163292" w:history="1">
            <w:r w:rsidRPr="008B4AD3">
              <w:rPr>
                <w:rStyle w:val="Hyperlink"/>
                <w:noProof/>
              </w:rPr>
              <w:t>Evaluation</w:t>
            </w:r>
            <w:r>
              <w:rPr>
                <w:noProof/>
                <w:webHidden/>
              </w:rPr>
              <w:tab/>
            </w:r>
            <w:r>
              <w:rPr>
                <w:noProof/>
                <w:webHidden/>
              </w:rPr>
              <w:fldChar w:fldCharType="begin"/>
            </w:r>
            <w:r>
              <w:rPr>
                <w:noProof/>
                <w:webHidden/>
              </w:rPr>
              <w:instrText xml:space="preserve"> PAGEREF _Toc183163292 \h </w:instrText>
            </w:r>
            <w:r>
              <w:rPr>
                <w:noProof/>
                <w:webHidden/>
              </w:rPr>
            </w:r>
            <w:r>
              <w:rPr>
                <w:noProof/>
                <w:webHidden/>
              </w:rPr>
              <w:fldChar w:fldCharType="separate"/>
            </w:r>
            <w:r w:rsidR="00C6363F">
              <w:rPr>
                <w:noProof/>
                <w:webHidden/>
              </w:rPr>
              <w:t>62</w:t>
            </w:r>
            <w:r>
              <w:rPr>
                <w:noProof/>
                <w:webHidden/>
              </w:rPr>
              <w:fldChar w:fldCharType="end"/>
            </w:r>
          </w:hyperlink>
        </w:p>
        <w:p w14:paraId="087E5434" w14:textId="2D91BFF0" w:rsidR="00403DB1" w:rsidRDefault="00403DB1">
          <w:pPr>
            <w:pStyle w:val="TOC1"/>
            <w:rPr>
              <w:b w:val="0"/>
              <w:noProof/>
              <w:kern w:val="2"/>
              <w:sz w:val="24"/>
              <w:szCs w:val="24"/>
              <w:lang w:val="en-AU" w:eastAsia="en-AU"/>
              <w14:ligatures w14:val="standardContextual"/>
            </w:rPr>
          </w:pPr>
          <w:hyperlink w:anchor="_Toc183163293" w:history="1">
            <w:r w:rsidRPr="008B4AD3">
              <w:rPr>
                <w:rStyle w:val="Hyperlink"/>
                <w:rFonts w:cstheme="minorHAnsi"/>
                <w:noProof/>
              </w:rPr>
              <w:t>References</w:t>
            </w:r>
            <w:r>
              <w:rPr>
                <w:noProof/>
                <w:webHidden/>
              </w:rPr>
              <w:tab/>
            </w:r>
            <w:r>
              <w:rPr>
                <w:noProof/>
                <w:webHidden/>
              </w:rPr>
              <w:fldChar w:fldCharType="begin"/>
            </w:r>
            <w:r>
              <w:rPr>
                <w:noProof/>
                <w:webHidden/>
              </w:rPr>
              <w:instrText xml:space="preserve"> PAGEREF _Toc183163293 \h </w:instrText>
            </w:r>
            <w:r>
              <w:rPr>
                <w:noProof/>
                <w:webHidden/>
              </w:rPr>
            </w:r>
            <w:r>
              <w:rPr>
                <w:noProof/>
                <w:webHidden/>
              </w:rPr>
              <w:fldChar w:fldCharType="separate"/>
            </w:r>
            <w:r w:rsidR="00C6363F">
              <w:rPr>
                <w:noProof/>
                <w:webHidden/>
              </w:rPr>
              <w:t>63</w:t>
            </w:r>
            <w:r>
              <w:rPr>
                <w:noProof/>
                <w:webHidden/>
              </w:rPr>
              <w:fldChar w:fldCharType="end"/>
            </w:r>
          </w:hyperlink>
        </w:p>
        <w:p w14:paraId="71710DD4" w14:textId="19D509A9" w:rsidR="00403DB1" w:rsidRDefault="00403DB1">
          <w:pPr>
            <w:pStyle w:val="TOC1"/>
            <w:rPr>
              <w:b w:val="0"/>
              <w:noProof/>
              <w:kern w:val="2"/>
              <w:sz w:val="24"/>
              <w:szCs w:val="24"/>
              <w:lang w:val="en-AU" w:eastAsia="en-AU"/>
              <w14:ligatures w14:val="standardContextual"/>
            </w:rPr>
          </w:pPr>
          <w:hyperlink w:anchor="_Toc183163294" w:history="1">
            <w:r w:rsidRPr="008B4AD3">
              <w:rPr>
                <w:rStyle w:val="Hyperlink"/>
                <w:rFonts w:cstheme="minorHAnsi"/>
                <w:noProof/>
              </w:rPr>
              <w:t>Appendix One: Modelling approach and assumptions</w:t>
            </w:r>
            <w:r>
              <w:rPr>
                <w:noProof/>
                <w:webHidden/>
              </w:rPr>
              <w:tab/>
            </w:r>
            <w:r>
              <w:rPr>
                <w:noProof/>
                <w:webHidden/>
              </w:rPr>
              <w:fldChar w:fldCharType="begin"/>
            </w:r>
            <w:r>
              <w:rPr>
                <w:noProof/>
                <w:webHidden/>
              </w:rPr>
              <w:instrText xml:space="preserve"> PAGEREF _Toc183163294 \h </w:instrText>
            </w:r>
            <w:r>
              <w:rPr>
                <w:noProof/>
                <w:webHidden/>
              </w:rPr>
            </w:r>
            <w:r>
              <w:rPr>
                <w:noProof/>
                <w:webHidden/>
              </w:rPr>
              <w:fldChar w:fldCharType="separate"/>
            </w:r>
            <w:r w:rsidR="00C6363F">
              <w:rPr>
                <w:noProof/>
                <w:webHidden/>
              </w:rPr>
              <w:t>67</w:t>
            </w:r>
            <w:r>
              <w:rPr>
                <w:noProof/>
                <w:webHidden/>
              </w:rPr>
              <w:fldChar w:fldCharType="end"/>
            </w:r>
          </w:hyperlink>
        </w:p>
        <w:p w14:paraId="192C6E09" w14:textId="681E29E4" w:rsidR="00403DB1" w:rsidRDefault="00403DB1">
          <w:pPr>
            <w:pStyle w:val="TOC1"/>
            <w:rPr>
              <w:b w:val="0"/>
              <w:noProof/>
              <w:kern w:val="2"/>
              <w:sz w:val="24"/>
              <w:szCs w:val="24"/>
              <w:lang w:val="en-AU" w:eastAsia="en-AU"/>
              <w14:ligatures w14:val="standardContextual"/>
            </w:rPr>
          </w:pPr>
          <w:hyperlink w:anchor="_Toc183163295" w:history="1">
            <w:r w:rsidRPr="008B4AD3">
              <w:rPr>
                <w:rStyle w:val="Hyperlink"/>
                <w:rFonts w:cstheme="minorHAnsi"/>
                <w:noProof/>
              </w:rPr>
              <w:t>Product usage data</w:t>
            </w:r>
            <w:r>
              <w:rPr>
                <w:noProof/>
                <w:webHidden/>
              </w:rPr>
              <w:tab/>
            </w:r>
            <w:r>
              <w:rPr>
                <w:noProof/>
                <w:webHidden/>
              </w:rPr>
              <w:fldChar w:fldCharType="begin"/>
            </w:r>
            <w:r>
              <w:rPr>
                <w:noProof/>
                <w:webHidden/>
              </w:rPr>
              <w:instrText xml:space="preserve"> PAGEREF _Toc183163295 \h </w:instrText>
            </w:r>
            <w:r>
              <w:rPr>
                <w:noProof/>
                <w:webHidden/>
              </w:rPr>
            </w:r>
            <w:r>
              <w:rPr>
                <w:noProof/>
                <w:webHidden/>
              </w:rPr>
              <w:fldChar w:fldCharType="separate"/>
            </w:r>
            <w:r w:rsidR="00C6363F">
              <w:rPr>
                <w:noProof/>
                <w:webHidden/>
              </w:rPr>
              <w:t>67</w:t>
            </w:r>
            <w:r>
              <w:rPr>
                <w:noProof/>
                <w:webHidden/>
              </w:rPr>
              <w:fldChar w:fldCharType="end"/>
            </w:r>
          </w:hyperlink>
        </w:p>
        <w:p w14:paraId="58861806" w14:textId="14668D06" w:rsidR="00403DB1" w:rsidRDefault="00403DB1">
          <w:pPr>
            <w:pStyle w:val="TOC1"/>
            <w:rPr>
              <w:b w:val="0"/>
              <w:noProof/>
              <w:kern w:val="2"/>
              <w:sz w:val="24"/>
              <w:szCs w:val="24"/>
              <w:lang w:val="en-AU" w:eastAsia="en-AU"/>
              <w14:ligatures w14:val="standardContextual"/>
            </w:rPr>
          </w:pPr>
          <w:hyperlink w:anchor="_Toc183163296" w:history="1">
            <w:r w:rsidRPr="008B4AD3">
              <w:rPr>
                <w:rStyle w:val="Hyperlink"/>
                <w:rFonts w:cstheme="minorHAnsi"/>
                <w:noProof/>
              </w:rPr>
              <w:t>Efficiency levels</w:t>
            </w:r>
            <w:r>
              <w:rPr>
                <w:noProof/>
                <w:webHidden/>
              </w:rPr>
              <w:tab/>
            </w:r>
            <w:r>
              <w:rPr>
                <w:noProof/>
                <w:webHidden/>
              </w:rPr>
              <w:fldChar w:fldCharType="begin"/>
            </w:r>
            <w:r>
              <w:rPr>
                <w:noProof/>
                <w:webHidden/>
              </w:rPr>
              <w:instrText xml:space="preserve"> PAGEREF _Toc183163296 \h </w:instrText>
            </w:r>
            <w:r>
              <w:rPr>
                <w:noProof/>
                <w:webHidden/>
              </w:rPr>
            </w:r>
            <w:r>
              <w:rPr>
                <w:noProof/>
                <w:webHidden/>
              </w:rPr>
              <w:fldChar w:fldCharType="separate"/>
            </w:r>
            <w:r w:rsidR="00C6363F">
              <w:rPr>
                <w:noProof/>
                <w:webHidden/>
              </w:rPr>
              <w:t>74</w:t>
            </w:r>
            <w:r>
              <w:rPr>
                <w:noProof/>
                <w:webHidden/>
              </w:rPr>
              <w:fldChar w:fldCharType="end"/>
            </w:r>
          </w:hyperlink>
        </w:p>
        <w:p w14:paraId="2B548655" w14:textId="6316956F" w:rsidR="00403DB1" w:rsidRDefault="00403DB1">
          <w:pPr>
            <w:pStyle w:val="TOC1"/>
            <w:rPr>
              <w:b w:val="0"/>
              <w:noProof/>
              <w:kern w:val="2"/>
              <w:sz w:val="24"/>
              <w:szCs w:val="24"/>
              <w:lang w:val="en-AU" w:eastAsia="en-AU"/>
              <w14:ligatures w14:val="standardContextual"/>
            </w:rPr>
          </w:pPr>
          <w:hyperlink w:anchor="_Toc183163297" w:history="1">
            <w:r w:rsidRPr="008B4AD3">
              <w:rPr>
                <w:rStyle w:val="Hyperlink"/>
                <w:rFonts w:cstheme="minorHAnsi"/>
                <w:noProof/>
              </w:rPr>
              <w:t>Market size and distribution</w:t>
            </w:r>
            <w:r>
              <w:rPr>
                <w:noProof/>
                <w:webHidden/>
              </w:rPr>
              <w:tab/>
            </w:r>
            <w:r>
              <w:rPr>
                <w:noProof/>
                <w:webHidden/>
              </w:rPr>
              <w:fldChar w:fldCharType="begin"/>
            </w:r>
            <w:r>
              <w:rPr>
                <w:noProof/>
                <w:webHidden/>
              </w:rPr>
              <w:instrText xml:space="preserve"> PAGEREF _Toc183163297 \h </w:instrText>
            </w:r>
            <w:r>
              <w:rPr>
                <w:noProof/>
                <w:webHidden/>
              </w:rPr>
            </w:r>
            <w:r>
              <w:rPr>
                <w:noProof/>
                <w:webHidden/>
              </w:rPr>
              <w:fldChar w:fldCharType="separate"/>
            </w:r>
            <w:r w:rsidR="00C6363F">
              <w:rPr>
                <w:noProof/>
                <w:webHidden/>
              </w:rPr>
              <w:t>75</w:t>
            </w:r>
            <w:r>
              <w:rPr>
                <w:noProof/>
                <w:webHidden/>
              </w:rPr>
              <w:fldChar w:fldCharType="end"/>
            </w:r>
          </w:hyperlink>
        </w:p>
        <w:p w14:paraId="64B230C9" w14:textId="78D34717" w:rsidR="00403DB1" w:rsidRDefault="00403DB1">
          <w:pPr>
            <w:pStyle w:val="TOC1"/>
            <w:rPr>
              <w:b w:val="0"/>
              <w:noProof/>
              <w:kern w:val="2"/>
              <w:sz w:val="24"/>
              <w:szCs w:val="24"/>
              <w:lang w:val="en-AU" w:eastAsia="en-AU"/>
              <w14:ligatures w14:val="standardContextual"/>
            </w:rPr>
          </w:pPr>
          <w:hyperlink w:anchor="_Toc183163298" w:history="1">
            <w:r w:rsidRPr="008B4AD3">
              <w:rPr>
                <w:rStyle w:val="Hyperlink"/>
                <w:rFonts w:cstheme="minorHAnsi"/>
                <w:noProof/>
              </w:rPr>
              <w:t>Market change</w:t>
            </w:r>
            <w:r>
              <w:rPr>
                <w:noProof/>
                <w:webHidden/>
              </w:rPr>
              <w:tab/>
            </w:r>
            <w:r>
              <w:rPr>
                <w:noProof/>
                <w:webHidden/>
              </w:rPr>
              <w:fldChar w:fldCharType="begin"/>
            </w:r>
            <w:r>
              <w:rPr>
                <w:noProof/>
                <w:webHidden/>
              </w:rPr>
              <w:instrText xml:space="preserve"> PAGEREF _Toc183163298 \h </w:instrText>
            </w:r>
            <w:r>
              <w:rPr>
                <w:noProof/>
                <w:webHidden/>
              </w:rPr>
            </w:r>
            <w:r>
              <w:rPr>
                <w:noProof/>
                <w:webHidden/>
              </w:rPr>
              <w:fldChar w:fldCharType="separate"/>
            </w:r>
            <w:r w:rsidR="00C6363F">
              <w:rPr>
                <w:noProof/>
                <w:webHidden/>
              </w:rPr>
              <w:t>82</w:t>
            </w:r>
            <w:r>
              <w:rPr>
                <w:noProof/>
                <w:webHidden/>
              </w:rPr>
              <w:fldChar w:fldCharType="end"/>
            </w:r>
          </w:hyperlink>
        </w:p>
        <w:p w14:paraId="23067AEB" w14:textId="33162B8B" w:rsidR="00403DB1" w:rsidRDefault="00403DB1">
          <w:pPr>
            <w:pStyle w:val="TOC1"/>
            <w:rPr>
              <w:b w:val="0"/>
              <w:noProof/>
              <w:kern w:val="2"/>
              <w:sz w:val="24"/>
              <w:szCs w:val="24"/>
              <w:lang w:val="en-AU" w:eastAsia="en-AU"/>
              <w14:ligatures w14:val="standardContextual"/>
            </w:rPr>
          </w:pPr>
          <w:hyperlink w:anchor="_Toc183163299" w:history="1">
            <w:r w:rsidRPr="008B4AD3">
              <w:rPr>
                <w:rStyle w:val="Hyperlink"/>
                <w:rFonts w:cstheme="minorHAnsi"/>
                <w:noProof/>
              </w:rPr>
              <w:t>Participant costs and benefits</w:t>
            </w:r>
            <w:r>
              <w:rPr>
                <w:noProof/>
                <w:webHidden/>
              </w:rPr>
              <w:tab/>
            </w:r>
            <w:r>
              <w:rPr>
                <w:noProof/>
                <w:webHidden/>
              </w:rPr>
              <w:fldChar w:fldCharType="begin"/>
            </w:r>
            <w:r>
              <w:rPr>
                <w:noProof/>
                <w:webHidden/>
              </w:rPr>
              <w:instrText xml:space="preserve"> PAGEREF _Toc183163299 \h </w:instrText>
            </w:r>
            <w:r>
              <w:rPr>
                <w:noProof/>
                <w:webHidden/>
              </w:rPr>
            </w:r>
            <w:r>
              <w:rPr>
                <w:noProof/>
                <w:webHidden/>
              </w:rPr>
              <w:fldChar w:fldCharType="separate"/>
            </w:r>
            <w:r w:rsidR="00C6363F">
              <w:rPr>
                <w:noProof/>
                <w:webHidden/>
              </w:rPr>
              <w:t>83</w:t>
            </w:r>
            <w:r>
              <w:rPr>
                <w:noProof/>
                <w:webHidden/>
              </w:rPr>
              <w:fldChar w:fldCharType="end"/>
            </w:r>
          </w:hyperlink>
        </w:p>
        <w:p w14:paraId="4AA6526D" w14:textId="02A1ACD4" w:rsidR="00403DB1" w:rsidRDefault="00403DB1">
          <w:pPr>
            <w:pStyle w:val="TOC2"/>
            <w:rPr>
              <w:noProof/>
              <w:kern w:val="2"/>
              <w:sz w:val="24"/>
              <w:szCs w:val="24"/>
              <w:lang w:val="en-AU" w:eastAsia="en-AU"/>
              <w14:ligatures w14:val="standardContextual"/>
            </w:rPr>
          </w:pPr>
          <w:hyperlink w:anchor="_Toc183163300" w:history="1">
            <w:r w:rsidRPr="008B4AD3">
              <w:rPr>
                <w:rStyle w:val="Hyperlink"/>
                <w:rFonts w:cstheme="minorHAnsi"/>
                <w:noProof/>
              </w:rPr>
              <w:t>Cost to industry</w:t>
            </w:r>
            <w:r>
              <w:rPr>
                <w:noProof/>
                <w:webHidden/>
              </w:rPr>
              <w:tab/>
            </w:r>
            <w:r>
              <w:rPr>
                <w:noProof/>
                <w:webHidden/>
              </w:rPr>
              <w:fldChar w:fldCharType="begin"/>
            </w:r>
            <w:r>
              <w:rPr>
                <w:noProof/>
                <w:webHidden/>
              </w:rPr>
              <w:instrText xml:space="preserve"> PAGEREF _Toc183163300 \h </w:instrText>
            </w:r>
            <w:r>
              <w:rPr>
                <w:noProof/>
                <w:webHidden/>
              </w:rPr>
            </w:r>
            <w:r>
              <w:rPr>
                <w:noProof/>
                <w:webHidden/>
              </w:rPr>
              <w:fldChar w:fldCharType="separate"/>
            </w:r>
            <w:r w:rsidR="00C6363F">
              <w:rPr>
                <w:noProof/>
                <w:webHidden/>
              </w:rPr>
              <w:t>83</w:t>
            </w:r>
            <w:r>
              <w:rPr>
                <w:noProof/>
                <w:webHidden/>
              </w:rPr>
              <w:fldChar w:fldCharType="end"/>
            </w:r>
          </w:hyperlink>
        </w:p>
        <w:p w14:paraId="69B4FD41" w14:textId="5314EDB1" w:rsidR="00403DB1" w:rsidRDefault="00403DB1">
          <w:pPr>
            <w:pStyle w:val="TOC2"/>
            <w:rPr>
              <w:noProof/>
              <w:kern w:val="2"/>
              <w:sz w:val="24"/>
              <w:szCs w:val="24"/>
              <w:lang w:val="en-AU" w:eastAsia="en-AU"/>
              <w14:ligatures w14:val="standardContextual"/>
            </w:rPr>
          </w:pPr>
          <w:hyperlink w:anchor="_Toc183163301" w:history="1">
            <w:r w:rsidRPr="008B4AD3">
              <w:rPr>
                <w:rStyle w:val="Hyperlink"/>
                <w:rFonts w:cstheme="minorHAnsi"/>
                <w:noProof/>
              </w:rPr>
              <w:t>Incremental product cost for increased efficiency</w:t>
            </w:r>
            <w:r>
              <w:rPr>
                <w:noProof/>
                <w:webHidden/>
              </w:rPr>
              <w:tab/>
            </w:r>
            <w:r>
              <w:rPr>
                <w:noProof/>
                <w:webHidden/>
              </w:rPr>
              <w:fldChar w:fldCharType="begin"/>
            </w:r>
            <w:r>
              <w:rPr>
                <w:noProof/>
                <w:webHidden/>
              </w:rPr>
              <w:instrText xml:space="preserve"> PAGEREF _Toc183163301 \h </w:instrText>
            </w:r>
            <w:r>
              <w:rPr>
                <w:noProof/>
                <w:webHidden/>
              </w:rPr>
            </w:r>
            <w:r>
              <w:rPr>
                <w:noProof/>
                <w:webHidden/>
              </w:rPr>
              <w:fldChar w:fldCharType="separate"/>
            </w:r>
            <w:r w:rsidR="00C6363F">
              <w:rPr>
                <w:noProof/>
                <w:webHidden/>
              </w:rPr>
              <w:t>84</w:t>
            </w:r>
            <w:r>
              <w:rPr>
                <w:noProof/>
                <w:webHidden/>
              </w:rPr>
              <w:fldChar w:fldCharType="end"/>
            </w:r>
          </w:hyperlink>
        </w:p>
        <w:p w14:paraId="5F64A8C3" w14:textId="5266077B" w:rsidR="00403DB1" w:rsidRDefault="00403DB1">
          <w:pPr>
            <w:pStyle w:val="TOC2"/>
            <w:rPr>
              <w:noProof/>
              <w:kern w:val="2"/>
              <w:sz w:val="24"/>
              <w:szCs w:val="24"/>
              <w:lang w:val="en-AU" w:eastAsia="en-AU"/>
              <w14:ligatures w14:val="standardContextual"/>
            </w:rPr>
          </w:pPr>
          <w:hyperlink w:anchor="_Toc183163302" w:history="1">
            <w:r w:rsidRPr="008B4AD3">
              <w:rPr>
                <w:rStyle w:val="Hyperlink"/>
                <w:rFonts w:cstheme="minorHAnsi"/>
                <w:noProof/>
              </w:rPr>
              <w:t>Electricity prices</w:t>
            </w:r>
            <w:r>
              <w:rPr>
                <w:noProof/>
                <w:webHidden/>
              </w:rPr>
              <w:tab/>
            </w:r>
            <w:r>
              <w:rPr>
                <w:noProof/>
                <w:webHidden/>
              </w:rPr>
              <w:fldChar w:fldCharType="begin"/>
            </w:r>
            <w:r>
              <w:rPr>
                <w:noProof/>
                <w:webHidden/>
              </w:rPr>
              <w:instrText xml:space="preserve"> PAGEREF _Toc183163302 \h </w:instrText>
            </w:r>
            <w:r>
              <w:rPr>
                <w:noProof/>
                <w:webHidden/>
              </w:rPr>
            </w:r>
            <w:r>
              <w:rPr>
                <w:noProof/>
                <w:webHidden/>
              </w:rPr>
              <w:fldChar w:fldCharType="separate"/>
            </w:r>
            <w:r w:rsidR="00C6363F">
              <w:rPr>
                <w:noProof/>
                <w:webHidden/>
              </w:rPr>
              <w:t>91</w:t>
            </w:r>
            <w:r>
              <w:rPr>
                <w:noProof/>
                <w:webHidden/>
              </w:rPr>
              <w:fldChar w:fldCharType="end"/>
            </w:r>
          </w:hyperlink>
        </w:p>
        <w:p w14:paraId="33AB2E3C" w14:textId="5B010FFE" w:rsidR="00403DB1" w:rsidRDefault="00403DB1">
          <w:pPr>
            <w:pStyle w:val="TOC2"/>
            <w:rPr>
              <w:noProof/>
              <w:kern w:val="2"/>
              <w:sz w:val="24"/>
              <w:szCs w:val="24"/>
              <w:lang w:val="en-AU" w:eastAsia="en-AU"/>
              <w14:ligatures w14:val="standardContextual"/>
            </w:rPr>
          </w:pPr>
          <w:hyperlink w:anchor="_Toc183163303" w:history="1">
            <w:r w:rsidRPr="008B4AD3">
              <w:rPr>
                <w:rStyle w:val="Hyperlink"/>
                <w:rFonts w:cstheme="minorHAnsi"/>
                <w:noProof/>
              </w:rPr>
              <w:t>Government costs</w:t>
            </w:r>
            <w:r>
              <w:rPr>
                <w:noProof/>
                <w:webHidden/>
              </w:rPr>
              <w:tab/>
            </w:r>
            <w:r>
              <w:rPr>
                <w:noProof/>
                <w:webHidden/>
              </w:rPr>
              <w:fldChar w:fldCharType="begin"/>
            </w:r>
            <w:r>
              <w:rPr>
                <w:noProof/>
                <w:webHidden/>
              </w:rPr>
              <w:instrText xml:space="preserve"> PAGEREF _Toc183163303 \h </w:instrText>
            </w:r>
            <w:r>
              <w:rPr>
                <w:noProof/>
                <w:webHidden/>
              </w:rPr>
            </w:r>
            <w:r>
              <w:rPr>
                <w:noProof/>
                <w:webHidden/>
              </w:rPr>
              <w:fldChar w:fldCharType="separate"/>
            </w:r>
            <w:r w:rsidR="00C6363F">
              <w:rPr>
                <w:noProof/>
                <w:webHidden/>
              </w:rPr>
              <w:t>92</w:t>
            </w:r>
            <w:r>
              <w:rPr>
                <w:noProof/>
                <w:webHidden/>
              </w:rPr>
              <w:fldChar w:fldCharType="end"/>
            </w:r>
          </w:hyperlink>
        </w:p>
        <w:p w14:paraId="49199521" w14:textId="7BAC2B3E" w:rsidR="00403DB1" w:rsidRDefault="00403DB1">
          <w:pPr>
            <w:pStyle w:val="TOC1"/>
            <w:rPr>
              <w:b w:val="0"/>
              <w:noProof/>
              <w:kern w:val="2"/>
              <w:sz w:val="24"/>
              <w:szCs w:val="24"/>
              <w:lang w:val="en-AU" w:eastAsia="en-AU"/>
              <w14:ligatures w14:val="standardContextual"/>
            </w:rPr>
          </w:pPr>
          <w:hyperlink w:anchor="_Toc183163304" w:history="1">
            <w:r w:rsidRPr="008B4AD3">
              <w:rPr>
                <w:rStyle w:val="Hyperlink"/>
                <w:rFonts w:cstheme="minorHAnsi"/>
                <w:noProof/>
              </w:rPr>
              <w:t>Non-participant costs and benefits</w:t>
            </w:r>
            <w:r>
              <w:rPr>
                <w:noProof/>
                <w:webHidden/>
              </w:rPr>
              <w:tab/>
            </w:r>
            <w:r>
              <w:rPr>
                <w:noProof/>
                <w:webHidden/>
              </w:rPr>
              <w:fldChar w:fldCharType="begin"/>
            </w:r>
            <w:r>
              <w:rPr>
                <w:noProof/>
                <w:webHidden/>
              </w:rPr>
              <w:instrText xml:space="preserve"> PAGEREF _Toc183163304 \h </w:instrText>
            </w:r>
            <w:r>
              <w:rPr>
                <w:noProof/>
                <w:webHidden/>
              </w:rPr>
            </w:r>
            <w:r>
              <w:rPr>
                <w:noProof/>
                <w:webHidden/>
              </w:rPr>
              <w:fldChar w:fldCharType="separate"/>
            </w:r>
            <w:r w:rsidR="00C6363F">
              <w:rPr>
                <w:noProof/>
                <w:webHidden/>
              </w:rPr>
              <w:t>92</w:t>
            </w:r>
            <w:r>
              <w:rPr>
                <w:noProof/>
                <w:webHidden/>
              </w:rPr>
              <w:fldChar w:fldCharType="end"/>
            </w:r>
          </w:hyperlink>
        </w:p>
        <w:p w14:paraId="757AEAF3" w14:textId="0AFC83FA" w:rsidR="00403DB1" w:rsidRDefault="00403DB1">
          <w:pPr>
            <w:pStyle w:val="TOC2"/>
            <w:rPr>
              <w:noProof/>
              <w:kern w:val="2"/>
              <w:sz w:val="24"/>
              <w:szCs w:val="24"/>
              <w:lang w:val="en-AU" w:eastAsia="en-AU"/>
              <w14:ligatures w14:val="standardContextual"/>
            </w:rPr>
          </w:pPr>
          <w:hyperlink w:anchor="_Toc183163305" w:history="1">
            <w:r w:rsidRPr="008B4AD3">
              <w:rPr>
                <w:rStyle w:val="Hyperlink"/>
                <w:rFonts w:cstheme="minorHAnsi"/>
                <w:noProof/>
              </w:rPr>
              <w:t>Avoided energy network costs</w:t>
            </w:r>
            <w:r>
              <w:rPr>
                <w:noProof/>
                <w:webHidden/>
              </w:rPr>
              <w:tab/>
            </w:r>
            <w:r>
              <w:rPr>
                <w:noProof/>
                <w:webHidden/>
              </w:rPr>
              <w:fldChar w:fldCharType="begin"/>
            </w:r>
            <w:r>
              <w:rPr>
                <w:noProof/>
                <w:webHidden/>
              </w:rPr>
              <w:instrText xml:space="preserve"> PAGEREF _Toc183163305 \h </w:instrText>
            </w:r>
            <w:r>
              <w:rPr>
                <w:noProof/>
                <w:webHidden/>
              </w:rPr>
            </w:r>
            <w:r>
              <w:rPr>
                <w:noProof/>
                <w:webHidden/>
              </w:rPr>
              <w:fldChar w:fldCharType="separate"/>
            </w:r>
            <w:r w:rsidR="00C6363F">
              <w:rPr>
                <w:noProof/>
                <w:webHidden/>
              </w:rPr>
              <w:t>92</w:t>
            </w:r>
            <w:r>
              <w:rPr>
                <w:noProof/>
                <w:webHidden/>
              </w:rPr>
              <w:fldChar w:fldCharType="end"/>
            </w:r>
          </w:hyperlink>
        </w:p>
        <w:p w14:paraId="079475ED" w14:textId="36680ABA" w:rsidR="00403DB1" w:rsidRDefault="00403DB1">
          <w:pPr>
            <w:pStyle w:val="TOC2"/>
            <w:rPr>
              <w:noProof/>
              <w:kern w:val="2"/>
              <w:sz w:val="24"/>
              <w:szCs w:val="24"/>
              <w:lang w:val="en-AU" w:eastAsia="en-AU"/>
              <w14:ligatures w14:val="standardContextual"/>
            </w:rPr>
          </w:pPr>
          <w:hyperlink w:anchor="_Toc183163306" w:history="1">
            <w:r w:rsidRPr="008B4AD3">
              <w:rPr>
                <w:rStyle w:val="Hyperlink"/>
                <w:rFonts w:cstheme="minorHAnsi"/>
                <w:noProof/>
              </w:rPr>
              <w:t>Health benefits associated with improved air quality</w:t>
            </w:r>
            <w:r>
              <w:rPr>
                <w:noProof/>
                <w:webHidden/>
              </w:rPr>
              <w:tab/>
            </w:r>
            <w:r>
              <w:rPr>
                <w:noProof/>
                <w:webHidden/>
              </w:rPr>
              <w:fldChar w:fldCharType="begin"/>
            </w:r>
            <w:r>
              <w:rPr>
                <w:noProof/>
                <w:webHidden/>
              </w:rPr>
              <w:instrText xml:space="preserve"> PAGEREF _Toc183163306 \h </w:instrText>
            </w:r>
            <w:r>
              <w:rPr>
                <w:noProof/>
                <w:webHidden/>
              </w:rPr>
            </w:r>
            <w:r>
              <w:rPr>
                <w:noProof/>
                <w:webHidden/>
              </w:rPr>
              <w:fldChar w:fldCharType="separate"/>
            </w:r>
            <w:r w:rsidR="00C6363F">
              <w:rPr>
                <w:noProof/>
                <w:webHidden/>
              </w:rPr>
              <w:t>93</w:t>
            </w:r>
            <w:r>
              <w:rPr>
                <w:noProof/>
                <w:webHidden/>
              </w:rPr>
              <w:fldChar w:fldCharType="end"/>
            </w:r>
          </w:hyperlink>
        </w:p>
        <w:p w14:paraId="657CAC22" w14:textId="7D5C2BC2" w:rsidR="00403DB1" w:rsidRDefault="00403DB1">
          <w:pPr>
            <w:pStyle w:val="TOC2"/>
            <w:rPr>
              <w:noProof/>
              <w:kern w:val="2"/>
              <w:sz w:val="24"/>
              <w:szCs w:val="24"/>
              <w:lang w:val="en-AU" w:eastAsia="en-AU"/>
              <w14:ligatures w14:val="standardContextual"/>
            </w:rPr>
          </w:pPr>
          <w:hyperlink w:anchor="_Toc183163307" w:history="1">
            <w:r w:rsidRPr="008B4AD3">
              <w:rPr>
                <w:rStyle w:val="Hyperlink"/>
                <w:rFonts w:cstheme="minorHAnsi"/>
                <w:noProof/>
              </w:rPr>
              <w:t>Reduced greenhouse gas emissions</w:t>
            </w:r>
            <w:r>
              <w:rPr>
                <w:noProof/>
                <w:webHidden/>
              </w:rPr>
              <w:tab/>
            </w:r>
            <w:r>
              <w:rPr>
                <w:noProof/>
                <w:webHidden/>
              </w:rPr>
              <w:fldChar w:fldCharType="begin"/>
            </w:r>
            <w:r>
              <w:rPr>
                <w:noProof/>
                <w:webHidden/>
              </w:rPr>
              <w:instrText xml:space="preserve"> PAGEREF _Toc183163307 \h </w:instrText>
            </w:r>
            <w:r>
              <w:rPr>
                <w:noProof/>
                <w:webHidden/>
              </w:rPr>
            </w:r>
            <w:r>
              <w:rPr>
                <w:noProof/>
                <w:webHidden/>
              </w:rPr>
              <w:fldChar w:fldCharType="separate"/>
            </w:r>
            <w:r w:rsidR="00C6363F">
              <w:rPr>
                <w:noProof/>
                <w:webHidden/>
              </w:rPr>
              <w:t>93</w:t>
            </w:r>
            <w:r>
              <w:rPr>
                <w:noProof/>
                <w:webHidden/>
              </w:rPr>
              <w:fldChar w:fldCharType="end"/>
            </w:r>
          </w:hyperlink>
        </w:p>
        <w:p w14:paraId="7AE4868A" w14:textId="461E5332" w:rsidR="00403DB1" w:rsidRDefault="00403DB1">
          <w:pPr>
            <w:pStyle w:val="TOC2"/>
            <w:rPr>
              <w:noProof/>
              <w:kern w:val="2"/>
              <w:sz w:val="24"/>
              <w:szCs w:val="24"/>
              <w:lang w:val="en-AU" w:eastAsia="en-AU"/>
              <w14:ligatures w14:val="standardContextual"/>
            </w:rPr>
          </w:pPr>
          <w:hyperlink w:anchor="_Toc183163308" w:history="1">
            <w:r w:rsidRPr="008B4AD3">
              <w:rPr>
                <w:rStyle w:val="Hyperlink"/>
                <w:rFonts w:cstheme="minorHAnsi"/>
                <w:noProof/>
              </w:rPr>
              <w:t>Social cost of carbon</w:t>
            </w:r>
            <w:r>
              <w:rPr>
                <w:noProof/>
                <w:webHidden/>
              </w:rPr>
              <w:tab/>
            </w:r>
            <w:r>
              <w:rPr>
                <w:noProof/>
                <w:webHidden/>
              </w:rPr>
              <w:fldChar w:fldCharType="begin"/>
            </w:r>
            <w:r>
              <w:rPr>
                <w:noProof/>
                <w:webHidden/>
              </w:rPr>
              <w:instrText xml:space="preserve"> PAGEREF _Toc183163308 \h </w:instrText>
            </w:r>
            <w:r>
              <w:rPr>
                <w:noProof/>
                <w:webHidden/>
              </w:rPr>
            </w:r>
            <w:r>
              <w:rPr>
                <w:noProof/>
                <w:webHidden/>
              </w:rPr>
              <w:fldChar w:fldCharType="separate"/>
            </w:r>
            <w:r w:rsidR="00C6363F">
              <w:rPr>
                <w:noProof/>
                <w:webHidden/>
              </w:rPr>
              <w:t>94</w:t>
            </w:r>
            <w:r>
              <w:rPr>
                <w:noProof/>
                <w:webHidden/>
              </w:rPr>
              <w:fldChar w:fldCharType="end"/>
            </w:r>
          </w:hyperlink>
        </w:p>
        <w:p w14:paraId="2C0A5571" w14:textId="566BA5F4" w:rsidR="00403DB1" w:rsidRDefault="00403DB1">
          <w:pPr>
            <w:pStyle w:val="TOC1"/>
            <w:rPr>
              <w:b w:val="0"/>
              <w:noProof/>
              <w:kern w:val="2"/>
              <w:sz w:val="24"/>
              <w:szCs w:val="24"/>
              <w:lang w:val="en-AU" w:eastAsia="en-AU"/>
              <w14:ligatures w14:val="standardContextual"/>
            </w:rPr>
          </w:pPr>
          <w:hyperlink w:anchor="_Toc183163309" w:history="1">
            <w:r w:rsidRPr="008B4AD3">
              <w:rPr>
                <w:rStyle w:val="Hyperlink"/>
                <w:rFonts w:cstheme="minorHAnsi"/>
                <w:noProof/>
              </w:rPr>
              <w:t>Appendix Two: Detailed modelling results</w:t>
            </w:r>
            <w:r>
              <w:rPr>
                <w:noProof/>
                <w:webHidden/>
              </w:rPr>
              <w:tab/>
            </w:r>
            <w:r>
              <w:rPr>
                <w:noProof/>
                <w:webHidden/>
              </w:rPr>
              <w:fldChar w:fldCharType="begin"/>
            </w:r>
            <w:r>
              <w:rPr>
                <w:noProof/>
                <w:webHidden/>
              </w:rPr>
              <w:instrText xml:space="preserve"> PAGEREF _Toc183163309 \h </w:instrText>
            </w:r>
            <w:r>
              <w:rPr>
                <w:noProof/>
                <w:webHidden/>
              </w:rPr>
            </w:r>
            <w:r>
              <w:rPr>
                <w:noProof/>
                <w:webHidden/>
              </w:rPr>
              <w:fldChar w:fldCharType="separate"/>
            </w:r>
            <w:r w:rsidR="00C6363F">
              <w:rPr>
                <w:noProof/>
                <w:webHidden/>
              </w:rPr>
              <w:t>96</w:t>
            </w:r>
            <w:r>
              <w:rPr>
                <w:noProof/>
                <w:webHidden/>
              </w:rPr>
              <w:fldChar w:fldCharType="end"/>
            </w:r>
          </w:hyperlink>
        </w:p>
        <w:p w14:paraId="237CACE4" w14:textId="42E48FAC" w:rsidR="00403DB1" w:rsidRDefault="00403DB1">
          <w:pPr>
            <w:pStyle w:val="TOC1"/>
            <w:rPr>
              <w:b w:val="0"/>
              <w:noProof/>
              <w:kern w:val="2"/>
              <w:sz w:val="24"/>
              <w:szCs w:val="24"/>
              <w:lang w:val="en-AU" w:eastAsia="en-AU"/>
              <w14:ligatures w14:val="standardContextual"/>
            </w:rPr>
          </w:pPr>
          <w:hyperlink w:anchor="_Toc183163310" w:history="1">
            <w:r w:rsidRPr="008B4AD3">
              <w:rPr>
                <w:rStyle w:val="Hyperlink"/>
                <w:rFonts w:cstheme="minorHAnsi"/>
                <w:noProof/>
              </w:rPr>
              <w:t>Sensitivity analysis</w:t>
            </w:r>
            <w:r>
              <w:rPr>
                <w:noProof/>
                <w:webHidden/>
              </w:rPr>
              <w:tab/>
            </w:r>
            <w:r>
              <w:rPr>
                <w:noProof/>
                <w:webHidden/>
              </w:rPr>
              <w:fldChar w:fldCharType="begin"/>
            </w:r>
            <w:r>
              <w:rPr>
                <w:noProof/>
                <w:webHidden/>
              </w:rPr>
              <w:instrText xml:space="preserve"> PAGEREF _Toc183163310 \h </w:instrText>
            </w:r>
            <w:r>
              <w:rPr>
                <w:noProof/>
                <w:webHidden/>
              </w:rPr>
            </w:r>
            <w:r>
              <w:rPr>
                <w:noProof/>
                <w:webHidden/>
              </w:rPr>
              <w:fldChar w:fldCharType="separate"/>
            </w:r>
            <w:r w:rsidR="00C6363F">
              <w:rPr>
                <w:noProof/>
                <w:webHidden/>
              </w:rPr>
              <w:t>96</w:t>
            </w:r>
            <w:r>
              <w:rPr>
                <w:noProof/>
                <w:webHidden/>
              </w:rPr>
              <w:fldChar w:fldCharType="end"/>
            </w:r>
          </w:hyperlink>
        </w:p>
        <w:p w14:paraId="01015C55" w14:textId="2605BE8E" w:rsidR="00403DB1" w:rsidRDefault="00403DB1">
          <w:pPr>
            <w:pStyle w:val="TOC2"/>
            <w:rPr>
              <w:noProof/>
              <w:kern w:val="2"/>
              <w:sz w:val="24"/>
              <w:szCs w:val="24"/>
              <w:lang w:val="en-AU" w:eastAsia="en-AU"/>
              <w14:ligatures w14:val="standardContextual"/>
            </w:rPr>
          </w:pPr>
          <w:hyperlink w:anchor="_Toc183163311" w:history="1">
            <w:r w:rsidRPr="008B4AD3">
              <w:rPr>
                <w:rStyle w:val="Hyperlink"/>
                <w:rFonts w:cstheme="minorHAnsi"/>
                <w:noProof/>
              </w:rPr>
              <w:t>Central scenario results Australia</w:t>
            </w:r>
            <w:r>
              <w:rPr>
                <w:noProof/>
                <w:webHidden/>
              </w:rPr>
              <w:tab/>
            </w:r>
            <w:r>
              <w:rPr>
                <w:noProof/>
                <w:webHidden/>
              </w:rPr>
              <w:fldChar w:fldCharType="begin"/>
            </w:r>
            <w:r>
              <w:rPr>
                <w:noProof/>
                <w:webHidden/>
              </w:rPr>
              <w:instrText xml:space="preserve"> PAGEREF _Toc183163311 \h </w:instrText>
            </w:r>
            <w:r>
              <w:rPr>
                <w:noProof/>
                <w:webHidden/>
              </w:rPr>
            </w:r>
            <w:r>
              <w:rPr>
                <w:noProof/>
                <w:webHidden/>
              </w:rPr>
              <w:fldChar w:fldCharType="separate"/>
            </w:r>
            <w:r w:rsidR="00C6363F">
              <w:rPr>
                <w:noProof/>
                <w:webHidden/>
              </w:rPr>
              <w:t>97</w:t>
            </w:r>
            <w:r>
              <w:rPr>
                <w:noProof/>
                <w:webHidden/>
              </w:rPr>
              <w:fldChar w:fldCharType="end"/>
            </w:r>
          </w:hyperlink>
        </w:p>
        <w:p w14:paraId="2C3FD084" w14:textId="5BA55228" w:rsidR="00403DB1" w:rsidRDefault="00403DB1">
          <w:pPr>
            <w:pStyle w:val="TOC2"/>
            <w:rPr>
              <w:noProof/>
              <w:kern w:val="2"/>
              <w:sz w:val="24"/>
              <w:szCs w:val="24"/>
              <w:lang w:val="en-AU" w:eastAsia="en-AU"/>
              <w14:ligatures w14:val="standardContextual"/>
            </w:rPr>
          </w:pPr>
          <w:hyperlink w:anchor="_Toc183163312" w:history="1">
            <w:r w:rsidRPr="008B4AD3">
              <w:rPr>
                <w:rStyle w:val="Hyperlink"/>
                <w:rFonts w:cstheme="minorHAnsi"/>
                <w:noProof/>
              </w:rPr>
              <w:t>Central scenario results New Zealand</w:t>
            </w:r>
            <w:r>
              <w:rPr>
                <w:noProof/>
                <w:webHidden/>
              </w:rPr>
              <w:tab/>
            </w:r>
            <w:r>
              <w:rPr>
                <w:noProof/>
                <w:webHidden/>
              </w:rPr>
              <w:fldChar w:fldCharType="begin"/>
            </w:r>
            <w:r>
              <w:rPr>
                <w:noProof/>
                <w:webHidden/>
              </w:rPr>
              <w:instrText xml:space="preserve"> PAGEREF _Toc183163312 \h </w:instrText>
            </w:r>
            <w:r>
              <w:rPr>
                <w:noProof/>
                <w:webHidden/>
              </w:rPr>
            </w:r>
            <w:r>
              <w:rPr>
                <w:noProof/>
                <w:webHidden/>
              </w:rPr>
              <w:fldChar w:fldCharType="separate"/>
            </w:r>
            <w:r w:rsidR="00C6363F">
              <w:rPr>
                <w:noProof/>
                <w:webHidden/>
              </w:rPr>
              <w:t>98</w:t>
            </w:r>
            <w:r>
              <w:rPr>
                <w:noProof/>
                <w:webHidden/>
              </w:rPr>
              <w:fldChar w:fldCharType="end"/>
            </w:r>
          </w:hyperlink>
        </w:p>
        <w:p w14:paraId="272F352B" w14:textId="6DAB648F" w:rsidR="00403DB1" w:rsidRDefault="00403DB1">
          <w:pPr>
            <w:pStyle w:val="TOC2"/>
            <w:rPr>
              <w:noProof/>
              <w:kern w:val="2"/>
              <w:sz w:val="24"/>
              <w:szCs w:val="24"/>
              <w:lang w:val="en-AU" w:eastAsia="en-AU"/>
              <w14:ligatures w14:val="standardContextual"/>
            </w:rPr>
          </w:pPr>
          <w:hyperlink w:anchor="_Toc183163313" w:history="1">
            <w:r w:rsidRPr="008B4AD3">
              <w:rPr>
                <w:rStyle w:val="Hyperlink"/>
                <w:rFonts w:cstheme="minorHAnsi"/>
                <w:noProof/>
              </w:rPr>
              <w:t>High scenario results Australia</w:t>
            </w:r>
            <w:r>
              <w:rPr>
                <w:noProof/>
                <w:webHidden/>
              </w:rPr>
              <w:tab/>
            </w:r>
            <w:r>
              <w:rPr>
                <w:noProof/>
                <w:webHidden/>
              </w:rPr>
              <w:fldChar w:fldCharType="begin"/>
            </w:r>
            <w:r>
              <w:rPr>
                <w:noProof/>
                <w:webHidden/>
              </w:rPr>
              <w:instrText xml:space="preserve"> PAGEREF _Toc183163313 \h </w:instrText>
            </w:r>
            <w:r>
              <w:rPr>
                <w:noProof/>
                <w:webHidden/>
              </w:rPr>
            </w:r>
            <w:r>
              <w:rPr>
                <w:noProof/>
                <w:webHidden/>
              </w:rPr>
              <w:fldChar w:fldCharType="separate"/>
            </w:r>
            <w:r w:rsidR="00C6363F">
              <w:rPr>
                <w:noProof/>
                <w:webHidden/>
              </w:rPr>
              <w:t>99</w:t>
            </w:r>
            <w:r>
              <w:rPr>
                <w:noProof/>
                <w:webHidden/>
              </w:rPr>
              <w:fldChar w:fldCharType="end"/>
            </w:r>
          </w:hyperlink>
        </w:p>
        <w:p w14:paraId="59177019" w14:textId="533724F3" w:rsidR="00403DB1" w:rsidRDefault="00403DB1">
          <w:pPr>
            <w:pStyle w:val="TOC2"/>
            <w:rPr>
              <w:noProof/>
              <w:kern w:val="2"/>
              <w:sz w:val="24"/>
              <w:szCs w:val="24"/>
              <w:lang w:val="en-AU" w:eastAsia="en-AU"/>
              <w14:ligatures w14:val="standardContextual"/>
            </w:rPr>
          </w:pPr>
          <w:hyperlink w:anchor="_Toc183163314" w:history="1">
            <w:r w:rsidRPr="008B4AD3">
              <w:rPr>
                <w:rStyle w:val="Hyperlink"/>
                <w:rFonts w:cstheme="minorHAnsi"/>
                <w:noProof/>
              </w:rPr>
              <w:t>High scenario results New Zealand</w:t>
            </w:r>
            <w:r>
              <w:rPr>
                <w:noProof/>
                <w:webHidden/>
              </w:rPr>
              <w:tab/>
            </w:r>
            <w:r>
              <w:rPr>
                <w:noProof/>
                <w:webHidden/>
              </w:rPr>
              <w:fldChar w:fldCharType="begin"/>
            </w:r>
            <w:r>
              <w:rPr>
                <w:noProof/>
                <w:webHidden/>
              </w:rPr>
              <w:instrText xml:space="preserve"> PAGEREF _Toc183163314 \h </w:instrText>
            </w:r>
            <w:r>
              <w:rPr>
                <w:noProof/>
                <w:webHidden/>
              </w:rPr>
            </w:r>
            <w:r>
              <w:rPr>
                <w:noProof/>
                <w:webHidden/>
              </w:rPr>
              <w:fldChar w:fldCharType="separate"/>
            </w:r>
            <w:r w:rsidR="00C6363F">
              <w:rPr>
                <w:noProof/>
                <w:webHidden/>
              </w:rPr>
              <w:t>100</w:t>
            </w:r>
            <w:r>
              <w:rPr>
                <w:noProof/>
                <w:webHidden/>
              </w:rPr>
              <w:fldChar w:fldCharType="end"/>
            </w:r>
          </w:hyperlink>
        </w:p>
        <w:p w14:paraId="73345D7C" w14:textId="341966A2" w:rsidR="00403DB1" w:rsidRDefault="00403DB1">
          <w:pPr>
            <w:pStyle w:val="TOC2"/>
            <w:rPr>
              <w:noProof/>
              <w:kern w:val="2"/>
              <w:sz w:val="24"/>
              <w:szCs w:val="24"/>
              <w:lang w:val="en-AU" w:eastAsia="en-AU"/>
              <w14:ligatures w14:val="standardContextual"/>
            </w:rPr>
          </w:pPr>
          <w:hyperlink w:anchor="_Toc183163315" w:history="1">
            <w:r w:rsidRPr="008B4AD3">
              <w:rPr>
                <w:rStyle w:val="Hyperlink"/>
                <w:rFonts w:cstheme="minorHAnsi"/>
                <w:noProof/>
              </w:rPr>
              <w:t>Low scenario results Australia</w:t>
            </w:r>
            <w:r>
              <w:rPr>
                <w:noProof/>
                <w:webHidden/>
              </w:rPr>
              <w:tab/>
            </w:r>
            <w:r>
              <w:rPr>
                <w:noProof/>
                <w:webHidden/>
              </w:rPr>
              <w:fldChar w:fldCharType="begin"/>
            </w:r>
            <w:r>
              <w:rPr>
                <w:noProof/>
                <w:webHidden/>
              </w:rPr>
              <w:instrText xml:space="preserve"> PAGEREF _Toc183163315 \h </w:instrText>
            </w:r>
            <w:r>
              <w:rPr>
                <w:noProof/>
                <w:webHidden/>
              </w:rPr>
            </w:r>
            <w:r>
              <w:rPr>
                <w:noProof/>
                <w:webHidden/>
              </w:rPr>
              <w:fldChar w:fldCharType="separate"/>
            </w:r>
            <w:r w:rsidR="00C6363F">
              <w:rPr>
                <w:noProof/>
                <w:webHidden/>
              </w:rPr>
              <w:t>101</w:t>
            </w:r>
            <w:r>
              <w:rPr>
                <w:noProof/>
                <w:webHidden/>
              </w:rPr>
              <w:fldChar w:fldCharType="end"/>
            </w:r>
          </w:hyperlink>
        </w:p>
        <w:p w14:paraId="3AF363DF" w14:textId="390E173A" w:rsidR="00403DB1" w:rsidRDefault="00403DB1">
          <w:pPr>
            <w:pStyle w:val="TOC2"/>
            <w:rPr>
              <w:noProof/>
              <w:kern w:val="2"/>
              <w:sz w:val="24"/>
              <w:szCs w:val="24"/>
              <w:lang w:val="en-AU" w:eastAsia="en-AU"/>
              <w14:ligatures w14:val="standardContextual"/>
            </w:rPr>
          </w:pPr>
          <w:hyperlink w:anchor="_Toc183163316" w:history="1">
            <w:r w:rsidRPr="008B4AD3">
              <w:rPr>
                <w:rStyle w:val="Hyperlink"/>
                <w:rFonts w:cstheme="minorHAnsi"/>
                <w:noProof/>
              </w:rPr>
              <w:t>Low scenario results New Zealand</w:t>
            </w:r>
            <w:r>
              <w:rPr>
                <w:noProof/>
                <w:webHidden/>
              </w:rPr>
              <w:tab/>
            </w:r>
            <w:r>
              <w:rPr>
                <w:noProof/>
                <w:webHidden/>
              </w:rPr>
              <w:fldChar w:fldCharType="begin"/>
            </w:r>
            <w:r>
              <w:rPr>
                <w:noProof/>
                <w:webHidden/>
              </w:rPr>
              <w:instrText xml:space="preserve"> PAGEREF _Toc183163316 \h </w:instrText>
            </w:r>
            <w:r>
              <w:rPr>
                <w:noProof/>
                <w:webHidden/>
              </w:rPr>
            </w:r>
            <w:r>
              <w:rPr>
                <w:noProof/>
                <w:webHidden/>
              </w:rPr>
              <w:fldChar w:fldCharType="separate"/>
            </w:r>
            <w:r w:rsidR="00C6363F">
              <w:rPr>
                <w:noProof/>
                <w:webHidden/>
              </w:rPr>
              <w:t>102</w:t>
            </w:r>
            <w:r>
              <w:rPr>
                <w:noProof/>
                <w:webHidden/>
              </w:rPr>
              <w:fldChar w:fldCharType="end"/>
            </w:r>
          </w:hyperlink>
        </w:p>
        <w:p w14:paraId="5E042AFF" w14:textId="264B2560" w:rsidR="003B5ED5" w:rsidRDefault="003B5ED5">
          <w:r>
            <w:rPr>
              <w:b/>
              <w:bCs/>
              <w:noProof/>
            </w:rPr>
            <w:lastRenderedPageBreak/>
            <w:fldChar w:fldCharType="end"/>
          </w:r>
        </w:p>
      </w:sdtContent>
    </w:sdt>
    <w:p w14:paraId="41D7056A" w14:textId="60A25E77" w:rsidR="00450D47" w:rsidRPr="00F05D96" w:rsidRDefault="00450D47" w:rsidP="00F05D96">
      <w:pPr>
        <w:rPr>
          <w:rFonts w:eastAsia="Calibri"/>
          <w:b/>
          <w:bCs/>
          <w:color w:val="363838"/>
          <w:sz w:val="28"/>
          <w:szCs w:val="28"/>
          <w:u w:val="single"/>
        </w:rPr>
      </w:pPr>
      <w:r w:rsidRPr="00F05D96">
        <w:rPr>
          <w:rFonts w:eastAsia="Calibri"/>
          <w:b/>
          <w:bCs/>
          <w:color w:val="363838"/>
          <w:sz w:val="28"/>
          <w:szCs w:val="28"/>
          <w:u w:val="single"/>
        </w:rPr>
        <w:t>Glossary</w:t>
      </w:r>
    </w:p>
    <w:p w14:paraId="52493BB2" w14:textId="77777777" w:rsidR="00FE2815" w:rsidRDefault="00FE2815" w:rsidP="00450D47">
      <w:pPr>
        <w:spacing w:after="0" w:line="240" w:lineRule="auto"/>
        <w:rPr>
          <w:rFonts w:asciiTheme="minorHAnsi" w:eastAsia="Calibri" w:hAnsiTheme="minorHAnsi" w:cstheme="minorHAnsi"/>
          <w:noProof/>
          <w:color w:val="363838"/>
          <w:szCs w:val="22"/>
        </w:rPr>
      </w:pPr>
    </w:p>
    <w:tbl>
      <w:tblPr>
        <w:tblStyle w:val="TableGrid1"/>
        <w:tblpPr w:leftFromText="180" w:rightFromText="180" w:vertAnchor="text" w:tblpY="1"/>
        <w:tblOverlap w:val="never"/>
        <w:tblW w:w="5000" w:type="pct"/>
        <w:tblLook w:val="04A0" w:firstRow="1" w:lastRow="0" w:firstColumn="1" w:lastColumn="0" w:noHBand="0" w:noVBand="1"/>
      </w:tblPr>
      <w:tblGrid>
        <w:gridCol w:w="1163"/>
        <w:gridCol w:w="7286"/>
      </w:tblGrid>
      <w:tr w:rsidR="00FE2815" w:rsidRPr="00A34F8A" w14:paraId="6554DD18" w14:textId="77777777" w:rsidTr="005D3977">
        <w:trPr>
          <w:cnfStyle w:val="100000000000" w:firstRow="1" w:lastRow="0" w:firstColumn="0" w:lastColumn="0" w:oddVBand="0" w:evenVBand="0" w:oddHBand="0" w:evenHBand="0" w:firstRowFirstColumn="0" w:firstRowLastColumn="0" w:lastRowFirstColumn="0" w:lastRowLastColumn="0"/>
        </w:trPr>
        <w:tc>
          <w:tcPr>
            <w:tcW w:w="688" w:type="pct"/>
            <w:vAlign w:val="center"/>
          </w:tcPr>
          <w:p w14:paraId="6D649FFF"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ABS</w:t>
            </w:r>
          </w:p>
        </w:tc>
        <w:tc>
          <w:tcPr>
            <w:tcW w:w="4312" w:type="pct"/>
            <w:vAlign w:val="center"/>
          </w:tcPr>
          <w:p w14:paraId="485AFAD0"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Australian Bureau of Statistics</w:t>
            </w:r>
          </w:p>
        </w:tc>
      </w:tr>
      <w:tr w:rsidR="00FE2815" w:rsidRPr="00A34F8A" w14:paraId="71AAB805" w14:textId="77777777" w:rsidTr="005D3977">
        <w:tc>
          <w:tcPr>
            <w:tcW w:w="688" w:type="pct"/>
            <w:vAlign w:val="center"/>
          </w:tcPr>
          <w:p w14:paraId="03B2D244"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BAU</w:t>
            </w:r>
          </w:p>
        </w:tc>
        <w:tc>
          <w:tcPr>
            <w:tcW w:w="4312" w:type="pct"/>
            <w:vAlign w:val="center"/>
          </w:tcPr>
          <w:p w14:paraId="7E39276F"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Business as usual</w:t>
            </w:r>
          </w:p>
        </w:tc>
      </w:tr>
      <w:tr w:rsidR="00FE2815" w:rsidRPr="00A34F8A" w14:paraId="06CEACEB" w14:textId="77777777" w:rsidTr="005D3977">
        <w:tc>
          <w:tcPr>
            <w:tcW w:w="688" w:type="pct"/>
            <w:vAlign w:val="center"/>
          </w:tcPr>
          <w:p w14:paraId="3D628AD5"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COAG</w:t>
            </w:r>
          </w:p>
        </w:tc>
        <w:tc>
          <w:tcPr>
            <w:tcW w:w="4312" w:type="pct"/>
            <w:vAlign w:val="center"/>
          </w:tcPr>
          <w:p w14:paraId="0874E054"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Council of Australian Governments</w:t>
            </w:r>
          </w:p>
        </w:tc>
      </w:tr>
      <w:tr w:rsidR="00FE2815" w:rsidRPr="00A34F8A" w14:paraId="71FF3577" w14:textId="77777777" w:rsidTr="005D3977">
        <w:tc>
          <w:tcPr>
            <w:tcW w:w="688" w:type="pct"/>
            <w:vAlign w:val="center"/>
          </w:tcPr>
          <w:p w14:paraId="41CC61E7"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CRIS</w:t>
            </w:r>
          </w:p>
        </w:tc>
        <w:tc>
          <w:tcPr>
            <w:tcW w:w="4312" w:type="pct"/>
            <w:vAlign w:val="center"/>
          </w:tcPr>
          <w:p w14:paraId="58D4AD0A"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 xml:space="preserve">Consultation Regulation Impact Statement </w:t>
            </w:r>
          </w:p>
        </w:tc>
      </w:tr>
      <w:tr w:rsidR="00FE2815" w:rsidRPr="00A34F8A" w14:paraId="394507D1" w14:textId="77777777" w:rsidTr="005D3977">
        <w:tc>
          <w:tcPr>
            <w:tcW w:w="688" w:type="pct"/>
            <w:vAlign w:val="center"/>
          </w:tcPr>
          <w:p w14:paraId="66B31874"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DCCEEW</w:t>
            </w:r>
          </w:p>
        </w:tc>
        <w:tc>
          <w:tcPr>
            <w:tcW w:w="4312" w:type="pct"/>
            <w:vAlign w:val="center"/>
          </w:tcPr>
          <w:p w14:paraId="7FBE0EA7" w14:textId="77777777" w:rsidR="00FE2815" w:rsidRPr="00A34F8A" w:rsidRDefault="00FE2815" w:rsidP="005D3977">
            <w:pPr>
              <w:spacing w:before="40" w:after="40" w:line="240"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Department of Climate Change, Energy, Environment and Water (Commonwealth)</w:t>
            </w:r>
          </w:p>
        </w:tc>
      </w:tr>
      <w:tr w:rsidR="00FE2815" w:rsidRPr="00A34F8A" w14:paraId="70AACEC2" w14:textId="77777777" w:rsidTr="005D3977">
        <w:tc>
          <w:tcPr>
            <w:tcW w:w="688" w:type="pct"/>
            <w:vAlign w:val="center"/>
          </w:tcPr>
          <w:p w14:paraId="2849AD2D"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DOE</w:t>
            </w:r>
          </w:p>
        </w:tc>
        <w:tc>
          <w:tcPr>
            <w:tcW w:w="4312" w:type="pct"/>
            <w:vAlign w:val="center"/>
          </w:tcPr>
          <w:p w14:paraId="2D855F6E"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Department of Energy (USA)</w:t>
            </w:r>
          </w:p>
        </w:tc>
      </w:tr>
      <w:tr w:rsidR="00FE2815" w:rsidRPr="00A34F8A" w14:paraId="15E8A470" w14:textId="77777777" w:rsidTr="005D3977">
        <w:tc>
          <w:tcPr>
            <w:tcW w:w="688" w:type="pct"/>
            <w:vAlign w:val="center"/>
          </w:tcPr>
          <w:p w14:paraId="63CAD379"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E3</w:t>
            </w:r>
          </w:p>
        </w:tc>
        <w:tc>
          <w:tcPr>
            <w:tcW w:w="4312" w:type="pct"/>
            <w:vAlign w:val="center"/>
          </w:tcPr>
          <w:p w14:paraId="771FB17B" w14:textId="77777777" w:rsidR="00FE2815" w:rsidRPr="00A34F8A" w:rsidRDefault="00FE2815" w:rsidP="005D3977">
            <w:pPr>
              <w:spacing w:before="40" w:after="40" w:line="240"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Equipment Energy Efficiency program (of the Commonwealth, State, Territory and New Zealand governments)</w:t>
            </w:r>
          </w:p>
        </w:tc>
      </w:tr>
      <w:tr w:rsidR="00FE2815" w:rsidRPr="00A34F8A" w14:paraId="6ADA0359" w14:textId="77777777" w:rsidTr="005D3977">
        <w:tc>
          <w:tcPr>
            <w:tcW w:w="688" w:type="pct"/>
            <w:vAlign w:val="center"/>
          </w:tcPr>
          <w:p w14:paraId="18F90DC5"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EECA</w:t>
            </w:r>
          </w:p>
        </w:tc>
        <w:tc>
          <w:tcPr>
            <w:tcW w:w="4312" w:type="pct"/>
            <w:vAlign w:val="center"/>
          </w:tcPr>
          <w:p w14:paraId="2591F112"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Energy Efficiency and Conservation Authority (New Zealand)</w:t>
            </w:r>
          </w:p>
        </w:tc>
      </w:tr>
      <w:tr w:rsidR="00FE2815" w:rsidRPr="00A34F8A" w14:paraId="7D9266E1" w14:textId="77777777" w:rsidTr="005D3977">
        <w:tc>
          <w:tcPr>
            <w:tcW w:w="688" w:type="pct"/>
            <w:vAlign w:val="center"/>
          </w:tcPr>
          <w:p w14:paraId="48BF55EF"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EERE</w:t>
            </w:r>
          </w:p>
        </w:tc>
        <w:tc>
          <w:tcPr>
            <w:tcW w:w="4312" w:type="pct"/>
            <w:vAlign w:val="center"/>
          </w:tcPr>
          <w:p w14:paraId="6F507B2D"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Energy Efficiency and Renewable Energy</w:t>
            </w:r>
          </w:p>
        </w:tc>
      </w:tr>
      <w:tr w:rsidR="00FE2815" w:rsidRPr="00A34F8A" w14:paraId="4DDE5909" w14:textId="77777777" w:rsidTr="005D3977">
        <w:tc>
          <w:tcPr>
            <w:tcW w:w="688" w:type="pct"/>
            <w:vAlign w:val="center"/>
          </w:tcPr>
          <w:p w14:paraId="7481B78D"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EEWG</w:t>
            </w:r>
          </w:p>
        </w:tc>
        <w:tc>
          <w:tcPr>
            <w:tcW w:w="4312" w:type="pct"/>
            <w:vAlign w:val="center"/>
          </w:tcPr>
          <w:p w14:paraId="2F6B9921"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Energy Efficiency Working Group</w:t>
            </w:r>
          </w:p>
        </w:tc>
      </w:tr>
      <w:tr w:rsidR="00FE2815" w:rsidRPr="00A34F8A" w14:paraId="7EE62AA6" w14:textId="77777777" w:rsidTr="005D3977">
        <w:tc>
          <w:tcPr>
            <w:tcW w:w="688" w:type="pct"/>
            <w:vAlign w:val="center"/>
          </w:tcPr>
          <w:p w14:paraId="660A8423"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EPA</w:t>
            </w:r>
          </w:p>
        </w:tc>
        <w:tc>
          <w:tcPr>
            <w:tcW w:w="4312" w:type="pct"/>
            <w:vAlign w:val="center"/>
          </w:tcPr>
          <w:p w14:paraId="3C7C12B3"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US Environmental Protection Agency</w:t>
            </w:r>
          </w:p>
        </w:tc>
      </w:tr>
      <w:tr w:rsidR="00FE2815" w:rsidRPr="00A34F8A" w14:paraId="32EF8CC2" w14:textId="77777777" w:rsidTr="005D3977">
        <w:tc>
          <w:tcPr>
            <w:tcW w:w="688" w:type="pct"/>
            <w:vAlign w:val="center"/>
          </w:tcPr>
          <w:p w14:paraId="5EFF2966"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EPS</w:t>
            </w:r>
          </w:p>
        </w:tc>
        <w:tc>
          <w:tcPr>
            <w:tcW w:w="4312" w:type="pct"/>
            <w:vAlign w:val="center"/>
          </w:tcPr>
          <w:p w14:paraId="7DE41B12"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External Power Supplies</w:t>
            </w:r>
          </w:p>
        </w:tc>
      </w:tr>
      <w:tr w:rsidR="00FE2815" w:rsidRPr="00A34F8A" w14:paraId="0B3015E7" w14:textId="77777777" w:rsidTr="005D3977">
        <w:tc>
          <w:tcPr>
            <w:tcW w:w="688" w:type="pct"/>
            <w:vAlign w:val="center"/>
          </w:tcPr>
          <w:p w14:paraId="2AF7B4D6"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EU</w:t>
            </w:r>
          </w:p>
        </w:tc>
        <w:tc>
          <w:tcPr>
            <w:tcW w:w="4312" w:type="pct"/>
            <w:vAlign w:val="center"/>
          </w:tcPr>
          <w:p w14:paraId="7BE13EB8"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European Union</w:t>
            </w:r>
          </w:p>
        </w:tc>
      </w:tr>
      <w:tr w:rsidR="00FE2815" w:rsidRPr="00A34F8A" w14:paraId="3A545A36" w14:textId="77777777" w:rsidTr="005D3977">
        <w:tc>
          <w:tcPr>
            <w:tcW w:w="688" w:type="pct"/>
            <w:vAlign w:val="center"/>
          </w:tcPr>
          <w:p w14:paraId="4EC4F88A"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EUP</w:t>
            </w:r>
          </w:p>
        </w:tc>
        <w:tc>
          <w:tcPr>
            <w:tcW w:w="4312" w:type="pct"/>
            <w:vAlign w:val="center"/>
          </w:tcPr>
          <w:p w14:paraId="757F93C1" w14:textId="77777777" w:rsidR="00FE2815" w:rsidRPr="00A34F8A" w:rsidRDefault="00FE2815" w:rsidP="005D3977">
            <w:pPr>
              <w:spacing w:before="40" w:after="40" w:line="240"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Energy Efficiency (Energy Using Products)</w:t>
            </w:r>
            <w:r>
              <w:rPr>
                <w:rFonts w:asciiTheme="minorHAnsi" w:eastAsia="Calibri" w:hAnsiTheme="minorHAnsi" w:cstheme="minorHAnsi"/>
                <w:color w:val="363838"/>
                <w:szCs w:val="22"/>
              </w:rPr>
              <w:t xml:space="preserve"> Regulations 2002</w:t>
            </w:r>
            <w:r w:rsidRPr="00A34F8A">
              <w:rPr>
                <w:rFonts w:asciiTheme="minorHAnsi" w:eastAsia="Calibri" w:hAnsiTheme="minorHAnsi" w:cstheme="minorHAnsi"/>
                <w:color w:val="363838"/>
                <w:szCs w:val="22"/>
              </w:rPr>
              <w:t xml:space="preserve"> (New Zealand </w:t>
            </w:r>
            <w:r>
              <w:rPr>
                <w:rFonts w:asciiTheme="minorHAnsi" w:eastAsia="Calibri" w:hAnsiTheme="minorHAnsi" w:cstheme="minorHAnsi"/>
                <w:color w:val="363838"/>
                <w:szCs w:val="22"/>
              </w:rPr>
              <w:t>R</w:t>
            </w:r>
            <w:r w:rsidRPr="00A34F8A">
              <w:rPr>
                <w:rFonts w:asciiTheme="minorHAnsi" w:eastAsia="Calibri" w:hAnsiTheme="minorHAnsi" w:cstheme="minorHAnsi"/>
                <w:color w:val="363838"/>
                <w:szCs w:val="22"/>
              </w:rPr>
              <w:t>egulation,</w:t>
            </w:r>
            <w:r>
              <w:rPr>
                <w:rFonts w:asciiTheme="minorHAnsi" w:eastAsia="Calibri" w:hAnsiTheme="minorHAnsi" w:cstheme="minorHAnsi"/>
                <w:color w:val="363838"/>
                <w:szCs w:val="22"/>
              </w:rPr>
              <w:t xml:space="preserve"> </w:t>
            </w:r>
            <w:r w:rsidRPr="00A34F8A">
              <w:rPr>
                <w:rFonts w:asciiTheme="minorHAnsi" w:eastAsia="Calibri" w:hAnsiTheme="minorHAnsi" w:cstheme="minorHAnsi"/>
                <w:color w:val="363838"/>
                <w:szCs w:val="22"/>
              </w:rPr>
              <w:t>2002)</w:t>
            </w:r>
          </w:p>
        </w:tc>
      </w:tr>
      <w:tr w:rsidR="00FE2815" w:rsidRPr="00A34F8A" w14:paraId="706060BA" w14:textId="77777777" w:rsidTr="005D3977">
        <w:tc>
          <w:tcPr>
            <w:tcW w:w="688" w:type="pct"/>
            <w:vAlign w:val="center"/>
          </w:tcPr>
          <w:p w14:paraId="51159046"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GEMS</w:t>
            </w:r>
          </w:p>
        </w:tc>
        <w:tc>
          <w:tcPr>
            <w:tcW w:w="4312" w:type="pct"/>
            <w:vAlign w:val="center"/>
          </w:tcPr>
          <w:p w14:paraId="434CB249"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Greenhouse and Energy Minimum Standards (Commonwealth Act, 2012)</w:t>
            </w:r>
          </w:p>
        </w:tc>
      </w:tr>
      <w:tr w:rsidR="00FE2815" w:rsidRPr="00A34F8A" w14:paraId="3AB14C46" w14:textId="77777777" w:rsidTr="005D3977">
        <w:tc>
          <w:tcPr>
            <w:tcW w:w="688" w:type="pct"/>
            <w:vAlign w:val="center"/>
          </w:tcPr>
          <w:p w14:paraId="3C6BA0FA"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IEC</w:t>
            </w:r>
          </w:p>
        </w:tc>
        <w:tc>
          <w:tcPr>
            <w:tcW w:w="4312" w:type="pct"/>
            <w:vAlign w:val="center"/>
          </w:tcPr>
          <w:p w14:paraId="080B75C2"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International Electrotechnical Commission</w:t>
            </w:r>
          </w:p>
        </w:tc>
      </w:tr>
      <w:tr w:rsidR="00FE2815" w:rsidRPr="00A34F8A" w14:paraId="50587CC3" w14:textId="77777777" w:rsidTr="005D3977">
        <w:tc>
          <w:tcPr>
            <w:tcW w:w="688" w:type="pct"/>
            <w:vAlign w:val="center"/>
          </w:tcPr>
          <w:p w14:paraId="3EC7E721"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MEPS</w:t>
            </w:r>
          </w:p>
        </w:tc>
        <w:tc>
          <w:tcPr>
            <w:tcW w:w="4312" w:type="pct"/>
            <w:vAlign w:val="center"/>
          </w:tcPr>
          <w:p w14:paraId="15FAC4B1"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Minimum energy performance standards</w:t>
            </w:r>
          </w:p>
        </w:tc>
      </w:tr>
      <w:tr w:rsidR="00FE2815" w:rsidRPr="00A34F8A" w14:paraId="604E811D" w14:textId="77777777" w:rsidTr="005D3977">
        <w:tc>
          <w:tcPr>
            <w:tcW w:w="688" w:type="pct"/>
            <w:vAlign w:val="center"/>
          </w:tcPr>
          <w:p w14:paraId="6DB72319"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NAEEEP</w:t>
            </w:r>
          </w:p>
        </w:tc>
        <w:tc>
          <w:tcPr>
            <w:tcW w:w="4312" w:type="pct"/>
            <w:vAlign w:val="center"/>
          </w:tcPr>
          <w:p w14:paraId="25CA6341"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US National Appliance and Equipment Energy Efficiency Program</w:t>
            </w:r>
          </w:p>
        </w:tc>
      </w:tr>
      <w:tr w:rsidR="00FE2815" w:rsidRPr="00A34F8A" w14:paraId="258CDFC6" w14:textId="77777777" w:rsidTr="005D3977">
        <w:tc>
          <w:tcPr>
            <w:tcW w:w="688" w:type="pct"/>
            <w:vAlign w:val="center"/>
          </w:tcPr>
          <w:p w14:paraId="3EBC20D5"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NCC</w:t>
            </w:r>
          </w:p>
        </w:tc>
        <w:tc>
          <w:tcPr>
            <w:tcW w:w="4312" w:type="pct"/>
            <w:vAlign w:val="center"/>
          </w:tcPr>
          <w:p w14:paraId="5244696A"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National Construction Code</w:t>
            </w:r>
          </w:p>
        </w:tc>
      </w:tr>
      <w:tr w:rsidR="00FE2815" w:rsidRPr="00A34F8A" w14:paraId="45139615" w14:textId="77777777" w:rsidTr="005D3977">
        <w:tc>
          <w:tcPr>
            <w:tcW w:w="688" w:type="pct"/>
            <w:vAlign w:val="center"/>
          </w:tcPr>
          <w:p w14:paraId="287187B9"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NPV</w:t>
            </w:r>
          </w:p>
        </w:tc>
        <w:tc>
          <w:tcPr>
            <w:tcW w:w="4312" w:type="pct"/>
            <w:vAlign w:val="center"/>
          </w:tcPr>
          <w:p w14:paraId="2670810D" w14:textId="77777777" w:rsidR="00FE2815" w:rsidRPr="00A34F8A" w:rsidRDefault="00FE2815" w:rsidP="005D3977">
            <w:pPr>
              <w:spacing w:before="40" w:after="0" w:line="312" w:lineRule="auto"/>
              <w:rPr>
                <w:rFonts w:asciiTheme="minorHAnsi" w:eastAsia="Calibri" w:hAnsiTheme="minorHAnsi" w:cstheme="minorHAnsi"/>
                <w:color w:val="363838"/>
                <w:szCs w:val="22"/>
              </w:rPr>
            </w:pPr>
            <w:r w:rsidRPr="00A34F8A">
              <w:rPr>
                <w:rFonts w:asciiTheme="minorHAnsi" w:eastAsia="Calibri" w:hAnsiTheme="minorHAnsi" w:cstheme="minorHAnsi"/>
                <w:color w:val="363838"/>
                <w:szCs w:val="22"/>
              </w:rPr>
              <w:t>Net present value</w:t>
            </w:r>
          </w:p>
        </w:tc>
      </w:tr>
    </w:tbl>
    <w:p w14:paraId="4F4EF38B" w14:textId="77777777" w:rsidR="00FE2815" w:rsidRDefault="00FE2815" w:rsidP="00450D47">
      <w:pPr>
        <w:spacing w:after="0" w:line="240" w:lineRule="auto"/>
        <w:rPr>
          <w:rFonts w:asciiTheme="minorHAnsi" w:eastAsia="Calibri" w:hAnsiTheme="minorHAnsi" w:cstheme="minorHAnsi"/>
          <w:noProof/>
          <w:color w:val="363838"/>
          <w:szCs w:val="22"/>
        </w:rPr>
      </w:pPr>
    </w:p>
    <w:p w14:paraId="23D4B117" w14:textId="319A7980" w:rsidR="003165D0" w:rsidRDefault="003165D0">
      <w:pPr>
        <w:spacing w:after="0" w:line="240" w:lineRule="auto"/>
        <w:rPr>
          <w:rFonts w:asciiTheme="minorHAnsi" w:eastAsia="Calibri" w:hAnsiTheme="minorHAnsi" w:cstheme="minorHAnsi"/>
          <w:noProof/>
          <w:color w:val="363838"/>
          <w:szCs w:val="22"/>
        </w:rPr>
      </w:pPr>
      <w:r>
        <w:rPr>
          <w:rFonts w:asciiTheme="minorHAnsi" w:eastAsia="Calibri" w:hAnsiTheme="minorHAnsi" w:cstheme="minorHAnsi"/>
          <w:noProof/>
          <w:color w:val="363838"/>
          <w:szCs w:val="22"/>
        </w:rPr>
        <w:br w:type="page"/>
      </w:r>
    </w:p>
    <w:p w14:paraId="4C7D9524" w14:textId="2611A1DF" w:rsidR="00B00C6E" w:rsidRPr="0071177D" w:rsidRDefault="00B00C6E" w:rsidP="00B00C6E">
      <w:pPr>
        <w:pStyle w:val="ChapterTitle"/>
        <w:rPr>
          <w:rFonts w:asciiTheme="minorHAnsi" w:hAnsiTheme="minorHAnsi" w:cstheme="minorHAnsi"/>
          <w:sz w:val="32"/>
          <w:szCs w:val="32"/>
        </w:rPr>
      </w:pPr>
      <w:bookmarkStart w:id="21" w:name="_Toc168660713"/>
      <w:bookmarkStart w:id="22" w:name="_Toc183163223"/>
      <w:r w:rsidRPr="0071177D">
        <w:rPr>
          <w:rFonts w:asciiTheme="minorHAnsi" w:hAnsiTheme="minorHAnsi" w:cstheme="minorHAnsi"/>
          <w:sz w:val="32"/>
          <w:szCs w:val="32"/>
        </w:rPr>
        <w:lastRenderedPageBreak/>
        <w:t>Background</w:t>
      </w:r>
      <w:bookmarkEnd w:id="21"/>
      <w:bookmarkEnd w:id="22"/>
    </w:p>
    <w:p w14:paraId="0117E112" w14:textId="00ADAF7E" w:rsidR="00B00C6E" w:rsidRPr="0071177D" w:rsidRDefault="00B00C6E" w:rsidP="00B00C6E">
      <w:pPr>
        <w:pStyle w:val="Heading1"/>
        <w:rPr>
          <w:sz w:val="28"/>
        </w:rPr>
      </w:pPr>
      <w:bookmarkStart w:id="23" w:name="_Toc168660714"/>
      <w:bookmarkStart w:id="24" w:name="_Toc183163224"/>
      <w:r w:rsidRPr="0071177D">
        <w:rPr>
          <w:sz w:val="28"/>
        </w:rPr>
        <w:t xml:space="preserve">Introduction to </w:t>
      </w:r>
      <w:r w:rsidR="005646A3" w:rsidRPr="0071177D">
        <w:rPr>
          <w:sz w:val="28"/>
        </w:rPr>
        <w:t>Australia and New Zealand legislation</w:t>
      </w:r>
      <w:r w:rsidRPr="0071177D">
        <w:rPr>
          <w:sz w:val="28"/>
        </w:rPr>
        <w:t xml:space="preserve"> and external power supplies</w:t>
      </w:r>
      <w:bookmarkEnd w:id="23"/>
      <w:bookmarkEnd w:id="24"/>
    </w:p>
    <w:p w14:paraId="43CBF72D" w14:textId="1771DEAE" w:rsidR="00EB4CB4" w:rsidRPr="00A34F8A" w:rsidRDefault="00EB4CB4" w:rsidP="00EB4CB4">
      <w:pPr>
        <w:rPr>
          <w:rFonts w:asciiTheme="minorHAnsi" w:hAnsiTheme="minorHAnsi" w:cstheme="minorHAnsi"/>
          <w:szCs w:val="22"/>
        </w:rPr>
      </w:pPr>
      <w:r w:rsidRPr="00A34F8A">
        <w:rPr>
          <w:rFonts w:asciiTheme="minorHAnsi" w:hAnsiTheme="minorHAnsi" w:cstheme="minorHAnsi"/>
          <w:szCs w:val="22"/>
        </w:rPr>
        <w:t xml:space="preserve">The </w:t>
      </w:r>
      <w:r w:rsidRPr="00A34F8A">
        <w:rPr>
          <w:rStyle w:val="Emphasis"/>
          <w:rFonts w:asciiTheme="minorHAnsi" w:hAnsiTheme="minorHAnsi" w:cstheme="minorHAnsi"/>
          <w:szCs w:val="22"/>
        </w:rPr>
        <w:t>Greenhouse and Energy Minimum Standards (GEMS) Act 2012</w:t>
      </w:r>
      <w:r w:rsidRPr="00A34F8A">
        <w:rPr>
          <w:rFonts w:asciiTheme="minorHAnsi" w:hAnsiTheme="minorHAnsi" w:cstheme="minorHAnsi"/>
          <w:szCs w:val="22"/>
        </w:rPr>
        <w:t xml:space="preserve"> </w:t>
      </w:r>
      <w:r w:rsidR="00F342AC">
        <w:rPr>
          <w:rFonts w:asciiTheme="minorHAnsi" w:hAnsiTheme="minorHAnsi" w:cstheme="minorHAnsi"/>
          <w:szCs w:val="22"/>
        </w:rPr>
        <w:t>provides</w:t>
      </w:r>
      <w:r w:rsidR="004F1FCF" w:rsidRPr="00A34F8A">
        <w:rPr>
          <w:rFonts w:asciiTheme="minorHAnsi" w:hAnsiTheme="minorHAnsi" w:cstheme="minorHAnsi"/>
          <w:szCs w:val="22"/>
        </w:rPr>
        <w:t xml:space="preserve"> </w:t>
      </w:r>
      <w:r w:rsidRPr="00A34F8A">
        <w:rPr>
          <w:rFonts w:asciiTheme="minorHAnsi" w:hAnsiTheme="minorHAnsi" w:cstheme="minorHAnsi"/>
          <w:szCs w:val="22"/>
        </w:rPr>
        <w:t xml:space="preserve">a national framework for </w:t>
      </w:r>
      <w:r w:rsidR="00BD3BE8">
        <w:rPr>
          <w:rFonts w:asciiTheme="minorHAnsi" w:hAnsiTheme="minorHAnsi" w:cstheme="minorHAnsi"/>
          <w:szCs w:val="22"/>
        </w:rPr>
        <w:t>appliance and equipment</w:t>
      </w:r>
      <w:r w:rsidR="00BD3BE8" w:rsidRPr="00A34F8A">
        <w:rPr>
          <w:rFonts w:asciiTheme="minorHAnsi" w:hAnsiTheme="minorHAnsi" w:cstheme="minorHAnsi"/>
          <w:szCs w:val="22"/>
        </w:rPr>
        <w:t xml:space="preserve"> </w:t>
      </w:r>
      <w:r w:rsidRPr="00A34F8A">
        <w:rPr>
          <w:rFonts w:asciiTheme="minorHAnsi" w:hAnsiTheme="minorHAnsi" w:cstheme="minorHAnsi"/>
          <w:szCs w:val="22"/>
        </w:rPr>
        <w:t>energy efficiency</w:t>
      </w:r>
      <w:r w:rsidR="005646A3">
        <w:rPr>
          <w:rFonts w:asciiTheme="minorHAnsi" w:hAnsiTheme="minorHAnsi" w:cstheme="minorHAnsi"/>
          <w:szCs w:val="22"/>
        </w:rPr>
        <w:t xml:space="preserve"> in Australia</w:t>
      </w:r>
      <w:r w:rsidRPr="00A34F8A">
        <w:rPr>
          <w:rFonts w:asciiTheme="minorHAnsi" w:hAnsiTheme="minorHAnsi" w:cstheme="minorHAnsi"/>
          <w:szCs w:val="22"/>
        </w:rPr>
        <w:t xml:space="preserve">. GEMS </w:t>
      </w:r>
      <w:r w:rsidR="00F342AC">
        <w:rPr>
          <w:rFonts w:asciiTheme="minorHAnsi" w:hAnsiTheme="minorHAnsi" w:cstheme="minorHAnsi"/>
          <w:szCs w:val="22"/>
        </w:rPr>
        <w:t>establishes</w:t>
      </w:r>
      <w:r w:rsidRPr="00A34F8A">
        <w:rPr>
          <w:rFonts w:asciiTheme="minorHAnsi" w:hAnsiTheme="minorHAnsi" w:cstheme="minorHAnsi"/>
          <w:szCs w:val="22"/>
        </w:rPr>
        <w:t xml:space="preserve"> minimum product energy efficiency standards and energy labelling </w:t>
      </w:r>
      <w:r w:rsidR="00193F1E">
        <w:rPr>
          <w:rFonts w:asciiTheme="minorHAnsi" w:hAnsiTheme="minorHAnsi" w:cstheme="minorHAnsi"/>
          <w:szCs w:val="22"/>
        </w:rPr>
        <w:t>requirements</w:t>
      </w:r>
      <w:r w:rsidRPr="00A34F8A">
        <w:rPr>
          <w:rFonts w:asciiTheme="minorHAnsi" w:hAnsiTheme="minorHAnsi" w:cstheme="minorHAnsi"/>
          <w:szCs w:val="22"/>
        </w:rPr>
        <w:t xml:space="preserve"> </w:t>
      </w:r>
      <w:r w:rsidR="006D2B32">
        <w:rPr>
          <w:rFonts w:asciiTheme="minorHAnsi" w:hAnsiTheme="minorHAnsi" w:cstheme="minorHAnsi"/>
          <w:szCs w:val="22"/>
        </w:rPr>
        <w:t>for Australia</w:t>
      </w:r>
      <w:sdt>
        <w:sdtPr>
          <w:rPr>
            <w:rFonts w:asciiTheme="minorHAnsi" w:hAnsiTheme="minorHAnsi" w:cstheme="minorHAnsi"/>
            <w:szCs w:val="22"/>
          </w:rPr>
          <w:id w:val="1702194"/>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Aus201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(Australian, State and Territory and New Zealand Governments , 2020)</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r w:rsidR="007F7096">
        <w:rPr>
          <w:rFonts w:asciiTheme="minorHAnsi" w:hAnsiTheme="minorHAnsi" w:cstheme="minorHAnsi"/>
          <w:szCs w:val="22"/>
        </w:rPr>
        <w:t xml:space="preserve">Before a product is offered to supply in Australia it must meet the energy efficiency standards and labelling requirements. </w:t>
      </w:r>
      <w:r w:rsidRPr="00A34F8A">
        <w:rPr>
          <w:rFonts w:asciiTheme="minorHAnsi" w:hAnsiTheme="minorHAnsi" w:cstheme="minorHAnsi"/>
          <w:szCs w:val="22"/>
        </w:rPr>
        <w:t xml:space="preserve">New Zealand has similar legislation and uses the </w:t>
      </w:r>
      <w:r w:rsidRPr="00A34F8A">
        <w:rPr>
          <w:rFonts w:asciiTheme="minorHAnsi" w:hAnsiTheme="minorHAnsi" w:cstheme="minorHAnsi"/>
          <w:i/>
          <w:iCs/>
          <w:szCs w:val="22"/>
        </w:rPr>
        <w:t>Energy Efficiency and Conservation Act 2000</w:t>
      </w:r>
      <w:r w:rsidRPr="00A34F8A">
        <w:rPr>
          <w:rFonts w:asciiTheme="minorHAnsi" w:hAnsiTheme="minorHAnsi" w:cstheme="minorHAnsi"/>
          <w:szCs w:val="22"/>
        </w:rPr>
        <w:t xml:space="preserve"> and </w:t>
      </w:r>
      <w:r w:rsidRPr="00A34F8A">
        <w:rPr>
          <w:rFonts w:asciiTheme="minorHAnsi" w:hAnsiTheme="minorHAnsi" w:cstheme="minorHAnsi"/>
          <w:i/>
          <w:iCs/>
          <w:szCs w:val="22"/>
        </w:rPr>
        <w:t>Energy Efficiency (Energy Using Products) Regulations 2002</w:t>
      </w:r>
      <w:r w:rsidRPr="00A34F8A">
        <w:rPr>
          <w:rFonts w:asciiTheme="minorHAnsi" w:hAnsiTheme="minorHAnsi" w:cstheme="minorHAnsi"/>
          <w:szCs w:val="22"/>
        </w:rPr>
        <w:t xml:space="preserve"> (EUP regulations).</w:t>
      </w:r>
    </w:p>
    <w:p w14:paraId="02D64242" w14:textId="4B283FE6" w:rsidR="00EB4CB4" w:rsidRPr="00A34F8A" w:rsidRDefault="00EB4CB4" w:rsidP="00EB4CB4">
      <w:pPr>
        <w:rPr>
          <w:rFonts w:asciiTheme="minorHAnsi" w:hAnsiTheme="minorHAnsi" w:cstheme="minorHAnsi"/>
          <w:szCs w:val="22"/>
        </w:rPr>
      </w:pPr>
      <w:r w:rsidRPr="00A34F8A">
        <w:rPr>
          <w:rFonts w:asciiTheme="minorHAnsi" w:hAnsiTheme="minorHAnsi" w:cstheme="minorHAnsi"/>
          <w:szCs w:val="22"/>
        </w:rPr>
        <w:t>The Equipment Energy Efficiency (E3) program is a cross-jurisdictional initiative of the Australian Government, states and territories and the New Zealand Government responsible for energy efficiency standards and energy labelling for equipment and appliances</w:t>
      </w:r>
      <w:sdt>
        <w:sdtPr>
          <w:rPr>
            <w:rFonts w:asciiTheme="minorHAnsi" w:hAnsiTheme="minorHAnsi" w:cstheme="minorHAnsi"/>
            <w:szCs w:val="22"/>
          </w:rPr>
          <w:id w:val="-1065182705"/>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Aus222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(Australian, State and Territory and New Zealand Governments, n.d.)</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w:t>
      </w:r>
    </w:p>
    <w:p w14:paraId="70B88756" w14:textId="15E8AFA1" w:rsidR="00EB4CB4" w:rsidRPr="00A34F8A" w:rsidRDefault="00EB4CB4" w:rsidP="00EB4CB4">
      <w:pPr>
        <w:rPr>
          <w:rFonts w:asciiTheme="minorHAnsi" w:hAnsiTheme="minorHAnsi" w:cstheme="minorHAnsi"/>
          <w:szCs w:val="22"/>
        </w:rPr>
      </w:pPr>
      <w:r w:rsidRPr="00A34F8A">
        <w:rPr>
          <w:rFonts w:asciiTheme="minorHAnsi" w:hAnsiTheme="minorHAnsi" w:cstheme="minorHAnsi"/>
          <w:szCs w:val="22"/>
        </w:rPr>
        <w:t>The GEMS Regulator manages the E3 Program, in conjunction with the Energy Efficiency Working Group (EEWG) and is the sole party responsible for administration of GEMS legislation in Australia</w:t>
      </w:r>
      <w:sdt>
        <w:sdtPr>
          <w:rPr>
            <w:rFonts w:asciiTheme="minorHAnsi" w:hAnsiTheme="minorHAnsi" w:cstheme="minorHAnsi"/>
            <w:szCs w:val="22"/>
          </w:rPr>
          <w:id w:val="-35046746"/>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Aus222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(Australian, State and Territory and New Zealand Governments, n.d.)</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It is housed by the Commonwealth Department of Climate Change, Energy, the Environment and Water (“the Department”). In New Zealand</w:t>
      </w:r>
      <w:r w:rsidR="00EC4DA4">
        <w:rPr>
          <w:rFonts w:asciiTheme="minorHAnsi" w:hAnsiTheme="minorHAnsi" w:cstheme="minorHAnsi"/>
          <w:szCs w:val="22"/>
        </w:rPr>
        <w:t>,</w:t>
      </w:r>
      <w:r w:rsidRPr="00A34F8A">
        <w:rPr>
          <w:rFonts w:asciiTheme="minorHAnsi" w:hAnsiTheme="minorHAnsi" w:cstheme="minorHAnsi"/>
          <w:szCs w:val="22"/>
        </w:rPr>
        <w:t xml:space="preserve"> the Energy Efficiency and Conservation Authority (EECA) is responsible for implementing the EUP regulations.</w:t>
      </w:r>
    </w:p>
    <w:p w14:paraId="722CD245" w14:textId="217964CE" w:rsidR="00EB4CB4" w:rsidRPr="00A34F8A" w:rsidRDefault="00EB4CB4" w:rsidP="00EB4CB4">
      <w:pPr>
        <w:rPr>
          <w:rFonts w:asciiTheme="minorHAnsi" w:hAnsiTheme="minorHAnsi" w:cstheme="minorHAnsi"/>
          <w:szCs w:val="22"/>
        </w:rPr>
      </w:pPr>
      <w:r w:rsidRPr="00A34F8A">
        <w:rPr>
          <w:rFonts w:asciiTheme="minorHAnsi" w:hAnsiTheme="minorHAnsi" w:cstheme="minorHAnsi"/>
          <w:szCs w:val="22"/>
        </w:rPr>
        <w:t xml:space="preserve">The GEMS regulator (on behalf of E3) enforces minimum standards for energy efficiency by implementing GEMS determinations for particular products. GEMS determinations include </w:t>
      </w:r>
      <w:r w:rsidR="00A325DE">
        <w:rPr>
          <w:rFonts w:asciiTheme="minorHAnsi" w:hAnsiTheme="minorHAnsi" w:cstheme="minorHAnsi"/>
          <w:szCs w:val="22"/>
        </w:rPr>
        <w:t>m</w:t>
      </w:r>
      <w:r w:rsidR="00A325DE" w:rsidRPr="00A34F8A">
        <w:rPr>
          <w:rFonts w:asciiTheme="minorHAnsi" w:hAnsiTheme="minorHAnsi" w:cstheme="minorHAnsi"/>
          <w:szCs w:val="22"/>
        </w:rPr>
        <w:t xml:space="preserve">inimum </w:t>
      </w:r>
      <w:r w:rsidR="00A325DE">
        <w:rPr>
          <w:rFonts w:asciiTheme="minorHAnsi" w:hAnsiTheme="minorHAnsi" w:cstheme="minorHAnsi"/>
          <w:szCs w:val="22"/>
        </w:rPr>
        <w:t>e</w:t>
      </w:r>
      <w:r w:rsidR="00A325DE" w:rsidRPr="00A34F8A">
        <w:rPr>
          <w:rFonts w:asciiTheme="minorHAnsi" w:hAnsiTheme="minorHAnsi" w:cstheme="minorHAnsi"/>
          <w:szCs w:val="22"/>
        </w:rPr>
        <w:t xml:space="preserve">nergy </w:t>
      </w:r>
      <w:r w:rsidR="00A325DE">
        <w:rPr>
          <w:rFonts w:asciiTheme="minorHAnsi" w:hAnsiTheme="minorHAnsi" w:cstheme="minorHAnsi"/>
          <w:szCs w:val="22"/>
        </w:rPr>
        <w:t>p</w:t>
      </w:r>
      <w:r w:rsidR="00A325DE" w:rsidRPr="00A34F8A">
        <w:rPr>
          <w:rFonts w:asciiTheme="minorHAnsi" w:hAnsiTheme="minorHAnsi" w:cstheme="minorHAnsi"/>
          <w:szCs w:val="22"/>
        </w:rPr>
        <w:t xml:space="preserve">erformance </w:t>
      </w:r>
      <w:r w:rsidR="00A325DE">
        <w:rPr>
          <w:rFonts w:asciiTheme="minorHAnsi" w:hAnsiTheme="minorHAnsi" w:cstheme="minorHAnsi"/>
          <w:szCs w:val="22"/>
        </w:rPr>
        <w:t>s</w:t>
      </w:r>
      <w:r w:rsidR="00A325DE" w:rsidRPr="00A34F8A">
        <w:rPr>
          <w:rFonts w:asciiTheme="minorHAnsi" w:hAnsiTheme="minorHAnsi" w:cstheme="minorHAnsi"/>
          <w:szCs w:val="22"/>
        </w:rPr>
        <w:t>tandards</w:t>
      </w:r>
      <w:r w:rsidRPr="00A34F8A">
        <w:rPr>
          <w:rFonts w:asciiTheme="minorHAnsi" w:hAnsiTheme="minorHAnsi" w:cstheme="minorHAnsi"/>
          <w:szCs w:val="22"/>
        </w:rPr>
        <w:t xml:space="preserve"> (MEPS)</w:t>
      </w:r>
      <w:r w:rsidR="00F14C03">
        <w:rPr>
          <w:rFonts w:asciiTheme="minorHAnsi" w:hAnsiTheme="minorHAnsi" w:cstheme="minorHAnsi"/>
          <w:szCs w:val="22"/>
        </w:rPr>
        <w:t xml:space="preserve"> (known as GEMS level requirements)</w:t>
      </w:r>
      <w:r w:rsidRPr="00A34F8A">
        <w:rPr>
          <w:rFonts w:asciiTheme="minorHAnsi" w:hAnsiTheme="minorHAnsi" w:cstheme="minorHAnsi"/>
          <w:szCs w:val="22"/>
        </w:rPr>
        <w:t>, which establish a minimum threshold of energy performance</w:t>
      </w:r>
      <w:sdt>
        <w:sdtPr>
          <w:rPr>
            <w:rFonts w:asciiTheme="minorHAnsi" w:hAnsiTheme="minorHAnsi" w:cstheme="minorHAnsi"/>
            <w:szCs w:val="22"/>
          </w:rPr>
          <w:id w:val="1947422118"/>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Aus201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(Australian, State and Territory and New Zealand Governments , 2020)</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Manufacturers or importers of appliances </w:t>
      </w:r>
      <w:r w:rsidR="00C753CE">
        <w:rPr>
          <w:rFonts w:asciiTheme="minorHAnsi" w:hAnsiTheme="minorHAnsi" w:cstheme="minorHAnsi"/>
          <w:szCs w:val="22"/>
        </w:rPr>
        <w:t>or equipment covered by a GEM</w:t>
      </w:r>
      <w:r w:rsidR="00374FA8">
        <w:rPr>
          <w:rFonts w:asciiTheme="minorHAnsi" w:hAnsiTheme="minorHAnsi" w:cstheme="minorHAnsi"/>
          <w:szCs w:val="22"/>
        </w:rPr>
        <w:t>S</w:t>
      </w:r>
      <w:r w:rsidR="00C753CE">
        <w:rPr>
          <w:rFonts w:asciiTheme="minorHAnsi" w:hAnsiTheme="minorHAnsi" w:cstheme="minorHAnsi"/>
          <w:szCs w:val="22"/>
        </w:rPr>
        <w:t xml:space="preserve"> determination</w:t>
      </w:r>
      <w:r w:rsidRPr="00A34F8A">
        <w:rPr>
          <w:rFonts w:asciiTheme="minorHAnsi" w:hAnsiTheme="minorHAnsi" w:cstheme="minorHAnsi"/>
          <w:szCs w:val="22"/>
        </w:rPr>
        <w:t xml:space="preserve"> must ensure their products meet the minimum threshold to be offered for supply in Australia. EECA sets similar requirements in New Zealand under the EUP regulations</w:t>
      </w:r>
      <w:r w:rsidR="00374FA8">
        <w:rPr>
          <w:rFonts w:asciiTheme="minorHAnsi" w:hAnsiTheme="minorHAnsi" w:cstheme="minorHAnsi"/>
          <w:szCs w:val="22"/>
        </w:rPr>
        <w:t>, with EECA performing the role of the regulator</w:t>
      </w:r>
      <w:r w:rsidRPr="00A34F8A">
        <w:rPr>
          <w:rFonts w:asciiTheme="minorHAnsi" w:hAnsiTheme="minorHAnsi" w:cstheme="minorHAnsi"/>
          <w:szCs w:val="22"/>
        </w:rPr>
        <w:t>.</w:t>
      </w:r>
    </w:p>
    <w:p w14:paraId="543ADFDD" w14:textId="7449C8C1" w:rsidR="00EB4CB4" w:rsidRPr="00A34F8A" w:rsidRDefault="00794661" w:rsidP="00B673E0">
      <w:pPr>
        <w:rPr>
          <w:rFonts w:asciiTheme="minorHAnsi" w:hAnsiTheme="minorHAnsi" w:cstheme="minorHAnsi"/>
          <w:szCs w:val="22"/>
        </w:rPr>
      </w:pPr>
      <w:r w:rsidRPr="3000D331">
        <w:rPr>
          <w:rFonts w:asciiTheme="minorHAnsi" w:hAnsiTheme="minorHAnsi" w:cstheme="minorBidi"/>
        </w:rPr>
        <w:t xml:space="preserve">A </w:t>
      </w:r>
      <w:r w:rsidR="001A19E5" w:rsidRPr="3000D331">
        <w:rPr>
          <w:rFonts w:asciiTheme="minorHAnsi" w:hAnsiTheme="minorHAnsi" w:cstheme="minorBidi"/>
        </w:rPr>
        <w:t xml:space="preserve">MEPS </w:t>
      </w:r>
      <w:r w:rsidR="00EB4CB4" w:rsidRPr="3000D331">
        <w:rPr>
          <w:rFonts w:asciiTheme="minorHAnsi" w:hAnsiTheme="minorHAnsi" w:cstheme="minorBidi"/>
        </w:rPr>
        <w:t xml:space="preserve">for External Power Supplies (EPS) supplied in Australia </w:t>
      </w:r>
      <w:r w:rsidR="004A3F9A">
        <w:rPr>
          <w:rFonts w:asciiTheme="minorHAnsi" w:hAnsiTheme="minorHAnsi" w:cstheme="minorBidi"/>
        </w:rPr>
        <w:t>was</w:t>
      </w:r>
      <w:r w:rsidR="004A3F9A" w:rsidRPr="3000D331">
        <w:rPr>
          <w:rFonts w:asciiTheme="minorHAnsi" w:hAnsiTheme="minorHAnsi" w:cstheme="minorBidi"/>
        </w:rPr>
        <w:t xml:space="preserve"> </w:t>
      </w:r>
      <w:r w:rsidR="00EB4CB4" w:rsidRPr="3000D331">
        <w:rPr>
          <w:rFonts w:asciiTheme="minorHAnsi" w:hAnsiTheme="minorHAnsi" w:cstheme="minorBidi"/>
        </w:rPr>
        <w:t>first introduced</w:t>
      </w:r>
      <w:r w:rsidR="00C93B2B">
        <w:rPr>
          <w:rFonts w:asciiTheme="minorHAnsi" w:hAnsiTheme="minorHAnsi" w:cstheme="minorBidi"/>
        </w:rPr>
        <w:t xml:space="preserve"> by states and territories</w:t>
      </w:r>
      <w:r w:rsidR="00EB4CB4" w:rsidRPr="3000D331">
        <w:rPr>
          <w:rFonts w:asciiTheme="minorHAnsi" w:hAnsiTheme="minorHAnsi" w:cstheme="minorBidi"/>
        </w:rPr>
        <w:t xml:space="preserve"> in 2008. New Zealand introduced similar requirements in 2011. </w:t>
      </w:r>
      <w:r w:rsidR="00C02546" w:rsidRPr="3000D331">
        <w:rPr>
          <w:rFonts w:asciiTheme="minorHAnsi" w:hAnsiTheme="minorHAnsi" w:cstheme="minorBidi"/>
        </w:rPr>
        <w:t xml:space="preserve">These </w:t>
      </w:r>
      <w:r w:rsidR="00EB4CB4" w:rsidRPr="3000D331">
        <w:rPr>
          <w:rFonts w:asciiTheme="minorHAnsi" w:hAnsiTheme="minorHAnsi" w:cstheme="minorBidi"/>
        </w:rPr>
        <w:t>regulation</w:t>
      </w:r>
      <w:r w:rsidR="00C02546" w:rsidRPr="3000D331">
        <w:rPr>
          <w:rFonts w:asciiTheme="minorHAnsi" w:hAnsiTheme="minorHAnsi" w:cstheme="minorBidi"/>
        </w:rPr>
        <w:t>s</w:t>
      </w:r>
      <w:r w:rsidR="00EB4CB4" w:rsidRPr="3000D331">
        <w:rPr>
          <w:rFonts w:asciiTheme="minorHAnsi" w:hAnsiTheme="minorHAnsi" w:cstheme="minorBidi"/>
        </w:rPr>
        <w:t xml:space="preserve"> </w:t>
      </w:r>
      <w:r w:rsidR="00C02546" w:rsidRPr="3000D331">
        <w:rPr>
          <w:rFonts w:asciiTheme="minorHAnsi" w:hAnsiTheme="minorHAnsi" w:cstheme="minorBidi"/>
        </w:rPr>
        <w:t>were</w:t>
      </w:r>
      <w:r w:rsidR="00EB4CB4" w:rsidRPr="3000D331">
        <w:rPr>
          <w:rFonts w:asciiTheme="minorHAnsi" w:hAnsiTheme="minorHAnsi" w:cstheme="minorBidi"/>
        </w:rPr>
        <w:t xml:space="preserve"> designed to ensure products were more efficient and produced </w:t>
      </w:r>
      <w:r w:rsidR="00E06EC4">
        <w:rPr>
          <w:rFonts w:asciiTheme="minorHAnsi" w:hAnsiTheme="minorHAnsi" w:cstheme="minorBidi"/>
        </w:rPr>
        <w:t>fewer</w:t>
      </w:r>
      <w:r w:rsidR="00E06EC4" w:rsidRPr="3000D331">
        <w:rPr>
          <w:rFonts w:asciiTheme="minorHAnsi" w:hAnsiTheme="minorHAnsi" w:cstheme="minorBidi"/>
        </w:rPr>
        <w:t xml:space="preserve"> </w:t>
      </w:r>
      <w:r w:rsidR="00EB4CB4" w:rsidRPr="3000D331">
        <w:rPr>
          <w:rFonts w:asciiTheme="minorHAnsi" w:hAnsiTheme="minorHAnsi" w:cstheme="minorBidi"/>
        </w:rPr>
        <w:t xml:space="preserve">greenhouse gas emissions while in use. </w:t>
      </w:r>
      <w:r w:rsidR="00C66BC7">
        <w:rPr>
          <w:rFonts w:asciiTheme="minorHAnsi" w:hAnsiTheme="minorHAnsi" w:cstheme="minorBidi"/>
        </w:rPr>
        <w:t>These regulations were replaced by t</w:t>
      </w:r>
      <w:r w:rsidR="00EB4CB4" w:rsidRPr="3000D331">
        <w:rPr>
          <w:rFonts w:asciiTheme="minorHAnsi" w:hAnsiTheme="minorHAnsi" w:cstheme="minorBidi"/>
        </w:rPr>
        <w:t xml:space="preserve">he </w:t>
      </w:r>
      <w:r w:rsidR="005103FF" w:rsidRPr="3000D331">
        <w:rPr>
          <w:rFonts w:asciiTheme="minorHAnsi" w:hAnsiTheme="minorHAnsi" w:cstheme="minorBidi"/>
        </w:rPr>
        <w:t>GE</w:t>
      </w:r>
      <w:r w:rsidR="00530433" w:rsidRPr="3000D331">
        <w:rPr>
          <w:rFonts w:asciiTheme="minorHAnsi" w:hAnsiTheme="minorHAnsi" w:cstheme="minorBidi"/>
        </w:rPr>
        <w:t>M</w:t>
      </w:r>
      <w:r w:rsidR="00C46ED4" w:rsidRPr="3000D331">
        <w:rPr>
          <w:rFonts w:asciiTheme="minorHAnsi" w:hAnsiTheme="minorHAnsi" w:cstheme="minorBidi"/>
        </w:rPr>
        <w:t>S</w:t>
      </w:r>
      <w:r w:rsidR="00530433" w:rsidRPr="3000D331">
        <w:rPr>
          <w:rFonts w:asciiTheme="minorHAnsi" w:hAnsiTheme="minorHAnsi" w:cstheme="minorBidi"/>
        </w:rPr>
        <w:t xml:space="preserve"> d</w:t>
      </w:r>
      <w:r w:rsidR="005103FF" w:rsidRPr="3000D331">
        <w:rPr>
          <w:rFonts w:asciiTheme="minorHAnsi" w:hAnsiTheme="minorHAnsi" w:cstheme="minorBidi"/>
        </w:rPr>
        <w:t>etermination</w:t>
      </w:r>
      <w:r w:rsidR="00C66BC7">
        <w:rPr>
          <w:rFonts w:asciiTheme="minorHAnsi" w:hAnsiTheme="minorHAnsi" w:cstheme="minorBidi"/>
        </w:rPr>
        <w:t xml:space="preserve"> in 2014 which maintained the original MEPS at </w:t>
      </w:r>
      <w:r w:rsidR="00507277">
        <w:rPr>
          <w:rFonts w:asciiTheme="minorHAnsi" w:hAnsiTheme="minorHAnsi" w:cstheme="minorBidi"/>
        </w:rPr>
        <w:t xml:space="preserve">an efficiency level of </w:t>
      </w:r>
      <w:r w:rsidR="00C66BC7">
        <w:rPr>
          <w:rFonts w:asciiTheme="minorHAnsi" w:hAnsiTheme="minorHAnsi" w:cstheme="minorBidi"/>
        </w:rPr>
        <w:t>mark III</w:t>
      </w:r>
      <w:r w:rsidR="00B673E0">
        <w:rPr>
          <w:rFonts w:asciiTheme="minorHAnsi" w:hAnsiTheme="minorHAnsi" w:cstheme="minorBidi"/>
        </w:rPr>
        <w:t xml:space="preserve">. </w:t>
      </w:r>
      <w:r w:rsidR="00EB4CB4" w:rsidRPr="002346DC">
        <w:rPr>
          <w:rFonts w:asciiTheme="minorHAnsi" w:hAnsiTheme="minorHAnsi" w:cstheme="minorHAnsi"/>
          <w:szCs w:val="22"/>
        </w:rPr>
        <w:t xml:space="preserve">This regulation covers single output external power supply units with a maximum output power of 250 watts or 250 volt-amperes (VA), with product classes outlined in the </w:t>
      </w:r>
      <w:r w:rsidR="00D63CE8" w:rsidRPr="002346DC">
        <w:rPr>
          <w:rFonts w:asciiTheme="minorHAnsi" w:hAnsiTheme="minorHAnsi" w:cstheme="minorHAnsi"/>
          <w:szCs w:val="22"/>
        </w:rPr>
        <w:t xml:space="preserve">determination </w:t>
      </w:r>
      <w:sdt>
        <w:sdtPr>
          <w:rPr>
            <w:rFonts w:asciiTheme="minorHAnsi" w:hAnsiTheme="minorHAnsi" w:cstheme="minorHAnsi"/>
            <w:szCs w:val="22"/>
          </w:rPr>
          <w:id w:val="-2097551345"/>
          <w:citation/>
        </w:sdtPr>
        <w:sdtContent>
          <w:r w:rsidR="00EB4CB4" w:rsidRPr="002346DC">
            <w:rPr>
              <w:rFonts w:asciiTheme="minorHAnsi" w:hAnsiTheme="minorHAnsi" w:cstheme="minorHAnsi"/>
              <w:szCs w:val="22"/>
            </w:rPr>
            <w:fldChar w:fldCharType="begin"/>
          </w:r>
          <w:r w:rsidR="00EB4CB4" w:rsidRPr="002346DC">
            <w:rPr>
              <w:rFonts w:asciiTheme="minorHAnsi" w:hAnsiTheme="minorHAnsi" w:cstheme="minorHAnsi"/>
              <w:szCs w:val="22"/>
            </w:rPr>
            <w:instrText xml:space="preserve"> CITATION Aus14 \l 3081 </w:instrText>
          </w:r>
          <w:r w:rsidR="00EB4CB4" w:rsidRPr="002346DC">
            <w:rPr>
              <w:rFonts w:asciiTheme="minorHAnsi" w:hAnsiTheme="minorHAnsi" w:cstheme="minorHAnsi"/>
              <w:szCs w:val="22"/>
            </w:rPr>
            <w:fldChar w:fldCharType="separate"/>
          </w:r>
          <w:r w:rsidR="002E2541" w:rsidRPr="002E2541">
            <w:rPr>
              <w:rFonts w:asciiTheme="minorHAnsi" w:hAnsiTheme="minorHAnsi" w:cstheme="minorHAnsi"/>
              <w:noProof/>
              <w:szCs w:val="22"/>
            </w:rPr>
            <w:t>(Australian Government, 2014)</w:t>
          </w:r>
          <w:r w:rsidR="00EB4CB4" w:rsidRPr="002346DC">
            <w:rPr>
              <w:rFonts w:asciiTheme="minorHAnsi" w:hAnsiTheme="minorHAnsi" w:cstheme="minorHAnsi"/>
              <w:szCs w:val="22"/>
            </w:rPr>
            <w:fldChar w:fldCharType="end"/>
          </w:r>
        </w:sdtContent>
      </w:sdt>
      <w:r w:rsidR="00EB4CB4" w:rsidRPr="002346DC">
        <w:rPr>
          <w:rFonts w:asciiTheme="minorHAnsi" w:hAnsiTheme="minorHAnsi" w:cstheme="minorHAnsi"/>
          <w:szCs w:val="22"/>
        </w:rPr>
        <w:t xml:space="preserve">. It also covers power supplies that can change their output voltage </w:t>
      </w:r>
      <w:r w:rsidR="0087708E" w:rsidRPr="002346DC">
        <w:rPr>
          <w:rFonts w:asciiTheme="minorHAnsi" w:hAnsiTheme="minorHAnsi" w:cstheme="minorHAnsi"/>
          <w:szCs w:val="22"/>
        </w:rPr>
        <w:t xml:space="preserve">by </w:t>
      </w:r>
      <w:r w:rsidR="00EB4CB4" w:rsidRPr="002346DC">
        <w:rPr>
          <w:rFonts w:asciiTheme="minorHAnsi" w:hAnsiTheme="minorHAnsi" w:cstheme="minorHAnsi"/>
          <w:szCs w:val="22"/>
        </w:rPr>
        <w:t>a user selectable switch.</w:t>
      </w:r>
    </w:p>
    <w:p w14:paraId="22F9ADBB" w14:textId="51B340AD" w:rsidR="0075372C" w:rsidRPr="00A34F8A" w:rsidRDefault="0075372C" w:rsidP="0075372C">
      <w:pPr>
        <w:pStyle w:val="Heading3"/>
        <w:rPr>
          <w:rFonts w:asciiTheme="minorHAnsi" w:hAnsiTheme="minorHAnsi" w:cstheme="minorHAnsi"/>
          <w:sz w:val="22"/>
          <w:szCs w:val="22"/>
        </w:rPr>
      </w:pPr>
      <w:bookmarkStart w:id="25" w:name="_Toc183163225"/>
      <w:r w:rsidRPr="00A34F8A">
        <w:rPr>
          <w:rFonts w:asciiTheme="minorHAnsi" w:hAnsiTheme="minorHAnsi" w:cstheme="minorHAnsi"/>
          <w:sz w:val="22"/>
          <w:szCs w:val="22"/>
        </w:rPr>
        <w:lastRenderedPageBreak/>
        <w:t>A sunsetting review determined that EPS regulation required a cost-benefit analysis of policy options for regulation change</w:t>
      </w:r>
      <w:bookmarkEnd w:id="25"/>
    </w:p>
    <w:p w14:paraId="57CE1FBC" w14:textId="34034615" w:rsidR="00BD56B0" w:rsidRPr="00A34F8A" w:rsidRDefault="00BD56B0" w:rsidP="00BD56B0">
      <w:pPr>
        <w:rPr>
          <w:rFonts w:asciiTheme="minorHAnsi" w:hAnsiTheme="minorHAnsi" w:cstheme="minorHAnsi"/>
          <w:szCs w:val="22"/>
        </w:rPr>
      </w:pPr>
      <w:r w:rsidRPr="00A34F8A">
        <w:rPr>
          <w:rFonts w:asciiTheme="minorHAnsi" w:hAnsiTheme="minorHAnsi" w:cstheme="minorHAnsi"/>
          <w:szCs w:val="22"/>
        </w:rPr>
        <w:t xml:space="preserve">The GEMS Determination in Australia for EPS was thought to be due to sunset in 2025. The standard process for regulations approaching sunsetting is for the Department to conduct a preliminary review to determine if further analysis is required. This review was conducted by the Department for EPS in 2021 </w:t>
      </w:r>
      <w:sdt>
        <w:sdtPr>
          <w:rPr>
            <w:rFonts w:asciiTheme="minorHAnsi" w:hAnsiTheme="minorHAnsi" w:cstheme="minorHAnsi"/>
            <w:szCs w:val="22"/>
          </w:rPr>
          <w:id w:val="-109823771"/>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E3P21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(E3 Program, 2021)</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Overall, this review found the following:</w:t>
      </w:r>
    </w:p>
    <w:p w14:paraId="19A4659C" w14:textId="7F291C83" w:rsidR="00BD56B0" w:rsidRPr="00A34F8A" w:rsidRDefault="00BD56B0" w:rsidP="00BD56B0">
      <w:pPr>
        <w:pStyle w:val="ListParagraph"/>
        <w:numPr>
          <w:ilvl w:val="0"/>
          <w:numId w:val="4"/>
        </w:numPr>
        <w:rPr>
          <w:rFonts w:asciiTheme="minorHAnsi" w:hAnsiTheme="minorHAnsi" w:cstheme="minorHAnsi"/>
          <w:sz w:val="22"/>
          <w:szCs w:val="22"/>
        </w:rPr>
      </w:pPr>
      <w:r w:rsidRPr="00A34F8A">
        <w:rPr>
          <w:rFonts w:asciiTheme="minorHAnsi" w:hAnsiTheme="minorHAnsi" w:cstheme="minorHAnsi"/>
          <w:sz w:val="22"/>
          <w:szCs w:val="22"/>
        </w:rPr>
        <w:t>The MEPS for EPS are no longer effective or efficient at driving gains in energy efficiency.</w:t>
      </w:r>
    </w:p>
    <w:p w14:paraId="52DAE43E" w14:textId="77777777" w:rsidR="00BD56B0" w:rsidRPr="00A34F8A" w:rsidRDefault="00BD56B0" w:rsidP="00BD56B0">
      <w:pPr>
        <w:pStyle w:val="ListParagraph"/>
        <w:numPr>
          <w:ilvl w:val="0"/>
          <w:numId w:val="4"/>
        </w:numPr>
        <w:rPr>
          <w:rFonts w:asciiTheme="minorHAnsi" w:hAnsiTheme="minorHAnsi" w:cstheme="minorHAnsi"/>
          <w:sz w:val="22"/>
          <w:szCs w:val="22"/>
        </w:rPr>
      </w:pPr>
      <w:r w:rsidRPr="00A34F8A">
        <w:rPr>
          <w:rFonts w:asciiTheme="minorHAnsi" w:hAnsiTheme="minorHAnsi" w:cstheme="minorHAnsi"/>
          <w:sz w:val="22"/>
          <w:szCs w:val="22"/>
        </w:rPr>
        <w:t>Australia and New Zealand are a small market compared to US and European markets. Suppliers are mostly making EPS for these markets that already exceed the Australian MEPS.</w:t>
      </w:r>
    </w:p>
    <w:p w14:paraId="3272FECF" w14:textId="77777777" w:rsidR="00BD56B0" w:rsidRPr="00A34F8A" w:rsidRDefault="00BD56B0" w:rsidP="00BD56B0">
      <w:pPr>
        <w:pStyle w:val="ListParagraph"/>
        <w:numPr>
          <w:ilvl w:val="0"/>
          <w:numId w:val="4"/>
        </w:numPr>
        <w:rPr>
          <w:rFonts w:asciiTheme="minorHAnsi" w:hAnsiTheme="minorHAnsi" w:cstheme="minorHAnsi"/>
          <w:sz w:val="22"/>
          <w:szCs w:val="22"/>
        </w:rPr>
      </w:pPr>
      <w:r w:rsidRPr="00A34F8A">
        <w:rPr>
          <w:rFonts w:asciiTheme="minorHAnsi" w:hAnsiTheme="minorHAnsi" w:cstheme="minorHAnsi"/>
          <w:sz w:val="22"/>
          <w:szCs w:val="22"/>
        </w:rPr>
        <w:t>EPS that automatically adjust their output voltage in response to the load without user intervention (e.g. USB-C phone chargers and laptop power supplies) are excluded.</w:t>
      </w:r>
    </w:p>
    <w:p w14:paraId="00A60E57" w14:textId="5937BAD8" w:rsidR="00BD56B0" w:rsidRPr="00A34F8A" w:rsidRDefault="00BD56B0" w:rsidP="00BD56B0">
      <w:pPr>
        <w:rPr>
          <w:rFonts w:asciiTheme="minorHAnsi" w:hAnsiTheme="minorHAnsi" w:cstheme="minorHAnsi"/>
          <w:szCs w:val="22"/>
        </w:rPr>
      </w:pPr>
      <w:r w:rsidRPr="00A34F8A">
        <w:rPr>
          <w:rFonts w:asciiTheme="minorHAnsi" w:hAnsiTheme="minorHAnsi" w:cstheme="minorHAnsi"/>
          <w:szCs w:val="22"/>
        </w:rPr>
        <w:t>Therefore, the regulation is no longer effective at increasing efficiency, saving energy and reducing greenhouse gas emissions.</w:t>
      </w:r>
    </w:p>
    <w:p w14:paraId="3069B3BA" w14:textId="1948DE02" w:rsidR="00B303B1" w:rsidRDefault="00BD56B0" w:rsidP="00BD56B0">
      <w:pPr>
        <w:rPr>
          <w:rFonts w:asciiTheme="minorHAnsi" w:hAnsiTheme="minorHAnsi" w:cstheme="minorHAnsi"/>
          <w:szCs w:val="22"/>
        </w:rPr>
      </w:pPr>
      <w:r w:rsidRPr="00A34F8A">
        <w:rPr>
          <w:rFonts w:asciiTheme="minorHAnsi" w:hAnsiTheme="minorHAnsi" w:cstheme="minorHAnsi"/>
          <w:szCs w:val="22"/>
        </w:rPr>
        <w:t>The review found that the existing determination affects approximately 5 million products sold every year in both Australia and New Zealand. It noted that if the scope of the MEPS were to be increased in line with international standards, the number of regulated EPS products could reach over 45 million</w:t>
      </w:r>
      <w:sdt>
        <w:sdtPr>
          <w:rPr>
            <w:rFonts w:asciiTheme="minorHAnsi" w:hAnsiTheme="minorHAnsi" w:cstheme="minorHAnsi"/>
            <w:szCs w:val="22"/>
          </w:rPr>
          <w:id w:val="-144279124"/>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E3P21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(E3 Program, 2021)</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This could dramatically increase the scale of both costs and benefits for EPS under the GEMS Determination and New Zealand regulation, and therefore requires careful consideration.</w:t>
      </w:r>
      <w:r w:rsidR="00B303B1">
        <w:rPr>
          <w:rFonts w:asciiTheme="minorHAnsi" w:hAnsiTheme="minorHAnsi" w:cstheme="minorHAnsi"/>
          <w:szCs w:val="22"/>
        </w:rPr>
        <w:t xml:space="preserve"> </w:t>
      </w:r>
    </w:p>
    <w:p w14:paraId="10924BC3" w14:textId="64CAB56E" w:rsidR="00912D57" w:rsidRDefault="00B303B1" w:rsidP="00BD56B0">
      <w:pPr>
        <w:rPr>
          <w:rFonts w:asciiTheme="minorHAnsi" w:hAnsiTheme="minorHAnsi" w:cstheme="minorBidi"/>
        </w:rPr>
      </w:pPr>
      <w:r w:rsidRPr="3000D331">
        <w:rPr>
          <w:rFonts w:asciiTheme="minorHAnsi" w:hAnsiTheme="minorHAnsi" w:cstheme="minorBidi"/>
        </w:rPr>
        <w:t xml:space="preserve">Following the ‘Sunsetting’ review, DCCEEW determined that the Commonwealth’s sunsetting requirement did not apply to </w:t>
      </w:r>
      <w:r w:rsidR="00517B74" w:rsidRPr="3000D331">
        <w:rPr>
          <w:rFonts w:asciiTheme="minorHAnsi" w:hAnsiTheme="minorHAnsi" w:cstheme="minorBidi"/>
        </w:rPr>
        <w:t xml:space="preserve">any </w:t>
      </w:r>
      <w:r w:rsidRPr="3000D331">
        <w:rPr>
          <w:rFonts w:asciiTheme="minorHAnsi" w:hAnsiTheme="minorHAnsi" w:cstheme="minorBidi"/>
        </w:rPr>
        <w:t>regulations implemented under the GEMS Act</w:t>
      </w:r>
      <w:r w:rsidR="00517B74" w:rsidRPr="3000D331">
        <w:rPr>
          <w:rFonts w:asciiTheme="minorHAnsi" w:hAnsiTheme="minorHAnsi" w:cstheme="minorBidi"/>
        </w:rPr>
        <w:t xml:space="preserve">, including external power supplies. The Energy Efficiency Working Group agreed that a consultation RIS should be prepared to test the </w:t>
      </w:r>
      <w:r w:rsidR="00912D57" w:rsidRPr="3000D331">
        <w:rPr>
          <w:rFonts w:asciiTheme="minorHAnsi" w:hAnsiTheme="minorHAnsi" w:cstheme="minorBidi"/>
        </w:rPr>
        <w:t>option of increasing the stringency of the MEPS level and expanding the scope of coverage, so that the Australian and New Zealand regulations aligned with international best practice.</w:t>
      </w:r>
    </w:p>
    <w:p w14:paraId="7D80C97D" w14:textId="48702041" w:rsidR="00BD56B0" w:rsidRPr="00A34F8A" w:rsidRDefault="00BD56B0" w:rsidP="00BD56B0">
      <w:pPr>
        <w:rPr>
          <w:rFonts w:asciiTheme="minorHAnsi" w:hAnsiTheme="minorHAnsi" w:cstheme="minorHAnsi"/>
          <w:szCs w:val="22"/>
        </w:rPr>
      </w:pPr>
      <w:r w:rsidRPr="00A34F8A">
        <w:rPr>
          <w:rFonts w:asciiTheme="minorHAnsi" w:hAnsiTheme="minorHAnsi" w:cstheme="minorHAnsi"/>
          <w:szCs w:val="22"/>
        </w:rPr>
        <w:t xml:space="preserve">This CRIS explores several policy options for increasing both the scope and the stringency of the current regulation and compares the costs and benefits of these different options to a business-as-usual scenario. </w:t>
      </w:r>
    </w:p>
    <w:p w14:paraId="61065F29" w14:textId="512655F4" w:rsidR="00EC5545" w:rsidRPr="00A34F8A" w:rsidRDefault="00EC5545">
      <w:pPr>
        <w:spacing w:after="0" w:line="240" w:lineRule="auto"/>
        <w:rPr>
          <w:rFonts w:asciiTheme="minorHAnsi" w:eastAsia="Yu Mincho" w:hAnsiTheme="minorHAnsi" w:cstheme="minorHAnsi"/>
          <w:b/>
          <w:bCs/>
          <w:noProof/>
          <w:szCs w:val="22"/>
          <w:lang w:eastAsia="en-GB"/>
        </w:rPr>
      </w:pPr>
      <w:r w:rsidRPr="00A34F8A">
        <w:rPr>
          <w:rFonts w:asciiTheme="minorHAnsi" w:eastAsia="Yu Mincho" w:hAnsiTheme="minorHAnsi" w:cstheme="minorHAnsi"/>
          <w:b/>
          <w:bCs/>
          <w:noProof/>
          <w:szCs w:val="22"/>
          <w:lang w:eastAsia="en-GB"/>
        </w:rPr>
        <w:br w:type="page"/>
      </w:r>
    </w:p>
    <w:p w14:paraId="43F59955" w14:textId="0E357F71" w:rsidR="00EC5545" w:rsidRPr="0071177D" w:rsidRDefault="003469B9" w:rsidP="00EC5545">
      <w:pPr>
        <w:pStyle w:val="ChapterTitle"/>
        <w:rPr>
          <w:rFonts w:asciiTheme="minorHAnsi" w:hAnsiTheme="minorHAnsi" w:cstheme="minorHAnsi"/>
          <w:sz w:val="32"/>
          <w:szCs w:val="32"/>
        </w:rPr>
      </w:pPr>
      <w:bookmarkStart w:id="26" w:name="_Toc168660716"/>
      <w:bookmarkStart w:id="27" w:name="_Toc183163226"/>
      <w:r w:rsidRPr="0071177D">
        <w:rPr>
          <w:rFonts w:asciiTheme="minorHAnsi" w:hAnsiTheme="minorHAnsi" w:cstheme="minorHAnsi"/>
          <w:sz w:val="32"/>
          <w:szCs w:val="32"/>
        </w:rPr>
        <w:lastRenderedPageBreak/>
        <w:t xml:space="preserve">Section 1: </w:t>
      </w:r>
      <w:r w:rsidR="00EC5545" w:rsidRPr="0071177D">
        <w:rPr>
          <w:rFonts w:asciiTheme="minorHAnsi" w:hAnsiTheme="minorHAnsi" w:cstheme="minorHAnsi"/>
          <w:sz w:val="32"/>
          <w:szCs w:val="32"/>
        </w:rPr>
        <w:t>Understanding the problem</w:t>
      </w:r>
      <w:bookmarkEnd w:id="26"/>
      <w:bookmarkEnd w:id="27"/>
    </w:p>
    <w:p w14:paraId="46BC6182" w14:textId="76B6EFE5" w:rsidR="00F964B5" w:rsidRPr="00A34F8A" w:rsidRDefault="00E75E44" w:rsidP="00F964B5">
      <w:pPr>
        <w:spacing w:line="312" w:lineRule="auto"/>
        <w:rPr>
          <w:rFonts w:asciiTheme="minorHAnsi" w:eastAsia="Yu Mincho" w:hAnsiTheme="minorHAnsi" w:cstheme="minorHAnsi"/>
          <w:b/>
          <w:bCs/>
          <w:noProof/>
          <w:szCs w:val="22"/>
          <w:lang w:eastAsia="en-GB"/>
        </w:rPr>
      </w:pPr>
      <w:r w:rsidRPr="00A34F8A">
        <w:rPr>
          <w:rFonts w:asciiTheme="minorHAnsi" w:hAnsiTheme="minorHAnsi" w:cstheme="minorHAnsi"/>
          <w:szCs w:val="22"/>
        </w:rPr>
        <w:t xml:space="preserve">The section outlines issues with low efficiency external power supplies and the existing Australian </w:t>
      </w:r>
      <w:r w:rsidR="008D6F45">
        <w:rPr>
          <w:rFonts w:asciiTheme="minorHAnsi" w:hAnsiTheme="minorHAnsi" w:cstheme="minorHAnsi"/>
          <w:szCs w:val="22"/>
        </w:rPr>
        <w:t>d</w:t>
      </w:r>
      <w:r w:rsidR="008D6F45" w:rsidRPr="00A34F8A">
        <w:rPr>
          <w:rFonts w:asciiTheme="minorHAnsi" w:hAnsiTheme="minorHAnsi" w:cstheme="minorHAnsi"/>
          <w:szCs w:val="22"/>
        </w:rPr>
        <w:t xml:space="preserve">etermination </w:t>
      </w:r>
      <w:r w:rsidRPr="00A34F8A">
        <w:rPr>
          <w:rFonts w:asciiTheme="minorHAnsi" w:hAnsiTheme="minorHAnsi" w:cstheme="minorHAnsi"/>
          <w:szCs w:val="22"/>
        </w:rPr>
        <w:t xml:space="preserve">and New Zealand regulation. The effectiveness of the current regulation is low due to its narrow scope and low MEPS. It is not driving improvements in the energy efficiency of EPS. Local Australian and New Zealand testing standards are also causing inefficiencies for manufacturers and suppliers who </w:t>
      </w:r>
      <w:r w:rsidR="006A4525" w:rsidRPr="00A34F8A">
        <w:rPr>
          <w:rFonts w:asciiTheme="minorHAnsi" w:hAnsiTheme="minorHAnsi" w:cstheme="minorHAnsi"/>
          <w:szCs w:val="22"/>
        </w:rPr>
        <w:t>must</w:t>
      </w:r>
      <w:r w:rsidRPr="00A34F8A">
        <w:rPr>
          <w:rFonts w:asciiTheme="minorHAnsi" w:hAnsiTheme="minorHAnsi" w:cstheme="minorHAnsi"/>
          <w:szCs w:val="22"/>
        </w:rPr>
        <w:t xml:space="preserve"> repeat testing and certification processes.</w:t>
      </w:r>
    </w:p>
    <w:p w14:paraId="170B53F9" w14:textId="7B508069" w:rsidR="00D10515" w:rsidRPr="0071177D" w:rsidRDefault="003469B9" w:rsidP="0071177D">
      <w:pPr>
        <w:pStyle w:val="Heading2"/>
      </w:pPr>
      <w:bookmarkStart w:id="28" w:name="_Toc168660717"/>
      <w:bookmarkStart w:id="29" w:name="_Toc183163227"/>
      <w:r w:rsidRPr="0071177D">
        <w:t xml:space="preserve">1.1 </w:t>
      </w:r>
      <w:r w:rsidR="00D10515" w:rsidRPr="0071177D">
        <w:t>Inefficient products increase energy demand and emissions</w:t>
      </w:r>
      <w:bookmarkEnd w:id="28"/>
      <w:bookmarkEnd w:id="29"/>
    </w:p>
    <w:p w14:paraId="7C725CEC" w14:textId="2C18DD84" w:rsidR="00C40ECF" w:rsidRPr="00A34F8A" w:rsidRDefault="00C40ECF" w:rsidP="00C40ECF">
      <w:pPr>
        <w:rPr>
          <w:rFonts w:asciiTheme="minorHAnsi" w:hAnsiTheme="minorHAnsi" w:cstheme="minorBidi"/>
          <w:lang w:eastAsia="en-GB"/>
        </w:rPr>
      </w:pPr>
      <w:r w:rsidRPr="3000D331">
        <w:rPr>
          <w:rFonts w:asciiTheme="minorHAnsi" w:hAnsiTheme="minorHAnsi" w:cstheme="minorBidi"/>
          <w:lang w:eastAsia="en-GB"/>
        </w:rPr>
        <w:t xml:space="preserve">External Power Supplies (EPS) are products that connect an electronic device (such as phones, laptops, and tablets) to the mains power – i.e., the wall outlet. Because there are so many of these electronic devices, small gains in energy efficiency can have a large impact on energy use, peak demand, and associated greenhouse gas emissions. More energy efficient products will reduce electricity bills for consumers. Further, by lowering the cumulative demand for electricity, consumers will receive an additional reduction in electricity bills through reduced network charges </w:t>
      </w:r>
      <w:r w:rsidR="00F13955">
        <w:rPr>
          <w:rFonts w:asciiTheme="minorHAnsi" w:hAnsiTheme="minorHAnsi" w:cstheme="minorBidi"/>
          <w:lang w:eastAsia="en-GB"/>
        </w:rPr>
        <w:t xml:space="preserve">and </w:t>
      </w:r>
      <w:r w:rsidR="00F14A2E">
        <w:rPr>
          <w:rFonts w:asciiTheme="minorHAnsi" w:hAnsiTheme="minorHAnsi" w:cstheme="minorBidi"/>
          <w:lang w:eastAsia="en-GB"/>
        </w:rPr>
        <w:t xml:space="preserve">energy prices </w:t>
      </w:r>
      <w:r w:rsidRPr="3000D331">
        <w:rPr>
          <w:rFonts w:asciiTheme="minorHAnsi" w:hAnsiTheme="minorHAnsi" w:cstheme="minorBidi"/>
          <w:lang w:eastAsia="en-GB"/>
        </w:rPr>
        <w:t xml:space="preserve">resulting from </w:t>
      </w:r>
      <w:r w:rsidR="00F14A2E">
        <w:rPr>
          <w:rFonts w:asciiTheme="minorHAnsi" w:hAnsiTheme="minorHAnsi" w:cstheme="minorBidi"/>
          <w:lang w:eastAsia="en-GB"/>
        </w:rPr>
        <w:t xml:space="preserve">a </w:t>
      </w:r>
      <w:r w:rsidRPr="3000D331">
        <w:rPr>
          <w:rFonts w:asciiTheme="minorHAnsi" w:hAnsiTheme="minorHAnsi" w:cstheme="minorBidi"/>
          <w:lang w:eastAsia="en-GB"/>
        </w:rPr>
        <w:t>reduction in peak demand.</w:t>
      </w:r>
      <w:r w:rsidR="00BA069D" w:rsidRPr="3000D331">
        <w:rPr>
          <w:rFonts w:asciiTheme="minorHAnsi" w:hAnsiTheme="minorHAnsi" w:cstheme="minorBidi"/>
          <w:lang w:eastAsia="en-GB"/>
        </w:rPr>
        <w:t xml:space="preserve"> </w:t>
      </w:r>
      <w:r w:rsidRPr="3000D331">
        <w:rPr>
          <w:rFonts w:asciiTheme="minorHAnsi" w:hAnsiTheme="minorHAnsi" w:cstheme="minorBidi"/>
          <w:lang w:eastAsia="en-GB"/>
        </w:rPr>
        <w:t xml:space="preserve">EPS are covered by energy efficiency regulations in both Australia and New Zealand. In Australia this regulation first came into force through </w:t>
      </w:r>
      <w:r w:rsidR="000F4E04" w:rsidRPr="3000D331">
        <w:rPr>
          <w:rFonts w:asciiTheme="minorHAnsi" w:hAnsiTheme="minorHAnsi" w:cstheme="minorBidi"/>
          <w:lang w:eastAsia="en-GB"/>
        </w:rPr>
        <w:t>minimum energy performance standards</w:t>
      </w:r>
      <w:r w:rsidRPr="3000D331">
        <w:rPr>
          <w:rFonts w:asciiTheme="minorHAnsi" w:hAnsiTheme="minorHAnsi" w:cstheme="minorBidi"/>
          <w:lang w:eastAsia="en-GB"/>
        </w:rPr>
        <w:t xml:space="preserve"> (MEPS) in </w:t>
      </w:r>
      <w:r w:rsidR="00834FD2">
        <w:rPr>
          <w:rFonts w:asciiTheme="minorHAnsi" w:hAnsiTheme="minorHAnsi" w:cstheme="minorBidi"/>
          <w:lang w:eastAsia="en-GB"/>
        </w:rPr>
        <w:t xml:space="preserve">states and territories in </w:t>
      </w:r>
      <w:r w:rsidRPr="3000D331">
        <w:rPr>
          <w:rFonts w:asciiTheme="minorHAnsi" w:hAnsiTheme="minorHAnsi" w:cstheme="minorBidi"/>
          <w:lang w:eastAsia="en-GB"/>
        </w:rPr>
        <w:t xml:space="preserve">2008 </w:t>
      </w:r>
      <w:sdt>
        <w:sdtPr>
          <w:rPr>
            <w:rFonts w:asciiTheme="minorHAnsi" w:hAnsiTheme="minorHAnsi" w:cstheme="minorBidi"/>
            <w:lang w:eastAsia="en-GB"/>
          </w:rPr>
          <w:id w:val="-544982663"/>
          <w:citation/>
        </w:sdtPr>
        <w:sdtContent>
          <w:r w:rsidRPr="3000D331">
            <w:rPr>
              <w:rFonts w:asciiTheme="minorHAnsi" w:hAnsiTheme="minorHAnsi" w:cstheme="minorBidi"/>
              <w:lang w:eastAsia="en-GB"/>
            </w:rPr>
            <w:fldChar w:fldCharType="begin"/>
          </w:r>
          <w:r w:rsidRPr="3000D331">
            <w:rPr>
              <w:rFonts w:asciiTheme="minorHAnsi" w:hAnsiTheme="minorHAnsi" w:cstheme="minorBidi"/>
              <w:lang w:eastAsia="en-GB"/>
            </w:rPr>
            <w:instrText xml:space="preserve">CITATION Aus17 \l 3081 </w:instrText>
          </w:r>
          <w:r w:rsidRPr="3000D331">
            <w:rPr>
              <w:rFonts w:asciiTheme="minorHAnsi" w:hAnsiTheme="minorHAnsi" w:cstheme="minorBidi"/>
              <w:lang w:eastAsia="en-GB"/>
            </w:rPr>
            <w:fldChar w:fldCharType="separate"/>
          </w:r>
          <w:r w:rsidR="002E2541" w:rsidRPr="002E2541">
            <w:rPr>
              <w:rFonts w:asciiTheme="minorHAnsi" w:hAnsiTheme="minorHAnsi" w:cstheme="minorBidi"/>
              <w:noProof/>
              <w:lang w:eastAsia="en-GB"/>
            </w:rPr>
            <w:t>(Australian Government Department of Environment and Energy, 2017)</w:t>
          </w:r>
          <w:r w:rsidRPr="3000D331">
            <w:rPr>
              <w:rFonts w:asciiTheme="minorHAnsi" w:hAnsiTheme="minorHAnsi" w:cstheme="minorBidi"/>
              <w:lang w:eastAsia="en-GB"/>
            </w:rPr>
            <w:fldChar w:fldCharType="end"/>
          </w:r>
        </w:sdtContent>
      </w:sdt>
      <w:r w:rsidRPr="3000D331">
        <w:rPr>
          <w:rFonts w:asciiTheme="minorHAnsi" w:hAnsiTheme="minorHAnsi" w:cstheme="minorBidi"/>
          <w:lang w:eastAsia="en-GB"/>
        </w:rPr>
        <w:t xml:space="preserve">, following the AS/NZS 4665.1:2005 standard prepared by the joint Technical Committee TE-001 </w:t>
      </w:r>
      <w:sdt>
        <w:sdtPr>
          <w:rPr>
            <w:rFonts w:asciiTheme="minorHAnsi" w:hAnsiTheme="minorHAnsi" w:cstheme="minorBidi"/>
            <w:lang w:eastAsia="en-GB"/>
          </w:rPr>
          <w:id w:val="850539298"/>
          <w:citation/>
        </w:sdtPr>
        <w:sdtContent>
          <w:r w:rsidRPr="3000D331">
            <w:rPr>
              <w:rFonts w:asciiTheme="minorHAnsi" w:hAnsiTheme="minorHAnsi" w:cstheme="minorBidi"/>
              <w:lang w:eastAsia="en-GB"/>
            </w:rPr>
            <w:fldChar w:fldCharType="begin"/>
          </w:r>
          <w:r w:rsidRPr="3000D331">
            <w:rPr>
              <w:rFonts w:asciiTheme="minorHAnsi" w:hAnsiTheme="minorHAnsi" w:cstheme="minorBidi"/>
              <w:lang w:eastAsia="en-GB"/>
            </w:rPr>
            <w:instrText xml:space="preserve"> CITATION Sai23 \l 3081 </w:instrText>
          </w:r>
          <w:r w:rsidRPr="3000D331">
            <w:rPr>
              <w:rFonts w:asciiTheme="minorHAnsi" w:hAnsiTheme="minorHAnsi" w:cstheme="minorBidi"/>
              <w:lang w:eastAsia="en-GB"/>
            </w:rPr>
            <w:fldChar w:fldCharType="separate"/>
          </w:r>
          <w:r w:rsidR="002E2541" w:rsidRPr="002E2541">
            <w:rPr>
              <w:rFonts w:asciiTheme="minorHAnsi" w:hAnsiTheme="minorHAnsi" w:cstheme="minorBidi"/>
              <w:noProof/>
              <w:lang w:eastAsia="en-GB"/>
            </w:rPr>
            <w:t>(Sai Global, n.d.)</w:t>
          </w:r>
          <w:r w:rsidRPr="3000D331">
            <w:rPr>
              <w:rFonts w:asciiTheme="minorHAnsi" w:hAnsiTheme="minorHAnsi" w:cstheme="minorBidi"/>
              <w:lang w:eastAsia="en-GB"/>
            </w:rPr>
            <w:fldChar w:fldCharType="end"/>
          </w:r>
        </w:sdtContent>
      </w:sdt>
      <w:r w:rsidRPr="3000D331">
        <w:rPr>
          <w:rFonts w:asciiTheme="minorHAnsi" w:hAnsiTheme="minorHAnsi" w:cstheme="minorBidi"/>
          <w:lang w:eastAsia="en-GB"/>
        </w:rPr>
        <w:t xml:space="preserve">. </w:t>
      </w:r>
      <w:r w:rsidR="00D3623B">
        <w:rPr>
          <w:rFonts w:asciiTheme="minorHAnsi" w:hAnsiTheme="minorHAnsi" w:cstheme="minorBidi"/>
          <w:lang w:eastAsia="en-GB"/>
        </w:rPr>
        <w:t xml:space="preserve">This MEPS required a minimum efficiency level of performance mark III. </w:t>
      </w:r>
      <w:r w:rsidRPr="3000D331">
        <w:rPr>
          <w:rFonts w:asciiTheme="minorHAnsi" w:hAnsiTheme="minorHAnsi" w:cstheme="minorBidi"/>
          <w:lang w:eastAsia="en-GB"/>
        </w:rPr>
        <w:t xml:space="preserve">In 2012, the </w:t>
      </w:r>
      <w:r w:rsidRPr="3000D331">
        <w:rPr>
          <w:rFonts w:asciiTheme="minorHAnsi" w:hAnsiTheme="minorHAnsi" w:cstheme="minorBidi"/>
          <w:i/>
          <w:lang w:eastAsia="en-GB"/>
        </w:rPr>
        <w:t>Greenhouse and Energy Minimum Standards (GEMS) Act 2012</w:t>
      </w:r>
      <w:r w:rsidRPr="3000D331">
        <w:rPr>
          <w:rFonts w:asciiTheme="minorHAnsi" w:hAnsiTheme="minorHAnsi" w:cstheme="minorBidi"/>
          <w:lang w:eastAsia="en-GB"/>
        </w:rPr>
        <w:t xml:space="preserve"> replaced the previous law with a single act for all states and territories</w:t>
      </w:r>
      <w:sdt>
        <w:sdtPr>
          <w:rPr>
            <w:rFonts w:asciiTheme="minorHAnsi" w:hAnsiTheme="minorHAnsi" w:cstheme="minorBidi"/>
            <w:lang w:eastAsia="en-GB"/>
          </w:rPr>
          <w:id w:val="1709836913"/>
          <w:citation/>
        </w:sdtPr>
        <w:sdtContent>
          <w:r w:rsidRPr="3000D331">
            <w:rPr>
              <w:rFonts w:asciiTheme="minorHAnsi" w:hAnsiTheme="minorHAnsi" w:cstheme="minorBidi"/>
              <w:lang w:eastAsia="en-GB"/>
            </w:rPr>
            <w:fldChar w:fldCharType="begin"/>
          </w:r>
          <w:r w:rsidRPr="3000D331">
            <w:rPr>
              <w:rFonts w:asciiTheme="minorHAnsi" w:hAnsiTheme="minorHAnsi" w:cstheme="minorBidi"/>
              <w:lang w:eastAsia="en-GB"/>
            </w:rPr>
            <w:instrText xml:space="preserve">CITATION Aus17 \l 3081 </w:instrText>
          </w:r>
          <w:r w:rsidRPr="3000D331">
            <w:rPr>
              <w:rFonts w:asciiTheme="minorHAnsi" w:hAnsiTheme="minorHAnsi" w:cstheme="minorBidi"/>
              <w:lang w:eastAsia="en-GB"/>
            </w:rPr>
            <w:fldChar w:fldCharType="separate"/>
          </w:r>
          <w:r w:rsidR="002E2541">
            <w:rPr>
              <w:rFonts w:asciiTheme="minorHAnsi" w:hAnsiTheme="minorHAnsi" w:cstheme="minorBidi"/>
              <w:noProof/>
              <w:lang w:eastAsia="en-GB"/>
            </w:rPr>
            <w:t xml:space="preserve"> </w:t>
          </w:r>
          <w:r w:rsidR="002E2541" w:rsidRPr="002E2541">
            <w:rPr>
              <w:rFonts w:asciiTheme="minorHAnsi" w:hAnsiTheme="minorHAnsi" w:cstheme="minorBidi"/>
              <w:noProof/>
              <w:lang w:eastAsia="en-GB"/>
            </w:rPr>
            <w:t>(Australian Government Department of Environment and Energy, 2017)</w:t>
          </w:r>
          <w:r w:rsidRPr="3000D331">
            <w:rPr>
              <w:rFonts w:asciiTheme="minorHAnsi" w:hAnsiTheme="minorHAnsi" w:cstheme="minorBidi"/>
              <w:lang w:eastAsia="en-GB"/>
            </w:rPr>
            <w:fldChar w:fldCharType="end"/>
          </w:r>
        </w:sdtContent>
      </w:sdt>
      <w:r w:rsidRPr="3000D331">
        <w:rPr>
          <w:rFonts w:asciiTheme="minorHAnsi" w:hAnsiTheme="minorHAnsi" w:cstheme="minorBidi"/>
          <w:lang w:eastAsia="en-GB"/>
        </w:rPr>
        <w:t xml:space="preserve">. In 2014, a new </w:t>
      </w:r>
      <w:r w:rsidR="008B5603" w:rsidRPr="3000D331">
        <w:rPr>
          <w:rFonts w:asciiTheme="minorHAnsi" w:hAnsiTheme="minorHAnsi" w:cstheme="minorBidi"/>
          <w:lang w:eastAsia="en-GB"/>
        </w:rPr>
        <w:t>determination</w:t>
      </w:r>
      <w:r w:rsidRPr="3000D331">
        <w:rPr>
          <w:rFonts w:asciiTheme="minorHAnsi" w:hAnsiTheme="minorHAnsi" w:cstheme="minorBidi"/>
          <w:lang w:eastAsia="en-GB"/>
        </w:rPr>
        <w:t xml:space="preserve"> was published </w:t>
      </w:r>
      <w:r w:rsidR="00E07F46">
        <w:rPr>
          <w:rFonts w:asciiTheme="minorHAnsi" w:hAnsiTheme="minorHAnsi" w:cstheme="minorBidi"/>
          <w:lang w:eastAsia="en-GB"/>
        </w:rPr>
        <w:t xml:space="preserve">which maintained the minimum </w:t>
      </w:r>
      <w:r w:rsidR="007B4A8F">
        <w:rPr>
          <w:rFonts w:asciiTheme="minorHAnsi" w:hAnsiTheme="minorHAnsi" w:cstheme="minorBidi"/>
          <w:lang w:eastAsia="en-GB"/>
        </w:rPr>
        <w:t>efficiency performance level at mark III but allowed labelling of higher efficiency performance levels up to mark VI</w:t>
      </w:r>
      <w:r w:rsidRPr="3000D331">
        <w:rPr>
          <w:rFonts w:asciiTheme="minorHAnsi" w:hAnsiTheme="minorHAnsi" w:cstheme="minorBidi"/>
          <w:lang w:eastAsia="en-GB"/>
        </w:rPr>
        <w:t xml:space="preserve">. New Zealand first introduced MEPS in 2011 using the </w:t>
      </w:r>
      <w:r w:rsidRPr="3000D331">
        <w:rPr>
          <w:rFonts w:asciiTheme="minorHAnsi" w:hAnsiTheme="minorHAnsi" w:cstheme="minorBidi"/>
          <w:i/>
          <w:lang w:eastAsia="en-GB"/>
        </w:rPr>
        <w:t>Energy Efficiency (Energy Using Products) Regulations 2002</w:t>
      </w:r>
      <w:r w:rsidRPr="3000D331">
        <w:rPr>
          <w:rFonts w:asciiTheme="minorHAnsi" w:hAnsiTheme="minorHAnsi" w:cstheme="minorBidi"/>
          <w:lang w:eastAsia="en-GB"/>
        </w:rPr>
        <w:t xml:space="preserve">. These requirements were jointly developed between New Zealand and Australia under the Equipment Energy Efficiency (E3) Program </w:t>
      </w:r>
      <w:sdt>
        <w:sdtPr>
          <w:rPr>
            <w:rFonts w:asciiTheme="minorHAnsi" w:hAnsiTheme="minorHAnsi" w:cstheme="minorBidi"/>
            <w:lang w:eastAsia="en-GB"/>
          </w:rPr>
          <w:id w:val="-1979991436"/>
          <w:citation/>
        </w:sdtPr>
        <w:sdtContent>
          <w:r w:rsidRPr="3000D331">
            <w:rPr>
              <w:rFonts w:asciiTheme="minorHAnsi" w:hAnsiTheme="minorHAnsi" w:cstheme="minorBidi"/>
              <w:lang w:eastAsia="en-GB"/>
            </w:rPr>
            <w:fldChar w:fldCharType="begin"/>
          </w:r>
          <w:r w:rsidRPr="3000D331">
            <w:rPr>
              <w:rFonts w:asciiTheme="minorHAnsi" w:hAnsiTheme="minorHAnsi" w:cstheme="minorBidi"/>
              <w:lang w:eastAsia="en-GB"/>
            </w:rPr>
            <w:instrText xml:space="preserve">CITATION Ene23 \l 3081 </w:instrText>
          </w:r>
          <w:r w:rsidRPr="3000D331">
            <w:rPr>
              <w:rFonts w:asciiTheme="minorHAnsi" w:hAnsiTheme="minorHAnsi" w:cstheme="minorBidi"/>
              <w:lang w:eastAsia="en-GB"/>
            </w:rPr>
            <w:fldChar w:fldCharType="separate"/>
          </w:r>
          <w:r w:rsidR="002E2541" w:rsidRPr="002E2541">
            <w:rPr>
              <w:rFonts w:asciiTheme="minorHAnsi" w:hAnsiTheme="minorHAnsi" w:cstheme="minorBidi"/>
              <w:noProof/>
              <w:lang w:eastAsia="en-GB"/>
            </w:rPr>
            <w:t>(Energy Efficiency Conservation Authority, n.d.)</w:t>
          </w:r>
          <w:r w:rsidRPr="3000D331">
            <w:rPr>
              <w:rFonts w:asciiTheme="minorHAnsi" w:hAnsiTheme="minorHAnsi" w:cstheme="minorBidi"/>
              <w:lang w:eastAsia="en-GB"/>
            </w:rPr>
            <w:fldChar w:fldCharType="end"/>
          </w:r>
        </w:sdtContent>
      </w:sdt>
      <w:r w:rsidRPr="3000D331">
        <w:rPr>
          <w:rFonts w:asciiTheme="minorHAnsi" w:hAnsiTheme="minorHAnsi" w:cstheme="minorBidi"/>
          <w:lang w:eastAsia="en-GB"/>
        </w:rPr>
        <w:t xml:space="preserve">. </w:t>
      </w:r>
    </w:p>
    <w:p w14:paraId="4A63CEF5" w14:textId="22B7A513" w:rsidR="00C40ECF" w:rsidRPr="00A34F8A" w:rsidRDefault="00C40ECF" w:rsidP="00C40ECF">
      <w:pPr>
        <w:rPr>
          <w:rFonts w:asciiTheme="minorHAnsi" w:hAnsiTheme="minorHAnsi" w:cstheme="minorHAnsi"/>
          <w:szCs w:val="22"/>
          <w:lang w:eastAsia="en-GB"/>
        </w:rPr>
      </w:pPr>
      <w:r w:rsidRPr="00A34F8A">
        <w:rPr>
          <w:rFonts w:asciiTheme="minorHAnsi" w:hAnsiTheme="minorHAnsi" w:cstheme="minorHAnsi"/>
          <w:szCs w:val="22"/>
          <w:lang w:eastAsia="en-GB"/>
        </w:rPr>
        <w:t>Importers, sellers and manufacturers of EPS must comply with certain requirements to legally supply</w:t>
      </w:r>
      <w:r w:rsidRPr="00A34F8A">
        <w:rPr>
          <w:rStyle w:val="FootnoteReference"/>
          <w:rFonts w:asciiTheme="minorHAnsi" w:hAnsiTheme="minorHAnsi" w:cstheme="minorHAnsi"/>
          <w:szCs w:val="22"/>
          <w:lang w:eastAsia="en-GB"/>
        </w:rPr>
        <w:footnoteReference w:id="3"/>
      </w:r>
      <w:r w:rsidRPr="00A34F8A">
        <w:rPr>
          <w:rFonts w:asciiTheme="minorHAnsi" w:hAnsiTheme="minorHAnsi" w:cstheme="minorHAnsi"/>
          <w:szCs w:val="22"/>
          <w:lang w:eastAsia="en-GB"/>
        </w:rPr>
        <w:t xml:space="preserve"> EPS in Australia and to sell, lease, hire or hire-purchase EPS in New Zealand, even if the EPS are packaged with another product </w:t>
      </w:r>
      <w:sdt>
        <w:sdtPr>
          <w:rPr>
            <w:rFonts w:asciiTheme="minorHAnsi" w:hAnsiTheme="minorHAnsi" w:cstheme="minorHAnsi"/>
            <w:szCs w:val="22"/>
            <w:lang w:eastAsia="en-GB"/>
          </w:rPr>
          <w:id w:val="204448043"/>
          <w:citation/>
        </w:sdtPr>
        <w:sdtContent>
          <w:r w:rsidRPr="00A34F8A">
            <w:rPr>
              <w:rFonts w:asciiTheme="minorHAnsi" w:hAnsiTheme="minorHAnsi" w:cstheme="minorHAnsi"/>
              <w:szCs w:val="22"/>
              <w:lang w:eastAsia="en-GB"/>
            </w:rPr>
            <w:fldChar w:fldCharType="begin"/>
          </w:r>
          <w:r w:rsidRPr="00A34F8A">
            <w:rPr>
              <w:rFonts w:asciiTheme="minorHAnsi" w:hAnsiTheme="minorHAnsi" w:cstheme="minorHAnsi"/>
              <w:szCs w:val="22"/>
              <w:lang w:eastAsia="en-GB"/>
            </w:rPr>
            <w:instrText xml:space="preserve">CITATION Aus17 \l 3081 </w:instrText>
          </w:r>
          <w:r w:rsidRPr="00A34F8A">
            <w:rPr>
              <w:rFonts w:asciiTheme="minorHAnsi" w:hAnsiTheme="minorHAnsi" w:cstheme="minorHAnsi"/>
              <w:szCs w:val="22"/>
              <w:lang w:eastAsia="en-GB"/>
            </w:rPr>
            <w:fldChar w:fldCharType="separate"/>
          </w:r>
          <w:r w:rsidR="002E2541" w:rsidRPr="002E2541">
            <w:rPr>
              <w:rFonts w:asciiTheme="minorHAnsi" w:hAnsiTheme="minorHAnsi" w:cstheme="minorHAnsi"/>
              <w:noProof/>
              <w:szCs w:val="22"/>
              <w:lang w:eastAsia="en-GB"/>
            </w:rPr>
            <w:t>(Australian Government Department of Environment and Energy, 2017)</w:t>
          </w:r>
          <w:r w:rsidRPr="00A34F8A">
            <w:rPr>
              <w:rFonts w:asciiTheme="minorHAnsi" w:hAnsiTheme="minorHAnsi" w:cstheme="minorHAnsi"/>
              <w:szCs w:val="22"/>
              <w:lang w:eastAsia="en-GB"/>
            </w:rPr>
            <w:fldChar w:fldCharType="end"/>
          </w:r>
        </w:sdtContent>
      </w:sdt>
      <w:r w:rsidRPr="00A34F8A">
        <w:rPr>
          <w:rFonts w:asciiTheme="minorHAnsi" w:hAnsiTheme="minorHAnsi" w:cstheme="minorHAnsi"/>
          <w:szCs w:val="22"/>
          <w:lang w:eastAsia="en-GB"/>
        </w:rPr>
        <w:t xml:space="preserve">. These regulations are designed with product efficiency in mind. Put simply, the Australian legislation (GEMS) and New Zealand legislation (EUP regulations) ensure that any EPS sold in Australia and New Zealand – within the scope of the regulation – will be at least as efficient as the regulation stipulates.  </w:t>
      </w:r>
    </w:p>
    <w:p w14:paraId="72076557" w14:textId="77777777" w:rsidR="00C40ECF" w:rsidRPr="00A34F8A" w:rsidRDefault="00C40ECF" w:rsidP="00C40ECF">
      <w:pPr>
        <w:rPr>
          <w:rFonts w:asciiTheme="minorHAnsi" w:hAnsiTheme="minorHAnsi" w:cstheme="minorHAnsi"/>
          <w:szCs w:val="22"/>
          <w:lang w:eastAsia="en-GB"/>
        </w:rPr>
      </w:pPr>
      <w:r w:rsidRPr="00A34F8A">
        <w:rPr>
          <w:rFonts w:asciiTheme="minorHAnsi" w:hAnsiTheme="minorHAnsi" w:cstheme="minorHAnsi"/>
          <w:szCs w:val="22"/>
          <w:lang w:eastAsia="en-GB"/>
        </w:rPr>
        <w:lastRenderedPageBreak/>
        <w:t xml:space="preserve">EPS can function in two distinct states. In this report we will refer to these states as: active mode and no-load mode. Active mode refers to when an external power supply is connected and supplying power to an end-use product. For example, an EPS charger plugged in and supplying power to a laptop. No-load mode (sometimes referred to as ‘standby mode’) is when the same EPS is connected to the mains power but is not connected to an end-use product. In no-load mode, the external power supply is still drawing current from the mains power, albeit a smaller amount. </w:t>
      </w:r>
    </w:p>
    <w:p w14:paraId="20C7C0BB" w14:textId="3E1B22F2" w:rsidR="00C40ECF" w:rsidRPr="00A34F8A" w:rsidRDefault="00C40ECF" w:rsidP="00C40ECF">
      <w:pPr>
        <w:rPr>
          <w:rFonts w:asciiTheme="minorHAnsi" w:hAnsiTheme="minorHAnsi" w:cstheme="minorHAnsi"/>
          <w:szCs w:val="22"/>
          <w:lang w:eastAsia="en-GB"/>
        </w:rPr>
      </w:pPr>
      <w:r w:rsidRPr="00A34F8A">
        <w:rPr>
          <w:rFonts w:asciiTheme="minorHAnsi" w:hAnsiTheme="minorHAnsi" w:cstheme="minorHAnsi"/>
          <w:szCs w:val="22"/>
          <w:lang w:eastAsia="en-GB"/>
        </w:rPr>
        <w:t xml:space="preserve">In active mode, energy consumption is the energy used by the end-use product plus the energy lost as heat in the conversion process between the wall outlet and end-use product (through the EPS) </w:t>
      </w:r>
      <w:sdt>
        <w:sdtPr>
          <w:rPr>
            <w:rFonts w:asciiTheme="minorHAnsi" w:hAnsiTheme="minorHAnsi" w:cstheme="minorHAnsi"/>
            <w:szCs w:val="22"/>
            <w:lang w:eastAsia="en-GB"/>
          </w:rPr>
          <w:id w:val="-386344298"/>
          <w:citation/>
        </w:sdtPr>
        <w:sdtContent>
          <w:r w:rsidRPr="00A34F8A">
            <w:rPr>
              <w:rFonts w:asciiTheme="minorHAnsi" w:hAnsiTheme="minorHAnsi" w:cstheme="minorHAnsi"/>
              <w:szCs w:val="22"/>
              <w:lang w:eastAsia="en-GB"/>
            </w:rPr>
            <w:fldChar w:fldCharType="begin"/>
          </w:r>
          <w:r w:rsidRPr="00A34F8A">
            <w:rPr>
              <w:rFonts w:asciiTheme="minorHAnsi" w:hAnsiTheme="minorHAnsi" w:cstheme="minorHAnsi"/>
              <w:szCs w:val="22"/>
              <w:lang w:eastAsia="en-GB"/>
            </w:rPr>
            <w:instrText xml:space="preserve"> CITATION Col07 \l 3081 </w:instrText>
          </w:r>
          <w:r w:rsidRPr="00A34F8A">
            <w:rPr>
              <w:rFonts w:asciiTheme="minorHAnsi" w:hAnsiTheme="minorHAnsi" w:cstheme="minorHAnsi"/>
              <w:szCs w:val="22"/>
              <w:lang w:eastAsia="en-GB"/>
            </w:rPr>
            <w:fldChar w:fldCharType="separate"/>
          </w:r>
          <w:r w:rsidR="002E2541" w:rsidRPr="002E2541">
            <w:rPr>
              <w:rFonts w:asciiTheme="minorHAnsi" w:hAnsiTheme="minorHAnsi" w:cstheme="minorHAnsi"/>
              <w:noProof/>
              <w:szCs w:val="22"/>
              <w:lang w:eastAsia="en-GB"/>
            </w:rPr>
            <w:t>(Collins &amp; Holt, 2007)</w:t>
          </w:r>
          <w:r w:rsidRPr="00A34F8A">
            <w:rPr>
              <w:rFonts w:asciiTheme="minorHAnsi" w:hAnsiTheme="minorHAnsi" w:cstheme="minorHAnsi"/>
              <w:szCs w:val="22"/>
              <w:lang w:eastAsia="en-GB"/>
            </w:rPr>
            <w:fldChar w:fldCharType="end"/>
          </w:r>
        </w:sdtContent>
      </w:sdt>
      <w:r w:rsidRPr="00A34F8A">
        <w:rPr>
          <w:rFonts w:asciiTheme="minorHAnsi" w:hAnsiTheme="minorHAnsi" w:cstheme="minorHAnsi"/>
          <w:szCs w:val="22"/>
          <w:lang w:eastAsia="en-GB"/>
        </w:rPr>
        <w:t>. Consequently, the conversion losses will be treated as an inefficiency in this equation.</w:t>
      </w:r>
    </w:p>
    <w:p w14:paraId="2A397ECE" w14:textId="77777777" w:rsidR="00C40ECF" w:rsidRPr="00A34F8A" w:rsidRDefault="00C40ECF" w:rsidP="00C40ECF">
      <w:pPr>
        <w:rPr>
          <w:rFonts w:asciiTheme="minorHAnsi" w:hAnsiTheme="minorHAnsi" w:cstheme="minorHAnsi"/>
          <w:szCs w:val="22"/>
          <w:lang w:eastAsia="en-GB"/>
        </w:rPr>
      </w:pPr>
      <w:r w:rsidRPr="00A34F8A">
        <w:rPr>
          <w:rFonts w:asciiTheme="minorHAnsi" w:hAnsiTheme="minorHAnsi" w:cstheme="minorHAnsi"/>
          <w:szCs w:val="22"/>
          <w:lang w:eastAsia="en-GB"/>
        </w:rPr>
        <w:t xml:space="preserve">In no-load mode, the external power supply may shut down the active mode circuitry and only draw enough power to “listen” for a load. Once a load is detected, this type of external power supply will activate the power conversion circuitry to supply the load. </w:t>
      </w:r>
    </w:p>
    <w:p w14:paraId="7AC27980" w14:textId="7A2D1925" w:rsidR="00C40ECF" w:rsidRPr="00A34F8A" w:rsidRDefault="00C40ECF" w:rsidP="00C40ECF">
      <w:pPr>
        <w:rPr>
          <w:rFonts w:asciiTheme="minorHAnsi" w:hAnsiTheme="minorHAnsi" w:cstheme="minorHAnsi"/>
          <w:szCs w:val="22"/>
          <w:lang w:eastAsia="en-GB"/>
        </w:rPr>
      </w:pPr>
      <w:r w:rsidRPr="00A34F8A">
        <w:rPr>
          <w:rFonts w:asciiTheme="minorHAnsi" w:hAnsiTheme="minorHAnsi" w:cstheme="minorHAnsi"/>
          <w:szCs w:val="22"/>
          <w:lang w:eastAsia="en-GB"/>
        </w:rPr>
        <w:t xml:space="preserve">In any case, all energy drawn from the mains power by the EPS is treated as an inefficiency since more energy is being consumed by the EPS than output. Setting limits on the no-load power consumption reduces power consumption of EPS that are not connected to a load. </w:t>
      </w:r>
    </w:p>
    <w:p w14:paraId="11BC2D72" w14:textId="013ED8B8" w:rsidR="00C40ECF" w:rsidRPr="00A34F8A" w:rsidRDefault="00C40ECF" w:rsidP="00C40ECF">
      <w:pPr>
        <w:rPr>
          <w:rFonts w:asciiTheme="minorHAnsi" w:hAnsiTheme="minorHAnsi" w:cstheme="minorHAnsi"/>
          <w:szCs w:val="22"/>
          <w:lang w:eastAsia="en-GB"/>
        </w:rPr>
      </w:pPr>
      <w:r w:rsidRPr="00A34F8A">
        <w:rPr>
          <w:rFonts w:asciiTheme="minorHAnsi" w:hAnsiTheme="minorHAnsi" w:cstheme="minorHAnsi"/>
          <w:szCs w:val="22"/>
          <w:lang w:eastAsia="en-GB"/>
        </w:rPr>
        <w:t>Hence, the regulation stipulates a minimum energy efficiency requirement for both conversion losses and energy used in no-load mode</w:t>
      </w:r>
      <w:sdt>
        <w:sdtPr>
          <w:rPr>
            <w:rFonts w:asciiTheme="minorHAnsi" w:hAnsiTheme="minorHAnsi" w:cstheme="minorHAnsi"/>
            <w:szCs w:val="22"/>
            <w:lang w:eastAsia="en-GB"/>
          </w:rPr>
          <w:id w:val="405739921"/>
          <w:citation/>
        </w:sdtPr>
        <w:sdtContent>
          <w:r w:rsidRPr="00A34F8A">
            <w:rPr>
              <w:rFonts w:asciiTheme="minorHAnsi" w:hAnsiTheme="minorHAnsi" w:cstheme="minorHAnsi"/>
              <w:szCs w:val="22"/>
              <w:lang w:eastAsia="en-GB"/>
            </w:rPr>
            <w:fldChar w:fldCharType="begin"/>
          </w:r>
          <w:r w:rsidRPr="00A34F8A">
            <w:rPr>
              <w:rFonts w:asciiTheme="minorHAnsi" w:hAnsiTheme="minorHAnsi" w:cstheme="minorHAnsi"/>
              <w:szCs w:val="22"/>
              <w:lang w:eastAsia="en-GB"/>
            </w:rPr>
            <w:instrText xml:space="preserve">CITATION Aus17 \l 3081 </w:instrText>
          </w:r>
          <w:r w:rsidRPr="00A34F8A">
            <w:rPr>
              <w:rFonts w:asciiTheme="minorHAnsi" w:hAnsiTheme="minorHAnsi" w:cstheme="minorHAnsi"/>
              <w:szCs w:val="22"/>
              <w:lang w:eastAsia="en-GB"/>
            </w:rPr>
            <w:fldChar w:fldCharType="separate"/>
          </w:r>
          <w:r w:rsidR="002E2541">
            <w:rPr>
              <w:rFonts w:asciiTheme="minorHAnsi" w:hAnsiTheme="minorHAnsi" w:cstheme="minorHAnsi"/>
              <w:noProof/>
              <w:szCs w:val="22"/>
              <w:lang w:eastAsia="en-GB"/>
            </w:rPr>
            <w:t xml:space="preserve"> </w:t>
          </w:r>
          <w:r w:rsidR="002E2541" w:rsidRPr="002E2541">
            <w:rPr>
              <w:rFonts w:asciiTheme="minorHAnsi" w:hAnsiTheme="minorHAnsi" w:cstheme="minorHAnsi"/>
              <w:noProof/>
              <w:szCs w:val="22"/>
              <w:lang w:eastAsia="en-GB"/>
            </w:rPr>
            <w:t>(Australian Government Department of Environment and Energy, 2017)</w:t>
          </w:r>
          <w:r w:rsidRPr="00A34F8A">
            <w:rPr>
              <w:rFonts w:asciiTheme="minorHAnsi" w:hAnsiTheme="minorHAnsi" w:cstheme="minorHAnsi"/>
              <w:szCs w:val="22"/>
              <w:lang w:eastAsia="en-GB"/>
            </w:rPr>
            <w:fldChar w:fldCharType="end"/>
          </w:r>
        </w:sdtContent>
      </w:sdt>
      <w:r w:rsidRPr="00A34F8A">
        <w:rPr>
          <w:rFonts w:asciiTheme="minorHAnsi" w:hAnsiTheme="minorHAnsi" w:cstheme="minorHAnsi"/>
          <w:szCs w:val="22"/>
          <w:lang w:eastAsia="en-GB"/>
        </w:rPr>
        <w:t xml:space="preserve">. While the energy consumed by EPS in both no-load and active modes is relatively small compared with other, larger electronic products </w:t>
      </w:r>
      <w:r w:rsidR="007A76CC">
        <w:rPr>
          <w:rFonts w:asciiTheme="minorHAnsi" w:hAnsiTheme="minorHAnsi" w:cstheme="minorHAnsi"/>
          <w:szCs w:val="22"/>
          <w:lang w:eastAsia="en-GB"/>
        </w:rPr>
        <w:t>that are also regulated under GEMS</w:t>
      </w:r>
      <w:r w:rsidR="00367AD5">
        <w:rPr>
          <w:rFonts w:asciiTheme="minorHAnsi" w:hAnsiTheme="minorHAnsi" w:cstheme="minorHAnsi"/>
          <w:szCs w:val="22"/>
          <w:lang w:eastAsia="en-GB"/>
        </w:rPr>
        <w:t xml:space="preserve"> </w:t>
      </w:r>
      <w:r w:rsidRPr="00A34F8A">
        <w:rPr>
          <w:rFonts w:asciiTheme="minorHAnsi" w:hAnsiTheme="minorHAnsi" w:cstheme="minorHAnsi"/>
          <w:szCs w:val="22"/>
          <w:lang w:eastAsia="en-GB"/>
        </w:rPr>
        <w:t xml:space="preserve">(e.g. refrigerators, air-conditioners) the large number of EPS sold and used in Australia and New Zealand means that the energy savings that can be achieved through effective minimum energy efficiency regulation are still significant. </w:t>
      </w:r>
    </w:p>
    <w:p w14:paraId="1C13159F" w14:textId="17B19B41" w:rsidR="00D66DB3" w:rsidRPr="00B36F48" w:rsidRDefault="003469B9" w:rsidP="00B36F48">
      <w:pPr>
        <w:pStyle w:val="Heading2"/>
      </w:pPr>
      <w:bookmarkStart w:id="30" w:name="_Toc168660718"/>
      <w:bookmarkStart w:id="31" w:name="_Toc183163228"/>
      <w:r w:rsidRPr="00B36F48">
        <w:t xml:space="preserve">1.2 </w:t>
      </w:r>
      <w:r w:rsidR="00D66DB3" w:rsidRPr="00B36F48">
        <w:t>The effectiveness of the current regulation has declined</w:t>
      </w:r>
      <w:bookmarkEnd w:id="30"/>
      <w:bookmarkEnd w:id="31"/>
    </w:p>
    <w:p w14:paraId="2B1FB95E" w14:textId="77777777" w:rsidR="00C80550" w:rsidRPr="00A34F8A" w:rsidRDefault="00C80550" w:rsidP="00C80550">
      <w:pPr>
        <w:rPr>
          <w:rFonts w:asciiTheme="minorHAnsi" w:hAnsiTheme="minorHAnsi" w:cstheme="minorHAnsi"/>
          <w:szCs w:val="22"/>
        </w:rPr>
      </w:pPr>
      <w:r w:rsidRPr="00A34F8A">
        <w:rPr>
          <w:rFonts w:asciiTheme="minorHAnsi" w:hAnsiTheme="minorHAnsi" w:cstheme="minorHAnsi"/>
          <w:szCs w:val="22"/>
        </w:rPr>
        <w:t>In the current EPS marketplace, the MEPS no longer drives energy efficiency improvements for most of the current market. There are two changes to the EPS market that have led to this:</w:t>
      </w:r>
    </w:p>
    <w:p w14:paraId="7B170A29" w14:textId="1EEDB044" w:rsidR="00C80550" w:rsidRPr="00BC22B2" w:rsidRDefault="00C80550" w:rsidP="00C80550">
      <w:pPr>
        <w:pStyle w:val="Bullet-Level1"/>
        <w:rPr>
          <w:rFonts w:asciiTheme="minorHAnsi" w:hAnsiTheme="minorHAnsi" w:cstheme="minorHAnsi"/>
          <w:color w:val="auto"/>
          <w:sz w:val="22"/>
          <w:szCs w:val="22"/>
        </w:rPr>
      </w:pPr>
      <w:r w:rsidRPr="00BC22B2">
        <w:rPr>
          <w:rFonts w:asciiTheme="minorHAnsi" w:hAnsiTheme="minorHAnsi" w:cstheme="minorHAnsi"/>
          <w:color w:val="auto"/>
          <w:sz w:val="22"/>
          <w:szCs w:val="22"/>
        </w:rPr>
        <w:t>The EPS market has evolved</w:t>
      </w:r>
      <w:r w:rsidR="00990FBF">
        <w:rPr>
          <w:rFonts w:asciiTheme="minorHAnsi" w:hAnsiTheme="minorHAnsi" w:cstheme="minorHAnsi"/>
          <w:color w:val="auto"/>
          <w:sz w:val="22"/>
          <w:szCs w:val="22"/>
        </w:rPr>
        <w:t xml:space="preserve"> since the Australian regulations were introduced</w:t>
      </w:r>
      <w:r w:rsidR="00834FD2">
        <w:rPr>
          <w:rFonts w:asciiTheme="minorHAnsi" w:hAnsiTheme="minorHAnsi" w:cstheme="minorHAnsi"/>
          <w:color w:val="auto"/>
          <w:sz w:val="22"/>
          <w:szCs w:val="22"/>
        </w:rPr>
        <w:t xml:space="preserve"> by states and territories</w:t>
      </w:r>
      <w:r w:rsidR="00990FBF">
        <w:rPr>
          <w:rFonts w:asciiTheme="minorHAnsi" w:hAnsiTheme="minorHAnsi" w:cstheme="minorHAnsi"/>
          <w:color w:val="auto"/>
          <w:sz w:val="22"/>
          <w:szCs w:val="22"/>
        </w:rPr>
        <w:t xml:space="preserve"> in 2008</w:t>
      </w:r>
      <w:r w:rsidRPr="00BC22B2">
        <w:rPr>
          <w:rFonts w:asciiTheme="minorHAnsi" w:hAnsiTheme="minorHAnsi" w:cstheme="minorHAnsi"/>
          <w:color w:val="auto"/>
          <w:sz w:val="22"/>
          <w:szCs w:val="22"/>
        </w:rPr>
        <w:t xml:space="preserve">, </w:t>
      </w:r>
      <w:r w:rsidRPr="0B2C527A">
        <w:rPr>
          <w:rFonts w:asciiTheme="minorHAnsi" w:hAnsiTheme="minorHAnsi"/>
          <w:color w:val="auto"/>
          <w:sz w:val="22"/>
          <w:szCs w:val="22"/>
        </w:rPr>
        <w:t>and</w:t>
      </w:r>
      <w:r w:rsidRPr="00BC22B2">
        <w:rPr>
          <w:rFonts w:asciiTheme="minorHAnsi" w:hAnsiTheme="minorHAnsi" w:cstheme="minorHAnsi"/>
          <w:color w:val="auto"/>
          <w:sz w:val="22"/>
          <w:szCs w:val="22"/>
        </w:rPr>
        <w:t xml:space="preserve"> hence the scope of the requirements now excludes a large percentage (approximately 87%) of EPS products</w:t>
      </w:r>
      <w:r w:rsidR="00435CCD">
        <w:rPr>
          <w:rFonts w:asciiTheme="minorHAnsi" w:hAnsiTheme="minorHAnsi" w:cstheme="minorHAnsi"/>
          <w:color w:val="auto"/>
          <w:sz w:val="22"/>
          <w:szCs w:val="22"/>
        </w:rPr>
        <w:t xml:space="preserve"> currently sold</w:t>
      </w:r>
    </w:p>
    <w:p w14:paraId="3DEDBDE2" w14:textId="1F8FD0CF" w:rsidR="00C80550" w:rsidRPr="00BC22B2" w:rsidRDefault="00C80550" w:rsidP="00C80550">
      <w:pPr>
        <w:pStyle w:val="Bullet-Level1"/>
        <w:rPr>
          <w:rFonts w:asciiTheme="minorHAnsi" w:hAnsiTheme="minorHAnsi" w:cstheme="minorHAnsi"/>
          <w:color w:val="auto"/>
          <w:sz w:val="22"/>
          <w:szCs w:val="22"/>
        </w:rPr>
      </w:pPr>
      <w:r w:rsidRPr="00BC22B2">
        <w:rPr>
          <w:rFonts w:asciiTheme="minorHAnsi" w:hAnsiTheme="minorHAnsi" w:cstheme="minorHAnsi"/>
          <w:color w:val="auto"/>
          <w:sz w:val="22"/>
          <w:szCs w:val="22"/>
        </w:rPr>
        <w:t>International efficiency standards have increased considerably, driving efficiency gains globally, while the Australian and New Zealand standards have not changed for 1</w:t>
      </w:r>
      <w:r w:rsidR="00834FD2">
        <w:rPr>
          <w:rFonts w:asciiTheme="minorHAnsi" w:hAnsiTheme="minorHAnsi" w:cstheme="minorHAnsi"/>
          <w:color w:val="auto"/>
          <w:sz w:val="22"/>
          <w:szCs w:val="22"/>
        </w:rPr>
        <w:t>6</w:t>
      </w:r>
      <w:r w:rsidRPr="00BC22B2">
        <w:rPr>
          <w:rFonts w:asciiTheme="minorHAnsi" w:hAnsiTheme="minorHAnsi" w:cstheme="minorHAnsi"/>
          <w:color w:val="auto"/>
          <w:sz w:val="22"/>
          <w:szCs w:val="22"/>
        </w:rPr>
        <w:t xml:space="preserve"> years.</w:t>
      </w:r>
    </w:p>
    <w:p w14:paraId="4BFA5C11" w14:textId="14A7F3EC" w:rsidR="00C80550" w:rsidRPr="00A34F8A" w:rsidRDefault="00C80550" w:rsidP="00C80550">
      <w:pPr>
        <w:pStyle w:val="Heading3"/>
        <w:rPr>
          <w:rFonts w:asciiTheme="minorHAnsi" w:hAnsiTheme="minorHAnsi" w:cstheme="minorHAnsi"/>
          <w:sz w:val="22"/>
          <w:szCs w:val="22"/>
        </w:rPr>
      </w:pPr>
      <w:bookmarkStart w:id="32" w:name="_Toc183163229"/>
      <w:r w:rsidRPr="00A34F8A">
        <w:rPr>
          <w:rFonts w:asciiTheme="minorHAnsi" w:hAnsiTheme="minorHAnsi" w:cstheme="minorHAnsi"/>
          <w:sz w:val="22"/>
          <w:szCs w:val="22"/>
        </w:rPr>
        <w:t>The scope of the MEPS excludes the majority of the current EPS market</w:t>
      </w:r>
      <w:bookmarkEnd w:id="32"/>
    </w:p>
    <w:p w14:paraId="7A735ACB" w14:textId="0476258D" w:rsidR="00872BB2" w:rsidRPr="00A34F8A" w:rsidRDefault="00872BB2" w:rsidP="00872BB2">
      <w:pPr>
        <w:rPr>
          <w:rFonts w:asciiTheme="minorHAnsi" w:hAnsiTheme="minorHAnsi" w:cstheme="minorBidi"/>
        </w:rPr>
      </w:pPr>
      <w:r w:rsidRPr="3000D331">
        <w:rPr>
          <w:rFonts w:asciiTheme="minorHAnsi" w:hAnsiTheme="minorHAnsi" w:cstheme="minorBidi"/>
        </w:rPr>
        <w:t xml:space="preserve">The EPS market has evolved considerably since the </w:t>
      </w:r>
      <w:r w:rsidR="00265D93" w:rsidRPr="3000D331">
        <w:rPr>
          <w:rFonts w:asciiTheme="minorHAnsi" w:hAnsiTheme="minorHAnsi" w:cstheme="minorBidi"/>
        </w:rPr>
        <w:t>Australian</w:t>
      </w:r>
      <w:r w:rsidR="00F60849">
        <w:rPr>
          <w:rFonts w:asciiTheme="minorHAnsi" w:hAnsiTheme="minorHAnsi" w:cstheme="minorBidi"/>
        </w:rPr>
        <w:t xml:space="preserve"> </w:t>
      </w:r>
      <w:r w:rsidRPr="3000D331">
        <w:rPr>
          <w:rFonts w:asciiTheme="minorHAnsi" w:hAnsiTheme="minorHAnsi" w:cstheme="minorBidi"/>
        </w:rPr>
        <w:t>and New Zealand regulation</w:t>
      </w:r>
      <w:r w:rsidR="00265D93" w:rsidRPr="3000D331">
        <w:rPr>
          <w:rFonts w:asciiTheme="minorHAnsi" w:hAnsiTheme="minorHAnsi" w:cstheme="minorBidi"/>
        </w:rPr>
        <w:t>s</w:t>
      </w:r>
      <w:r w:rsidRPr="3000D331">
        <w:rPr>
          <w:rFonts w:asciiTheme="minorHAnsi" w:hAnsiTheme="minorHAnsi" w:cstheme="minorBidi"/>
        </w:rPr>
        <w:t xml:space="preserve"> were introduced. Adaptive voltage EPS devices (e.g. USB-C) that allow fast charging are now commonplace, as are EPS devices that output multiple voltages simultaneously. As a result, the scope of the MEPS excludes a large proportion of the current EPS market.</w:t>
      </w:r>
    </w:p>
    <w:p w14:paraId="366F05BF" w14:textId="73852768" w:rsidR="00872BB2" w:rsidRPr="00A34F8A" w:rsidRDefault="00872BB2" w:rsidP="00872BB2">
      <w:pPr>
        <w:rPr>
          <w:rFonts w:asciiTheme="minorHAnsi" w:hAnsiTheme="minorHAnsi" w:cstheme="minorHAnsi"/>
          <w:szCs w:val="22"/>
        </w:rPr>
      </w:pPr>
      <w:r w:rsidRPr="00A34F8A">
        <w:rPr>
          <w:rFonts w:asciiTheme="minorHAnsi" w:hAnsiTheme="minorHAnsi" w:cstheme="minorHAnsi"/>
          <w:szCs w:val="22"/>
        </w:rPr>
        <w:t xml:space="preserve">The following information is from the GEMS EPS </w:t>
      </w:r>
      <w:r w:rsidR="00D03F6F">
        <w:rPr>
          <w:rFonts w:asciiTheme="minorHAnsi" w:hAnsiTheme="minorHAnsi" w:cstheme="minorHAnsi"/>
          <w:szCs w:val="22"/>
        </w:rPr>
        <w:t>d</w:t>
      </w:r>
      <w:r w:rsidR="00D03F6F" w:rsidRPr="00A34F8A">
        <w:rPr>
          <w:rFonts w:asciiTheme="minorHAnsi" w:hAnsiTheme="minorHAnsi" w:cstheme="minorHAnsi"/>
          <w:szCs w:val="22"/>
        </w:rPr>
        <w:t>etermination</w:t>
      </w:r>
      <w:r w:rsidRPr="00A34F8A">
        <w:rPr>
          <w:rFonts w:asciiTheme="minorHAnsi" w:hAnsiTheme="minorHAnsi" w:cstheme="minorHAnsi"/>
          <w:szCs w:val="22"/>
        </w:rPr>
        <w:t>. New Zealand references the AS/NZS Standard directly, and so the specific wording is different, but the intent is the same.</w:t>
      </w:r>
    </w:p>
    <w:p w14:paraId="5C3C4EB8" w14:textId="11BB8631" w:rsidR="00872BB2" w:rsidRPr="00A34F8A" w:rsidRDefault="00872BB2" w:rsidP="00872BB2">
      <w:pPr>
        <w:rPr>
          <w:rFonts w:asciiTheme="minorHAnsi" w:hAnsiTheme="minorHAnsi" w:cstheme="minorHAnsi"/>
          <w:szCs w:val="22"/>
        </w:rPr>
      </w:pPr>
      <w:r w:rsidRPr="00A34F8A">
        <w:rPr>
          <w:rFonts w:asciiTheme="minorHAnsi" w:hAnsiTheme="minorHAnsi" w:cstheme="minorHAnsi"/>
          <w:szCs w:val="22"/>
        </w:rPr>
        <w:lastRenderedPageBreak/>
        <w:t xml:space="preserve">The current regulation covers single output EPS with a maximum output power of 250 watts or 250 volt-amperes (VA) that meet the following criteria </w:t>
      </w:r>
      <w:sdt>
        <w:sdtPr>
          <w:rPr>
            <w:rFonts w:asciiTheme="minorHAnsi" w:hAnsiTheme="minorHAnsi" w:cstheme="minorHAnsi"/>
            <w:szCs w:val="22"/>
          </w:rPr>
          <w:id w:val="-1146662392"/>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Aus234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(Australian Government, n.d.)</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They:</w:t>
      </w:r>
    </w:p>
    <w:p w14:paraId="10A4DCFC" w14:textId="77777777" w:rsidR="00872BB2" w:rsidRPr="00A34F8A"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supply power to other appliances</w:t>
      </w:r>
    </w:p>
    <w:p w14:paraId="1FBE77DB" w14:textId="77777777" w:rsidR="00872BB2" w:rsidRPr="00A34F8A"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have an AC input from the mains</w:t>
      </w:r>
    </w:p>
    <w:p w14:paraId="6908CAE6" w14:textId="77777777" w:rsidR="00872BB2" w:rsidRPr="00A34F8A"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have an extra-low voltage output (either AC or DC) – either fixed or user selectable through a switch on the device</w:t>
      </w:r>
    </w:p>
    <w:p w14:paraId="06836052" w14:textId="4A153C0B" w:rsidR="00BD172E"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are sold with, or intended to be used with, a separate end-use product that constitutes the primary load on the power supply</w:t>
      </w:r>
      <w:r w:rsidR="00BD172E" w:rsidRPr="00A34F8A">
        <w:rPr>
          <w:rFonts w:asciiTheme="minorHAnsi" w:hAnsiTheme="minorHAnsi" w:cstheme="minorHAnsi"/>
          <w:sz w:val="22"/>
          <w:szCs w:val="22"/>
        </w:rPr>
        <w:t>.</w:t>
      </w:r>
    </w:p>
    <w:p w14:paraId="115CB831" w14:textId="4F3F3F3B" w:rsidR="00872BB2" w:rsidRPr="00A34F8A" w:rsidRDefault="00872BB2" w:rsidP="0036605F">
      <w:pPr>
        <w:pStyle w:val="Bullet-VerticalCompact-Level1"/>
        <w:numPr>
          <w:ilvl w:val="1"/>
          <w:numId w:val="2"/>
        </w:numPr>
        <w:ind w:left="1077" w:hanging="357"/>
        <w:rPr>
          <w:rFonts w:asciiTheme="minorHAnsi" w:hAnsiTheme="minorHAnsi" w:cstheme="minorHAnsi"/>
          <w:sz w:val="22"/>
          <w:szCs w:val="22"/>
        </w:rPr>
      </w:pPr>
      <w:r w:rsidRPr="00A34F8A">
        <w:rPr>
          <w:rFonts w:asciiTheme="minorHAnsi" w:hAnsiTheme="minorHAnsi" w:cstheme="minorHAnsi"/>
          <w:sz w:val="22"/>
          <w:szCs w:val="22"/>
        </w:rPr>
        <w:t>Note that external power supplies sold separately to an end-use item are still covered.</w:t>
      </w:r>
    </w:p>
    <w:p w14:paraId="2D12F316" w14:textId="77777777" w:rsidR="00872BB2" w:rsidRPr="00A34F8A"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are contained in a separate physical enclosure from the end-use product</w:t>
      </w:r>
    </w:p>
    <w:p w14:paraId="4B04712D" w14:textId="77777777" w:rsidR="00872BB2" w:rsidRPr="00A34F8A"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are connected to the end-use product via a hard-wired or removable male/female electrical connection, cable, cord or other wiring</w:t>
      </w:r>
    </w:p>
    <w:p w14:paraId="0476B18E" w14:textId="77777777" w:rsidR="00872BB2" w:rsidRPr="00A34F8A"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 xml:space="preserve">do not have batteries, or battery packs that physically attach directly to the EPS (either permanently or for charging). Batteries that are charged through the end-use device are covered e.g. some cordless vacuums. </w:t>
      </w:r>
    </w:p>
    <w:p w14:paraId="58863EC5" w14:textId="77777777" w:rsidR="00872BB2" w:rsidRPr="00A34F8A" w:rsidRDefault="00872BB2" w:rsidP="00872BB2">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do not have either a battery chemistry or type selector switch, or an indicator light or state of charge meter.</w:t>
      </w:r>
    </w:p>
    <w:p w14:paraId="244BA6FF" w14:textId="5644DC65" w:rsidR="00872BB2" w:rsidRPr="00A34F8A" w:rsidRDefault="00872BB2" w:rsidP="00872BB2">
      <w:pPr>
        <w:rPr>
          <w:rFonts w:asciiTheme="minorHAnsi" w:hAnsiTheme="minorHAnsi" w:cstheme="minorHAnsi"/>
          <w:szCs w:val="22"/>
        </w:rPr>
      </w:pPr>
      <w:r w:rsidRPr="00A34F8A">
        <w:rPr>
          <w:rFonts w:asciiTheme="minorHAnsi" w:hAnsiTheme="minorHAnsi" w:cstheme="minorHAnsi"/>
          <w:szCs w:val="22"/>
        </w:rPr>
        <w:t xml:space="preserve">These devices are categorised under the four different product classes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_Ref132195516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3</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w:t>
      </w:r>
      <w:sdt>
        <w:sdtPr>
          <w:rPr>
            <w:rFonts w:asciiTheme="minorHAnsi" w:hAnsiTheme="minorHAnsi" w:cstheme="minorHAnsi"/>
            <w:szCs w:val="22"/>
          </w:rPr>
          <w:id w:val="961149855"/>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CITATION Aus17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(Australian Government Department of Environment and Energy, 2017)</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p>
    <w:p w14:paraId="05524AC6" w14:textId="77777777" w:rsidR="00872BB2" w:rsidRPr="00A34F8A" w:rsidRDefault="00872BB2" w:rsidP="00872BB2">
      <w:pPr>
        <w:pStyle w:val="BlueLineTop"/>
        <w:rPr>
          <w:rFonts w:asciiTheme="minorHAnsi" w:hAnsiTheme="minorHAnsi" w:cstheme="minorHAnsi"/>
          <w:sz w:val="22"/>
          <w:szCs w:val="22"/>
        </w:rPr>
      </w:pPr>
    </w:p>
    <w:p w14:paraId="410B4201" w14:textId="6F92CA5F" w:rsidR="00872BB2" w:rsidRPr="00A34F8A" w:rsidRDefault="00872BB2" w:rsidP="00872BB2">
      <w:pPr>
        <w:pStyle w:val="Caption"/>
        <w:rPr>
          <w:rFonts w:asciiTheme="minorHAnsi" w:hAnsiTheme="minorHAnsi" w:cstheme="minorHAnsi"/>
          <w:sz w:val="22"/>
          <w:szCs w:val="22"/>
        </w:rPr>
      </w:pPr>
      <w:bookmarkStart w:id="33" w:name="_Ref132195516"/>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w:t>
      </w:r>
      <w:r w:rsidRPr="00A34F8A">
        <w:rPr>
          <w:rFonts w:asciiTheme="minorHAnsi" w:hAnsiTheme="minorHAnsi" w:cstheme="minorHAnsi"/>
          <w:sz w:val="22"/>
          <w:szCs w:val="22"/>
        </w:rPr>
        <w:fldChar w:fldCharType="end"/>
      </w:r>
      <w:bookmarkEnd w:id="33"/>
      <w:r w:rsidRPr="00A34F8A">
        <w:rPr>
          <w:rFonts w:asciiTheme="minorHAnsi" w:hAnsiTheme="minorHAnsi" w:cstheme="minorHAnsi"/>
          <w:sz w:val="22"/>
          <w:szCs w:val="22"/>
        </w:rPr>
        <w:t xml:space="preserve">: Scope of the current EPS determination which includes EPS units with a maximum output power of 250W </w:t>
      </w:r>
      <w:sdt>
        <w:sdtPr>
          <w:rPr>
            <w:rFonts w:asciiTheme="minorHAnsi" w:hAnsiTheme="minorHAnsi" w:cstheme="minorHAnsi"/>
            <w:sz w:val="22"/>
            <w:szCs w:val="22"/>
          </w:rPr>
          <w:id w:val="-1032646254"/>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Aus17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(Australian Government Department of Environment and Energy, 2017)</w:t>
          </w:r>
          <w:r w:rsidRPr="00A34F8A">
            <w:rPr>
              <w:rFonts w:asciiTheme="minorHAnsi" w:hAnsiTheme="minorHAnsi" w:cstheme="minorHAnsi"/>
              <w:sz w:val="22"/>
              <w:szCs w:val="22"/>
            </w:rPr>
            <w:fldChar w:fldCharType="end"/>
          </w:r>
        </w:sdtContent>
      </w:sdt>
    </w:p>
    <w:tbl>
      <w:tblPr>
        <w:tblStyle w:val="ComCap4-nested"/>
        <w:tblW w:w="9072" w:type="dxa"/>
        <w:tblInd w:w="-567" w:type="dxa"/>
        <w:tblBorders>
          <w:insideV w:val="single" w:sz="4" w:space="0" w:color="auto"/>
        </w:tblBorders>
        <w:tblLook w:val="04A0" w:firstRow="1" w:lastRow="0" w:firstColumn="1" w:lastColumn="0" w:noHBand="0" w:noVBand="1"/>
      </w:tblPr>
      <w:tblGrid>
        <w:gridCol w:w="1701"/>
        <w:gridCol w:w="7371"/>
      </w:tblGrid>
      <w:tr w:rsidR="00DA1EBB" w:rsidRPr="00A34F8A" w14:paraId="49994441" w14:textId="77777777" w:rsidTr="006421C0">
        <w:trPr>
          <w:cnfStyle w:val="100000000000" w:firstRow="1" w:lastRow="0" w:firstColumn="0" w:lastColumn="0" w:oddVBand="0" w:evenVBand="0" w:oddHBand="0" w:evenHBand="0" w:firstRowFirstColumn="0" w:firstRowLastColumn="0" w:lastRowFirstColumn="0" w:lastRowLastColumn="0"/>
          <w:tblHeader/>
        </w:trPr>
        <w:tc>
          <w:tcPr>
            <w:tcW w:w="1701" w:type="dxa"/>
            <w:tcBorders>
              <w:right w:val="single" w:sz="4" w:space="0" w:color="C4BC96" w:themeColor="background2" w:themeShade="BF"/>
            </w:tcBorders>
          </w:tcPr>
          <w:p w14:paraId="67F0036B" w14:textId="77777777" w:rsidR="00872BB2" w:rsidRPr="00A34F8A" w:rsidRDefault="00872BB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Product class</w:t>
            </w:r>
          </w:p>
        </w:tc>
        <w:tc>
          <w:tcPr>
            <w:tcW w:w="7371" w:type="dxa"/>
            <w:tcBorders>
              <w:left w:val="single" w:sz="4" w:space="0" w:color="C4BC96" w:themeColor="background2" w:themeShade="BF"/>
            </w:tcBorders>
          </w:tcPr>
          <w:p w14:paraId="7DBFFEA7" w14:textId="77777777" w:rsidR="00872BB2" w:rsidRPr="00A34F8A" w:rsidRDefault="00872BB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Description</w:t>
            </w:r>
          </w:p>
        </w:tc>
      </w:tr>
      <w:tr w:rsidR="00735506" w:rsidRPr="00A34F8A" w14:paraId="5EBEECA3" w14:textId="77777777" w:rsidTr="006421C0">
        <w:tc>
          <w:tcPr>
            <w:tcW w:w="1701" w:type="dxa"/>
            <w:tcBorders>
              <w:right w:val="single" w:sz="4" w:space="0" w:color="C4BC96" w:themeColor="background2" w:themeShade="BF"/>
            </w:tcBorders>
          </w:tcPr>
          <w:p w14:paraId="17DC478F" w14:textId="77777777" w:rsidR="00872BB2" w:rsidRPr="00A34F8A" w:rsidRDefault="00872BB2"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t>1</w:t>
            </w:r>
          </w:p>
        </w:tc>
        <w:tc>
          <w:tcPr>
            <w:tcW w:w="7371" w:type="dxa"/>
            <w:tcBorders>
              <w:left w:val="single" w:sz="4" w:space="0" w:color="AEAAAA"/>
            </w:tcBorders>
          </w:tcPr>
          <w:p w14:paraId="78B1F989" w14:textId="77777777" w:rsidR="00872BB2" w:rsidRPr="00A34F8A" w:rsidRDefault="00872BB2"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Single output EPS with non-user selectable output voltage and with AC input and DC output. (a.c.-d.c.)</w:t>
            </w:r>
          </w:p>
        </w:tc>
      </w:tr>
      <w:tr w:rsidR="00735506" w:rsidRPr="00A34F8A" w14:paraId="320FD227" w14:textId="77777777" w:rsidTr="006421C0">
        <w:tc>
          <w:tcPr>
            <w:tcW w:w="1701" w:type="dxa"/>
            <w:tcBorders>
              <w:right w:val="single" w:sz="4" w:space="0" w:color="C4BC96" w:themeColor="background2" w:themeShade="BF"/>
            </w:tcBorders>
          </w:tcPr>
          <w:p w14:paraId="5D890A65" w14:textId="77777777" w:rsidR="00872BB2" w:rsidRPr="00A34F8A" w:rsidRDefault="00872BB2"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t>2</w:t>
            </w:r>
          </w:p>
        </w:tc>
        <w:tc>
          <w:tcPr>
            <w:tcW w:w="7371" w:type="dxa"/>
            <w:tcBorders>
              <w:left w:val="single" w:sz="4" w:space="0" w:color="AEAAAA"/>
            </w:tcBorders>
          </w:tcPr>
          <w:p w14:paraId="6D60B515" w14:textId="77777777" w:rsidR="00872BB2" w:rsidRPr="00A34F8A" w:rsidRDefault="00872BB2"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Single output EPS with user selectable output voltage and with AC input and DC output. (a.c.-d.c.)</w:t>
            </w:r>
          </w:p>
        </w:tc>
      </w:tr>
      <w:tr w:rsidR="00735506" w:rsidRPr="00A34F8A" w14:paraId="5A6217B0" w14:textId="77777777" w:rsidTr="006421C0">
        <w:tc>
          <w:tcPr>
            <w:tcW w:w="1701" w:type="dxa"/>
            <w:tcBorders>
              <w:right w:val="single" w:sz="4" w:space="0" w:color="C4BC96" w:themeColor="background2" w:themeShade="BF"/>
            </w:tcBorders>
          </w:tcPr>
          <w:p w14:paraId="23FDEED2" w14:textId="77777777" w:rsidR="00872BB2" w:rsidRPr="00A34F8A" w:rsidRDefault="00872BB2"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t>3</w:t>
            </w:r>
          </w:p>
        </w:tc>
        <w:tc>
          <w:tcPr>
            <w:tcW w:w="7371" w:type="dxa"/>
            <w:tcBorders>
              <w:left w:val="single" w:sz="4" w:space="0" w:color="AEAAAA"/>
            </w:tcBorders>
          </w:tcPr>
          <w:p w14:paraId="5FBFC128" w14:textId="77777777" w:rsidR="00872BB2" w:rsidRPr="00A34F8A" w:rsidRDefault="00872BB2"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Single output EPS with non-user selectable output voltage and with AC input and AC output. (a.c.-a.c.)</w:t>
            </w:r>
          </w:p>
        </w:tc>
      </w:tr>
      <w:tr w:rsidR="00735506" w:rsidRPr="00A34F8A" w14:paraId="399DBB53" w14:textId="77777777" w:rsidTr="006421C0">
        <w:tc>
          <w:tcPr>
            <w:tcW w:w="1701" w:type="dxa"/>
            <w:tcBorders>
              <w:right w:val="single" w:sz="4" w:space="0" w:color="C4BC96" w:themeColor="background2" w:themeShade="BF"/>
            </w:tcBorders>
          </w:tcPr>
          <w:p w14:paraId="003393F5" w14:textId="77777777" w:rsidR="00872BB2" w:rsidRPr="00A34F8A" w:rsidRDefault="00872BB2"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t>4</w:t>
            </w:r>
          </w:p>
        </w:tc>
        <w:tc>
          <w:tcPr>
            <w:tcW w:w="7371" w:type="dxa"/>
            <w:tcBorders>
              <w:left w:val="single" w:sz="4" w:space="0" w:color="AEAAAA"/>
            </w:tcBorders>
          </w:tcPr>
          <w:p w14:paraId="55BFC963" w14:textId="77777777" w:rsidR="00872BB2" w:rsidRPr="00A34F8A" w:rsidRDefault="00872BB2"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Single output EPS with user selectable output voltage and with AC input and AC output. (a.c.-a.c.)</w:t>
            </w:r>
          </w:p>
        </w:tc>
      </w:tr>
    </w:tbl>
    <w:p w14:paraId="732837A4" w14:textId="77777777" w:rsidR="00872BB2" w:rsidRPr="00A34F8A" w:rsidRDefault="00872BB2" w:rsidP="00872BB2">
      <w:pPr>
        <w:pStyle w:val="BlueLineBottom"/>
        <w:rPr>
          <w:rFonts w:asciiTheme="minorHAnsi" w:hAnsiTheme="minorHAnsi" w:cstheme="minorHAnsi"/>
          <w:sz w:val="22"/>
          <w:szCs w:val="22"/>
        </w:rPr>
      </w:pPr>
    </w:p>
    <w:p w14:paraId="68EB7C45" w14:textId="49C52C8B" w:rsidR="00872BB2" w:rsidRPr="00A34F8A" w:rsidRDefault="00872BB2" w:rsidP="00872BB2">
      <w:pPr>
        <w:rPr>
          <w:rFonts w:asciiTheme="minorHAnsi" w:hAnsiTheme="minorHAnsi" w:cstheme="minorHAnsi"/>
          <w:szCs w:val="22"/>
        </w:rPr>
      </w:pPr>
      <w:r w:rsidRPr="00C71714">
        <w:rPr>
          <w:rFonts w:asciiTheme="minorHAnsi" w:hAnsiTheme="minorHAnsi" w:cstheme="minorHAnsi"/>
          <w:szCs w:val="22"/>
        </w:rPr>
        <w:t xml:space="preserve">EPS with simultaneous multiple output voltages, e.g., multiple USB port wall chargers </w:t>
      </w:r>
      <w:r w:rsidR="00BA769C" w:rsidRPr="00C71714">
        <w:rPr>
          <w:rFonts w:asciiTheme="minorHAnsi" w:hAnsiTheme="minorHAnsi" w:cstheme="minorHAnsi"/>
          <w:szCs w:val="22"/>
        </w:rPr>
        <w:t xml:space="preserve">(that have multiple simulations output voltages) </w:t>
      </w:r>
      <w:r w:rsidRPr="00C71714">
        <w:rPr>
          <w:rFonts w:asciiTheme="minorHAnsi" w:hAnsiTheme="minorHAnsi" w:cstheme="minorHAnsi"/>
          <w:szCs w:val="22"/>
        </w:rPr>
        <w:t xml:space="preserve">are not covered by the 2014 Determination </w:t>
      </w:r>
      <w:sdt>
        <w:sdtPr>
          <w:rPr>
            <w:rFonts w:asciiTheme="minorHAnsi" w:hAnsiTheme="minorHAnsi" w:cstheme="minorHAnsi"/>
            <w:szCs w:val="22"/>
          </w:rPr>
          <w:id w:val="-1976821957"/>
          <w:citation/>
        </w:sdtPr>
        <w:sdtContent>
          <w:r w:rsidRPr="00C71714">
            <w:rPr>
              <w:rFonts w:asciiTheme="minorHAnsi" w:hAnsiTheme="minorHAnsi" w:cstheme="minorHAnsi"/>
              <w:szCs w:val="22"/>
            </w:rPr>
            <w:fldChar w:fldCharType="begin"/>
          </w:r>
          <w:r w:rsidRPr="00C71714">
            <w:rPr>
              <w:rFonts w:asciiTheme="minorHAnsi" w:hAnsiTheme="minorHAnsi" w:cstheme="minorHAnsi"/>
              <w:szCs w:val="22"/>
            </w:rPr>
            <w:instrText xml:space="preserve"> CITATION Col07 \l 3081 </w:instrText>
          </w:r>
          <w:r w:rsidRPr="00C71714">
            <w:rPr>
              <w:rFonts w:asciiTheme="minorHAnsi" w:hAnsiTheme="minorHAnsi" w:cstheme="minorHAnsi"/>
              <w:szCs w:val="22"/>
            </w:rPr>
            <w:fldChar w:fldCharType="separate"/>
          </w:r>
          <w:r w:rsidR="002E2541" w:rsidRPr="002E2541">
            <w:rPr>
              <w:rFonts w:asciiTheme="minorHAnsi" w:hAnsiTheme="minorHAnsi" w:cstheme="minorHAnsi"/>
              <w:noProof/>
              <w:szCs w:val="22"/>
            </w:rPr>
            <w:t>(Collins &amp; Holt, 2007)</w:t>
          </w:r>
          <w:r w:rsidRPr="00C71714">
            <w:rPr>
              <w:rFonts w:asciiTheme="minorHAnsi" w:hAnsiTheme="minorHAnsi" w:cstheme="minorHAnsi"/>
              <w:szCs w:val="22"/>
            </w:rPr>
            <w:fldChar w:fldCharType="end"/>
          </w:r>
        </w:sdtContent>
      </w:sdt>
      <w:r w:rsidRPr="00C71714">
        <w:rPr>
          <w:rFonts w:asciiTheme="minorHAnsi" w:hAnsiTheme="minorHAnsi" w:cstheme="minorHAnsi"/>
          <w:szCs w:val="22"/>
        </w:rPr>
        <w:t xml:space="preserve">. Adaptive voltage EPS (capable of multiple output voltages which are not user </w:t>
      </w:r>
      <w:r w:rsidRPr="00C71714">
        <w:rPr>
          <w:rFonts w:asciiTheme="minorHAnsi" w:hAnsiTheme="minorHAnsi" w:cstheme="minorHAnsi"/>
          <w:szCs w:val="22"/>
        </w:rPr>
        <w:lastRenderedPageBreak/>
        <w:t>selectable on the device) are also not covered. These are</w:t>
      </w:r>
      <w:r w:rsidRPr="00A34F8A">
        <w:rPr>
          <w:rFonts w:asciiTheme="minorHAnsi" w:hAnsiTheme="minorHAnsi" w:cstheme="minorHAnsi"/>
          <w:szCs w:val="22"/>
        </w:rPr>
        <w:t xml:space="preserve"> EPS that adjust their output voltage automatically based on the type of device that is connected, e.g., USB-PD (also commonly referred to as USB-C) chargers that are capable of fast charging. Adaptive voltage EPS account for a growing portion of </w:t>
      </w:r>
      <w:r w:rsidRPr="00C71714">
        <w:rPr>
          <w:rFonts w:asciiTheme="minorHAnsi" w:hAnsiTheme="minorHAnsi" w:cstheme="minorHAnsi"/>
          <w:szCs w:val="22"/>
        </w:rPr>
        <w:t>the EPS market. Based on our modelling it appears that adaptive voltage EPS devices have replaced up to 80-90% of fixed voltage EPS in some product classes. Other exclusions are as follows</w:t>
      </w:r>
      <w:r w:rsidRPr="00A34F8A">
        <w:rPr>
          <w:rFonts w:asciiTheme="minorHAnsi" w:hAnsiTheme="minorHAnsi" w:cstheme="minorHAnsi"/>
          <w:szCs w:val="22"/>
        </w:rPr>
        <w:t>:</w:t>
      </w:r>
    </w:p>
    <w:p w14:paraId="2D0B6046" w14:textId="77777777" w:rsidR="00872BB2" w:rsidRPr="002E3E4C" w:rsidRDefault="00872BB2" w:rsidP="00872BB2">
      <w:pPr>
        <w:pStyle w:val="Bullet-VerticalCompact-Level1"/>
        <w:rPr>
          <w:rFonts w:asciiTheme="minorHAnsi" w:hAnsiTheme="minorHAnsi" w:cstheme="minorHAnsi"/>
          <w:color w:val="auto"/>
          <w:sz w:val="22"/>
          <w:szCs w:val="22"/>
        </w:rPr>
      </w:pPr>
      <w:r w:rsidRPr="002E3E4C">
        <w:rPr>
          <w:rFonts w:asciiTheme="minorHAnsi" w:hAnsiTheme="minorHAnsi" w:cstheme="minorHAnsi"/>
          <w:color w:val="auto"/>
          <w:sz w:val="22"/>
          <w:szCs w:val="22"/>
        </w:rPr>
        <w:t>Direct current to direct current (DC to DC) voltage conversion equipment</w:t>
      </w:r>
    </w:p>
    <w:p w14:paraId="287924EA" w14:textId="77777777" w:rsidR="00872BB2" w:rsidRPr="002E3E4C" w:rsidRDefault="00872BB2" w:rsidP="00872BB2">
      <w:pPr>
        <w:pStyle w:val="Bullet-VerticalCompact-Level1"/>
        <w:rPr>
          <w:rFonts w:asciiTheme="minorHAnsi" w:hAnsiTheme="minorHAnsi" w:cstheme="minorHAnsi"/>
          <w:color w:val="auto"/>
          <w:sz w:val="22"/>
          <w:szCs w:val="22"/>
        </w:rPr>
      </w:pPr>
      <w:r w:rsidRPr="002E3E4C">
        <w:rPr>
          <w:rFonts w:asciiTheme="minorHAnsi" w:hAnsiTheme="minorHAnsi" w:cstheme="minorHAnsi"/>
          <w:color w:val="auto"/>
          <w:sz w:val="22"/>
          <w:szCs w:val="22"/>
        </w:rPr>
        <w:t>Single output EPS for transformers and electronic step-down converters for extra-low voltage (ELV) lamps</w:t>
      </w:r>
    </w:p>
    <w:p w14:paraId="4A89E36C" w14:textId="77777777" w:rsidR="00872BB2" w:rsidRPr="002E3E4C" w:rsidRDefault="00872BB2" w:rsidP="00872BB2">
      <w:pPr>
        <w:pStyle w:val="Bullet-VerticalCompact-Level1"/>
        <w:rPr>
          <w:rFonts w:asciiTheme="minorHAnsi" w:hAnsiTheme="minorHAnsi" w:cstheme="minorHAnsi"/>
          <w:i/>
          <w:iCs/>
          <w:color w:val="auto"/>
          <w:sz w:val="22"/>
          <w:szCs w:val="22"/>
        </w:rPr>
      </w:pPr>
      <w:r w:rsidRPr="002E3E4C">
        <w:rPr>
          <w:rFonts w:asciiTheme="minorHAnsi" w:hAnsiTheme="minorHAnsi" w:cstheme="minorHAnsi"/>
          <w:color w:val="auto"/>
          <w:sz w:val="22"/>
          <w:szCs w:val="22"/>
        </w:rPr>
        <w:t xml:space="preserve">Therapeutic devices on the Australian Register of Therapeutic Goods in accordance with the </w:t>
      </w:r>
      <w:r w:rsidRPr="002E3E4C">
        <w:rPr>
          <w:rFonts w:asciiTheme="minorHAnsi" w:hAnsiTheme="minorHAnsi" w:cstheme="minorHAnsi"/>
          <w:i/>
          <w:iCs/>
          <w:color w:val="auto"/>
          <w:sz w:val="22"/>
          <w:szCs w:val="22"/>
        </w:rPr>
        <w:t>Therapeutic Goods Act 1989</w:t>
      </w:r>
      <w:r w:rsidRPr="002E3E4C">
        <w:rPr>
          <w:rFonts w:asciiTheme="minorHAnsi" w:hAnsiTheme="minorHAnsi" w:cstheme="minorHAnsi"/>
          <w:color w:val="auto"/>
          <w:sz w:val="22"/>
          <w:szCs w:val="22"/>
        </w:rPr>
        <w:t xml:space="preserve"> and the </w:t>
      </w:r>
      <w:r w:rsidRPr="002E3E4C">
        <w:rPr>
          <w:rFonts w:asciiTheme="minorHAnsi" w:hAnsiTheme="minorHAnsi" w:cstheme="minorHAnsi"/>
          <w:i/>
          <w:iCs/>
          <w:color w:val="auto"/>
          <w:sz w:val="22"/>
          <w:szCs w:val="22"/>
        </w:rPr>
        <w:t>Therapeutic Goods (Medical Devices) Regulations 2002</w:t>
      </w:r>
    </w:p>
    <w:p w14:paraId="26E68BD7" w14:textId="35FB2048" w:rsidR="00872BB2" w:rsidRPr="002E3E4C" w:rsidRDefault="00872BB2" w:rsidP="00872BB2">
      <w:pPr>
        <w:pStyle w:val="Bullet-VerticalCompact-Level1"/>
        <w:rPr>
          <w:rFonts w:asciiTheme="minorHAnsi" w:hAnsiTheme="minorHAnsi" w:cstheme="minorHAnsi"/>
          <w:color w:val="auto"/>
          <w:sz w:val="22"/>
          <w:szCs w:val="22"/>
        </w:rPr>
      </w:pPr>
      <w:r w:rsidRPr="002E3E4C">
        <w:rPr>
          <w:rFonts w:asciiTheme="minorHAnsi" w:hAnsiTheme="minorHAnsi" w:cstheme="minorHAnsi"/>
          <w:color w:val="auto"/>
          <w:sz w:val="22"/>
          <w:szCs w:val="22"/>
        </w:rPr>
        <w:t>Direct current (DC) or battery</w:t>
      </w:r>
      <w:r w:rsidR="00264B10" w:rsidRPr="002E3E4C">
        <w:rPr>
          <w:rFonts w:asciiTheme="minorHAnsi" w:hAnsiTheme="minorHAnsi" w:cstheme="minorHAnsi"/>
          <w:color w:val="auto"/>
          <w:sz w:val="22"/>
          <w:szCs w:val="22"/>
        </w:rPr>
        <w:t>-</w:t>
      </w:r>
      <w:r w:rsidRPr="002E3E4C">
        <w:rPr>
          <w:rFonts w:asciiTheme="minorHAnsi" w:hAnsiTheme="minorHAnsi" w:cstheme="minorHAnsi"/>
          <w:color w:val="auto"/>
          <w:sz w:val="22"/>
          <w:szCs w:val="22"/>
        </w:rPr>
        <w:t>powered equipment.</w:t>
      </w:r>
    </w:p>
    <w:p w14:paraId="1BB913A1" w14:textId="37F893EE" w:rsidR="00872BB2" w:rsidRPr="00A34F8A" w:rsidRDefault="00872BB2" w:rsidP="00872BB2">
      <w:pPr>
        <w:rPr>
          <w:rFonts w:asciiTheme="minorHAnsi" w:hAnsiTheme="minorHAnsi" w:cstheme="minorHAnsi"/>
          <w:szCs w:val="22"/>
        </w:rPr>
      </w:pPr>
      <w:r w:rsidRPr="00A34F8A">
        <w:rPr>
          <w:rFonts w:asciiTheme="minorHAnsi" w:hAnsiTheme="minorHAnsi" w:cstheme="minorHAnsi"/>
          <w:szCs w:val="22"/>
        </w:rPr>
        <w:t>In New Zealand, the Energy Efficiency and Conservation Authority (EECA) has collected sales data for all registered EPS sales since 2012. From this data it is possible to ascertain the number of EPS sales annually, by product category. In the United States, the Office of Energy Efficiency and Renewable Energy have also published the data they used for their recent impact analysis for a proposed change to the current US Energy Conservation Standards for External Power Supplies</w:t>
      </w:r>
      <w:sdt>
        <w:sdtPr>
          <w:rPr>
            <w:rFonts w:asciiTheme="minorHAnsi" w:hAnsiTheme="minorHAnsi" w:cstheme="minorHAnsi"/>
            <w:szCs w:val="22"/>
          </w:rPr>
          <w:id w:val="-1313023342"/>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CITATION USD22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The DOE aggregated their data from individual EPS manufacturer and supplier interviews and cross-checked this with published global market research.</w:t>
      </w:r>
    </w:p>
    <w:p w14:paraId="2632C3F5" w14:textId="5FDF89F2" w:rsidR="00872BB2" w:rsidRPr="00A34F8A" w:rsidRDefault="00872BB2" w:rsidP="00872BB2">
      <w:pPr>
        <w:rPr>
          <w:rFonts w:asciiTheme="minorHAnsi" w:hAnsiTheme="minorHAnsi" w:cstheme="minorHAnsi"/>
          <w:szCs w:val="22"/>
        </w:rPr>
      </w:pPr>
      <w:r w:rsidRPr="00A34F8A">
        <w:rPr>
          <w:rFonts w:asciiTheme="minorHAnsi" w:hAnsiTheme="minorHAnsi" w:cstheme="minorHAnsi"/>
          <w:szCs w:val="22"/>
        </w:rPr>
        <w:t xml:space="preserve">Evident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_Ref139965616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4</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w:t>
      </w:r>
      <w:r w:rsidRPr="002A4D78">
        <w:rPr>
          <w:rFonts w:asciiTheme="minorHAnsi" w:hAnsiTheme="minorHAnsi" w:cstheme="minorHAnsi"/>
          <w:szCs w:val="22"/>
        </w:rPr>
        <w:t>below, there is a considerable difference between the reported sales in New Zealand (which would only include EPS that are in scope of the current regulation) and the total potential New Zealand EPS sales, extrapolated from the US number based on population. The EECA data only covers 13% of the total possible EPS market in New Zealand. This is largely explained by the differences in scope between the GEMS regulation and the US EPS regulation</w:t>
      </w:r>
      <w:r w:rsidR="00B94C6F" w:rsidRPr="002A4D78">
        <w:rPr>
          <w:rFonts w:asciiTheme="minorHAnsi" w:hAnsiTheme="minorHAnsi" w:cstheme="minorHAnsi"/>
          <w:szCs w:val="22"/>
        </w:rPr>
        <w:t>, and also potential</w:t>
      </w:r>
      <w:r w:rsidR="00B94C6F">
        <w:rPr>
          <w:rFonts w:asciiTheme="minorHAnsi" w:hAnsiTheme="minorHAnsi" w:cstheme="minorHAnsi"/>
          <w:szCs w:val="22"/>
        </w:rPr>
        <w:t xml:space="preserve"> non-compliance </w:t>
      </w:r>
      <w:r w:rsidR="00D53C0B">
        <w:rPr>
          <w:rFonts w:asciiTheme="minorHAnsi" w:hAnsiTheme="minorHAnsi" w:cstheme="minorHAnsi"/>
          <w:szCs w:val="22"/>
        </w:rPr>
        <w:t>with registration or sales data requirements</w:t>
      </w:r>
      <w:r w:rsidRPr="00A34F8A">
        <w:rPr>
          <w:rFonts w:asciiTheme="minorHAnsi" w:hAnsiTheme="minorHAnsi" w:cstheme="minorHAnsi"/>
          <w:szCs w:val="22"/>
        </w:rPr>
        <w:t>. For example, EPS such as multiple and adaptive output voltages are not captured by the MEPS. However, it is possible that some of the discrepancy could also be attributed to a level of non-compliance with the Determination and regulations. For example, products that are unregistered and</w:t>
      </w:r>
      <w:r w:rsidR="008B0436">
        <w:rPr>
          <w:rFonts w:asciiTheme="minorHAnsi" w:hAnsiTheme="minorHAnsi" w:cstheme="minorHAnsi"/>
          <w:szCs w:val="22"/>
        </w:rPr>
        <w:t>/or</w:t>
      </w:r>
      <w:r w:rsidRPr="00A34F8A">
        <w:rPr>
          <w:rFonts w:asciiTheme="minorHAnsi" w:hAnsiTheme="minorHAnsi" w:cstheme="minorHAnsi"/>
          <w:szCs w:val="22"/>
        </w:rPr>
        <w:t xml:space="preserve"> are being bought or sold in New Zealand but are not being recorded.</w:t>
      </w:r>
    </w:p>
    <w:p w14:paraId="049457E3" w14:textId="3FD6DF96" w:rsidR="00872BB2" w:rsidRPr="00A34F8A" w:rsidRDefault="00872BB2" w:rsidP="00872BB2">
      <w:pPr>
        <w:rPr>
          <w:rFonts w:asciiTheme="minorHAnsi" w:hAnsiTheme="minorHAnsi" w:cstheme="minorHAnsi"/>
          <w:szCs w:val="22"/>
        </w:rPr>
      </w:pPr>
      <w:r w:rsidRPr="00A34F8A">
        <w:rPr>
          <w:rFonts w:asciiTheme="minorHAnsi" w:hAnsiTheme="minorHAnsi" w:cstheme="minorHAnsi"/>
          <w:szCs w:val="22"/>
        </w:rPr>
        <w:t xml:space="preserve">This analysis has also been conducted for based on data from the review of Commission Regulation (EC) No 278/2009 </w:t>
      </w:r>
      <w:sdt>
        <w:sdtPr>
          <w:rPr>
            <w:rFonts w:asciiTheme="minorHAnsi" w:hAnsiTheme="minorHAnsi" w:cstheme="minorHAnsi"/>
            <w:szCs w:val="22"/>
          </w:rPr>
          <w:id w:val="1432546377"/>
          <w:citation/>
        </w:sdtPr>
        <w:sdtContent>
          <w:r w:rsidR="002369D1">
            <w:rPr>
              <w:rFonts w:asciiTheme="minorHAnsi" w:hAnsiTheme="minorHAnsi" w:cstheme="minorHAnsi"/>
              <w:szCs w:val="22"/>
            </w:rPr>
            <w:fldChar w:fldCharType="begin"/>
          </w:r>
          <w:r w:rsidR="002369D1">
            <w:rPr>
              <w:rFonts w:asciiTheme="minorHAnsi" w:hAnsiTheme="minorHAnsi" w:cstheme="minorHAnsi"/>
              <w:szCs w:val="22"/>
            </w:rPr>
            <w:instrText xml:space="preserve"> CITATION The19 \l 3081 </w:instrText>
          </w:r>
          <w:r w:rsidR="002369D1">
            <w:rPr>
              <w:rFonts w:asciiTheme="minorHAnsi" w:hAnsiTheme="minorHAnsi" w:cstheme="minorHAnsi"/>
              <w:szCs w:val="22"/>
            </w:rPr>
            <w:fldChar w:fldCharType="separate"/>
          </w:r>
          <w:r w:rsidR="002E2541" w:rsidRPr="002E2541">
            <w:rPr>
              <w:rFonts w:asciiTheme="minorHAnsi" w:hAnsiTheme="minorHAnsi" w:cstheme="minorHAnsi"/>
              <w:noProof/>
              <w:szCs w:val="22"/>
            </w:rPr>
            <w:t>(European Commission, 2019)</w:t>
          </w:r>
          <w:r w:rsidR="002369D1">
            <w:rPr>
              <w:rFonts w:asciiTheme="minorHAnsi" w:hAnsiTheme="minorHAnsi" w:cstheme="minorHAnsi"/>
              <w:szCs w:val="22"/>
            </w:rPr>
            <w:fldChar w:fldCharType="end"/>
          </w:r>
        </w:sdtContent>
      </w:sdt>
      <w:r w:rsidR="002369D1">
        <w:rPr>
          <w:rFonts w:asciiTheme="minorHAnsi" w:hAnsiTheme="minorHAnsi" w:cstheme="minorHAnsi"/>
          <w:szCs w:val="22"/>
        </w:rPr>
        <w:t xml:space="preserve"> </w:t>
      </w:r>
      <w:r w:rsidRPr="00A34F8A">
        <w:rPr>
          <w:rFonts w:asciiTheme="minorHAnsi" w:hAnsiTheme="minorHAnsi" w:cstheme="minorHAnsi"/>
          <w:szCs w:val="22"/>
        </w:rPr>
        <w:t>on the ecodesign requirements for External Power Supplies (EPS).</w:t>
      </w:r>
    </w:p>
    <w:p w14:paraId="49FC56B0" w14:textId="38F26E2E" w:rsidR="0036605F" w:rsidRDefault="0036605F">
      <w:pPr>
        <w:spacing w:after="0" w:line="240" w:lineRule="auto"/>
        <w:rPr>
          <w:rFonts w:asciiTheme="minorHAnsi" w:hAnsiTheme="minorHAnsi" w:cstheme="minorHAnsi"/>
          <w:color w:val="363838"/>
          <w:szCs w:val="22"/>
        </w:rPr>
      </w:pPr>
      <w:r>
        <w:rPr>
          <w:rFonts w:asciiTheme="minorHAnsi" w:hAnsiTheme="minorHAnsi" w:cstheme="minorHAnsi"/>
          <w:szCs w:val="22"/>
        </w:rPr>
        <w:br w:type="page"/>
      </w:r>
    </w:p>
    <w:p w14:paraId="4779A9E9" w14:textId="77777777" w:rsidR="00872BB2" w:rsidRDefault="00872BB2" w:rsidP="00872BB2">
      <w:pPr>
        <w:pStyle w:val="BlueLineTop"/>
        <w:rPr>
          <w:rFonts w:asciiTheme="minorHAnsi" w:hAnsiTheme="minorHAnsi" w:cstheme="minorHAnsi"/>
          <w:sz w:val="22"/>
          <w:szCs w:val="22"/>
        </w:rPr>
      </w:pPr>
    </w:p>
    <w:p w14:paraId="709672C1" w14:textId="6C661C21" w:rsidR="00872BB2" w:rsidRPr="00A34F8A" w:rsidRDefault="00872BB2" w:rsidP="00872BB2">
      <w:pPr>
        <w:pStyle w:val="Caption"/>
        <w:rPr>
          <w:rFonts w:asciiTheme="minorHAnsi" w:hAnsiTheme="minorHAnsi" w:cstheme="minorHAnsi"/>
          <w:sz w:val="22"/>
          <w:szCs w:val="22"/>
        </w:rPr>
      </w:pPr>
      <w:bookmarkStart w:id="34" w:name="_Ref139965616"/>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w:t>
      </w:r>
      <w:r w:rsidRPr="00A34F8A">
        <w:rPr>
          <w:rFonts w:asciiTheme="minorHAnsi" w:hAnsiTheme="minorHAnsi" w:cstheme="minorHAnsi"/>
          <w:sz w:val="22"/>
          <w:szCs w:val="22"/>
        </w:rPr>
        <w:fldChar w:fldCharType="end"/>
      </w:r>
      <w:bookmarkEnd w:id="34"/>
      <w:r w:rsidRPr="00A34F8A">
        <w:rPr>
          <w:rFonts w:asciiTheme="minorHAnsi" w:hAnsiTheme="minorHAnsi" w:cstheme="minorHAnsi"/>
          <w:sz w:val="22"/>
          <w:szCs w:val="22"/>
        </w:rPr>
        <w:t xml:space="preserve">: Comparison of scope between US </w:t>
      </w:r>
      <w:sdt>
        <w:sdtPr>
          <w:rPr>
            <w:rFonts w:asciiTheme="minorHAnsi" w:hAnsiTheme="minorHAnsi" w:cstheme="minorHAnsi"/>
            <w:sz w:val="22"/>
            <w:szCs w:val="22"/>
          </w:rPr>
          <w:id w:val="1595829031"/>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USD22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 xml:space="preserve">, EU </w:t>
      </w:r>
      <w:sdt>
        <w:sdtPr>
          <w:rPr>
            <w:rFonts w:asciiTheme="minorHAnsi" w:hAnsiTheme="minorHAnsi" w:cstheme="minorHAnsi"/>
            <w:sz w:val="22"/>
            <w:szCs w:val="22"/>
          </w:rPr>
          <w:id w:val="-1990401595"/>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EUC19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(EU Commission, 2019)</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 xml:space="preserve"> and Australia/New Zealand regulations (extrapolated from EECA data)</w:t>
      </w:r>
    </w:p>
    <w:tbl>
      <w:tblPr>
        <w:tblStyle w:val="ComCap4-nested"/>
        <w:tblW w:w="5335" w:type="pct"/>
        <w:tblInd w:w="-567" w:type="dxa"/>
        <w:tblBorders>
          <w:insideV w:val="single" w:sz="4" w:space="0" w:color="auto"/>
        </w:tblBorders>
        <w:tblLook w:val="04A0" w:firstRow="1" w:lastRow="0" w:firstColumn="1" w:lastColumn="0" w:noHBand="0" w:noVBand="1"/>
      </w:tblPr>
      <w:tblGrid>
        <w:gridCol w:w="1806"/>
        <w:gridCol w:w="1805"/>
        <w:gridCol w:w="1805"/>
        <w:gridCol w:w="1805"/>
        <w:gridCol w:w="1805"/>
      </w:tblGrid>
      <w:tr w:rsidR="00872BB2" w:rsidRPr="00A34F8A" w14:paraId="0A6BF7B4" w14:textId="77777777" w:rsidTr="00770957">
        <w:trPr>
          <w:cnfStyle w:val="100000000000" w:firstRow="1" w:lastRow="0" w:firstColumn="0" w:lastColumn="0" w:oddVBand="0" w:evenVBand="0" w:oddHBand="0" w:evenHBand="0" w:firstRowFirstColumn="0" w:firstRowLastColumn="0" w:lastRowFirstColumn="0" w:lastRowLastColumn="0"/>
          <w:tblHeader/>
        </w:trPr>
        <w:tc>
          <w:tcPr>
            <w:tcW w:w="1000" w:type="pct"/>
            <w:tcBorders>
              <w:right w:val="single" w:sz="4" w:space="0" w:color="C4BC96" w:themeColor="background2" w:themeShade="BF"/>
            </w:tcBorders>
            <w:tcMar>
              <w:top w:w="57" w:type="dxa"/>
              <w:left w:w="57" w:type="dxa"/>
              <w:bottom w:w="57" w:type="dxa"/>
              <w:right w:w="57" w:type="dxa"/>
            </w:tcMar>
          </w:tcPr>
          <w:p w14:paraId="56BD47A1" w14:textId="77777777" w:rsidR="00872BB2" w:rsidRPr="00A34F8A" w:rsidRDefault="00872BB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Jurisdiction</w:t>
            </w:r>
          </w:p>
        </w:tc>
        <w:tc>
          <w:tcPr>
            <w:tcW w:w="1000" w:type="pct"/>
            <w:tcBorders>
              <w:right w:val="single" w:sz="4" w:space="0" w:color="C4BC96" w:themeColor="background2" w:themeShade="BF"/>
            </w:tcBorders>
            <w:tcMar>
              <w:top w:w="57" w:type="dxa"/>
              <w:left w:w="57" w:type="dxa"/>
              <w:bottom w:w="57" w:type="dxa"/>
              <w:right w:w="57" w:type="dxa"/>
            </w:tcMar>
          </w:tcPr>
          <w:p w14:paraId="3671CC85" w14:textId="77777777" w:rsidR="00872BB2" w:rsidRPr="00A34F8A" w:rsidRDefault="00872BB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EPS sales in market</w:t>
            </w:r>
          </w:p>
        </w:tc>
        <w:tc>
          <w:tcPr>
            <w:tcW w:w="1000" w:type="pct"/>
            <w:tcBorders>
              <w:right w:val="single" w:sz="4" w:space="0" w:color="C4BC96" w:themeColor="background2" w:themeShade="BF"/>
            </w:tcBorders>
            <w:tcMar>
              <w:top w:w="57" w:type="dxa"/>
              <w:left w:w="57" w:type="dxa"/>
              <w:bottom w:w="57" w:type="dxa"/>
              <w:right w:w="57" w:type="dxa"/>
            </w:tcMar>
          </w:tcPr>
          <w:p w14:paraId="46BFECC6" w14:textId="77777777" w:rsidR="00872BB2" w:rsidRPr="00A34F8A" w:rsidRDefault="00872BB2"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Extrapolated NZEPS sales (based on population)</w:t>
            </w:r>
          </w:p>
        </w:tc>
        <w:tc>
          <w:tcPr>
            <w:tcW w:w="1000" w:type="pct"/>
            <w:tcBorders>
              <w:right w:val="single" w:sz="4" w:space="0" w:color="C4BC96" w:themeColor="background2" w:themeShade="BF"/>
            </w:tcBorders>
            <w:tcMar>
              <w:top w:w="57" w:type="dxa"/>
              <w:left w:w="57" w:type="dxa"/>
              <w:bottom w:w="57" w:type="dxa"/>
              <w:right w:w="57" w:type="dxa"/>
            </w:tcMar>
          </w:tcPr>
          <w:p w14:paraId="4BEB3555" w14:textId="77777777" w:rsidR="00872BB2" w:rsidRPr="00A34F8A" w:rsidRDefault="00872BB2"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NZ EPS sales (EECA reported data)</w:t>
            </w:r>
          </w:p>
        </w:tc>
        <w:tc>
          <w:tcPr>
            <w:tcW w:w="1000" w:type="pct"/>
            <w:tcBorders>
              <w:left w:val="single" w:sz="4" w:space="0" w:color="C4BC96" w:themeColor="background2" w:themeShade="BF"/>
            </w:tcBorders>
            <w:tcMar>
              <w:top w:w="57" w:type="dxa"/>
              <w:left w:w="57" w:type="dxa"/>
              <w:bottom w:w="57" w:type="dxa"/>
              <w:right w:w="57" w:type="dxa"/>
            </w:tcMar>
          </w:tcPr>
          <w:p w14:paraId="1969C9B6" w14:textId="77777777" w:rsidR="00872BB2" w:rsidRPr="00A34F8A" w:rsidRDefault="00872BB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NZ registered sales (% of total EPS sales)</w:t>
            </w:r>
          </w:p>
        </w:tc>
      </w:tr>
      <w:tr w:rsidR="00872BB2" w:rsidRPr="00A34F8A" w14:paraId="1C09A716" w14:textId="77777777" w:rsidTr="00770957">
        <w:tc>
          <w:tcPr>
            <w:tcW w:w="1000" w:type="pct"/>
            <w:tcBorders>
              <w:right w:val="single" w:sz="4" w:space="0" w:color="C4BC96" w:themeColor="background2" w:themeShade="BF"/>
            </w:tcBorders>
            <w:tcMar>
              <w:top w:w="57" w:type="dxa"/>
              <w:left w:w="57" w:type="dxa"/>
              <w:bottom w:w="57" w:type="dxa"/>
              <w:right w:w="57" w:type="dxa"/>
            </w:tcMar>
          </w:tcPr>
          <w:p w14:paraId="6B0A6AC9"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US</w:t>
            </w:r>
          </w:p>
        </w:tc>
        <w:tc>
          <w:tcPr>
            <w:tcW w:w="1000" w:type="pct"/>
            <w:tcBorders>
              <w:right w:val="single" w:sz="4" w:space="0" w:color="C4BC96" w:themeColor="background2" w:themeShade="BF"/>
            </w:tcBorders>
            <w:tcMar>
              <w:top w:w="57" w:type="dxa"/>
              <w:left w:w="57" w:type="dxa"/>
              <w:bottom w:w="57" w:type="dxa"/>
              <w:right w:w="57" w:type="dxa"/>
            </w:tcMar>
          </w:tcPr>
          <w:p w14:paraId="09AF9C48" w14:textId="77777777" w:rsidR="00872BB2" w:rsidRPr="00A34F8A" w:rsidRDefault="00872BB2" w:rsidP="005D3977">
            <w:pPr>
              <w:pStyle w:val="Table3-Normaldata"/>
              <w:rPr>
                <w:rFonts w:asciiTheme="minorHAnsi" w:hAnsiTheme="minorHAnsi" w:cstheme="minorHAnsi"/>
                <w:b/>
                <w:bCs/>
                <w:sz w:val="22"/>
                <w:szCs w:val="22"/>
              </w:rPr>
            </w:pPr>
            <w:r w:rsidRPr="00A34F8A">
              <w:rPr>
                <w:rFonts w:asciiTheme="minorHAnsi" w:hAnsiTheme="minorHAnsi" w:cstheme="minorHAnsi"/>
                <w:sz w:val="22"/>
                <w:szCs w:val="22"/>
              </w:rPr>
              <w:t>729,303,696</w:t>
            </w:r>
          </w:p>
        </w:tc>
        <w:tc>
          <w:tcPr>
            <w:tcW w:w="1000" w:type="pct"/>
            <w:tcBorders>
              <w:right w:val="single" w:sz="4" w:space="0" w:color="C4BC96" w:themeColor="background2" w:themeShade="BF"/>
            </w:tcBorders>
            <w:tcMar>
              <w:top w:w="57" w:type="dxa"/>
              <w:left w:w="57" w:type="dxa"/>
              <w:bottom w:w="57" w:type="dxa"/>
              <w:right w:w="57" w:type="dxa"/>
            </w:tcMar>
          </w:tcPr>
          <w:p w14:paraId="310B21FE"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11,257,073</w:t>
            </w:r>
          </w:p>
        </w:tc>
        <w:tc>
          <w:tcPr>
            <w:tcW w:w="1000" w:type="pct"/>
            <w:tcBorders>
              <w:right w:val="single" w:sz="4" w:space="0" w:color="C4BC96" w:themeColor="background2" w:themeShade="BF"/>
            </w:tcBorders>
            <w:tcMar>
              <w:top w:w="57" w:type="dxa"/>
              <w:left w:w="57" w:type="dxa"/>
              <w:bottom w:w="57" w:type="dxa"/>
              <w:right w:w="57" w:type="dxa"/>
            </w:tcMar>
          </w:tcPr>
          <w:p w14:paraId="1323CAB8"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1,508,558</w:t>
            </w:r>
          </w:p>
        </w:tc>
        <w:tc>
          <w:tcPr>
            <w:tcW w:w="1000" w:type="pct"/>
            <w:tcBorders>
              <w:left w:val="single" w:sz="4" w:space="0" w:color="C4BC96" w:themeColor="background2" w:themeShade="BF"/>
              <w:right w:val="single" w:sz="4" w:space="0" w:color="AEAAAA"/>
            </w:tcBorders>
            <w:tcMar>
              <w:top w:w="57" w:type="dxa"/>
              <w:left w:w="57" w:type="dxa"/>
              <w:bottom w:w="57" w:type="dxa"/>
              <w:right w:w="57" w:type="dxa"/>
            </w:tcMar>
          </w:tcPr>
          <w:p w14:paraId="5F24A638"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13%</w:t>
            </w:r>
          </w:p>
        </w:tc>
      </w:tr>
      <w:tr w:rsidR="00872BB2" w:rsidRPr="00A34F8A" w14:paraId="0D2C604A" w14:textId="77777777" w:rsidTr="00770957">
        <w:tc>
          <w:tcPr>
            <w:tcW w:w="1000" w:type="pct"/>
            <w:tcBorders>
              <w:right w:val="single" w:sz="4" w:space="0" w:color="C4BC96" w:themeColor="background2" w:themeShade="BF"/>
            </w:tcBorders>
            <w:tcMar>
              <w:top w:w="57" w:type="dxa"/>
              <w:left w:w="57" w:type="dxa"/>
              <w:bottom w:w="57" w:type="dxa"/>
              <w:right w:w="57" w:type="dxa"/>
            </w:tcMar>
          </w:tcPr>
          <w:p w14:paraId="395BAA52"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EU</w:t>
            </w:r>
          </w:p>
        </w:tc>
        <w:tc>
          <w:tcPr>
            <w:tcW w:w="1000" w:type="pct"/>
            <w:tcBorders>
              <w:right w:val="single" w:sz="4" w:space="0" w:color="C4BC96" w:themeColor="background2" w:themeShade="BF"/>
            </w:tcBorders>
            <w:tcMar>
              <w:top w:w="57" w:type="dxa"/>
              <w:left w:w="57" w:type="dxa"/>
              <w:bottom w:w="57" w:type="dxa"/>
              <w:right w:w="57" w:type="dxa"/>
            </w:tcMar>
          </w:tcPr>
          <w:p w14:paraId="0CA1CF87" w14:textId="77777777" w:rsidR="00872BB2" w:rsidRPr="00A34F8A" w:rsidRDefault="00872BB2" w:rsidP="005D3977">
            <w:pPr>
              <w:pStyle w:val="Table3-Normaldata"/>
              <w:rPr>
                <w:rFonts w:asciiTheme="minorHAnsi" w:hAnsiTheme="minorHAnsi" w:cstheme="minorHAnsi"/>
                <w:b/>
                <w:bCs/>
                <w:sz w:val="22"/>
                <w:szCs w:val="22"/>
              </w:rPr>
            </w:pPr>
            <w:r w:rsidRPr="00A34F8A">
              <w:rPr>
                <w:rFonts w:asciiTheme="minorHAnsi" w:hAnsiTheme="minorHAnsi" w:cstheme="minorHAnsi"/>
                <w:sz w:val="22"/>
                <w:szCs w:val="22"/>
              </w:rPr>
              <w:t>504,000,000</w:t>
            </w:r>
          </w:p>
        </w:tc>
        <w:tc>
          <w:tcPr>
            <w:tcW w:w="1000" w:type="pct"/>
            <w:tcBorders>
              <w:right w:val="single" w:sz="4" w:space="0" w:color="C4BC96" w:themeColor="background2" w:themeShade="BF"/>
            </w:tcBorders>
            <w:tcMar>
              <w:top w:w="57" w:type="dxa"/>
              <w:left w:w="57" w:type="dxa"/>
              <w:bottom w:w="57" w:type="dxa"/>
              <w:right w:w="57" w:type="dxa"/>
            </w:tcMar>
          </w:tcPr>
          <w:p w14:paraId="36A32950"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4,985,176</w:t>
            </w:r>
          </w:p>
        </w:tc>
        <w:tc>
          <w:tcPr>
            <w:tcW w:w="1000" w:type="pct"/>
            <w:tcBorders>
              <w:right w:val="single" w:sz="4" w:space="0" w:color="C4BC96" w:themeColor="background2" w:themeShade="BF"/>
            </w:tcBorders>
            <w:tcMar>
              <w:top w:w="57" w:type="dxa"/>
              <w:left w:w="57" w:type="dxa"/>
              <w:bottom w:w="57" w:type="dxa"/>
              <w:right w:w="57" w:type="dxa"/>
            </w:tcMar>
          </w:tcPr>
          <w:p w14:paraId="2C74AF8A"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1,508,558</w:t>
            </w:r>
          </w:p>
        </w:tc>
        <w:tc>
          <w:tcPr>
            <w:tcW w:w="1000" w:type="pct"/>
            <w:tcBorders>
              <w:left w:val="single" w:sz="4" w:space="0" w:color="C4BC96" w:themeColor="background2" w:themeShade="BF"/>
              <w:right w:val="single" w:sz="4" w:space="0" w:color="AEAAAA"/>
            </w:tcBorders>
            <w:tcMar>
              <w:top w:w="57" w:type="dxa"/>
              <w:left w:w="57" w:type="dxa"/>
              <w:bottom w:w="57" w:type="dxa"/>
              <w:right w:w="57" w:type="dxa"/>
            </w:tcMar>
          </w:tcPr>
          <w:p w14:paraId="137F13EE" w14:textId="77777777" w:rsidR="00872BB2" w:rsidRPr="00A34F8A" w:rsidRDefault="00872BB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30%</w:t>
            </w:r>
          </w:p>
        </w:tc>
      </w:tr>
    </w:tbl>
    <w:p w14:paraId="7A76ADA7" w14:textId="77777777" w:rsidR="00872BB2" w:rsidRPr="00A34F8A" w:rsidRDefault="00872BB2" w:rsidP="00872BB2">
      <w:pPr>
        <w:pStyle w:val="BlueLineBottom"/>
        <w:rPr>
          <w:rFonts w:asciiTheme="minorHAnsi" w:hAnsiTheme="minorHAnsi" w:cstheme="minorHAnsi"/>
          <w:sz w:val="22"/>
          <w:szCs w:val="22"/>
        </w:rPr>
      </w:pPr>
    </w:p>
    <w:p w14:paraId="35F0D768" w14:textId="77A49056" w:rsidR="00872BB2" w:rsidRPr="00A34F8A" w:rsidRDefault="00872BB2" w:rsidP="00872BB2">
      <w:pPr>
        <w:rPr>
          <w:rFonts w:asciiTheme="minorHAnsi" w:hAnsiTheme="minorHAnsi" w:cstheme="minorHAnsi"/>
          <w:szCs w:val="22"/>
        </w:rPr>
      </w:pPr>
      <w:r w:rsidRPr="00A34F8A">
        <w:rPr>
          <w:rFonts w:asciiTheme="minorHAnsi" w:hAnsiTheme="minorHAnsi" w:cstheme="minorHAnsi"/>
          <w:szCs w:val="22"/>
        </w:rPr>
        <w:t xml:space="preserve">There may also be differences between the US and EU markets and Australian and </w:t>
      </w:r>
      <w:r w:rsidR="00145D95" w:rsidRPr="00A34F8A">
        <w:rPr>
          <w:rFonts w:asciiTheme="minorHAnsi" w:hAnsiTheme="minorHAnsi" w:cstheme="minorHAnsi"/>
          <w:szCs w:val="22"/>
        </w:rPr>
        <w:t>New</w:t>
      </w:r>
      <w:r w:rsidR="00145D95">
        <w:rPr>
          <w:rFonts w:asciiTheme="minorHAnsi" w:hAnsiTheme="minorHAnsi" w:cstheme="minorHAnsi"/>
          <w:szCs w:val="22"/>
        </w:rPr>
        <w:t> </w:t>
      </w:r>
      <w:r w:rsidRPr="00A34F8A">
        <w:rPr>
          <w:rFonts w:asciiTheme="minorHAnsi" w:hAnsiTheme="minorHAnsi" w:cstheme="minorHAnsi"/>
          <w:szCs w:val="22"/>
        </w:rPr>
        <w:t>Zealand markets that cannot be explained by differences in population alone. For example, some types of product applications that require an EPS may be sold more in one market than others. However, this is probably the case for smaller market share applications (e.g., home security systems, e-bikes, aquarium accessories etc.)</w:t>
      </w:r>
      <w:r w:rsidR="00CD0357">
        <w:rPr>
          <w:rFonts w:asciiTheme="minorHAnsi" w:hAnsiTheme="minorHAnsi" w:cstheme="minorHAnsi"/>
          <w:szCs w:val="22"/>
        </w:rPr>
        <w:t>,</w:t>
      </w:r>
      <w:r w:rsidRPr="00A34F8A">
        <w:rPr>
          <w:rFonts w:asciiTheme="minorHAnsi" w:hAnsiTheme="minorHAnsi" w:cstheme="minorHAnsi"/>
          <w:szCs w:val="22"/>
        </w:rPr>
        <w:t xml:space="preserve"> rather than the applications that make up a larger share of the EPS market (e.g., smartphones, laptops, monitors etc.).</w:t>
      </w:r>
    </w:p>
    <w:p w14:paraId="7B440FC7" w14:textId="4F811D35" w:rsidR="00872BB2" w:rsidRPr="00A34F8A" w:rsidRDefault="00872BB2" w:rsidP="00872BB2">
      <w:pPr>
        <w:pStyle w:val="Heading3"/>
        <w:rPr>
          <w:rFonts w:asciiTheme="minorHAnsi" w:hAnsiTheme="minorHAnsi" w:cstheme="minorHAnsi"/>
          <w:sz w:val="22"/>
          <w:szCs w:val="22"/>
        </w:rPr>
      </w:pPr>
      <w:bookmarkStart w:id="35" w:name="_Toc183163230"/>
      <w:r w:rsidRPr="00A34F8A">
        <w:rPr>
          <w:rFonts w:asciiTheme="minorHAnsi" w:hAnsiTheme="minorHAnsi" w:cstheme="minorHAnsi"/>
          <w:sz w:val="22"/>
          <w:szCs w:val="22"/>
        </w:rPr>
        <w:t>International standards have increased considerably, driving effic</w:t>
      </w:r>
      <w:r w:rsidR="00E405DC" w:rsidRPr="00A34F8A">
        <w:rPr>
          <w:rFonts w:asciiTheme="minorHAnsi" w:hAnsiTheme="minorHAnsi" w:cstheme="minorHAnsi"/>
          <w:sz w:val="22"/>
          <w:szCs w:val="22"/>
        </w:rPr>
        <w:t>iency above the MEPS</w:t>
      </w:r>
      <w:bookmarkEnd w:id="35"/>
    </w:p>
    <w:p w14:paraId="4642294F" w14:textId="4A2030F5" w:rsidR="00D93F01" w:rsidRPr="00A34F8A" w:rsidRDefault="00D93F01" w:rsidP="00D93F01">
      <w:pPr>
        <w:rPr>
          <w:rFonts w:asciiTheme="minorHAnsi" w:hAnsiTheme="minorHAnsi" w:cstheme="minorHAnsi"/>
          <w:szCs w:val="22"/>
        </w:rPr>
      </w:pPr>
      <w:r w:rsidRPr="00A34F8A">
        <w:rPr>
          <w:rFonts w:asciiTheme="minorHAnsi" w:hAnsiTheme="minorHAnsi" w:cstheme="minorHAnsi"/>
          <w:szCs w:val="22"/>
        </w:rPr>
        <w:t xml:space="preserve">International EPS markets such as the US, EU and Asia are larger than those in Australia and New Zealand. When these larger markets introduce new regulations for EPS, over time, the bulk of products imported into Australia and New Zealand will comply with international regulations. It </w:t>
      </w:r>
      <w:r w:rsidR="004B72CB">
        <w:rPr>
          <w:rFonts w:asciiTheme="minorHAnsi" w:hAnsiTheme="minorHAnsi" w:cstheme="minorHAnsi"/>
          <w:szCs w:val="22"/>
        </w:rPr>
        <w:t xml:space="preserve">can take up to </w:t>
      </w:r>
      <w:r w:rsidR="008B054E">
        <w:rPr>
          <w:rFonts w:asciiTheme="minorHAnsi" w:hAnsiTheme="minorHAnsi" w:cstheme="minorHAnsi"/>
          <w:szCs w:val="22"/>
        </w:rPr>
        <w:t>eight</w:t>
      </w:r>
      <w:r w:rsidR="004B72CB">
        <w:rPr>
          <w:rFonts w:asciiTheme="minorHAnsi" w:hAnsiTheme="minorHAnsi" w:cstheme="minorHAnsi"/>
          <w:szCs w:val="22"/>
        </w:rPr>
        <w:t xml:space="preserve"> years</w:t>
      </w:r>
      <w:r w:rsidRPr="00A34F8A">
        <w:rPr>
          <w:rFonts w:asciiTheme="minorHAnsi" w:hAnsiTheme="minorHAnsi" w:cstheme="minorHAnsi"/>
          <w:szCs w:val="22"/>
        </w:rPr>
        <w:t xml:space="preserve"> for this market adjustment to occur. It is not just the EPS itself that is sold internationally, but also the end-use product that the EPS is attached to. Typically, the EPS powers a more expensive device, so it is more cost effective for the manufacturer to bundle one standard device (that complies with the most stringent international standards), than to customise it for the Australian and </w:t>
      </w:r>
      <w:r w:rsidR="00D05D32" w:rsidRPr="00A34F8A">
        <w:rPr>
          <w:rFonts w:asciiTheme="minorHAnsi" w:hAnsiTheme="minorHAnsi" w:cstheme="minorHAnsi"/>
          <w:szCs w:val="22"/>
        </w:rPr>
        <w:t>New</w:t>
      </w:r>
      <w:r w:rsidR="00D05D32">
        <w:rPr>
          <w:rFonts w:asciiTheme="minorHAnsi" w:hAnsiTheme="minorHAnsi" w:cstheme="minorHAnsi"/>
          <w:szCs w:val="22"/>
        </w:rPr>
        <w:t> </w:t>
      </w:r>
      <w:r w:rsidRPr="00A34F8A">
        <w:rPr>
          <w:rFonts w:asciiTheme="minorHAnsi" w:hAnsiTheme="minorHAnsi" w:cstheme="minorHAnsi"/>
          <w:szCs w:val="22"/>
        </w:rPr>
        <w:t xml:space="preserve">Zealand markets. </w:t>
      </w:r>
      <w:r w:rsidR="00D53C0B">
        <w:rPr>
          <w:rFonts w:asciiTheme="minorHAnsi" w:hAnsiTheme="minorHAnsi" w:cstheme="minorHAnsi"/>
          <w:szCs w:val="22"/>
        </w:rPr>
        <w:t xml:space="preserve">Not all </w:t>
      </w:r>
      <w:r w:rsidR="00440824">
        <w:rPr>
          <w:rFonts w:asciiTheme="minorHAnsi" w:hAnsiTheme="minorHAnsi" w:cstheme="minorHAnsi"/>
          <w:szCs w:val="22"/>
        </w:rPr>
        <w:t>products</w:t>
      </w:r>
      <w:r w:rsidR="00D53C0B">
        <w:rPr>
          <w:rFonts w:asciiTheme="minorHAnsi" w:hAnsiTheme="minorHAnsi" w:cstheme="minorHAnsi"/>
          <w:szCs w:val="22"/>
        </w:rPr>
        <w:t xml:space="preserve"> will move to the most stringent international requirements and there is still merit in increasing the local MEPS requirement to avoid Australia and New Zealand becoming a dumping ground for low efficien</w:t>
      </w:r>
      <w:r w:rsidR="00835B9E">
        <w:rPr>
          <w:rFonts w:asciiTheme="minorHAnsi" w:hAnsiTheme="minorHAnsi" w:cstheme="minorHAnsi"/>
          <w:szCs w:val="22"/>
        </w:rPr>
        <w:t>cy</w:t>
      </w:r>
      <w:r w:rsidR="00D53C0B">
        <w:rPr>
          <w:rFonts w:asciiTheme="minorHAnsi" w:hAnsiTheme="minorHAnsi" w:cstheme="minorHAnsi"/>
          <w:szCs w:val="22"/>
        </w:rPr>
        <w:t xml:space="preserve"> EPS.</w:t>
      </w:r>
    </w:p>
    <w:p w14:paraId="73378F9E" w14:textId="5D844003" w:rsidR="00D93F01" w:rsidRPr="00A34F8A" w:rsidRDefault="00D93F01" w:rsidP="00D93F01">
      <w:pPr>
        <w:rPr>
          <w:rFonts w:asciiTheme="minorHAnsi" w:hAnsiTheme="minorHAnsi" w:cstheme="minorHAnsi"/>
          <w:szCs w:val="22"/>
        </w:rPr>
      </w:pPr>
      <w:r w:rsidRPr="00A34F8A">
        <w:rPr>
          <w:rFonts w:asciiTheme="minorHAnsi" w:hAnsiTheme="minorHAnsi" w:cstheme="minorHAnsi"/>
          <w:szCs w:val="22"/>
        </w:rPr>
        <w:t>There is an internationally established efficiency mark and system that is used in Australia and New Zealand, China, the US and the EU</w:t>
      </w:r>
      <w:r w:rsidR="00D86BBA">
        <w:rPr>
          <w:rFonts w:asciiTheme="minorHAnsi" w:hAnsiTheme="minorHAnsi" w:cstheme="minorHAnsi"/>
          <w:szCs w:val="22"/>
        </w:rPr>
        <w:t xml:space="preserve"> called the International Efficiency Marking Protocol (IEMP)</w:t>
      </w:r>
      <w:r w:rsidRPr="00A34F8A">
        <w:rPr>
          <w:rFonts w:asciiTheme="minorHAnsi" w:hAnsiTheme="minorHAnsi" w:cstheme="minorHAnsi"/>
          <w:szCs w:val="22"/>
        </w:rPr>
        <w:t xml:space="preserve"> </w:t>
      </w:r>
      <w:sdt>
        <w:sdtPr>
          <w:rPr>
            <w:rFonts w:asciiTheme="minorHAnsi" w:hAnsiTheme="minorHAnsi" w:cstheme="minorHAnsi"/>
            <w:szCs w:val="22"/>
          </w:rPr>
          <w:id w:val="1815299203"/>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Bro22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(Brown,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A roman numeral describing the efficiency level of the device is printed on the power supply. Levels range from mark III (the current Australian and New Zealand minimum standard) upwards. For context, </w:t>
      </w:r>
      <w:r w:rsidRPr="00A34F8A">
        <w:rPr>
          <w:rFonts w:asciiTheme="minorHAnsi" w:hAnsiTheme="minorHAnsi" w:cstheme="minorHAnsi"/>
          <w:szCs w:val="22"/>
          <w:highlight w:val="yellow"/>
        </w:rPr>
        <w:fldChar w:fldCharType="begin" w:fldLock="1"/>
      </w:r>
      <w:r w:rsidRPr="00A34F8A">
        <w:rPr>
          <w:rFonts w:asciiTheme="minorHAnsi" w:hAnsiTheme="minorHAnsi" w:cstheme="minorHAnsi"/>
          <w:szCs w:val="22"/>
        </w:rPr>
        <w:instrText xml:space="preserve"> REF _Ref142058600 \h </w:instrText>
      </w:r>
      <w:r w:rsidR="00A34F8A" w:rsidRPr="00A34F8A">
        <w:rPr>
          <w:rFonts w:asciiTheme="minorHAnsi" w:hAnsiTheme="minorHAnsi" w:cstheme="minorHAnsi"/>
          <w:szCs w:val="22"/>
          <w:highlight w:val="yellow"/>
        </w:rPr>
        <w:instrText xml:space="preserve"> \* MERGEFORMAT </w:instrText>
      </w:r>
      <w:r w:rsidRPr="00A34F8A">
        <w:rPr>
          <w:rFonts w:asciiTheme="minorHAnsi" w:hAnsiTheme="minorHAnsi" w:cstheme="minorHAnsi"/>
          <w:szCs w:val="22"/>
          <w:highlight w:val="yellow"/>
        </w:rPr>
      </w:r>
      <w:r w:rsidRPr="00A34F8A">
        <w:rPr>
          <w:rFonts w:asciiTheme="minorHAnsi" w:hAnsiTheme="minorHAnsi" w:cstheme="minorHAnsi"/>
          <w:szCs w:val="22"/>
          <w:highlight w:val="yellow"/>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1</w:t>
      </w:r>
      <w:r w:rsidRPr="00A34F8A">
        <w:rPr>
          <w:rFonts w:asciiTheme="minorHAnsi" w:hAnsiTheme="minorHAnsi" w:cstheme="minorHAnsi"/>
          <w:szCs w:val="22"/>
          <w:highlight w:val="yellow"/>
        </w:rPr>
        <w:fldChar w:fldCharType="end"/>
      </w:r>
      <w:r w:rsidRPr="00A34F8A">
        <w:rPr>
          <w:rFonts w:asciiTheme="minorHAnsi" w:hAnsiTheme="minorHAnsi" w:cstheme="minorHAnsi"/>
          <w:szCs w:val="22"/>
        </w:rPr>
        <w:t xml:space="preserve"> below shows the increase in average active mode efficiency achieved between mark levels for AC-DC low voltage EPS. In addition, the accepted no-load power output decreases from 0.75W at mark III to 0.1W at mark VI.</w:t>
      </w:r>
    </w:p>
    <w:p w14:paraId="358D8B06" w14:textId="77777777" w:rsidR="00D93F01" w:rsidRPr="00A34F8A" w:rsidRDefault="00D93F01" w:rsidP="00D93F01">
      <w:pPr>
        <w:rPr>
          <w:rFonts w:asciiTheme="minorHAnsi" w:hAnsiTheme="minorHAnsi" w:cstheme="minorHAnsi"/>
          <w:szCs w:val="22"/>
        </w:rPr>
      </w:pPr>
      <w:r w:rsidRPr="00A34F8A">
        <w:rPr>
          <w:rFonts w:asciiTheme="minorHAnsi" w:hAnsiTheme="minorHAnsi" w:cstheme="minorHAnsi"/>
          <w:noProof/>
          <w:szCs w:val="22"/>
        </w:rPr>
        <w:lastRenderedPageBreak/>
        <w:drawing>
          <wp:inline distT="0" distB="0" distL="0" distR="0" wp14:anchorId="2CFD4C8C" wp14:editId="4BD528C1">
            <wp:extent cx="5371465" cy="3084195"/>
            <wp:effectExtent l="0" t="0" r="635" b="1905"/>
            <wp:docPr id="565075403" name="Picture 565075403" descr="A line graph depicting the curves of average active mode efficiency at different efficiency mark levels.  Four efficiency mark levels are depicted from Mark III to Mark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75403" name="Picture 565075403" descr="A line graph depicting the curves of average active mode efficiency at different efficiency mark levels.  Four efficiency mark levels are depicted from Mark III to Mark VI."/>
                    <pic:cNvPicPr/>
                  </pic:nvPicPr>
                  <pic:blipFill>
                    <a:blip r:embed="rId20"/>
                    <a:stretch>
                      <a:fillRect/>
                    </a:stretch>
                  </pic:blipFill>
                  <pic:spPr>
                    <a:xfrm>
                      <a:off x="0" y="0"/>
                      <a:ext cx="5371465" cy="3084195"/>
                    </a:xfrm>
                    <a:prstGeom prst="rect">
                      <a:avLst/>
                    </a:prstGeom>
                  </pic:spPr>
                </pic:pic>
              </a:graphicData>
            </a:graphic>
          </wp:inline>
        </w:drawing>
      </w:r>
    </w:p>
    <w:p w14:paraId="121B2AF1" w14:textId="77777777" w:rsidR="00D93F01" w:rsidRPr="00A34F8A" w:rsidRDefault="00D93F01" w:rsidP="00D93F01">
      <w:pPr>
        <w:rPr>
          <w:rFonts w:asciiTheme="minorHAnsi" w:hAnsiTheme="minorHAnsi" w:cstheme="minorHAnsi"/>
          <w:szCs w:val="22"/>
        </w:rPr>
      </w:pPr>
    </w:p>
    <w:p w14:paraId="374B1726" w14:textId="2A77B8CC" w:rsidR="00D93F01" w:rsidRPr="00A34F8A" w:rsidRDefault="00D93F01" w:rsidP="00D93F01">
      <w:pPr>
        <w:pStyle w:val="Caption"/>
        <w:rPr>
          <w:rFonts w:asciiTheme="minorHAnsi" w:hAnsiTheme="minorHAnsi" w:cstheme="minorHAnsi"/>
          <w:sz w:val="22"/>
          <w:szCs w:val="22"/>
        </w:rPr>
      </w:pPr>
      <w:bookmarkStart w:id="36" w:name="_Ref142058600"/>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Figure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w:t>
      </w:r>
      <w:r w:rsidRPr="00A34F8A">
        <w:rPr>
          <w:rFonts w:asciiTheme="minorHAnsi" w:hAnsiTheme="minorHAnsi" w:cstheme="minorHAnsi"/>
          <w:sz w:val="22"/>
          <w:szCs w:val="22"/>
        </w:rPr>
        <w:fldChar w:fldCharType="end"/>
      </w:r>
      <w:bookmarkEnd w:id="36"/>
      <w:r w:rsidRPr="00A34F8A">
        <w:rPr>
          <w:rFonts w:asciiTheme="minorHAnsi" w:hAnsiTheme="minorHAnsi" w:cstheme="minorHAnsi"/>
          <w:sz w:val="22"/>
          <w:szCs w:val="22"/>
        </w:rPr>
        <w:t>: Average active mode efficiency at different mark levels for AC-DC Low Voltage EPS</w:t>
      </w:r>
    </w:p>
    <w:p w14:paraId="56C3DE1A" w14:textId="77777777" w:rsidR="00D93F01" w:rsidRPr="00A34F8A" w:rsidRDefault="00D93F01" w:rsidP="00D93F01">
      <w:pPr>
        <w:rPr>
          <w:rFonts w:asciiTheme="minorHAnsi" w:hAnsiTheme="minorHAnsi" w:cstheme="minorHAnsi"/>
          <w:szCs w:val="22"/>
        </w:rPr>
      </w:pPr>
    </w:p>
    <w:p w14:paraId="332C685C" w14:textId="20631989" w:rsidR="00D93F01" w:rsidRPr="006B1BED" w:rsidRDefault="00D93F01" w:rsidP="00D93F01">
      <w:pPr>
        <w:rPr>
          <w:rFonts w:asciiTheme="minorHAnsi" w:hAnsiTheme="minorHAnsi" w:cstheme="minorHAnsi"/>
          <w:szCs w:val="22"/>
        </w:rPr>
      </w:pPr>
      <w:r w:rsidRPr="006B1BED">
        <w:rPr>
          <w:rFonts w:asciiTheme="minorHAnsi" w:hAnsiTheme="minorHAnsi" w:cstheme="minorHAnsi"/>
          <w:szCs w:val="22"/>
        </w:rPr>
        <w:t xml:space="preserve">In 2014, the US announced plans to increase the minimum energy performance standard from mark IV to mark VI. This came into effect in 2016, after a two-year notice and transition period. In 2014, the European Union (EU), which was aligned with the mark V level, introduced </w:t>
      </w:r>
      <w:r w:rsidRPr="006B1BED">
        <w:rPr>
          <w:rFonts w:asciiTheme="minorHAnsi" w:hAnsiTheme="minorHAnsi" w:cstheme="minorHAnsi"/>
          <w:szCs w:val="22"/>
          <w:lang w:val="en-US"/>
        </w:rPr>
        <w:t>a voluntary Code of Conduct Tier-1 to harmonize with the US mark VI</w:t>
      </w:r>
      <w:r w:rsidRPr="006B1BED">
        <w:rPr>
          <w:rFonts w:asciiTheme="minorHAnsi" w:hAnsiTheme="minorHAnsi" w:cstheme="minorHAnsi"/>
          <w:szCs w:val="22"/>
        </w:rPr>
        <w:t xml:space="preserve"> </w:t>
      </w:r>
      <w:sdt>
        <w:sdtPr>
          <w:rPr>
            <w:rFonts w:asciiTheme="minorHAnsi" w:hAnsiTheme="minorHAnsi" w:cstheme="minorHAnsi"/>
            <w:szCs w:val="22"/>
          </w:rPr>
          <w:id w:val="1228040852"/>
          <w:citation/>
        </w:sdtPr>
        <w:sdtContent>
          <w:r w:rsidRPr="006B1BED">
            <w:rPr>
              <w:rFonts w:asciiTheme="minorHAnsi" w:hAnsiTheme="minorHAnsi" w:cstheme="minorHAnsi"/>
              <w:szCs w:val="22"/>
            </w:rPr>
            <w:fldChar w:fldCharType="begin"/>
          </w:r>
          <w:r w:rsidR="00A6406E" w:rsidRPr="006B1BED">
            <w:rPr>
              <w:rFonts w:asciiTheme="minorHAnsi" w:hAnsiTheme="minorHAnsi" w:cstheme="minorHAnsi"/>
              <w:szCs w:val="22"/>
            </w:rPr>
            <w:instrText xml:space="preserve">CITATION CCE22 \l 3081 </w:instrText>
          </w:r>
          <w:r w:rsidRPr="006B1BED">
            <w:rPr>
              <w:rFonts w:asciiTheme="minorHAnsi" w:hAnsiTheme="minorHAnsi" w:cstheme="minorHAnsi"/>
              <w:szCs w:val="22"/>
            </w:rPr>
            <w:fldChar w:fldCharType="separate"/>
          </w:r>
          <w:r w:rsidR="002E2541" w:rsidRPr="002E2541">
            <w:rPr>
              <w:rFonts w:asciiTheme="minorHAnsi" w:hAnsiTheme="minorHAnsi" w:cstheme="minorHAnsi"/>
              <w:noProof/>
              <w:szCs w:val="22"/>
            </w:rPr>
            <w:t>(DCCEEW, 2022)</w:t>
          </w:r>
          <w:r w:rsidRPr="006B1BED">
            <w:rPr>
              <w:rFonts w:asciiTheme="minorHAnsi" w:hAnsiTheme="minorHAnsi" w:cstheme="minorHAnsi"/>
              <w:szCs w:val="22"/>
            </w:rPr>
            <w:fldChar w:fldCharType="end"/>
          </w:r>
        </w:sdtContent>
      </w:sdt>
      <w:r w:rsidRPr="006B1BED">
        <w:rPr>
          <w:rFonts w:asciiTheme="minorHAnsi" w:hAnsiTheme="minorHAnsi" w:cstheme="minorHAnsi"/>
          <w:szCs w:val="22"/>
        </w:rPr>
        <w:t xml:space="preserve">. Then, in 2019, the EU Ecodesign Directive (Ecodesign) introduced the Commission Regulation (EU) 2019/1782 which enforces the mark VI level. Mark VI, the current and most stringent overseas standard, demands a significantly higher level of energy efficiency than that of the AU/NZ MEPS which remains at the mark III level </w:t>
      </w:r>
      <w:sdt>
        <w:sdtPr>
          <w:rPr>
            <w:rFonts w:asciiTheme="minorHAnsi" w:hAnsiTheme="minorHAnsi" w:cstheme="minorHAnsi"/>
            <w:szCs w:val="22"/>
          </w:rPr>
          <w:id w:val="1575776189"/>
          <w:citation/>
        </w:sdtPr>
        <w:sdtContent>
          <w:r w:rsidRPr="006B1BED">
            <w:rPr>
              <w:rFonts w:asciiTheme="minorHAnsi" w:hAnsiTheme="minorHAnsi" w:cstheme="minorHAnsi"/>
              <w:szCs w:val="22"/>
            </w:rPr>
            <w:fldChar w:fldCharType="begin"/>
          </w:r>
          <w:r w:rsidR="00A6406E" w:rsidRPr="006B1BED">
            <w:rPr>
              <w:rFonts w:asciiTheme="minorHAnsi" w:hAnsiTheme="minorHAnsi" w:cstheme="minorHAnsi"/>
              <w:szCs w:val="22"/>
            </w:rPr>
            <w:instrText xml:space="preserve">CITATION CCE22 \l 3081 </w:instrText>
          </w:r>
          <w:r w:rsidRPr="006B1BED">
            <w:rPr>
              <w:rFonts w:asciiTheme="minorHAnsi" w:hAnsiTheme="minorHAnsi" w:cstheme="minorHAnsi"/>
              <w:szCs w:val="22"/>
            </w:rPr>
            <w:fldChar w:fldCharType="separate"/>
          </w:r>
          <w:r w:rsidR="002E2541" w:rsidRPr="002E2541">
            <w:rPr>
              <w:rFonts w:asciiTheme="minorHAnsi" w:hAnsiTheme="minorHAnsi" w:cstheme="minorHAnsi"/>
              <w:noProof/>
              <w:szCs w:val="22"/>
            </w:rPr>
            <w:t>(DCCEEW, 2022)</w:t>
          </w:r>
          <w:r w:rsidRPr="006B1BED">
            <w:rPr>
              <w:rFonts w:asciiTheme="minorHAnsi" w:hAnsiTheme="minorHAnsi" w:cstheme="minorHAnsi"/>
              <w:szCs w:val="22"/>
            </w:rPr>
            <w:fldChar w:fldCharType="end"/>
          </w:r>
        </w:sdtContent>
      </w:sdt>
      <w:r w:rsidRPr="006B1BED">
        <w:rPr>
          <w:rFonts w:asciiTheme="minorHAnsi" w:hAnsiTheme="minorHAnsi" w:cstheme="minorHAnsi"/>
          <w:szCs w:val="22"/>
        </w:rPr>
        <w:t>.</w:t>
      </w:r>
    </w:p>
    <w:p w14:paraId="49AC4DE4" w14:textId="4B324F04" w:rsidR="00D93F01" w:rsidRPr="006B1BED" w:rsidRDefault="00D93F01" w:rsidP="00D93F01">
      <w:pPr>
        <w:rPr>
          <w:rFonts w:asciiTheme="minorHAnsi" w:hAnsiTheme="minorHAnsi" w:cstheme="minorHAnsi"/>
          <w:szCs w:val="22"/>
        </w:rPr>
      </w:pPr>
      <w:r w:rsidRPr="006B1BED">
        <w:rPr>
          <w:rFonts w:asciiTheme="minorHAnsi" w:hAnsiTheme="minorHAnsi" w:cstheme="minorHAnsi"/>
          <w:szCs w:val="22"/>
        </w:rPr>
        <w:t xml:space="preserve">The US and EU are currently reviewing their EPS regulations and both regulators were interviewed as part of the development of this document. The US is consulting on the results of their recent impact assessment, regarding increasing the efficiency standard beyond mark VI. The results show that an increase to a proposed mark VII level would be beneficial in the US </w:t>
      </w:r>
      <w:sdt>
        <w:sdtPr>
          <w:rPr>
            <w:rFonts w:asciiTheme="minorHAnsi" w:hAnsiTheme="minorHAnsi" w:cstheme="minorHAnsi"/>
            <w:szCs w:val="22"/>
          </w:rPr>
          <w:id w:val="478281998"/>
          <w:citation/>
        </w:sdtPr>
        <w:sdtContent>
          <w:r w:rsidRPr="006B1BED">
            <w:rPr>
              <w:rFonts w:asciiTheme="minorHAnsi" w:hAnsiTheme="minorHAnsi" w:cstheme="minorHAnsi"/>
              <w:szCs w:val="22"/>
            </w:rPr>
            <w:fldChar w:fldCharType="begin"/>
          </w:r>
          <w:r w:rsidRPr="006B1BED">
            <w:rPr>
              <w:rFonts w:asciiTheme="minorHAnsi" w:hAnsiTheme="minorHAnsi" w:cstheme="minorHAnsi"/>
              <w:szCs w:val="22"/>
            </w:rPr>
            <w:instrText xml:space="preserve"> CITATION USD22 \l 3081 </w:instrText>
          </w:r>
          <w:r w:rsidRPr="006B1BED">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6B1BED">
            <w:rPr>
              <w:rFonts w:asciiTheme="minorHAnsi" w:hAnsiTheme="minorHAnsi" w:cstheme="minorHAnsi"/>
              <w:szCs w:val="22"/>
            </w:rPr>
            <w:fldChar w:fldCharType="end"/>
          </w:r>
        </w:sdtContent>
      </w:sdt>
      <w:r w:rsidRPr="006B1BED">
        <w:rPr>
          <w:rFonts w:asciiTheme="minorHAnsi" w:hAnsiTheme="minorHAnsi" w:cstheme="minorHAnsi"/>
          <w:szCs w:val="22"/>
        </w:rPr>
        <w:t>. If this increase is eventually approved, it would likely come into effect around 2027. The EU Commission has suggested that they will likely harmonise with the US should they decide to adopt mark VII.</w:t>
      </w:r>
    </w:p>
    <w:p w14:paraId="7234EDB4" w14:textId="27AA0E3D" w:rsidR="00D93F01" w:rsidRPr="00A34F8A" w:rsidRDefault="00D93F01" w:rsidP="00D93F01">
      <w:pPr>
        <w:rPr>
          <w:rFonts w:asciiTheme="minorHAnsi" w:hAnsiTheme="minorHAnsi" w:cstheme="minorHAnsi"/>
          <w:szCs w:val="22"/>
        </w:rPr>
      </w:pPr>
      <w:r w:rsidRPr="006B1BED">
        <w:rPr>
          <w:rFonts w:asciiTheme="minorHAnsi" w:hAnsiTheme="minorHAnsi" w:cstheme="minorHAnsi"/>
          <w:szCs w:val="22"/>
        </w:rPr>
        <w:t>In addition to the minimum energy efficiency standard, in 2019 the EU implemented waste minimisation regulations for EPS. A ‘common charging’ initiative</w:t>
      </w:r>
      <w:r w:rsidRPr="00A34F8A">
        <w:rPr>
          <w:rFonts w:asciiTheme="minorHAnsi" w:hAnsiTheme="minorHAnsi" w:cstheme="minorHAnsi"/>
          <w:szCs w:val="22"/>
        </w:rPr>
        <w:t xml:space="preserve"> has been introduced to promote a clean, circular economy by increasing the interoperability of radio equipment and accessories (e.g., chargers) </w:t>
      </w:r>
      <w:sdt>
        <w:sdtPr>
          <w:rPr>
            <w:rFonts w:asciiTheme="minorHAnsi" w:hAnsiTheme="minorHAnsi" w:cstheme="minorHAnsi"/>
            <w:szCs w:val="22"/>
          </w:rPr>
          <w:id w:val="1226340409"/>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CITATION The22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(European Commission,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By harmonising charging ports around the USB-C standard the EU hopes to reduce 980 tonnes of electronic waste per year </w:t>
      </w:r>
      <w:sdt>
        <w:sdtPr>
          <w:rPr>
            <w:rFonts w:asciiTheme="minorHAnsi" w:hAnsiTheme="minorHAnsi" w:cstheme="minorHAnsi"/>
            <w:szCs w:val="22"/>
          </w:rPr>
          <w:id w:val="654880720"/>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CITATION Eur23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(European Commission, n.d.)</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In addition to this, further regulations have been introduced to ensure that manufacturers, importers or other authorised representatives must make EPS available to all professional repairers, as spare parts for a respective end-use product for 7 years after placing the last unit of the model on the market </w:t>
      </w:r>
      <w:sdt>
        <w:sdtPr>
          <w:rPr>
            <w:rFonts w:asciiTheme="minorHAnsi" w:hAnsiTheme="minorHAnsi" w:cstheme="minorHAnsi"/>
            <w:szCs w:val="22"/>
          </w:rPr>
          <w:id w:val="1187102741"/>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CITATION The19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(European Commission,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p>
    <w:p w14:paraId="73901656" w14:textId="28AA3F9F" w:rsidR="00D93F01" w:rsidRPr="008431AA" w:rsidRDefault="00D93F01" w:rsidP="00D93F01">
      <w:pPr>
        <w:rPr>
          <w:rFonts w:asciiTheme="minorHAnsi" w:hAnsiTheme="minorHAnsi" w:cstheme="minorHAnsi"/>
          <w:szCs w:val="22"/>
        </w:rPr>
      </w:pPr>
      <w:r w:rsidRPr="00A34F8A">
        <w:rPr>
          <w:rFonts w:asciiTheme="minorHAnsi" w:hAnsiTheme="minorHAnsi" w:cstheme="minorHAnsi"/>
          <w:szCs w:val="22"/>
        </w:rPr>
        <w:lastRenderedPageBreak/>
        <w:t xml:space="preserve">Regulations for EPS also exist in China, albeit with a narrower scope. In 2014, the ‘Energy Saving </w:t>
      </w:r>
      <w:r w:rsidRPr="008431AA">
        <w:rPr>
          <w:rFonts w:asciiTheme="minorHAnsi" w:hAnsiTheme="minorHAnsi" w:cstheme="minorHAnsi"/>
          <w:szCs w:val="22"/>
        </w:rPr>
        <w:t>Certification Rules’ were released. These rules cover single output AC-DC and AC-AC EPS</w:t>
      </w:r>
      <w:sdt>
        <w:sdtPr>
          <w:rPr>
            <w:rFonts w:asciiTheme="minorHAnsi" w:hAnsiTheme="minorHAnsi" w:cstheme="minorHAnsi"/>
            <w:szCs w:val="22"/>
          </w:rPr>
          <w:id w:val="-2141171880"/>
          <w:citation/>
        </w:sdtPr>
        <w:sdtContent>
          <w:r w:rsidRPr="008431AA">
            <w:rPr>
              <w:rFonts w:asciiTheme="minorHAnsi" w:hAnsiTheme="minorHAnsi" w:cstheme="minorHAnsi"/>
              <w:szCs w:val="22"/>
            </w:rPr>
            <w:fldChar w:fldCharType="begin"/>
          </w:r>
          <w:r w:rsidRPr="008431AA">
            <w:rPr>
              <w:rFonts w:asciiTheme="minorHAnsi" w:hAnsiTheme="minorHAnsi" w:cstheme="minorHAnsi"/>
              <w:szCs w:val="22"/>
            </w:rPr>
            <w:instrText xml:space="preserve">CITATION Chi \l 3081 </w:instrText>
          </w:r>
          <w:r w:rsidRPr="008431A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(China Quality Certification Centre)</w:t>
          </w:r>
          <w:r w:rsidRPr="008431AA">
            <w:rPr>
              <w:rFonts w:asciiTheme="minorHAnsi" w:hAnsiTheme="minorHAnsi" w:cstheme="minorHAnsi"/>
              <w:szCs w:val="22"/>
            </w:rPr>
            <w:fldChar w:fldCharType="end"/>
          </w:r>
        </w:sdtContent>
      </w:sdt>
      <w:r w:rsidRPr="008431AA">
        <w:rPr>
          <w:rFonts w:asciiTheme="minorHAnsi" w:hAnsiTheme="minorHAnsi" w:cstheme="minorHAnsi"/>
          <w:szCs w:val="22"/>
        </w:rPr>
        <w:t>. The regulation in China is only applicable to EPS with an output power less than or equal to 250W that convert AC voltage to a fixed, single-channel low-voltage DC (not greater than 36V) or low-voltage AC (not greater than 36V) output voltage. There is a discrepancy in the testing conditions specified by the regulations. One source mentions a 220V/ 50Hz power supply</w:t>
      </w:r>
      <w:sdt>
        <w:sdtPr>
          <w:rPr>
            <w:rFonts w:asciiTheme="minorHAnsi" w:hAnsiTheme="minorHAnsi" w:cstheme="minorHAnsi"/>
            <w:szCs w:val="22"/>
          </w:rPr>
          <w:id w:val="-240103900"/>
          <w:citation/>
        </w:sdtPr>
        <w:sdtContent>
          <w:r w:rsidRPr="008431AA">
            <w:rPr>
              <w:rFonts w:asciiTheme="minorHAnsi" w:hAnsiTheme="minorHAnsi" w:cstheme="minorHAnsi"/>
              <w:szCs w:val="22"/>
            </w:rPr>
            <w:fldChar w:fldCharType="begin"/>
          </w:r>
          <w:r w:rsidRPr="008431AA">
            <w:rPr>
              <w:rFonts w:asciiTheme="minorHAnsi" w:hAnsiTheme="minorHAnsi" w:cstheme="minorHAnsi"/>
              <w:szCs w:val="22"/>
            </w:rPr>
            <w:instrText xml:space="preserve">CITATION Chi \l 3081 </w:instrText>
          </w:r>
          <w:r w:rsidRPr="008431A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(China Quality Certification Centre)</w:t>
          </w:r>
          <w:r w:rsidRPr="008431AA">
            <w:rPr>
              <w:rFonts w:asciiTheme="minorHAnsi" w:hAnsiTheme="minorHAnsi" w:cstheme="minorHAnsi"/>
              <w:szCs w:val="22"/>
            </w:rPr>
            <w:fldChar w:fldCharType="end"/>
          </w:r>
        </w:sdtContent>
      </w:sdt>
      <w:r w:rsidRPr="008431AA">
        <w:rPr>
          <w:rFonts w:asciiTheme="minorHAnsi" w:hAnsiTheme="minorHAnsi" w:cstheme="minorHAnsi"/>
          <w:szCs w:val="22"/>
        </w:rPr>
        <w:t xml:space="preserve"> while another indicates 115v/ 60Hz, 230V/ 50Hz or 220V/ 50Hz if single-rated </w:t>
      </w:r>
      <w:sdt>
        <w:sdtPr>
          <w:rPr>
            <w:rFonts w:asciiTheme="minorHAnsi" w:hAnsiTheme="minorHAnsi" w:cstheme="minorHAnsi"/>
            <w:szCs w:val="22"/>
          </w:rPr>
          <w:id w:val="-1235235655"/>
          <w:citation/>
        </w:sdtPr>
        <w:sdtContent>
          <w:r w:rsidRPr="008431AA">
            <w:rPr>
              <w:rFonts w:asciiTheme="minorHAnsi" w:hAnsiTheme="minorHAnsi" w:cstheme="minorHAnsi"/>
              <w:szCs w:val="22"/>
            </w:rPr>
            <w:fldChar w:fldCharType="begin"/>
          </w:r>
          <w:r w:rsidRPr="008431AA">
            <w:rPr>
              <w:rFonts w:asciiTheme="minorHAnsi" w:hAnsiTheme="minorHAnsi" w:cstheme="minorHAnsi"/>
              <w:szCs w:val="22"/>
            </w:rPr>
            <w:instrText xml:space="preserve"> CITATION Tek16 \l 3081 </w:instrText>
          </w:r>
          <w:r w:rsidRPr="008431AA">
            <w:rPr>
              <w:rFonts w:asciiTheme="minorHAnsi" w:hAnsiTheme="minorHAnsi" w:cstheme="minorHAnsi"/>
              <w:szCs w:val="22"/>
            </w:rPr>
            <w:fldChar w:fldCharType="separate"/>
          </w:r>
          <w:r w:rsidR="002E2541" w:rsidRPr="002E2541">
            <w:rPr>
              <w:rFonts w:asciiTheme="minorHAnsi" w:hAnsiTheme="minorHAnsi" w:cstheme="minorHAnsi"/>
              <w:noProof/>
              <w:szCs w:val="22"/>
            </w:rPr>
            <w:t>(Tektronix, 2016)</w:t>
          </w:r>
          <w:r w:rsidRPr="008431AA">
            <w:rPr>
              <w:rFonts w:asciiTheme="minorHAnsi" w:hAnsiTheme="minorHAnsi" w:cstheme="minorHAnsi"/>
              <w:szCs w:val="22"/>
            </w:rPr>
            <w:fldChar w:fldCharType="end"/>
          </w:r>
        </w:sdtContent>
      </w:sdt>
      <w:r w:rsidRPr="008431AA">
        <w:rPr>
          <w:rFonts w:asciiTheme="minorHAnsi" w:hAnsiTheme="minorHAnsi" w:cstheme="minorHAnsi"/>
          <w:szCs w:val="22"/>
        </w:rPr>
        <w:t xml:space="preserve">. The regulation excludes DC-DC power supplies and other EPS used in industrial equipment and medical devices </w:t>
      </w:r>
      <w:sdt>
        <w:sdtPr>
          <w:rPr>
            <w:rFonts w:asciiTheme="minorHAnsi" w:hAnsiTheme="minorHAnsi" w:cstheme="minorHAnsi"/>
            <w:szCs w:val="22"/>
          </w:rPr>
          <w:id w:val="-1834444835"/>
          <w:citation/>
        </w:sdtPr>
        <w:sdtContent>
          <w:r w:rsidRPr="008431AA">
            <w:rPr>
              <w:rFonts w:asciiTheme="minorHAnsi" w:hAnsiTheme="minorHAnsi" w:cstheme="minorHAnsi"/>
              <w:szCs w:val="22"/>
            </w:rPr>
            <w:fldChar w:fldCharType="begin"/>
          </w:r>
          <w:r w:rsidRPr="008431AA">
            <w:rPr>
              <w:rFonts w:asciiTheme="minorHAnsi" w:hAnsiTheme="minorHAnsi" w:cstheme="minorHAnsi"/>
              <w:szCs w:val="22"/>
            </w:rPr>
            <w:instrText xml:space="preserve">CITATION Chi \l 3081 </w:instrText>
          </w:r>
          <w:r w:rsidRPr="008431AA">
            <w:rPr>
              <w:rFonts w:asciiTheme="minorHAnsi" w:hAnsiTheme="minorHAnsi" w:cstheme="minorHAnsi"/>
              <w:szCs w:val="22"/>
            </w:rPr>
            <w:fldChar w:fldCharType="separate"/>
          </w:r>
          <w:r w:rsidR="002E2541" w:rsidRPr="002E2541">
            <w:rPr>
              <w:rFonts w:asciiTheme="minorHAnsi" w:hAnsiTheme="minorHAnsi" w:cstheme="minorHAnsi"/>
              <w:noProof/>
              <w:szCs w:val="22"/>
            </w:rPr>
            <w:t>(China Quality Certification Centre)</w:t>
          </w:r>
          <w:r w:rsidRPr="008431AA">
            <w:rPr>
              <w:rFonts w:asciiTheme="minorHAnsi" w:hAnsiTheme="minorHAnsi" w:cstheme="minorHAnsi"/>
              <w:szCs w:val="22"/>
            </w:rPr>
            <w:fldChar w:fldCharType="end"/>
          </w:r>
        </w:sdtContent>
      </w:sdt>
      <w:r w:rsidRPr="008431AA">
        <w:rPr>
          <w:rFonts w:asciiTheme="minorHAnsi" w:hAnsiTheme="minorHAnsi" w:cstheme="minorHAnsi"/>
          <w:szCs w:val="22"/>
        </w:rPr>
        <w:t>.</w:t>
      </w:r>
    </w:p>
    <w:p w14:paraId="79B5DC7F" w14:textId="1A94B561" w:rsidR="00D93F01" w:rsidRPr="008431AA" w:rsidRDefault="00D93F01" w:rsidP="00D93F01">
      <w:pPr>
        <w:rPr>
          <w:rFonts w:asciiTheme="minorHAnsi" w:hAnsiTheme="minorHAnsi" w:cstheme="minorHAnsi"/>
          <w:szCs w:val="22"/>
        </w:rPr>
      </w:pPr>
      <w:r w:rsidRPr="008431AA">
        <w:rPr>
          <w:rFonts w:asciiTheme="minorHAnsi" w:hAnsiTheme="minorHAnsi" w:cstheme="minorHAnsi"/>
          <w:szCs w:val="22"/>
        </w:rPr>
        <w:t xml:space="preserve">While the regulations in China do not line up perfectly to other international regulations, the minimum energy efficiency of the products that are covered are very similar to the mark IV level </w:t>
      </w:r>
      <w:sdt>
        <w:sdtPr>
          <w:rPr>
            <w:rFonts w:asciiTheme="minorHAnsi" w:hAnsiTheme="minorHAnsi" w:cstheme="minorHAnsi"/>
            <w:szCs w:val="22"/>
          </w:rPr>
          <w:id w:val="1983888354"/>
          <w:citation/>
        </w:sdtPr>
        <w:sdtContent>
          <w:r w:rsidRPr="008431AA">
            <w:rPr>
              <w:rFonts w:asciiTheme="minorHAnsi" w:hAnsiTheme="minorHAnsi" w:cstheme="minorHAnsi"/>
              <w:szCs w:val="22"/>
            </w:rPr>
            <w:fldChar w:fldCharType="begin"/>
          </w:r>
          <w:r w:rsidRPr="008431AA">
            <w:rPr>
              <w:rFonts w:asciiTheme="minorHAnsi" w:hAnsiTheme="minorHAnsi" w:cstheme="minorHAnsi"/>
              <w:szCs w:val="22"/>
            </w:rPr>
            <w:instrText xml:space="preserve"> CITATION Tek16 \l 3081 </w:instrText>
          </w:r>
          <w:r w:rsidRPr="008431AA">
            <w:rPr>
              <w:rFonts w:asciiTheme="minorHAnsi" w:hAnsiTheme="minorHAnsi" w:cstheme="minorHAnsi"/>
              <w:szCs w:val="22"/>
            </w:rPr>
            <w:fldChar w:fldCharType="separate"/>
          </w:r>
          <w:r w:rsidR="002E2541" w:rsidRPr="002E2541">
            <w:rPr>
              <w:rFonts w:asciiTheme="minorHAnsi" w:hAnsiTheme="minorHAnsi" w:cstheme="minorHAnsi"/>
              <w:noProof/>
              <w:szCs w:val="22"/>
            </w:rPr>
            <w:t>(Tektronix, 2016)</w:t>
          </w:r>
          <w:r w:rsidRPr="008431AA">
            <w:rPr>
              <w:rFonts w:asciiTheme="minorHAnsi" w:hAnsiTheme="minorHAnsi" w:cstheme="minorHAnsi"/>
              <w:szCs w:val="22"/>
            </w:rPr>
            <w:fldChar w:fldCharType="end"/>
          </w:r>
        </w:sdtContent>
      </w:sdt>
      <w:r w:rsidRPr="008431AA">
        <w:rPr>
          <w:rFonts w:asciiTheme="minorHAnsi" w:hAnsiTheme="minorHAnsi" w:cstheme="minorHAnsi"/>
          <w:szCs w:val="22"/>
        </w:rPr>
        <w:t>.</w:t>
      </w:r>
    </w:p>
    <w:p w14:paraId="50D8ECB2" w14:textId="266A6502" w:rsidR="00D93F01" w:rsidRPr="00A34F8A" w:rsidRDefault="00D93F01" w:rsidP="00D93F01">
      <w:pPr>
        <w:rPr>
          <w:rFonts w:asciiTheme="minorHAnsi" w:hAnsiTheme="minorHAnsi" w:cstheme="minorHAnsi"/>
          <w:szCs w:val="22"/>
        </w:rPr>
      </w:pPr>
      <w:r w:rsidRPr="008431AA">
        <w:rPr>
          <w:rFonts w:asciiTheme="minorHAnsi" w:hAnsiTheme="minorHAnsi" w:cstheme="minorHAnsi"/>
          <w:szCs w:val="22"/>
        </w:rPr>
        <w:fldChar w:fldCharType="begin" w:fldLock="1"/>
      </w:r>
      <w:r w:rsidRPr="008431AA">
        <w:rPr>
          <w:rFonts w:asciiTheme="minorHAnsi" w:hAnsiTheme="minorHAnsi" w:cstheme="minorHAnsi"/>
          <w:szCs w:val="22"/>
        </w:rPr>
        <w:instrText xml:space="preserve"> REF _Ref132196314 \h </w:instrText>
      </w:r>
      <w:r w:rsidR="00A34F8A" w:rsidRPr="008431AA">
        <w:rPr>
          <w:rFonts w:asciiTheme="minorHAnsi" w:hAnsiTheme="minorHAnsi" w:cstheme="minorHAnsi"/>
          <w:szCs w:val="22"/>
        </w:rPr>
        <w:instrText xml:space="preserve"> \* MERGEFORMAT </w:instrText>
      </w:r>
      <w:r w:rsidRPr="008431AA">
        <w:rPr>
          <w:rFonts w:asciiTheme="minorHAnsi" w:hAnsiTheme="minorHAnsi" w:cstheme="minorHAnsi"/>
          <w:szCs w:val="22"/>
        </w:rPr>
      </w:r>
      <w:r w:rsidRPr="008431AA">
        <w:rPr>
          <w:rFonts w:asciiTheme="minorHAnsi" w:hAnsiTheme="minorHAnsi" w:cstheme="minorHAnsi"/>
          <w:szCs w:val="22"/>
        </w:rPr>
        <w:fldChar w:fldCharType="separate"/>
      </w:r>
      <w:r w:rsidRPr="008431AA">
        <w:rPr>
          <w:rFonts w:asciiTheme="minorHAnsi" w:hAnsiTheme="minorHAnsi" w:cstheme="minorHAnsi"/>
          <w:szCs w:val="22"/>
        </w:rPr>
        <w:t xml:space="preserve">Table </w:t>
      </w:r>
      <w:r w:rsidRPr="008431AA">
        <w:rPr>
          <w:rFonts w:asciiTheme="minorHAnsi" w:hAnsiTheme="minorHAnsi" w:cstheme="minorHAnsi"/>
          <w:noProof/>
          <w:szCs w:val="22"/>
        </w:rPr>
        <w:t>25</w:t>
      </w:r>
      <w:r w:rsidRPr="008431AA">
        <w:rPr>
          <w:rFonts w:asciiTheme="minorHAnsi" w:hAnsiTheme="minorHAnsi" w:cstheme="minorHAnsi"/>
          <w:szCs w:val="22"/>
        </w:rPr>
        <w:fldChar w:fldCharType="end"/>
      </w:r>
      <w:r w:rsidRPr="008431AA">
        <w:rPr>
          <w:rFonts w:asciiTheme="minorHAnsi" w:hAnsiTheme="minorHAnsi" w:cstheme="minorHAnsi"/>
          <w:szCs w:val="22"/>
        </w:rPr>
        <w:t xml:space="preserve"> in Appendix </w:t>
      </w:r>
      <w:r w:rsidR="00470DE3">
        <w:rPr>
          <w:rFonts w:asciiTheme="minorHAnsi" w:hAnsiTheme="minorHAnsi" w:cstheme="minorHAnsi"/>
          <w:szCs w:val="22"/>
        </w:rPr>
        <w:t>O</w:t>
      </w:r>
      <w:r w:rsidRPr="008431AA">
        <w:rPr>
          <w:rFonts w:asciiTheme="minorHAnsi" w:hAnsiTheme="minorHAnsi" w:cstheme="minorHAnsi"/>
          <w:szCs w:val="22"/>
        </w:rPr>
        <w:t>ne provides</w:t>
      </w:r>
      <w:r w:rsidRPr="00A34F8A">
        <w:rPr>
          <w:rFonts w:asciiTheme="minorHAnsi" w:hAnsiTheme="minorHAnsi" w:cstheme="minorHAnsi"/>
          <w:szCs w:val="22"/>
        </w:rPr>
        <w:t xml:space="preserve"> a summary of the average active efficiency and no-load condition at each of the international mark levels.</w:t>
      </w:r>
    </w:p>
    <w:p w14:paraId="758CC475" w14:textId="06D474C9" w:rsidR="00A647E1" w:rsidRPr="00A34F8A" w:rsidRDefault="00A647E1" w:rsidP="00A647E1">
      <w:pPr>
        <w:pStyle w:val="Heading3"/>
        <w:rPr>
          <w:rFonts w:asciiTheme="minorHAnsi" w:hAnsiTheme="minorHAnsi" w:cstheme="minorHAnsi"/>
          <w:sz w:val="22"/>
          <w:szCs w:val="22"/>
        </w:rPr>
      </w:pPr>
      <w:bookmarkStart w:id="37" w:name="_Toc183163231"/>
      <w:r w:rsidRPr="00A34F8A">
        <w:rPr>
          <w:rFonts w:asciiTheme="minorHAnsi" w:hAnsiTheme="minorHAnsi" w:cstheme="minorHAnsi"/>
          <w:sz w:val="22"/>
          <w:szCs w:val="22"/>
        </w:rPr>
        <w:t>The efficiency of the market is now well above the MEPS</w:t>
      </w:r>
      <w:bookmarkEnd w:id="37"/>
    </w:p>
    <w:p w14:paraId="68A75CDE" w14:textId="20662031" w:rsidR="00734990" w:rsidRPr="00A34F8A" w:rsidRDefault="00734990" w:rsidP="00734990">
      <w:pPr>
        <w:rPr>
          <w:rFonts w:asciiTheme="minorHAnsi" w:hAnsiTheme="minorHAnsi" w:cstheme="minorHAnsi"/>
          <w:szCs w:val="22"/>
        </w:rPr>
      </w:pPr>
      <w:r w:rsidRPr="00A34F8A">
        <w:rPr>
          <w:rFonts w:asciiTheme="minorHAnsi" w:hAnsiTheme="minorHAnsi" w:cstheme="minorHAnsi"/>
          <w:szCs w:val="22"/>
        </w:rPr>
        <w:t xml:space="preserve">As discussed, because the market for EPS is global and international regulations have increased well beyond those of Australia and New Zealand, the efficiency of </w:t>
      </w:r>
      <w:r w:rsidR="00792766" w:rsidRPr="00A34F8A">
        <w:rPr>
          <w:rFonts w:asciiTheme="minorHAnsi" w:hAnsiTheme="minorHAnsi" w:cstheme="minorHAnsi"/>
          <w:szCs w:val="22"/>
        </w:rPr>
        <w:t>most</w:t>
      </w:r>
      <w:r w:rsidRPr="00A34F8A">
        <w:rPr>
          <w:rFonts w:asciiTheme="minorHAnsi" w:hAnsiTheme="minorHAnsi" w:cstheme="minorHAnsi"/>
          <w:szCs w:val="22"/>
        </w:rPr>
        <w:t xml:space="preserve"> EPS sold in Australia and New Zealand far exceeds the MEPS</w:t>
      </w:r>
      <w:r w:rsidR="00D86BBA">
        <w:rPr>
          <w:rFonts w:asciiTheme="minorHAnsi" w:hAnsiTheme="minorHAnsi" w:cstheme="minorHAnsi"/>
          <w:szCs w:val="22"/>
        </w:rPr>
        <w:t xml:space="preserve"> (but with a time lag behind the international markets)</w:t>
      </w:r>
      <w:r w:rsidRPr="00A34F8A">
        <w:rPr>
          <w:rFonts w:asciiTheme="minorHAnsi" w:hAnsiTheme="minorHAnsi" w:cstheme="minorHAnsi"/>
          <w:szCs w:val="22"/>
        </w:rPr>
        <w:t xml:space="preserve">. This is evident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_Ref141789429 \h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2</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and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_Ref141789431 \h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3</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where the number of EPS sales represented in the New Zealand database remains relatively stable each year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_Ref141789429 \h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2</w:t>
      </w:r>
      <w:r w:rsidRPr="00A34F8A">
        <w:rPr>
          <w:rFonts w:asciiTheme="minorHAnsi" w:hAnsiTheme="minorHAnsi" w:cstheme="minorHAnsi"/>
          <w:szCs w:val="22"/>
        </w:rPr>
        <w:fldChar w:fldCharType="end"/>
      </w:r>
      <w:r w:rsidRPr="00A34F8A">
        <w:rPr>
          <w:rFonts w:asciiTheme="minorHAnsi" w:hAnsiTheme="minorHAnsi" w:cstheme="minorHAnsi"/>
          <w:szCs w:val="22"/>
        </w:rPr>
        <w:t>), while the number of sales of EPS at mark III (MEPS) has declined significantly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_Ref141789431 \h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3</w:t>
      </w:r>
      <w:r w:rsidRPr="00A34F8A">
        <w:rPr>
          <w:rFonts w:asciiTheme="minorHAnsi" w:hAnsiTheme="minorHAnsi" w:cstheme="minorHAnsi"/>
          <w:szCs w:val="22"/>
        </w:rPr>
        <w:fldChar w:fldCharType="end"/>
      </w:r>
      <w:r w:rsidRPr="00A34F8A">
        <w:rPr>
          <w:rFonts w:asciiTheme="minorHAnsi" w:hAnsiTheme="minorHAnsi" w:cstheme="minorHAnsi"/>
          <w:szCs w:val="22"/>
        </w:rPr>
        <w:t>).</w:t>
      </w:r>
    </w:p>
    <w:p w14:paraId="77A2B040" w14:textId="77777777" w:rsidR="00734990" w:rsidRPr="00A34F8A" w:rsidRDefault="00734990" w:rsidP="00734990">
      <w:pPr>
        <w:rPr>
          <w:rFonts w:asciiTheme="minorHAnsi" w:hAnsiTheme="minorHAnsi" w:cstheme="minorHAnsi"/>
          <w:szCs w:val="22"/>
        </w:rPr>
      </w:pPr>
      <w:r w:rsidRPr="00A34F8A">
        <w:rPr>
          <w:rFonts w:asciiTheme="minorHAnsi" w:hAnsiTheme="minorHAnsi" w:cstheme="minorHAnsi"/>
          <w:noProof/>
          <w:szCs w:val="22"/>
        </w:rPr>
        <w:drawing>
          <wp:inline distT="0" distB="0" distL="0" distR="0" wp14:anchorId="61147F81" wp14:editId="2719DD48">
            <wp:extent cx="5371465" cy="3561715"/>
            <wp:effectExtent l="0" t="0" r="635" b="0"/>
            <wp:docPr id="1159232815" name="Picture 1159232815" descr="A bar chart showing the number of external power supplies sold in New Zealand between 2012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32815" name="Picture 1159232815" descr="A bar chart showing the number of external power supplies sold in New Zealand between 2012 and 2022."/>
                    <pic:cNvPicPr/>
                  </pic:nvPicPr>
                  <pic:blipFill>
                    <a:blip r:embed="rId21"/>
                    <a:stretch>
                      <a:fillRect/>
                    </a:stretch>
                  </pic:blipFill>
                  <pic:spPr>
                    <a:xfrm>
                      <a:off x="0" y="0"/>
                      <a:ext cx="5371465" cy="3561715"/>
                    </a:xfrm>
                    <a:prstGeom prst="rect">
                      <a:avLst/>
                    </a:prstGeom>
                  </pic:spPr>
                </pic:pic>
              </a:graphicData>
            </a:graphic>
          </wp:inline>
        </w:drawing>
      </w:r>
    </w:p>
    <w:p w14:paraId="37506DE7" w14:textId="489FF40E" w:rsidR="00734990" w:rsidRPr="00A34F8A" w:rsidRDefault="00734990" w:rsidP="00734990">
      <w:pPr>
        <w:pStyle w:val="Caption"/>
        <w:rPr>
          <w:rFonts w:asciiTheme="minorHAnsi" w:hAnsiTheme="minorHAnsi" w:cstheme="minorHAnsi"/>
          <w:sz w:val="22"/>
          <w:szCs w:val="22"/>
        </w:rPr>
      </w:pPr>
      <w:bookmarkStart w:id="38" w:name="_Ref141789429"/>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Figure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w:t>
      </w:r>
      <w:r w:rsidRPr="00A34F8A">
        <w:rPr>
          <w:rFonts w:asciiTheme="minorHAnsi" w:hAnsiTheme="minorHAnsi" w:cstheme="minorHAnsi"/>
          <w:sz w:val="22"/>
          <w:szCs w:val="22"/>
        </w:rPr>
        <w:fldChar w:fldCharType="end"/>
      </w:r>
      <w:bookmarkEnd w:id="38"/>
      <w:r w:rsidRPr="00A34F8A">
        <w:rPr>
          <w:rFonts w:asciiTheme="minorHAnsi" w:hAnsiTheme="minorHAnsi" w:cstheme="minorHAnsi"/>
          <w:sz w:val="22"/>
          <w:szCs w:val="22"/>
        </w:rPr>
        <w:t>: Number of registered external power supplies sold in New Zealand 2012 to 202</w:t>
      </w:r>
      <w:r w:rsidR="00E30548">
        <w:rPr>
          <w:rFonts w:asciiTheme="minorHAnsi" w:hAnsiTheme="minorHAnsi" w:cstheme="minorHAnsi"/>
          <w:sz w:val="22"/>
          <w:szCs w:val="22"/>
        </w:rPr>
        <w:t>2</w:t>
      </w:r>
      <w:r w:rsidRPr="00A34F8A">
        <w:rPr>
          <w:rFonts w:asciiTheme="minorHAnsi" w:hAnsiTheme="minorHAnsi" w:cstheme="minorHAnsi"/>
          <w:sz w:val="22"/>
          <w:szCs w:val="22"/>
        </w:rPr>
        <w:t xml:space="preserve"> (EECA data)</w:t>
      </w:r>
    </w:p>
    <w:p w14:paraId="23950B11" w14:textId="77777777" w:rsidR="00734990" w:rsidRPr="00A34F8A" w:rsidRDefault="00734990" w:rsidP="00734990">
      <w:pPr>
        <w:rPr>
          <w:rFonts w:asciiTheme="minorHAnsi" w:hAnsiTheme="minorHAnsi" w:cstheme="minorHAnsi"/>
          <w:szCs w:val="22"/>
        </w:rPr>
      </w:pPr>
      <w:r w:rsidRPr="00A34F8A">
        <w:rPr>
          <w:rFonts w:asciiTheme="minorHAnsi" w:hAnsiTheme="minorHAnsi" w:cstheme="minorHAnsi"/>
          <w:noProof/>
          <w:szCs w:val="22"/>
        </w:rPr>
        <w:lastRenderedPageBreak/>
        <w:drawing>
          <wp:inline distT="0" distB="0" distL="0" distR="0" wp14:anchorId="58451B09" wp14:editId="2C3109D9">
            <wp:extent cx="5371465" cy="3557905"/>
            <wp:effectExtent l="0" t="0" r="635" b="0"/>
            <wp:docPr id="1182251635" name="Picture 1182251635" descr="A bar chart showing the number of external power supplies with an energy efficiency equivalent to mark III sold in New Zealand between 2012 and 2022.  No mark III power supplies were sold in New Zealand in 2021 or 2022 and few have been sold in New Zealand si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1635" name="Picture 1182251635" descr="A bar chart showing the number of external power supplies with an energy efficiency equivalent to mark III sold in New Zealand between 2012 and 2022.  No mark III power supplies were sold in New Zealand in 2021 or 2022 and few have been sold in New Zealand since 2017."/>
                    <pic:cNvPicPr/>
                  </pic:nvPicPr>
                  <pic:blipFill>
                    <a:blip r:embed="rId22"/>
                    <a:stretch>
                      <a:fillRect/>
                    </a:stretch>
                  </pic:blipFill>
                  <pic:spPr>
                    <a:xfrm>
                      <a:off x="0" y="0"/>
                      <a:ext cx="5371465" cy="3557905"/>
                    </a:xfrm>
                    <a:prstGeom prst="rect">
                      <a:avLst/>
                    </a:prstGeom>
                  </pic:spPr>
                </pic:pic>
              </a:graphicData>
            </a:graphic>
          </wp:inline>
        </w:drawing>
      </w:r>
    </w:p>
    <w:p w14:paraId="27D63DFB" w14:textId="5D4FF4E5" w:rsidR="00734990" w:rsidRPr="00A34F8A" w:rsidRDefault="00734990" w:rsidP="00734990">
      <w:pPr>
        <w:pStyle w:val="Caption"/>
        <w:rPr>
          <w:rFonts w:asciiTheme="minorHAnsi" w:hAnsiTheme="minorHAnsi" w:cstheme="minorHAnsi"/>
          <w:sz w:val="22"/>
          <w:szCs w:val="22"/>
        </w:rPr>
      </w:pPr>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Figure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Registered external power supplies sold in New Zealand with an energy efficiency of MEPS (mark III) (EECA Data)</w:t>
      </w:r>
    </w:p>
    <w:p w14:paraId="366C7EAA" w14:textId="77777777" w:rsidR="00872BB2" w:rsidRPr="00A34F8A" w:rsidRDefault="00872BB2" w:rsidP="00872BB2">
      <w:pPr>
        <w:rPr>
          <w:rFonts w:asciiTheme="minorHAnsi" w:hAnsiTheme="minorHAnsi" w:cstheme="minorHAnsi"/>
          <w:szCs w:val="22"/>
        </w:rPr>
      </w:pPr>
    </w:p>
    <w:p w14:paraId="7FA28135" w14:textId="0B7ED96D" w:rsidR="00703F3D" w:rsidRPr="00A34F8A" w:rsidRDefault="00703F3D" w:rsidP="00B36F48">
      <w:pPr>
        <w:pStyle w:val="Heading2"/>
      </w:pPr>
      <w:bookmarkStart w:id="39" w:name="_Toc168660719"/>
      <w:bookmarkStart w:id="40" w:name="_Toc183163232"/>
      <w:r w:rsidRPr="00A34F8A">
        <w:t>1.3 The current regulation is inefficient</w:t>
      </w:r>
      <w:bookmarkEnd w:id="39"/>
      <w:bookmarkEnd w:id="40"/>
    </w:p>
    <w:p w14:paraId="43F861DF" w14:textId="0DC85B5B" w:rsidR="008C750D" w:rsidRPr="00A34F8A" w:rsidRDefault="008C750D" w:rsidP="008C750D">
      <w:pPr>
        <w:rPr>
          <w:rFonts w:asciiTheme="minorHAnsi" w:hAnsiTheme="minorHAnsi" w:cstheme="minorHAnsi"/>
          <w:szCs w:val="22"/>
        </w:rPr>
      </w:pPr>
      <w:r w:rsidRPr="00A34F8A">
        <w:rPr>
          <w:rFonts w:asciiTheme="minorHAnsi" w:hAnsiTheme="minorHAnsi" w:cstheme="minorHAnsi"/>
          <w:szCs w:val="22"/>
        </w:rPr>
        <w:t xml:space="preserve">The Australian and New Zealand test standards (AS/NZS 4665.1:2005) were developed to assist designers, manufacturers, importers, test laboratories and regulators to assess energy efficiency of EPS in a consistent fashion </w:t>
      </w:r>
      <w:sdt>
        <w:sdtPr>
          <w:rPr>
            <w:rFonts w:asciiTheme="minorHAnsi" w:hAnsiTheme="minorHAnsi" w:cstheme="minorHAnsi"/>
            <w:szCs w:val="22"/>
          </w:rPr>
          <w:id w:val="740986748"/>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Sai23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(Sai Global, n.d.)</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p>
    <w:p w14:paraId="2ACF7976" w14:textId="77777777" w:rsidR="008C750D" w:rsidRPr="00A34F8A" w:rsidRDefault="008C750D" w:rsidP="008C750D">
      <w:pPr>
        <w:rPr>
          <w:rFonts w:asciiTheme="minorHAnsi" w:hAnsiTheme="minorHAnsi" w:cstheme="minorHAnsi"/>
          <w:szCs w:val="22"/>
        </w:rPr>
      </w:pPr>
      <w:r w:rsidRPr="00A34F8A">
        <w:rPr>
          <w:rFonts w:asciiTheme="minorHAnsi" w:hAnsiTheme="minorHAnsi" w:cstheme="minorHAnsi"/>
          <w:szCs w:val="22"/>
        </w:rPr>
        <w:t>There are two parts to this standard:</w:t>
      </w:r>
    </w:p>
    <w:p w14:paraId="74736859" w14:textId="77777777" w:rsidR="008C750D" w:rsidRPr="00A34F8A" w:rsidRDefault="008C750D" w:rsidP="008C750D">
      <w:pPr>
        <w:pStyle w:val="ListNumber3"/>
        <w:rPr>
          <w:rFonts w:asciiTheme="minorHAnsi" w:hAnsiTheme="minorHAnsi" w:cstheme="minorHAnsi"/>
          <w:sz w:val="22"/>
          <w:szCs w:val="22"/>
        </w:rPr>
      </w:pPr>
      <w:r w:rsidRPr="00A34F8A">
        <w:rPr>
          <w:rFonts w:asciiTheme="minorHAnsi" w:hAnsiTheme="minorHAnsi" w:cstheme="minorHAnsi"/>
          <w:sz w:val="22"/>
          <w:szCs w:val="22"/>
        </w:rPr>
        <w:t>Test method and energy performance mark – AS/NZS.4665.1:2005 + A1</w:t>
      </w:r>
    </w:p>
    <w:p w14:paraId="0A771F4A" w14:textId="54D8F3CF" w:rsidR="008C750D" w:rsidRPr="00A34F8A" w:rsidRDefault="008C750D" w:rsidP="008C750D">
      <w:pPr>
        <w:pStyle w:val="ListNumber3"/>
        <w:rPr>
          <w:rFonts w:asciiTheme="minorHAnsi" w:hAnsiTheme="minorHAnsi" w:cstheme="minorHAnsi"/>
          <w:sz w:val="22"/>
          <w:szCs w:val="22"/>
        </w:rPr>
      </w:pPr>
      <w:r w:rsidRPr="00A34F8A">
        <w:rPr>
          <w:rFonts w:asciiTheme="minorHAnsi" w:hAnsiTheme="minorHAnsi" w:cstheme="minorHAnsi"/>
          <w:sz w:val="22"/>
          <w:szCs w:val="22"/>
        </w:rPr>
        <w:t xml:space="preserve">MEPS requirements – AS/NZS.4665.2:2005 + A1 </w:t>
      </w:r>
      <w:sdt>
        <w:sdtPr>
          <w:rPr>
            <w:rFonts w:asciiTheme="minorHAnsi" w:hAnsiTheme="minorHAnsi" w:cstheme="minorHAnsi"/>
            <w:sz w:val="22"/>
            <w:szCs w:val="22"/>
          </w:rPr>
          <w:id w:val="-123700544"/>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Sai23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(Sai Global, n.d.)</w:t>
          </w:r>
          <w:r w:rsidRPr="00A34F8A">
            <w:rPr>
              <w:rFonts w:asciiTheme="minorHAnsi" w:hAnsiTheme="minorHAnsi" w:cstheme="minorHAnsi"/>
              <w:sz w:val="22"/>
              <w:szCs w:val="22"/>
            </w:rPr>
            <w:fldChar w:fldCharType="end"/>
          </w:r>
        </w:sdtContent>
      </w:sdt>
    </w:p>
    <w:p w14:paraId="16F7FE3A" w14:textId="77777777" w:rsidR="008C750D" w:rsidRPr="00A34F8A" w:rsidRDefault="008C750D" w:rsidP="008C750D">
      <w:pPr>
        <w:rPr>
          <w:rFonts w:asciiTheme="minorHAnsi" w:hAnsiTheme="minorHAnsi" w:cstheme="minorHAnsi"/>
          <w:szCs w:val="22"/>
        </w:rPr>
      </w:pPr>
      <w:r w:rsidRPr="00A34F8A">
        <w:rPr>
          <w:rFonts w:asciiTheme="minorHAnsi" w:hAnsiTheme="minorHAnsi" w:cstheme="minorHAnsi"/>
          <w:szCs w:val="22"/>
        </w:rPr>
        <w:t>Part 1, which involves the test method for assessing the energy efficiency of EPS, is the focus of this section of this RIS.</w:t>
      </w:r>
    </w:p>
    <w:p w14:paraId="42E0AE38" w14:textId="006164C1" w:rsidR="008C750D" w:rsidRPr="00A34F8A" w:rsidRDefault="008C750D" w:rsidP="008C750D">
      <w:pPr>
        <w:rPr>
          <w:rFonts w:asciiTheme="minorHAnsi" w:hAnsiTheme="minorHAnsi" w:cstheme="minorHAnsi"/>
          <w:szCs w:val="22"/>
        </w:rPr>
      </w:pPr>
      <w:r w:rsidRPr="00A34F8A">
        <w:rPr>
          <w:rFonts w:asciiTheme="minorHAnsi" w:hAnsiTheme="minorHAnsi" w:cstheme="minorHAnsi"/>
          <w:szCs w:val="22"/>
        </w:rPr>
        <w:t xml:space="preserve">The AS/NZ 4665 series was created in 2005 in response to the US National Appliance and Equipment Energy Efficiency Program (NAEEEP). It is based on a test method published by the US Environmental Protection Agency (EPA) which was a part of the Energy Star program </w:t>
      </w:r>
      <w:sdt>
        <w:sdtPr>
          <w:rPr>
            <w:rFonts w:asciiTheme="minorHAnsi" w:hAnsiTheme="minorHAnsi" w:cstheme="minorHAnsi"/>
            <w:szCs w:val="22"/>
          </w:rPr>
          <w:id w:val="-265466204"/>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Sai23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(Sai Global, n.d.)</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p>
    <w:p w14:paraId="40886832" w14:textId="26B27795" w:rsidR="008C750D" w:rsidRPr="00D55065" w:rsidRDefault="008C750D" w:rsidP="008C750D">
      <w:pPr>
        <w:rPr>
          <w:rFonts w:asciiTheme="minorHAnsi" w:hAnsiTheme="minorHAnsi" w:cstheme="minorHAnsi"/>
          <w:szCs w:val="22"/>
        </w:rPr>
      </w:pPr>
      <w:r w:rsidRPr="00A34F8A">
        <w:rPr>
          <w:rFonts w:asciiTheme="minorHAnsi" w:hAnsiTheme="minorHAnsi" w:cstheme="minorHAnsi"/>
          <w:szCs w:val="22"/>
        </w:rPr>
        <w:t xml:space="preserve">The AS/NZS </w:t>
      </w:r>
      <w:sdt>
        <w:sdtPr>
          <w:rPr>
            <w:rFonts w:asciiTheme="minorHAnsi" w:hAnsiTheme="minorHAnsi" w:cstheme="minorHAnsi"/>
            <w:szCs w:val="22"/>
          </w:rPr>
          <w:id w:val="237599309"/>
          <w:placeholder>
            <w:docPart w:val="ED0F1410F891497282CDC975EB8FC5AE"/>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36016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(360 Compliance, 2016)</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sdt>
        <w:sdtPr>
          <w:rPr>
            <w:rFonts w:asciiTheme="minorHAnsi" w:hAnsiTheme="minorHAnsi" w:cstheme="minorHAnsi"/>
            <w:szCs w:val="22"/>
          </w:rPr>
          <w:id w:val="2137516938"/>
          <w:placeholder>
            <w:docPart w:val="ED0F1410F891497282CDC975EB8FC5AE"/>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Joh21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(Johnson, 2021)</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standard aligns with the IEC testing methodology that is recognised in the US and can be found on testing certificates for the region </w:t>
      </w:r>
      <w:sdt>
        <w:sdtPr>
          <w:rPr>
            <w:rFonts w:asciiTheme="minorHAnsi" w:hAnsiTheme="minorHAnsi" w:cstheme="minorHAnsi"/>
            <w:szCs w:val="22"/>
          </w:rPr>
          <w:id w:val="1227035628"/>
          <w:placeholder>
            <w:docPart w:val="ED0F1410F891497282CDC975EB8FC5AE"/>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Key19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(Keyway,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sdt>
        <w:sdtPr>
          <w:rPr>
            <w:rFonts w:asciiTheme="minorHAnsi" w:hAnsiTheme="minorHAnsi" w:cstheme="minorHAnsi"/>
            <w:szCs w:val="22"/>
          </w:rPr>
          <w:id w:val="-218213090"/>
          <w:placeholder>
            <w:docPart w:val="ED0F1410F891497282CDC975EB8FC5AE"/>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SLP16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(SL Power Electronics, 2016)</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On testing certificates for the EU, the EN 50563:2011 is referenced, which is technically similar to the AS/NZS and EPA test </w:t>
      </w:r>
      <w:sdt>
        <w:sdtPr>
          <w:rPr>
            <w:rFonts w:asciiTheme="minorHAnsi" w:hAnsiTheme="minorHAnsi" w:cstheme="minorHAnsi"/>
            <w:szCs w:val="22"/>
          </w:rPr>
          <w:id w:val="2090501688"/>
          <w:placeholder>
            <w:docPart w:val="ED0F1410F891497282CDC975EB8FC5AE"/>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CITATION Eur11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(European Standard, 2011)</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A further EU Commission regulation (2019/1782) is also referenced which stipulates that a 10% loading </w:t>
      </w:r>
      <w:r w:rsidRPr="00D55065">
        <w:rPr>
          <w:rFonts w:asciiTheme="minorHAnsi" w:hAnsiTheme="minorHAnsi" w:cstheme="minorHAnsi"/>
          <w:szCs w:val="22"/>
        </w:rPr>
        <w:t xml:space="preserve">condition must be tested </w:t>
      </w:r>
      <w:sdt>
        <w:sdtPr>
          <w:rPr>
            <w:rFonts w:asciiTheme="minorHAnsi" w:hAnsiTheme="minorHAnsi" w:cstheme="minorHAnsi"/>
            <w:szCs w:val="22"/>
          </w:rPr>
          <w:id w:val="-1037663053"/>
          <w:placeholder>
            <w:docPart w:val="ED0F1410F891497282CDC975EB8FC5AE"/>
          </w:placeholder>
          <w:citation/>
        </w:sdtPr>
        <w:sdtContent>
          <w:r w:rsidRPr="00D55065">
            <w:rPr>
              <w:rFonts w:asciiTheme="minorHAnsi" w:hAnsiTheme="minorHAnsi" w:cstheme="minorHAnsi"/>
              <w:szCs w:val="22"/>
            </w:rPr>
            <w:fldChar w:fldCharType="begin"/>
          </w:r>
          <w:r w:rsidRPr="00D55065">
            <w:rPr>
              <w:rFonts w:asciiTheme="minorHAnsi" w:hAnsiTheme="minorHAnsi" w:cstheme="minorHAnsi"/>
              <w:szCs w:val="22"/>
            </w:rPr>
            <w:instrText xml:space="preserve"> CITATION Key191 \l 3081 </w:instrText>
          </w:r>
          <w:r w:rsidRPr="00D55065">
            <w:rPr>
              <w:rFonts w:asciiTheme="minorHAnsi" w:hAnsiTheme="minorHAnsi" w:cstheme="minorHAnsi"/>
              <w:szCs w:val="22"/>
            </w:rPr>
            <w:fldChar w:fldCharType="separate"/>
          </w:r>
          <w:r w:rsidR="002E2541" w:rsidRPr="002E2541">
            <w:rPr>
              <w:rFonts w:asciiTheme="minorHAnsi" w:hAnsiTheme="minorHAnsi" w:cstheme="minorHAnsi"/>
              <w:noProof/>
              <w:szCs w:val="22"/>
            </w:rPr>
            <w:t>(Keyway, 2019)</w:t>
          </w:r>
          <w:r w:rsidRPr="00D55065">
            <w:rPr>
              <w:rFonts w:asciiTheme="minorHAnsi" w:hAnsiTheme="minorHAnsi" w:cstheme="minorHAnsi"/>
              <w:szCs w:val="22"/>
            </w:rPr>
            <w:fldChar w:fldCharType="end"/>
          </w:r>
        </w:sdtContent>
      </w:sdt>
      <w:r w:rsidRPr="00D55065">
        <w:rPr>
          <w:rFonts w:asciiTheme="minorHAnsi" w:hAnsiTheme="minorHAnsi" w:cstheme="minorHAnsi"/>
          <w:szCs w:val="22"/>
        </w:rPr>
        <w:t xml:space="preserve">. </w:t>
      </w:r>
    </w:p>
    <w:p w14:paraId="4C121570" w14:textId="29955F8D" w:rsidR="008C750D" w:rsidRPr="00D55065" w:rsidRDefault="008C750D" w:rsidP="008C750D">
      <w:pPr>
        <w:rPr>
          <w:rFonts w:asciiTheme="minorHAnsi" w:hAnsiTheme="minorHAnsi" w:cstheme="minorHAnsi"/>
          <w:szCs w:val="22"/>
        </w:rPr>
      </w:pPr>
      <w:r w:rsidRPr="00D55065">
        <w:rPr>
          <w:rFonts w:asciiTheme="minorHAnsi" w:hAnsiTheme="minorHAnsi" w:cstheme="minorHAnsi"/>
          <w:szCs w:val="22"/>
        </w:rPr>
        <w:lastRenderedPageBreak/>
        <w:t>However, despite the intention for international harmonisation, the AS/NZS 4665 series of standards is the only means of compliance cited in the AU/NZ regulation. This means that suppliers</w:t>
      </w:r>
      <w:r w:rsidR="00471C8B" w:rsidRPr="00D55065">
        <w:rPr>
          <w:rFonts w:asciiTheme="minorHAnsi" w:hAnsiTheme="minorHAnsi" w:cstheme="minorHAnsi"/>
          <w:szCs w:val="22"/>
        </w:rPr>
        <w:t xml:space="preserve"> and </w:t>
      </w:r>
      <w:r w:rsidRPr="00D55065">
        <w:rPr>
          <w:rFonts w:asciiTheme="minorHAnsi" w:hAnsiTheme="minorHAnsi" w:cstheme="minorHAnsi"/>
          <w:szCs w:val="22"/>
        </w:rPr>
        <w:t xml:space="preserve">importers of EPS in Australia and New Zealand must test to the AS/NZS standards in their testing reports to register products in compliance with the regulation </w:t>
      </w:r>
      <w:sdt>
        <w:sdtPr>
          <w:rPr>
            <w:rFonts w:asciiTheme="minorHAnsi" w:hAnsiTheme="minorHAnsi" w:cstheme="minorHAnsi"/>
            <w:szCs w:val="22"/>
          </w:rPr>
          <w:id w:val="1967381222"/>
          <w:citation/>
        </w:sdtPr>
        <w:sdtContent>
          <w:r w:rsidRPr="00D55065">
            <w:rPr>
              <w:rFonts w:asciiTheme="minorHAnsi" w:hAnsiTheme="minorHAnsi" w:cstheme="minorHAnsi"/>
              <w:szCs w:val="22"/>
            </w:rPr>
            <w:fldChar w:fldCharType="begin"/>
          </w:r>
          <w:r w:rsidRPr="00D55065">
            <w:rPr>
              <w:rFonts w:asciiTheme="minorHAnsi" w:hAnsiTheme="minorHAnsi" w:cstheme="minorHAnsi"/>
              <w:szCs w:val="22"/>
            </w:rPr>
            <w:instrText xml:space="preserve"> CITATION Aus232 \l 3081 </w:instrText>
          </w:r>
          <w:r w:rsidRPr="00D55065">
            <w:rPr>
              <w:rFonts w:asciiTheme="minorHAnsi" w:hAnsiTheme="minorHAnsi" w:cstheme="minorHAnsi"/>
              <w:szCs w:val="22"/>
            </w:rPr>
            <w:fldChar w:fldCharType="separate"/>
          </w:r>
          <w:r w:rsidR="002E2541" w:rsidRPr="002E2541">
            <w:rPr>
              <w:rFonts w:asciiTheme="minorHAnsi" w:hAnsiTheme="minorHAnsi" w:cstheme="minorHAnsi"/>
              <w:noProof/>
              <w:szCs w:val="22"/>
            </w:rPr>
            <w:t>(Australian Govermnet: Energy Rating, n.d.)</w:t>
          </w:r>
          <w:r w:rsidRPr="00D55065">
            <w:rPr>
              <w:rFonts w:asciiTheme="minorHAnsi" w:hAnsiTheme="minorHAnsi" w:cstheme="minorHAnsi"/>
              <w:szCs w:val="22"/>
            </w:rPr>
            <w:fldChar w:fldCharType="end"/>
          </w:r>
        </w:sdtContent>
      </w:sdt>
      <w:r w:rsidRPr="00D55065">
        <w:rPr>
          <w:rFonts w:asciiTheme="minorHAnsi" w:hAnsiTheme="minorHAnsi" w:cstheme="minorHAnsi"/>
          <w:szCs w:val="22"/>
        </w:rPr>
        <w:t xml:space="preserve">. The citation of the AS/NZS 4665 series of standards alone means that manufacturers need to test and certify products specifically to sell them into the Australian and New Zealand markets. In interviews, an industry expert explained that the cost of testing per product is $600 USD, for a more-or-less identical test to the one that they would have already performed for EU and US markers. If Australia and New Zealand were to accept test certificates that refer to the international testing standards, manufacturers would not incur a further cost to </w:t>
      </w:r>
      <w:r w:rsidR="00FE5524" w:rsidRPr="00D55065">
        <w:rPr>
          <w:rFonts w:asciiTheme="minorHAnsi" w:hAnsiTheme="minorHAnsi" w:cstheme="minorHAnsi"/>
          <w:szCs w:val="22"/>
        </w:rPr>
        <w:t>test their products for</w:t>
      </w:r>
      <w:r w:rsidRPr="00D55065">
        <w:rPr>
          <w:rFonts w:asciiTheme="minorHAnsi" w:hAnsiTheme="minorHAnsi" w:cstheme="minorHAnsi"/>
          <w:szCs w:val="22"/>
        </w:rPr>
        <w:t xml:space="preserve"> local markets. </w:t>
      </w:r>
    </w:p>
    <w:p w14:paraId="6CCD4A45" w14:textId="77777777" w:rsidR="008C750D" w:rsidRPr="00D55065" w:rsidRDefault="008C750D" w:rsidP="008C750D">
      <w:pPr>
        <w:rPr>
          <w:rFonts w:asciiTheme="minorHAnsi" w:hAnsiTheme="minorHAnsi" w:cstheme="minorHAnsi"/>
          <w:szCs w:val="22"/>
        </w:rPr>
      </w:pPr>
      <w:r w:rsidRPr="00D55065">
        <w:rPr>
          <w:rFonts w:asciiTheme="minorHAnsi" w:hAnsiTheme="minorHAnsi" w:cstheme="minorHAnsi"/>
          <w:szCs w:val="22"/>
        </w:rPr>
        <w:t>If Australia and New Zealand accept international testing standards under the regulation:</w:t>
      </w:r>
    </w:p>
    <w:p w14:paraId="1AA71814" w14:textId="2470F085" w:rsidR="008C750D" w:rsidRPr="005C6C8F" w:rsidRDefault="00A44CB0" w:rsidP="00F54560">
      <w:pPr>
        <w:pStyle w:val="ListParagraph"/>
        <w:numPr>
          <w:ilvl w:val="0"/>
          <w:numId w:val="29"/>
        </w:numPr>
        <w:rPr>
          <w:rFonts w:asciiTheme="minorHAnsi" w:hAnsiTheme="minorHAnsi" w:cstheme="minorHAnsi"/>
          <w:color w:val="auto"/>
          <w:sz w:val="22"/>
          <w:szCs w:val="22"/>
        </w:rPr>
      </w:pPr>
      <w:r w:rsidRPr="00A44CB0">
        <w:rPr>
          <w:rFonts w:asciiTheme="minorHAnsi" w:hAnsiTheme="minorHAnsi" w:cstheme="minorHAnsi"/>
          <w:color w:val="auto"/>
          <w:sz w:val="22"/>
          <w:szCs w:val="22"/>
        </w:rPr>
        <w:t>M</w:t>
      </w:r>
      <w:r w:rsidR="008C750D" w:rsidRPr="005C6C8F">
        <w:rPr>
          <w:rFonts w:asciiTheme="minorHAnsi" w:hAnsiTheme="minorHAnsi" w:cstheme="minorHAnsi"/>
          <w:color w:val="auto"/>
          <w:sz w:val="22"/>
          <w:szCs w:val="22"/>
        </w:rPr>
        <w:t>anufacturers</w:t>
      </w:r>
      <w:r>
        <w:rPr>
          <w:rFonts w:asciiTheme="minorHAnsi" w:hAnsiTheme="minorHAnsi" w:cstheme="minorHAnsi"/>
          <w:color w:val="auto"/>
          <w:sz w:val="22"/>
          <w:szCs w:val="22"/>
        </w:rPr>
        <w:t>/importers</w:t>
      </w:r>
      <w:r w:rsidR="008C750D" w:rsidRPr="005C6C8F">
        <w:rPr>
          <w:rFonts w:asciiTheme="minorHAnsi" w:hAnsiTheme="minorHAnsi" w:cstheme="minorHAnsi"/>
          <w:color w:val="auto"/>
          <w:sz w:val="22"/>
          <w:szCs w:val="22"/>
        </w:rPr>
        <w:t xml:space="preserve"> that sell to the EU and US will not need to pay for further testing or certification in order to sell into local markets; and</w:t>
      </w:r>
    </w:p>
    <w:p w14:paraId="17537708" w14:textId="77777777" w:rsidR="008C750D" w:rsidRPr="005C6C8F" w:rsidRDefault="008C750D" w:rsidP="00F54560">
      <w:pPr>
        <w:pStyle w:val="ListParagraph"/>
        <w:numPr>
          <w:ilvl w:val="0"/>
          <w:numId w:val="29"/>
        </w:numPr>
        <w:rPr>
          <w:rFonts w:asciiTheme="minorHAnsi" w:hAnsiTheme="minorHAnsi" w:cstheme="minorHAnsi"/>
          <w:color w:val="auto"/>
          <w:sz w:val="22"/>
          <w:szCs w:val="22"/>
        </w:rPr>
      </w:pPr>
      <w:r w:rsidRPr="005C6C8F">
        <w:rPr>
          <w:rFonts w:asciiTheme="minorHAnsi" w:hAnsiTheme="minorHAnsi" w:cstheme="minorHAnsi"/>
          <w:color w:val="auto"/>
          <w:sz w:val="22"/>
          <w:szCs w:val="22"/>
        </w:rPr>
        <w:t>local manufacturers will be able to sell their products – if they wish – to international markets without incurring any further costs.</w:t>
      </w:r>
    </w:p>
    <w:p w14:paraId="3AFF781F" w14:textId="6D061225" w:rsidR="008C750D" w:rsidRPr="005C6C8F" w:rsidRDefault="008C750D" w:rsidP="008C750D">
      <w:pPr>
        <w:pStyle w:val="Table5-Bullet-Level1"/>
        <w:numPr>
          <w:ilvl w:val="0"/>
          <w:numId w:val="0"/>
        </w:numPr>
        <w:rPr>
          <w:rFonts w:asciiTheme="minorHAnsi" w:hAnsiTheme="minorHAnsi" w:cstheme="minorHAnsi"/>
          <w:color w:val="auto"/>
          <w:sz w:val="22"/>
          <w:szCs w:val="22"/>
        </w:rPr>
      </w:pPr>
      <w:r w:rsidRPr="005C6C8F">
        <w:rPr>
          <w:rFonts w:asciiTheme="minorHAnsi" w:hAnsiTheme="minorHAnsi" w:cstheme="minorHAnsi"/>
          <w:color w:val="auto"/>
          <w:sz w:val="22"/>
          <w:szCs w:val="22"/>
        </w:rPr>
        <w:t>Recognising international testing standards is separate to the question of whether certain technologies should be regulated. If Australia and New Zealand were to accept international testing standards the updating testing protocols when new technologies enter the market (such as wireless EPS) would be easier. It would provide a level of future proofing for Australia and New Zealand’s testing methodology and improve the efficiency and cost effectiveness of the regulation.</w:t>
      </w:r>
      <w:r w:rsidR="00D01C2E" w:rsidRPr="005C6C8F">
        <w:rPr>
          <w:rFonts w:asciiTheme="minorHAnsi" w:hAnsiTheme="minorHAnsi" w:cstheme="minorHAnsi"/>
          <w:color w:val="auto"/>
          <w:sz w:val="22"/>
          <w:szCs w:val="22"/>
        </w:rPr>
        <w:t xml:space="preserve"> Note that any amendment to a Standard must be incorporated into the AU/NZ legislation before it could be used. </w:t>
      </w:r>
    </w:p>
    <w:p w14:paraId="4C336B56" w14:textId="346EE267" w:rsidR="008C750D" w:rsidRPr="00A34F8A" w:rsidRDefault="008C750D" w:rsidP="00B36F48">
      <w:pPr>
        <w:pStyle w:val="Heading2"/>
      </w:pPr>
      <w:bookmarkStart w:id="41" w:name="_Toc168660720"/>
      <w:bookmarkStart w:id="42" w:name="_Toc183163233"/>
      <w:r w:rsidRPr="00A34F8A">
        <w:t>1.4 There are challenges with compliance</w:t>
      </w:r>
      <w:bookmarkEnd w:id="41"/>
      <w:bookmarkEnd w:id="42"/>
    </w:p>
    <w:p w14:paraId="06DEB853" w14:textId="46E34C7A" w:rsidR="00313AB0" w:rsidRPr="00A34F8A" w:rsidRDefault="00313AB0" w:rsidP="00313AB0">
      <w:pPr>
        <w:rPr>
          <w:rFonts w:asciiTheme="minorHAnsi" w:hAnsiTheme="minorHAnsi" w:cstheme="minorHAnsi"/>
          <w:szCs w:val="22"/>
        </w:rPr>
      </w:pPr>
      <w:r w:rsidRPr="00A34F8A">
        <w:rPr>
          <w:rFonts w:asciiTheme="minorHAnsi" w:hAnsiTheme="minorHAnsi" w:cstheme="minorHAnsi"/>
          <w:szCs w:val="22"/>
        </w:rPr>
        <w:t>Compliance is an integral part of any regulatory regime. EPS are typically packaged and supplied with an end-use product, such as consumer electronics e.g. laptops. They are large volume products where millions are sold per year. As a result of this there are compliance challenges introduced that don’t apply to standalone (and lower volume) regulated products, such as household fridges/freezers. Under the current regulations suppliers of regulated products are required to:</w:t>
      </w:r>
    </w:p>
    <w:p w14:paraId="5597A505" w14:textId="1CBEA953" w:rsidR="00F54560" w:rsidRPr="00A34F8A" w:rsidRDefault="00F54560" w:rsidP="00F54560">
      <w:pPr>
        <w:pStyle w:val="ListParagraph"/>
        <w:numPr>
          <w:ilvl w:val="0"/>
          <w:numId w:val="28"/>
        </w:numPr>
        <w:rPr>
          <w:rFonts w:asciiTheme="minorHAnsi" w:hAnsiTheme="minorHAnsi" w:cstheme="minorHAnsi"/>
          <w:sz w:val="22"/>
          <w:szCs w:val="22"/>
        </w:rPr>
      </w:pPr>
      <w:r w:rsidRPr="00A34F8A">
        <w:rPr>
          <w:rFonts w:asciiTheme="minorHAnsi" w:hAnsiTheme="minorHAnsi" w:cstheme="minorHAnsi"/>
          <w:sz w:val="22"/>
          <w:szCs w:val="22"/>
        </w:rPr>
        <w:t>Have their products meet MEPS</w:t>
      </w:r>
    </w:p>
    <w:p w14:paraId="716D9A43" w14:textId="2F062B8E" w:rsidR="00F54560" w:rsidRPr="00A34F8A" w:rsidRDefault="00F54560" w:rsidP="00F54560">
      <w:pPr>
        <w:pStyle w:val="ListParagraph"/>
        <w:numPr>
          <w:ilvl w:val="0"/>
          <w:numId w:val="28"/>
        </w:numPr>
        <w:rPr>
          <w:rFonts w:asciiTheme="minorHAnsi" w:hAnsiTheme="minorHAnsi" w:cstheme="minorHAnsi"/>
          <w:sz w:val="22"/>
          <w:szCs w:val="22"/>
        </w:rPr>
      </w:pPr>
      <w:r w:rsidRPr="00A34F8A">
        <w:rPr>
          <w:rFonts w:asciiTheme="minorHAnsi" w:hAnsiTheme="minorHAnsi" w:cstheme="minorHAnsi"/>
          <w:sz w:val="22"/>
          <w:szCs w:val="22"/>
        </w:rPr>
        <w:t>Register them through the joint Australia/New Zealand registration system</w:t>
      </w:r>
    </w:p>
    <w:p w14:paraId="131D2882" w14:textId="17DB03A2" w:rsidR="00F54560" w:rsidRPr="00A34F8A" w:rsidRDefault="00F54560" w:rsidP="00F54560">
      <w:pPr>
        <w:pStyle w:val="ListParagraph"/>
        <w:numPr>
          <w:ilvl w:val="0"/>
          <w:numId w:val="28"/>
        </w:numPr>
        <w:rPr>
          <w:rFonts w:asciiTheme="minorHAnsi" w:hAnsiTheme="minorHAnsi" w:cstheme="minorHAnsi"/>
          <w:sz w:val="22"/>
          <w:szCs w:val="22"/>
        </w:rPr>
      </w:pPr>
      <w:r w:rsidRPr="00A34F8A">
        <w:rPr>
          <w:rFonts w:asciiTheme="minorHAnsi" w:hAnsiTheme="minorHAnsi" w:cstheme="minorHAnsi"/>
          <w:sz w:val="22"/>
          <w:szCs w:val="22"/>
        </w:rPr>
        <w:t>Mark the EPS with their rated efficiency mark</w:t>
      </w:r>
    </w:p>
    <w:p w14:paraId="20F850D9" w14:textId="4D4B42B7" w:rsidR="00F54560" w:rsidRPr="00A34F8A" w:rsidRDefault="00F54560" w:rsidP="00F54560">
      <w:pPr>
        <w:pStyle w:val="ListParagraph"/>
        <w:numPr>
          <w:ilvl w:val="0"/>
          <w:numId w:val="28"/>
        </w:numPr>
        <w:rPr>
          <w:rFonts w:asciiTheme="minorHAnsi" w:hAnsiTheme="minorHAnsi" w:cstheme="minorHAnsi"/>
          <w:sz w:val="22"/>
          <w:szCs w:val="22"/>
        </w:rPr>
      </w:pPr>
      <w:r w:rsidRPr="00A34F8A">
        <w:rPr>
          <w:rFonts w:asciiTheme="minorHAnsi" w:hAnsiTheme="minorHAnsi" w:cstheme="minorHAnsi"/>
          <w:sz w:val="22"/>
          <w:szCs w:val="22"/>
        </w:rPr>
        <w:t>Provide sales data annually (New Zealand only)</w:t>
      </w:r>
    </w:p>
    <w:p w14:paraId="6467FE86" w14:textId="77777777" w:rsidR="00313AB0" w:rsidRPr="00A34F8A" w:rsidRDefault="00313AB0" w:rsidP="00313AB0">
      <w:pPr>
        <w:rPr>
          <w:rFonts w:asciiTheme="minorHAnsi" w:hAnsiTheme="minorHAnsi" w:cstheme="minorHAnsi"/>
          <w:szCs w:val="22"/>
        </w:rPr>
      </w:pPr>
      <w:r w:rsidRPr="00A34F8A">
        <w:rPr>
          <w:rFonts w:asciiTheme="minorHAnsi" w:hAnsiTheme="minorHAnsi" w:cstheme="minorHAnsi"/>
          <w:szCs w:val="22"/>
        </w:rPr>
        <w:t xml:space="preserve">Due to the way EPS are supplied it can be difficult to identify the product, and if it is complying with the above requirements. If the MEPS requirements and or scope is increased for EPS, the compliance challenges will be amplified, as the current scope only covers around 13% of EPS supplied in Australia/New Zealand. </w:t>
      </w:r>
    </w:p>
    <w:p w14:paraId="049C4A8D" w14:textId="77777777" w:rsidR="00313AB0" w:rsidRPr="00A34F8A" w:rsidRDefault="00313AB0" w:rsidP="00313AB0">
      <w:pPr>
        <w:rPr>
          <w:rFonts w:asciiTheme="minorHAnsi" w:hAnsiTheme="minorHAnsi" w:cstheme="minorHAnsi"/>
          <w:szCs w:val="22"/>
        </w:rPr>
      </w:pPr>
      <w:r w:rsidRPr="00A34F8A">
        <w:rPr>
          <w:rFonts w:asciiTheme="minorHAnsi" w:hAnsiTheme="minorHAnsi" w:cstheme="minorHAnsi"/>
          <w:szCs w:val="22"/>
        </w:rPr>
        <w:lastRenderedPageBreak/>
        <w:t xml:space="preserve">E3 are interested in stakeholder feedback about how the compliance challenges of external power supplies can be addressed. </w:t>
      </w:r>
    </w:p>
    <w:p w14:paraId="2F3968BD" w14:textId="77F20A07" w:rsidR="00326735" w:rsidRPr="00A34F8A" w:rsidRDefault="00326735">
      <w:pPr>
        <w:spacing w:after="0" w:line="240" w:lineRule="auto"/>
        <w:rPr>
          <w:rFonts w:asciiTheme="minorHAnsi" w:eastAsiaTheme="majorEastAsia" w:hAnsiTheme="minorHAnsi" w:cstheme="minorHAnsi"/>
          <w:b/>
          <w:bCs/>
          <w:color w:val="000000"/>
          <w:szCs w:val="22"/>
        </w:rPr>
      </w:pPr>
      <w:r w:rsidRPr="00A34F8A">
        <w:rPr>
          <w:rFonts w:asciiTheme="minorHAnsi" w:hAnsiTheme="minorHAnsi" w:cstheme="minorHAnsi"/>
          <w:szCs w:val="22"/>
        </w:rPr>
        <w:br w:type="page"/>
      </w:r>
    </w:p>
    <w:p w14:paraId="58B42FED" w14:textId="2B800BF6" w:rsidR="00326735" w:rsidRPr="00B36F48" w:rsidRDefault="00326735" w:rsidP="00326735">
      <w:pPr>
        <w:pStyle w:val="ChapterTitle"/>
        <w:rPr>
          <w:rFonts w:asciiTheme="minorHAnsi" w:hAnsiTheme="minorHAnsi" w:cstheme="minorHAnsi"/>
          <w:sz w:val="32"/>
          <w:szCs w:val="32"/>
        </w:rPr>
      </w:pPr>
      <w:bookmarkStart w:id="43" w:name="_Toc168660721"/>
      <w:bookmarkStart w:id="44" w:name="_Toc183163234"/>
      <w:r w:rsidRPr="00B36F48">
        <w:rPr>
          <w:rFonts w:asciiTheme="minorHAnsi" w:hAnsiTheme="minorHAnsi" w:cstheme="minorHAnsi"/>
          <w:sz w:val="32"/>
          <w:szCs w:val="32"/>
        </w:rPr>
        <w:lastRenderedPageBreak/>
        <w:t>Section 2 Rationale for government action</w:t>
      </w:r>
      <w:bookmarkEnd w:id="43"/>
      <w:bookmarkEnd w:id="44"/>
    </w:p>
    <w:p w14:paraId="1B77A9A7" w14:textId="0D69A771" w:rsidR="008D6CC0" w:rsidRPr="00A34F8A" w:rsidRDefault="00F1199F" w:rsidP="00022E5E">
      <w:pPr>
        <w:pStyle w:val="Heading3"/>
        <w:rPr>
          <w:rFonts w:asciiTheme="minorHAnsi" w:hAnsiTheme="minorHAnsi" w:cstheme="minorHAnsi"/>
          <w:b w:val="0"/>
          <w:bCs w:val="0"/>
          <w:sz w:val="22"/>
          <w:szCs w:val="22"/>
        </w:rPr>
      </w:pPr>
      <w:bookmarkStart w:id="45" w:name="_Toc169263296"/>
      <w:bookmarkStart w:id="46" w:name="_Toc183163235"/>
      <w:r w:rsidRPr="00A34F8A">
        <w:rPr>
          <w:rFonts w:asciiTheme="minorHAnsi" w:hAnsiTheme="minorHAnsi" w:cstheme="minorHAnsi"/>
          <w:b w:val="0"/>
          <w:bCs w:val="0"/>
          <w:sz w:val="22"/>
          <w:szCs w:val="22"/>
        </w:rPr>
        <w:t>This section outlines the case for government action to address the issues raised in Section 1. Minimum standards are the most effective means of increasing the energy efficiency of EPS. This is because consumers do not have the capacity to choose more efficient devices in most cases, and manufacturers</w:t>
      </w:r>
      <w:r w:rsidR="00F87656">
        <w:rPr>
          <w:rFonts w:asciiTheme="minorHAnsi" w:hAnsiTheme="minorHAnsi" w:cstheme="minorHAnsi"/>
          <w:b w:val="0"/>
          <w:bCs w:val="0"/>
          <w:sz w:val="22"/>
          <w:szCs w:val="22"/>
        </w:rPr>
        <w:t>/importers</w:t>
      </w:r>
      <w:r w:rsidRPr="00A34F8A">
        <w:rPr>
          <w:rFonts w:asciiTheme="minorHAnsi" w:hAnsiTheme="minorHAnsi" w:cstheme="minorHAnsi"/>
          <w:b w:val="0"/>
          <w:bCs w:val="0"/>
          <w:sz w:val="22"/>
          <w:szCs w:val="22"/>
        </w:rPr>
        <w:t xml:space="preserve"> are not incentivised to increase efficiency </w:t>
      </w:r>
      <w:r w:rsidR="00FE0B2F">
        <w:rPr>
          <w:rFonts w:asciiTheme="minorHAnsi" w:hAnsiTheme="minorHAnsi" w:cstheme="minorHAnsi"/>
          <w:b w:val="0"/>
          <w:bCs w:val="0"/>
          <w:sz w:val="22"/>
          <w:szCs w:val="22"/>
        </w:rPr>
        <w:t xml:space="preserve">or import products with the energy efficiency level </w:t>
      </w:r>
      <w:r w:rsidRPr="00A34F8A">
        <w:rPr>
          <w:rFonts w:asciiTheme="minorHAnsi" w:hAnsiTheme="minorHAnsi" w:cstheme="minorHAnsi"/>
          <w:b w:val="0"/>
          <w:bCs w:val="0"/>
          <w:sz w:val="22"/>
          <w:szCs w:val="22"/>
        </w:rPr>
        <w:t>beyond regulatory compliance.</w:t>
      </w:r>
      <w:bookmarkEnd w:id="45"/>
      <w:bookmarkEnd w:id="46"/>
    </w:p>
    <w:p w14:paraId="39C3A627" w14:textId="3A186E57" w:rsidR="00192F58" w:rsidRPr="00A34F8A" w:rsidRDefault="00192F58" w:rsidP="00B36F48">
      <w:pPr>
        <w:pStyle w:val="Heading2"/>
      </w:pPr>
      <w:bookmarkStart w:id="47" w:name="_Toc168660722"/>
      <w:bookmarkStart w:id="48" w:name="_Toc183163236"/>
      <w:r w:rsidRPr="00A34F8A">
        <w:t>2.1 Regulation is needed to prevent market failures</w:t>
      </w:r>
      <w:bookmarkEnd w:id="47"/>
      <w:bookmarkEnd w:id="48"/>
    </w:p>
    <w:p w14:paraId="6702C7FB" w14:textId="1490203D" w:rsidR="003D4675" w:rsidRPr="00A34F8A" w:rsidRDefault="003D4675" w:rsidP="00B36F48">
      <w:pPr>
        <w:pStyle w:val="Heading3"/>
      </w:pPr>
      <w:bookmarkStart w:id="49" w:name="_Toc168660638"/>
      <w:bookmarkStart w:id="50" w:name="_Toc183163237"/>
      <w:r w:rsidRPr="00A34F8A">
        <w:t>Consumer behaviour does not drive efficiency</w:t>
      </w:r>
      <w:bookmarkEnd w:id="49"/>
      <w:bookmarkEnd w:id="50"/>
    </w:p>
    <w:p w14:paraId="733C55CC" w14:textId="77777777" w:rsidR="00AE0155" w:rsidRPr="00A34F8A" w:rsidRDefault="00AE0155" w:rsidP="00AE0155">
      <w:pPr>
        <w:rPr>
          <w:rFonts w:asciiTheme="minorHAnsi" w:hAnsiTheme="minorHAnsi" w:cstheme="minorHAnsi"/>
          <w:szCs w:val="22"/>
        </w:rPr>
      </w:pPr>
      <w:r w:rsidRPr="00A34F8A">
        <w:rPr>
          <w:rFonts w:asciiTheme="minorHAnsi" w:hAnsiTheme="minorHAnsi" w:cstheme="minorHAnsi"/>
          <w:szCs w:val="22"/>
        </w:rPr>
        <w:t xml:space="preserve">Most EPS are “bundled” together and sold with an end-use product. The consumer’s objective is the purchase of the end-use product. The fact that the consumer is also purchasing an EPS is, in the consumer’s mind, purely incidental. Further, the EPS is selected by the supplier of the end-use product, removing a level of consumer choice. As a result, consumers often lack the choice or knowledge about which EPS they are purchasing. Some standalone EPS are available for products that do not come packaged with an EPS (e.g., many smartphones that have a standard USB-C charging connection) and replacement EPS required for like-for-like replacement if a product fails. However, even for these EPS, energy efficiency likely does not drive consumers’ purchasing decisions. </w:t>
      </w:r>
    </w:p>
    <w:p w14:paraId="6CB479E7" w14:textId="5AB507D4" w:rsidR="00AE0155" w:rsidRPr="00A34F8A" w:rsidRDefault="00AE0155" w:rsidP="00AE0155">
      <w:pPr>
        <w:rPr>
          <w:rFonts w:asciiTheme="minorHAnsi" w:hAnsiTheme="minorHAnsi" w:cstheme="minorBidi"/>
        </w:rPr>
      </w:pPr>
      <w:r w:rsidRPr="3000D331">
        <w:rPr>
          <w:rFonts w:asciiTheme="minorHAnsi" w:hAnsiTheme="minorHAnsi" w:cstheme="minorBidi"/>
        </w:rPr>
        <w:t>Based on insights provided by suppliers during interviews for this RIS it seems that the more predominant drivers for consumers are cost, design and performance</w:t>
      </w:r>
      <w:r w:rsidR="00AE39EB" w:rsidRPr="3000D331">
        <w:rPr>
          <w:rFonts w:asciiTheme="minorHAnsi" w:hAnsiTheme="minorHAnsi" w:cstheme="minorBidi"/>
        </w:rPr>
        <w:t xml:space="preserve"> </w:t>
      </w:r>
      <w:r w:rsidR="00E32408" w:rsidRPr="3000D331">
        <w:rPr>
          <w:rFonts w:asciiTheme="minorHAnsi" w:hAnsiTheme="minorHAnsi" w:cstheme="minorBidi"/>
        </w:rPr>
        <w:t xml:space="preserve">of </w:t>
      </w:r>
      <w:r w:rsidR="005043AB" w:rsidRPr="3000D331">
        <w:rPr>
          <w:rFonts w:asciiTheme="minorHAnsi" w:hAnsiTheme="minorHAnsi" w:cstheme="minorBidi"/>
        </w:rPr>
        <w:t>the end-</w:t>
      </w:r>
      <w:r w:rsidR="52DD7E1A" w:rsidRPr="3000D331">
        <w:rPr>
          <w:rFonts w:asciiTheme="minorHAnsi" w:hAnsiTheme="minorHAnsi" w:cstheme="minorBidi"/>
        </w:rPr>
        <w:t xml:space="preserve">use </w:t>
      </w:r>
      <w:r w:rsidR="005043AB" w:rsidRPr="3000D331">
        <w:rPr>
          <w:rFonts w:asciiTheme="minorHAnsi" w:hAnsiTheme="minorHAnsi" w:cstheme="minorBidi"/>
        </w:rPr>
        <w:t>product</w:t>
      </w:r>
      <w:r w:rsidRPr="3000D331">
        <w:rPr>
          <w:rFonts w:asciiTheme="minorHAnsi" w:hAnsiTheme="minorHAnsi" w:cstheme="minorBidi"/>
        </w:rPr>
        <w:t>. Sometimes these features overlap with energy efficiency, for example consumers do not want EPS or end-use products that become very hot during use. Generally, heat is the product of an energy conversion loss and therefore, EPS that don’t become as hot tend to be more energy efficient. So, while there may be a crossover in the product features that consumers desire and energy efficiency, it is likely not the energy efficiency of the product itself that is driving consumer behaviour.</w:t>
      </w:r>
    </w:p>
    <w:p w14:paraId="66DD06D6" w14:textId="7A1C9FDC" w:rsidR="00AE0155" w:rsidRPr="003C5390" w:rsidRDefault="00AE0155" w:rsidP="003C5390">
      <w:pPr>
        <w:pStyle w:val="Heading3"/>
      </w:pPr>
      <w:bookmarkStart w:id="51" w:name="_Toc168660639"/>
      <w:bookmarkStart w:id="52" w:name="_Toc183163238"/>
      <w:r w:rsidRPr="003C5390">
        <w:t>Product labelling is unlikely to drive energy efficiency in EPS</w:t>
      </w:r>
      <w:bookmarkEnd w:id="51"/>
      <w:bookmarkEnd w:id="52"/>
    </w:p>
    <w:p w14:paraId="61D77027" w14:textId="15C585E0" w:rsidR="00111DAE" w:rsidRPr="00A34F8A" w:rsidRDefault="00427DFA" w:rsidP="00111DAE">
      <w:pPr>
        <w:rPr>
          <w:rFonts w:asciiTheme="minorHAnsi" w:hAnsiTheme="minorHAnsi" w:cstheme="minorBidi"/>
        </w:rPr>
      </w:pPr>
      <w:r>
        <w:rPr>
          <w:rFonts w:asciiTheme="minorHAnsi" w:hAnsiTheme="minorHAnsi" w:cstheme="minorBidi"/>
        </w:rPr>
        <w:t>Marking</w:t>
      </w:r>
      <w:r w:rsidRPr="5B0866F6">
        <w:rPr>
          <w:rFonts w:asciiTheme="minorHAnsi" w:hAnsiTheme="minorHAnsi" w:cstheme="minorBidi"/>
        </w:rPr>
        <w:t xml:space="preserve"> </w:t>
      </w:r>
      <w:r w:rsidR="00111DAE" w:rsidRPr="5B0866F6">
        <w:rPr>
          <w:rFonts w:asciiTheme="minorHAnsi" w:hAnsiTheme="minorHAnsi" w:cstheme="minorBidi"/>
        </w:rPr>
        <w:t xml:space="preserve">on EPS does not impact consumer behaviour, as the consumer does not see the efficiency mark as part of the purchasing process. For certain products, e.g., refrigerators, air conditioner or televisions, best practice procedures to change consumer behaviour are to provide energy-saving information and third-party certification labels </w:t>
      </w:r>
      <w:sdt>
        <w:sdtPr>
          <w:rPr>
            <w:rFonts w:asciiTheme="minorHAnsi" w:hAnsiTheme="minorHAnsi" w:cstheme="minorBidi"/>
          </w:rPr>
          <w:id w:val="-249439530"/>
          <w:citation/>
        </w:sdtPr>
        <w:sdtContent>
          <w:r w:rsidR="00111DAE" w:rsidRPr="5B0866F6">
            <w:rPr>
              <w:rFonts w:asciiTheme="minorHAnsi" w:hAnsiTheme="minorHAnsi" w:cstheme="minorBidi"/>
            </w:rPr>
            <w:fldChar w:fldCharType="begin"/>
          </w:r>
          <w:r w:rsidR="00111DAE" w:rsidRPr="5B0866F6">
            <w:rPr>
              <w:rFonts w:asciiTheme="minorHAnsi" w:hAnsiTheme="minorHAnsi" w:cstheme="minorBidi"/>
            </w:rPr>
            <w:instrText xml:space="preserve"> CITATION Wan191 \l 3081 </w:instrText>
          </w:r>
          <w:r w:rsidR="00111DAE" w:rsidRPr="5B0866F6">
            <w:rPr>
              <w:rFonts w:asciiTheme="minorHAnsi" w:hAnsiTheme="minorHAnsi" w:cstheme="minorBidi"/>
            </w:rPr>
            <w:fldChar w:fldCharType="separate"/>
          </w:r>
          <w:r w:rsidR="002E2541" w:rsidRPr="002E2541">
            <w:rPr>
              <w:rFonts w:asciiTheme="minorHAnsi" w:hAnsiTheme="minorHAnsi" w:cstheme="minorBidi"/>
              <w:noProof/>
            </w:rPr>
            <w:t>(Wang, Sun, &amp; Zhang, 2019)</w:t>
          </w:r>
          <w:r w:rsidR="00111DAE" w:rsidRPr="5B0866F6">
            <w:rPr>
              <w:rFonts w:asciiTheme="minorHAnsi" w:hAnsiTheme="minorHAnsi" w:cstheme="minorBidi"/>
            </w:rPr>
            <w:fldChar w:fldCharType="end"/>
          </w:r>
        </w:sdtContent>
      </w:sdt>
      <w:r w:rsidR="00111DAE" w:rsidRPr="5B0866F6">
        <w:rPr>
          <w:rFonts w:asciiTheme="minorHAnsi" w:hAnsiTheme="minorHAnsi" w:cstheme="minorBidi"/>
        </w:rPr>
        <w:t xml:space="preserve">. In contrast, because EPS are not usually bought as a separate product, labelling them does not have the same impact. For example, if a consumer wants to buy a certain phone and that phone comes with a charger containing a low efficiency EPS, it is unlikely the consumer will buy a different phone on that basis alone. It is unlikely that the EPS is considered at all, beyond charging speed and computability with other products. In interviews, this assertion was affirmed by an industry expert who explained that </w:t>
      </w:r>
      <w:r w:rsidR="00111DAE" w:rsidRPr="5B0866F6">
        <w:rPr>
          <w:rStyle w:val="Emphasis"/>
          <w:rFonts w:asciiTheme="minorHAnsi" w:hAnsiTheme="minorHAnsi" w:cstheme="minorBidi"/>
        </w:rPr>
        <w:t>“[labels] are not viewed by the customer at all. It has no purpose other than probably for enforcement at the end of the day.”</w:t>
      </w:r>
    </w:p>
    <w:p w14:paraId="20F66605" w14:textId="77777777" w:rsidR="00111DAE" w:rsidRPr="00A34F8A" w:rsidRDefault="00111DAE" w:rsidP="00111DAE">
      <w:pPr>
        <w:rPr>
          <w:rFonts w:asciiTheme="minorHAnsi" w:hAnsiTheme="minorHAnsi" w:cstheme="minorHAnsi"/>
          <w:szCs w:val="22"/>
        </w:rPr>
      </w:pPr>
      <w:r w:rsidRPr="00A34F8A">
        <w:rPr>
          <w:rFonts w:asciiTheme="minorHAnsi" w:hAnsiTheme="minorHAnsi" w:cstheme="minorHAnsi"/>
          <w:szCs w:val="22"/>
        </w:rPr>
        <w:t xml:space="preserve">The EPS regulation in Australia and New Zealand includes a requirement to display the achieved Energy Performance Mark on the product itself, so EPS sold in these markets do have </w:t>
      </w:r>
      <w:r w:rsidRPr="00A34F8A">
        <w:rPr>
          <w:rFonts w:asciiTheme="minorHAnsi" w:hAnsiTheme="minorHAnsi" w:cstheme="minorHAnsi"/>
          <w:szCs w:val="22"/>
        </w:rPr>
        <w:lastRenderedPageBreak/>
        <w:t xml:space="preserve">energy efficiency labels. However, the labels are included in the fine print on the product nameplate alongside many other regulatory compliance labels, and consumers are unlikely to be aware of them. They are also unlikely to have the expertise to understand the significance of them with respect to technical energy efficiency specifications. Essentially, consumer behaviour is not driving energy efficiency for EPS and requiring product labelling would not change this. </w:t>
      </w:r>
    </w:p>
    <w:p w14:paraId="35B69A10" w14:textId="3B108AB9" w:rsidR="00C22C42" w:rsidRPr="00A34F8A" w:rsidRDefault="00C22C42" w:rsidP="00C22C42">
      <w:pPr>
        <w:pStyle w:val="Heading3"/>
        <w:rPr>
          <w:rFonts w:asciiTheme="minorHAnsi" w:hAnsiTheme="minorHAnsi" w:cstheme="minorHAnsi"/>
          <w:sz w:val="22"/>
          <w:szCs w:val="22"/>
        </w:rPr>
      </w:pPr>
      <w:bookmarkStart w:id="53" w:name="_Toc183163239"/>
      <w:r w:rsidRPr="00A34F8A">
        <w:rPr>
          <w:rFonts w:asciiTheme="minorHAnsi" w:hAnsiTheme="minorHAnsi" w:cstheme="minorHAnsi"/>
          <w:sz w:val="22"/>
          <w:szCs w:val="22"/>
        </w:rPr>
        <w:t>Manufacturers are not incentivised to increase the energy efficiency of EPS</w:t>
      </w:r>
      <w:bookmarkEnd w:id="53"/>
    </w:p>
    <w:p w14:paraId="7ECAAD6E" w14:textId="3D1AC3FF" w:rsidR="00111DAE" w:rsidRPr="00A34F8A" w:rsidRDefault="00111DAE" w:rsidP="00111DAE">
      <w:pPr>
        <w:rPr>
          <w:rFonts w:asciiTheme="minorHAnsi" w:hAnsiTheme="minorHAnsi" w:cstheme="minorHAnsi"/>
          <w:szCs w:val="22"/>
        </w:rPr>
      </w:pPr>
      <w:r w:rsidRPr="00A34F8A">
        <w:rPr>
          <w:rFonts w:asciiTheme="minorHAnsi" w:hAnsiTheme="minorHAnsi" w:cstheme="minorHAnsi"/>
          <w:szCs w:val="22"/>
        </w:rPr>
        <w:t>For EPS manufacturers, cost is a primary driver of production.</w:t>
      </w:r>
      <w:r w:rsidRPr="00A34F8A">
        <w:rPr>
          <w:rFonts w:asciiTheme="minorHAnsi" w:hAnsiTheme="minorHAnsi" w:cstheme="minorHAnsi"/>
          <w:szCs w:val="22"/>
          <w:lang w:eastAsia="en-GB"/>
        </w:rPr>
        <w:t xml:space="preserve"> There is little incentive for manufacturers to </w:t>
      </w:r>
      <w:r w:rsidRPr="00A34F8A">
        <w:rPr>
          <w:rFonts w:asciiTheme="minorHAnsi" w:hAnsiTheme="minorHAnsi" w:cstheme="minorHAnsi"/>
          <w:szCs w:val="22"/>
        </w:rPr>
        <w:t xml:space="preserve">prioritise energy efficiency or life cycle costs </w:t>
      </w:r>
      <w:sdt>
        <w:sdtPr>
          <w:rPr>
            <w:rFonts w:asciiTheme="minorHAnsi" w:hAnsiTheme="minorHAnsi" w:cstheme="minorHAnsi"/>
            <w:szCs w:val="22"/>
          </w:rPr>
          <w:id w:val="1285164011"/>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Col07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(Collins &amp; Holt, 2007)</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Since consumers do not have access to information regarding capital costs and energy efficiencies for EPS, they are unable to consider life cycle costs when making their purchasing decisions. As long as consumers continue to buy EPS as they are (packaged with an end-use product), there is no incentive for manufacturers, importers, or suppliers to alter their offerings</w:t>
      </w:r>
      <w:sdt>
        <w:sdtPr>
          <w:rPr>
            <w:rFonts w:asciiTheme="minorHAnsi" w:hAnsiTheme="minorHAnsi" w:cstheme="minorHAnsi"/>
            <w:szCs w:val="22"/>
          </w:rPr>
          <w:id w:val="-1448844538"/>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Col07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(Collins &amp; Holt, 2007)</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w:t>
      </w:r>
    </w:p>
    <w:p w14:paraId="406C4AAC" w14:textId="57BE47A7" w:rsidR="00111DAE" w:rsidRPr="00A34F8A" w:rsidRDefault="00111DAE" w:rsidP="00111DAE">
      <w:pPr>
        <w:rPr>
          <w:rFonts w:asciiTheme="minorHAnsi" w:hAnsiTheme="minorHAnsi" w:cstheme="minorHAnsi"/>
          <w:szCs w:val="22"/>
        </w:rPr>
      </w:pPr>
      <w:r w:rsidRPr="00A34F8A">
        <w:rPr>
          <w:rFonts w:asciiTheme="minorHAnsi" w:hAnsiTheme="minorHAnsi" w:cstheme="minorHAnsi"/>
          <w:szCs w:val="22"/>
        </w:rPr>
        <w:t xml:space="preserve">With the addition of energy efficiency regulations in larger markets, such as the US and EU, manufacturers are incentivised to meet these standards in order to sell their products to these markets. However, there is little incentive for manufacturers to create EPS </w:t>
      </w:r>
      <w:r w:rsidR="00A31964">
        <w:rPr>
          <w:rFonts w:asciiTheme="minorHAnsi" w:hAnsiTheme="minorHAnsi" w:cstheme="minorHAnsi"/>
          <w:szCs w:val="22"/>
        </w:rPr>
        <w:t xml:space="preserve">with </w:t>
      </w:r>
      <w:r w:rsidR="009B4F8C">
        <w:rPr>
          <w:rFonts w:asciiTheme="minorHAnsi" w:hAnsiTheme="minorHAnsi" w:cstheme="minorHAnsi"/>
          <w:szCs w:val="22"/>
        </w:rPr>
        <w:t xml:space="preserve">an </w:t>
      </w:r>
      <w:r w:rsidR="00A31964">
        <w:rPr>
          <w:rFonts w:asciiTheme="minorHAnsi" w:hAnsiTheme="minorHAnsi" w:cstheme="minorHAnsi"/>
          <w:szCs w:val="22"/>
        </w:rPr>
        <w:t xml:space="preserve">efficiency level </w:t>
      </w:r>
      <w:r w:rsidRPr="00A34F8A">
        <w:rPr>
          <w:rFonts w:asciiTheme="minorHAnsi" w:hAnsiTheme="minorHAnsi" w:cstheme="minorHAnsi"/>
          <w:szCs w:val="22"/>
        </w:rPr>
        <w:t xml:space="preserve">beyond what is required by these </w:t>
      </w:r>
      <w:r w:rsidR="000C26D9" w:rsidRPr="00A34F8A">
        <w:rPr>
          <w:rFonts w:asciiTheme="minorHAnsi" w:hAnsiTheme="minorHAnsi" w:cstheme="minorHAnsi"/>
          <w:szCs w:val="22"/>
        </w:rPr>
        <w:t>regulations</w:t>
      </w:r>
      <w:r w:rsidR="000C26D9">
        <w:rPr>
          <w:rFonts w:asciiTheme="minorHAnsi" w:hAnsiTheme="minorHAnsi" w:cstheme="minorHAnsi"/>
          <w:szCs w:val="22"/>
        </w:rPr>
        <w:t xml:space="preserve"> or</w:t>
      </w:r>
      <w:r w:rsidR="0073125A">
        <w:rPr>
          <w:rFonts w:asciiTheme="minorHAnsi" w:hAnsiTheme="minorHAnsi" w:cstheme="minorHAnsi"/>
          <w:szCs w:val="22"/>
        </w:rPr>
        <w:t xml:space="preserve"> demanded by consumers</w:t>
      </w:r>
      <w:r w:rsidRPr="00A34F8A">
        <w:rPr>
          <w:rFonts w:asciiTheme="minorHAnsi" w:hAnsiTheme="minorHAnsi" w:cstheme="minorHAnsi"/>
          <w:szCs w:val="22"/>
        </w:rPr>
        <w:t xml:space="preserve">. </w:t>
      </w:r>
      <w:r w:rsidR="00540301">
        <w:rPr>
          <w:rFonts w:asciiTheme="minorHAnsi" w:hAnsiTheme="minorHAnsi" w:cstheme="minorHAnsi"/>
          <w:szCs w:val="22"/>
        </w:rPr>
        <w:t>However, in Australia</w:t>
      </w:r>
      <w:r w:rsidR="002A369C">
        <w:rPr>
          <w:rFonts w:asciiTheme="minorHAnsi" w:hAnsiTheme="minorHAnsi" w:cstheme="minorHAnsi"/>
          <w:szCs w:val="22"/>
        </w:rPr>
        <w:t xml:space="preserve"> and New Zealand</w:t>
      </w:r>
      <w:r w:rsidR="00A17506">
        <w:rPr>
          <w:rFonts w:asciiTheme="minorHAnsi" w:hAnsiTheme="minorHAnsi" w:cstheme="minorHAnsi"/>
          <w:szCs w:val="22"/>
        </w:rPr>
        <w:t xml:space="preserve">, the efficiency of </w:t>
      </w:r>
      <w:r w:rsidR="00690BEF">
        <w:rPr>
          <w:rFonts w:asciiTheme="minorHAnsi" w:hAnsiTheme="minorHAnsi" w:cstheme="minorHAnsi"/>
          <w:szCs w:val="22"/>
        </w:rPr>
        <w:t xml:space="preserve">external power supplies being sold is higher than what is required by the </w:t>
      </w:r>
      <w:r w:rsidR="001D6410">
        <w:rPr>
          <w:rFonts w:asciiTheme="minorHAnsi" w:hAnsiTheme="minorHAnsi" w:cstheme="minorHAnsi"/>
          <w:szCs w:val="22"/>
        </w:rPr>
        <w:t xml:space="preserve">legislation. One reason for this is that </w:t>
      </w:r>
      <w:r w:rsidR="00AE6A15">
        <w:rPr>
          <w:rFonts w:asciiTheme="minorHAnsi" w:hAnsiTheme="minorHAnsi" w:cstheme="minorHAnsi"/>
          <w:szCs w:val="22"/>
        </w:rPr>
        <w:t xml:space="preserve">there is no benefit to suppliers </w:t>
      </w:r>
      <w:r w:rsidR="002E6ABD">
        <w:rPr>
          <w:rFonts w:asciiTheme="minorHAnsi" w:hAnsiTheme="minorHAnsi" w:cstheme="minorHAnsi"/>
          <w:szCs w:val="22"/>
        </w:rPr>
        <w:t xml:space="preserve">changing the EPS supplied with their products for </w:t>
      </w:r>
      <w:r w:rsidR="000D3536">
        <w:rPr>
          <w:rFonts w:asciiTheme="minorHAnsi" w:hAnsiTheme="minorHAnsi" w:cstheme="minorHAnsi"/>
          <w:szCs w:val="22"/>
        </w:rPr>
        <w:t xml:space="preserve">a less efficient EPS for the Australian and New Zealand market. </w:t>
      </w:r>
    </w:p>
    <w:p w14:paraId="1579901D" w14:textId="2E19A25E" w:rsidR="00111DAE" w:rsidRPr="00A34F8A" w:rsidRDefault="00111DAE" w:rsidP="00111DAE">
      <w:pPr>
        <w:rPr>
          <w:rFonts w:asciiTheme="minorHAnsi" w:hAnsiTheme="minorHAnsi" w:cstheme="minorHAnsi"/>
          <w:szCs w:val="22"/>
        </w:rPr>
      </w:pPr>
      <w:r w:rsidRPr="00A34F8A">
        <w:rPr>
          <w:rFonts w:asciiTheme="minorHAnsi" w:hAnsiTheme="minorHAnsi" w:cstheme="minorHAnsi"/>
          <w:szCs w:val="22"/>
        </w:rPr>
        <w:t xml:space="preserve">The manufacturing cost of EPS increases with the efficiency of the EPS. In the 2022 US technical support document (TSD) for their impact assessment, the engineering analysis for EPS consistently showed an increase in the incremental cost for all EPS (across all wattage, AC, DC and multiple output groups) as the efficiency level increased. The average incremental manufacturing cost increase was $2.93 USD between mark VI efficiency level (referred to as CSL0 in the TSD) and the ‘max tech’ efficiency – max tech represents the top 5% of the market, which typically also represents the highest active mode efficiency and lowest no-load power consumption achievable with current technology </w:t>
      </w:r>
      <w:sdt>
        <w:sdtPr>
          <w:rPr>
            <w:rFonts w:asciiTheme="minorHAnsi" w:hAnsiTheme="minorHAnsi" w:cstheme="minorHAnsi"/>
            <w:szCs w:val="22"/>
          </w:rPr>
          <w:id w:val="1655951874"/>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Placeholder1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p>
    <w:p w14:paraId="04FC42EE" w14:textId="77777777" w:rsidR="00111DAE" w:rsidRPr="00A34F8A" w:rsidRDefault="00111DAE" w:rsidP="00111DAE">
      <w:pPr>
        <w:rPr>
          <w:rFonts w:asciiTheme="minorHAnsi" w:hAnsiTheme="minorHAnsi" w:cstheme="minorHAnsi"/>
          <w:szCs w:val="22"/>
        </w:rPr>
      </w:pPr>
      <w:r w:rsidRPr="00A34F8A">
        <w:rPr>
          <w:rFonts w:asciiTheme="minorHAnsi" w:hAnsiTheme="minorHAnsi" w:cstheme="minorHAnsi"/>
          <w:szCs w:val="22"/>
        </w:rPr>
        <w:t xml:space="preserve">While manufacturers are largely driven by cost, other product features that are desirable to consumers may be considered. These product features in some cases overlap with improved energy efficiency, such as not becoming too hot when in use, or reduced overall product size. </w:t>
      </w:r>
    </w:p>
    <w:p w14:paraId="7CFA23DA" w14:textId="45F6D501" w:rsidR="00111DAE" w:rsidRPr="00A34F8A" w:rsidRDefault="00111DAE" w:rsidP="00A8550B">
      <w:pPr>
        <w:pStyle w:val="Heading2"/>
      </w:pPr>
      <w:bookmarkStart w:id="54" w:name="_Toc168660723"/>
      <w:bookmarkStart w:id="55" w:name="_Toc183163240"/>
      <w:r w:rsidRPr="00A34F8A">
        <w:t>2.2 Current standards must be increased to remain effective</w:t>
      </w:r>
      <w:bookmarkEnd w:id="54"/>
      <w:bookmarkEnd w:id="55"/>
    </w:p>
    <w:p w14:paraId="6734BA5B" w14:textId="0FA5E430" w:rsidR="00057B12" w:rsidRPr="00A34F8A" w:rsidRDefault="00057B12" w:rsidP="00057B12">
      <w:pPr>
        <w:rPr>
          <w:rFonts w:asciiTheme="minorHAnsi" w:hAnsiTheme="minorHAnsi" w:cstheme="minorHAnsi"/>
          <w:szCs w:val="22"/>
        </w:rPr>
      </w:pPr>
      <w:r w:rsidRPr="00A34F8A">
        <w:rPr>
          <w:rFonts w:asciiTheme="minorHAnsi" w:hAnsiTheme="minorHAnsi" w:cstheme="minorHAnsi"/>
          <w:szCs w:val="22"/>
        </w:rPr>
        <w:t xml:space="preserve">The current EPS regulations and standards do not adequately cover products that are supplied on the market today </w:t>
      </w:r>
      <w:sdt>
        <w:sdtPr>
          <w:rPr>
            <w:rFonts w:asciiTheme="minorHAnsi" w:hAnsiTheme="minorHAnsi" w:cstheme="minorHAnsi"/>
            <w:szCs w:val="22"/>
          </w:rPr>
          <w:id w:val="-535197089"/>
          <w:citation/>
        </w:sdtPr>
        <w:sdtContent>
          <w:r w:rsidRPr="00D84942">
            <w:rPr>
              <w:rFonts w:asciiTheme="minorHAnsi" w:hAnsiTheme="minorHAnsi" w:cstheme="minorHAnsi"/>
              <w:szCs w:val="22"/>
            </w:rPr>
            <w:fldChar w:fldCharType="begin"/>
          </w:r>
          <w:r w:rsidR="00A6406E" w:rsidRPr="0062402A">
            <w:rPr>
              <w:rFonts w:asciiTheme="minorHAnsi" w:hAnsiTheme="minorHAnsi" w:cstheme="minorHAnsi"/>
              <w:szCs w:val="22"/>
            </w:rPr>
            <w:instrText xml:space="preserve">CITATION CCE22 \l 3081 </w:instrText>
          </w:r>
          <w:r w:rsidRPr="00D84942">
            <w:rPr>
              <w:rFonts w:asciiTheme="minorHAnsi" w:hAnsiTheme="minorHAnsi" w:cstheme="minorHAnsi"/>
              <w:szCs w:val="22"/>
            </w:rPr>
            <w:fldChar w:fldCharType="separate"/>
          </w:r>
          <w:r w:rsidR="002E2541" w:rsidRPr="002E2541">
            <w:rPr>
              <w:rFonts w:asciiTheme="minorHAnsi" w:hAnsiTheme="minorHAnsi" w:cstheme="minorHAnsi"/>
              <w:noProof/>
              <w:szCs w:val="22"/>
            </w:rPr>
            <w:t>(DCCEEW, 2022)</w:t>
          </w:r>
          <w:r w:rsidRPr="00D84942">
            <w:rPr>
              <w:rFonts w:asciiTheme="minorHAnsi" w:hAnsiTheme="minorHAnsi" w:cstheme="minorHAnsi"/>
              <w:szCs w:val="22"/>
            </w:rPr>
            <w:fldChar w:fldCharType="end"/>
          </w:r>
        </w:sdtContent>
      </w:sdt>
      <w:r w:rsidRPr="00A34F8A">
        <w:rPr>
          <w:rFonts w:asciiTheme="minorHAnsi" w:hAnsiTheme="minorHAnsi" w:cstheme="minorHAnsi"/>
          <w:szCs w:val="22"/>
        </w:rPr>
        <w:t xml:space="preserve">. The regulations lack both the scope and stringency required to deliver effective efficiency gains and associated public and private benefits. </w:t>
      </w:r>
    </w:p>
    <w:p w14:paraId="6CDE2406" w14:textId="076341F6" w:rsidR="00057B12" w:rsidRPr="00A34F8A" w:rsidRDefault="00057B12" w:rsidP="00057B12">
      <w:pPr>
        <w:rPr>
          <w:rFonts w:asciiTheme="minorHAnsi" w:hAnsiTheme="minorHAnsi" w:cstheme="minorBidi"/>
        </w:rPr>
      </w:pPr>
      <w:r w:rsidRPr="515FC9CF">
        <w:rPr>
          <w:rFonts w:asciiTheme="minorHAnsi" w:hAnsiTheme="minorHAnsi" w:cstheme="minorBidi"/>
        </w:rPr>
        <w:t xml:space="preserve">The stringency of the current regulations is well below the level of efficiency that most EPS are already achieving because international regulations have </w:t>
      </w:r>
      <w:r w:rsidRPr="515FC9CF">
        <w:rPr>
          <w:rFonts w:asciiTheme="minorHAnsi" w:hAnsiTheme="minorHAnsi" w:cstheme="minorBidi"/>
          <w:lang w:val="en-US"/>
        </w:rPr>
        <w:t>improved the minimum efficiency requirements with each revision and the majority of the EPS market is now covered by international standards</w:t>
      </w:r>
      <w:r w:rsidRPr="515FC9CF">
        <w:rPr>
          <w:rFonts w:asciiTheme="minorHAnsi" w:hAnsiTheme="minorHAnsi" w:cstheme="minorBidi"/>
        </w:rPr>
        <w:t xml:space="preserve"> </w:t>
      </w:r>
      <w:sdt>
        <w:sdtPr>
          <w:rPr>
            <w:rFonts w:asciiTheme="minorHAnsi" w:hAnsiTheme="minorHAnsi" w:cstheme="minorBidi"/>
          </w:rPr>
          <w:id w:val="-832069406"/>
          <w:citation/>
        </w:sdtPr>
        <w:sdtContent>
          <w:r w:rsidRPr="515FC9CF">
            <w:rPr>
              <w:rFonts w:asciiTheme="minorHAnsi" w:hAnsiTheme="minorHAnsi" w:cstheme="minorBidi"/>
            </w:rPr>
            <w:fldChar w:fldCharType="begin"/>
          </w:r>
          <w:r w:rsidR="00A6406E" w:rsidRPr="515FC9CF">
            <w:rPr>
              <w:rFonts w:asciiTheme="minorHAnsi" w:hAnsiTheme="minorHAnsi" w:cstheme="minorBidi"/>
            </w:rPr>
            <w:instrText xml:space="preserve">CITATION CCE22 \l 3081 </w:instrText>
          </w:r>
          <w:r w:rsidRPr="515FC9CF">
            <w:rPr>
              <w:rFonts w:asciiTheme="minorHAnsi" w:hAnsiTheme="minorHAnsi" w:cstheme="minorBidi"/>
            </w:rPr>
            <w:fldChar w:fldCharType="separate"/>
          </w:r>
          <w:r w:rsidR="002E2541" w:rsidRPr="002E2541">
            <w:rPr>
              <w:rFonts w:asciiTheme="minorHAnsi" w:hAnsiTheme="minorHAnsi" w:cstheme="minorBidi"/>
              <w:noProof/>
            </w:rPr>
            <w:t>(DCCEEW, 2022)</w:t>
          </w:r>
          <w:r w:rsidRPr="515FC9CF">
            <w:rPr>
              <w:rFonts w:asciiTheme="minorHAnsi" w:hAnsiTheme="minorHAnsi" w:cstheme="minorBidi"/>
            </w:rPr>
            <w:fldChar w:fldCharType="end"/>
          </w:r>
        </w:sdtContent>
      </w:sdt>
      <w:r w:rsidRPr="515FC9CF">
        <w:rPr>
          <w:rFonts w:asciiTheme="minorHAnsi" w:hAnsiTheme="minorHAnsi" w:cstheme="minorBidi"/>
        </w:rPr>
        <w:t xml:space="preserve">. The scope of the current regulations does not </w:t>
      </w:r>
      <w:r w:rsidRPr="515FC9CF">
        <w:rPr>
          <w:rFonts w:asciiTheme="minorHAnsi" w:hAnsiTheme="minorHAnsi" w:cstheme="minorBidi"/>
        </w:rPr>
        <w:lastRenderedPageBreak/>
        <w:t>capture a large proportion (</w:t>
      </w:r>
      <w:r w:rsidR="00B87380">
        <w:rPr>
          <w:rFonts w:asciiTheme="minorHAnsi" w:hAnsiTheme="minorHAnsi" w:cstheme="minorBidi"/>
        </w:rPr>
        <w:t>87</w:t>
      </w:r>
      <w:r w:rsidRPr="515FC9CF">
        <w:rPr>
          <w:rFonts w:asciiTheme="minorHAnsi" w:hAnsiTheme="minorHAnsi" w:cstheme="minorBidi"/>
        </w:rPr>
        <w:t xml:space="preserve">%) of EPS imported and sold in Australia and New Zealand, mostly due to technology changes since the regulations were initially </w:t>
      </w:r>
      <w:r w:rsidR="0073125A" w:rsidRPr="515FC9CF">
        <w:rPr>
          <w:rFonts w:asciiTheme="minorHAnsi" w:hAnsiTheme="minorHAnsi" w:cstheme="minorBidi"/>
        </w:rPr>
        <w:t>introduced</w:t>
      </w:r>
      <w:r w:rsidRPr="515FC9CF">
        <w:rPr>
          <w:rFonts w:asciiTheme="minorHAnsi" w:hAnsiTheme="minorHAnsi" w:cstheme="minorBidi"/>
        </w:rPr>
        <w:t>.</w:t>
      </w:r>
    </w:p>
    <w:p w14:paraId="70F6DA6A" w14:textId="2BD72700" w:rsidR="002824B8" w:rsidRPr="00A8550B" w:rsidRDefault="002824B8" w:rsidP="00A8550B">
      <w:pPr>
        <w:pStyle w:val="Heading3"/>
      </w:pPr>
      <w:bookmarkStart w:id="56" w:name="_Toc168660640"/>
      <w:bookmarkStart w:id="57" w:name="_Toc183163241"/>
      <w:r w:rsidRPr="00A8550B">
        <w:t>Australian and New Zealand efficiency gains lag international standards</w:t>
      </w:r>
      <w:bookmarkEnd w:id="56"/>
      <w:bookmarkEnd w:id="57"/>
    </w:p>
    <w:p w14:paraId="4E69EB0E" w14:textId="77777777" w:rsidR="004140A9" w:rsidRPr="00A34F8A" w:rsidRDefault="004140A9" w:rsidP="004140A9">
      <w:pPr>
        <w:rPr>
          <w:rFonts w:asciiTheme="minorHAnsi" w:hAnsiTheme="minorHAnsi" w:cstheme="minorHAnsi"/>
          <w:szCs w:val="22"/>
        </w:rPr>
      </w:pPr>
      <w:r w:rsidRPr="00A34F8A">
        <w:rPr>
          <w:rFonts w:asciiTheme="minorHAnsi" w:hAnsiTheme="minorHAnsi" w:cstheme="minorHAnsi"/>
          <w:szCs w:val="22"/>
        </w:rPr>
        <w:t>As discussed in Section 1, the current MEPS in Australia and New Zealand are lagging the major international markets. As EPS manufacturers innovate to meet the energy efficiency standards imposed in larger international markets, many of the EPS being imported into Australia and New Zealand exceed the MEPS. However, it takes some time for devices sold in the Australian and New Zealand markets to catch up to these international standards, with a small number of products remaining well below the US standard almost ten years after introduction.</w:t>
      </w:r>
    </w:p>
    <w:p w14:paraId="506B555F" w14:textId="08FA9098" w:rsidR="004140A9" w:rsidRPr="00A34F8A" w:rsidRDefault="004140A9" w:rsidP="004140A9">
      <w:pPr>
        <w:rPr>
          <w:rFonts w:asciiTheme="minorHAnsi" w:hAnsiTheme="minorHAnsi" w:cstheme="minorHAnsi"/>
          <w:szCs w:val="22"/>
        </w:rPr>
      </w:pP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_Ref141798039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4</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shows the efficiency of EPS (covered by the current scope of regulations) sold in New Zealand before and after various international regulatory announcements. The introduction of the mark VI regulation in the US led to an increase in the proportion of mark VI efficiency EPS in New Zealand. While the amount of higher efficiency EPS increases, there is still a significant delay and gap between the US market (which would theoretically be 100% mark VI or higher) and the New Zealand market breakdown. </w:t>
      </w:r>
    </w:p>
    <w:p w14:paraId="40B6FCD2" w14:textId="77777777" w:rsidR="004140A9" w:rsidRPr="00A34F8A" w:rsidRDefault="004140A9" w:rsidP="004140A9">
      <w:pPr>
        <w:rPr>
          <w:rFonts w:asciiTheme="minorHAnsi" w:hAnsiTheme="minorHAnsi" w:cstheme="minorHAnsi"/>
          <w:szCs w:val="22"/>
        </w:rPr>
      </w:pPr>
      <w:r w:rsidRPr="00A34F8A">
        <w:rPr>
          <w:rFonts w:asciiTheme="minorHAnsi" w:hAnsiTheme="minorHAnsi" w:cstheme="minorHAnsi"/>
          <w:szCs w:val="22"/>
        </w:rPr>
        <w:t>With government action, Australia and New Zealand can accelerate this catch-up period, which may also yield energy savings. Increasing the scope and stringency of the MEPS would eliminate the sub-set of existing lower efficiency EPS that are currently being sold in Australia and New Zealand. This may facilitate a level of public and private savings that is desirable for both governments.</w:t>
      </w:r>
    </w:p>
    <w:p w14:paraId="470DDFED" w14:textId="77777777" w:rsidR="004140A9" w:rsidRPr="00A34F8A" w:rsidRDefault="004140A9" w:rsidP="004140A9">
      <w:pPr>
        <w:rPr>
          <w:rFonts w:asciiTheme="minorHAnsi" w:hAnsiTheme="minorHAnsi" w:cstheme="minorHAnsi"/>
          <w:szCs w:val="22"/>
        </w:rPr>
      </w:pPr>
      <w:r w:rsidRPr="00A34F8A">
        <w:rPr>
          <w:rFonts w:asciiTheme="minorHAnsi" w:hAnsiTheme="minorHAnsi" w:cstheme="minorHAnsi"/>
          <w:noProof/>
          <w:szCs w:val="22"/>
        </w:rPr>
        <w:drawing>
          <wp:inline distT="0" distB="0" distL="0" distR="0" wp14:anchorId="42BCFF5E" wp14:editId="7428CB21">
            <wp:extent cx="5371465" cy="3387725"/>
            <wp:effectExtent l="0" t="0" r="635" b="3175"/>
            <wp:docPr id="598310210" name="Picture 598310210" descr="A bar chart depicting the sale of external power supplies in in New Zealand between 2012 and 2022 showing the increasing market share of higher efficiency mark power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10210" name="Picture 598310210" descr="A bar chart depicting the sale of external power supplies in in New Zealand between 2012 and 2022 showing the increasing market share of higher efficiency mark power supplies."/>
                    <pic:cNvPicPr/>
                  </pic:nvPicPr>
                  <pic:blipFill>
                    <a:blip r:embed="rId23">
                      <a:extLst>
                        <a:ext uri="{28A0092B-C50C-407E-A947-70E740481C1C}">
                          <a14:useLocalDpi xmlns:a14="http://schemas.microsoft.com/office/drawing/2010/main" val="0"/>
                        </a:ext>
                      </a:extLst>
                    </a:blip>
                    <a:stretch>
                      <a:fillRect/>
                    </a:stretch>
                  </pic:blipFill>
                  <pic:spPr>
                    <a:xfrm>
                      <a:off x="0" y="0"/>
                      <a:ext cx="5371465" cy="3387725"/>
                    </a:xfrm>
                    <a:prstGeom prst="rect">
                      <a:avLst/>
                    </a:prstGeom>
                  </pic:spPr>
                </pic:pic>
              </a:graphicData>
            </a:graphic>
          </wp:inline>
        </w:drawing>
      </w:r>
    </w:p>
    <w:p w14:paraId="7A54668E" w14:textId="51AEBE1A" w:rsidR="004140A9" w:rsidRPr="00A34F8A" w:rsidRDefault="004140A9" w:rsidP="004140A9">
      <w:pPr>
        <w:pStyle w:val="Caption"/>
        <w:rPr>
          <w:rFonts w:asciiTheme="minorHAnsi" w:hAnsiTheme="minorHAnsi" w:cstheme="minorHAnsi"/>
          <w:sz w:val="22"/>
          <w:szCs w:val="22"/>
        </w:rPr>
      </w:pPr>
      <w:bookmarkStart w:id="58" w:name="_Ref141798039"/>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Figure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w:t>
      </w:r>
      <w:r w:rsidRPr="00A34F8A">
        <w:rPr>
          <w:rFonts w:asciiTheme="minorHAnsi" w:hAnsiTheme="minorHAnsi" w:cstheme="minorHAnsi"/>
          <w:sz w:val="22"/>
          <w:szCs w:val="22"/>
        </w:rPr>
        <w:fldChar w:fldCharType="end"/>
      </w:r>
      <w:bookmarkEnd w:id="58"/>
      <w:r w:rsidRPr="00A34F8A">
        <w:rPr>
          <w:rFonts w:asciiTheme="minorHAnsi" w:hAnsiTheme="minorHAnsi" w:cstheme="minorHAnsi"/>
          <w:sz w:val="22"/>
          <w:szCs w:val="22"/>
        </w:rPr>
        <w:t>: Annual EPS sales by efficiency level (New Zealand, EECA, 2012-2022)</w:t>
      </w:r>
    </w:p>
    <w:p w14:paraId="12EF3F2A" w14:textId="1B0D91B7" w:rsidR="00C21470" w:rsidRDefault="00C21470">
      <w:pPr>
        <w:spacing w:after="0" w:line="240" w:lineRule="auto"/>
      </w:pPr>
      <w:r>
        <w:br w:type="page"/>
      </w:r>
    </w:p>
    <w:p w14:paraId="20846BD4" w14:textId="496FC271" w:rsidR="000B0820" w:rsidRPr="00726930" w:rsidRDefault="000B0820" w:rsidP="0062402A">
      <w:pPr>
        <w:pStyle w:val="ChapterTitle"/>
        <w:keepNext/>
        <w:rPr>
          <w:rFonts w:asciiTheme="minorHAnsi" w:hAnsiTheme="minorHAnsi" w:cstheme="minorHAnsi"/>
          <w:sz w:val="32"/>
          <w:szCs w:val="32"/>
        </w:rPr>
      </w:pPr>
      <w:bookmarkStart w:id="59" w:name="_Toc168660724"/>
      <w:bookmarkStart w:id="60" w:name="_Toc183163242"/>
      <w:r w:rsidRPr="00726930">
        <w:rPr>
          <w:rFonts w:asciiTheme="minorHAnsi" w:hAnsiTheme="minorHAnsi" w:cstheme="minorHAnsi"/>
          <w:sz w:val="32"/>
          <w:szCs w:val="32"/>
        </w:rPr>
        <w:lastRenderedPageBreak/>
        <w:t>Section 3: Policy options for consideration</w:t>
      </w:r>
      <w:bookmarkEnd w:id="59"/>
      <w:bookmarkEnd w:id="60"/>
    </w:p>
    <w:p w14:paraId="232727CC" w14:textId="5B6CA9E7" w:rsidR="008D6CC0" w:rsidRPr="00A34F8A" w:rsidRDefault="009E7442" w:rsidP="00022E5E">
      <w:pPr>
        <w:pStyle w:val="Heading3"/>
        <w:rPr>
          <w:rFonts w:asciiTheme="minorHAnsi" w:hAnsiTheme="minorHAnsi" w:cstheme="minorHAnsi"/>
          <w:b w:val="0"/>
          <w:bCs w:val="0"/>
          <w:sz w:val="22"/>
          <w:szCs w:val="22"/>
        </w:rPr>
      </w:pPr>
      <w:bookmarkStart w:id="61" w:name="_Toc169263304"/>
      <w:bookmarkStart w:id="62" w:name="_Toc183163243"/>
      <w:r w:rsidRPr="00A34F8A">
        <w:rPr>
          <w:rFonts w:asciiTheme="minorHAnsi" w:hAnsiTheme="minorHAnsi" w:cstheme="minorHAnsi"/>
          <w:b w:val="0"/>
          <w:bCs w:val="0"/>
          <w:sz w:val="22"/>
          <w:szCs w:val="22"/>
        </w:rPr>
        <w:t xml:space="preserve">This section summarises the policy options for consideration. It presents options for increasing both the stringency and scope of the MEPS </w:t>
      </w:r>
      <w:r w:rsidR="00600A5C" w:rsidRPr="00A34F8A">
        <w:rPr>
          <w:rFonts w:asciiTheme="minorHAnsi" w:hAnsiTheme="minorHAnsi" w:cstheme="minorHAnsi"/>
          <w:b w:val="0"/>
          <w:bCs w:val="0"/>
          <w:sz w:val="22"/>
          <w:szCs w:val="22"/>
        </w:rPr>
        <w:t>to</w:t>
      </w:r>
      <w:r w:rsidRPr="00A34F8A">
        <w:rPr>
          <w:rFonts w:asciiTheme="minorHAnsi" w:hAnsiTheme="minorHAnsi" w:cstheme="minorHAnsi"/>
          <w:b w:val="0"/>
          <w:bCs w:val="0"/>
          <w:sz w:val="22"/>
          <w:szCs w:val="22"/>
        </w:rPr>
        <w:t xml:space="preserve"> improve the effectiveness of the regulation and to better align with international standards. The impacts of </w:t>
      </w:r>
      <w:r w:rsidR="00FA0085">
        <w:rPr>
          <w:rFonts w:asciiTheme="minorHAnsi" w:hAnsiTheme="minorHAnsi" w:cstheme="minorHAnsi"/>
          <w:b w:val="0"/>
          <w:bCs w:val="0"/>
          <w:sz w:val="22"/>
          <w:szCs w:val="22"/>
        </w:rPr>
        <w:t>proposed</w:t>
      </w:r>
      <w:r w:rsidRPr="00A34F8A">
        <w:rPr>
          <w:rFonts w:asciiTheme="minorHAnsi" w:hAnsiTheme="minorHAnsi" w:cstheme="minorHAnsi"/>
          <w:b w:val="0"/>
          <w:bCs w:val="0"/>
          <w:sz w:val="22"/>
          <w:szCs w:val="22"/>
        </w:rPr>
        <w:t xml:space="preserve"> policy options are assessed in Section 4.</w:t>
      </w:r>
      <w:bookmarkEnd w:id="61"/>
      <w:bookmarkEnd w:id="62"/>
    </w:p>
    <w:p w14:paraId="22F077FC" w14:textId="31ADF2F4" w:rsidR="009E7442" w:rsidRPr="00A34F8A" w:rsidRDefault="009E7442" w:rsidP="00726930">
      <w:pPr>
        <w:pStyle w:val="Heading2"/>
      </w:pPr>
      <w:bookmarkStart w:id="63" w:name="_Toc168660725"/>
      <w:bookmarkStart w:id="64" w:name="_Toc183163244"/>
      <w:r w:rsidRPr="00A34F8A">
        <w:t>3.1 Principles for policy option design</w:t>
      </w:r>
      <w:bookmarkEnd w:id="63"/>
      <w:bookmarkEnd w:id="64"/>
    </w:p>
    <w:p w14:paraId="46EBDF49" w14:textId="77777777" w:rsidR="00BE1020" w:rsidRPr="00A34F8A" w:rsidRDefault="00BE1020" w:rsidP="00BE1020">
      <w:pPr>
        <w:rPr>
          <w:rFonts w:asciiTheme="minorHAnsi" w:hAnsiTheme="minorHAnsi" w:cstheme="minorHAnsi"/>
          <w:szCs w:val="22"/>
        </w:rPr>
      </w:pPr>
      <w:r w:rsidRPr="00A34F8A">
        <w:rPr>
          <w:rFonts w:asciiTheme="minorHAnsi" w:hAnsiTheme="minorHAnsi" w:cstheme="minorHAnsi"/>
          <w:szCs w:val="22"/>
        </w:rPr>
        <w:t>The policy options proposed in this RIS are designed to improve the average energy efficiency of EPS sold in Australia and New Zealand. The proposals are intended to:</w:t>
      </w:r>
    </w:p>
    <w:p w14:paraId="61E1D2C0" w14:textId="520A6F05" w:rsidR="00BE1020" w:rsidRPr="00A34F8A" w:rsidRDefault="00BE1020" w:rsidP="00BE1020">
      <w:pPr>
        <w:pStyle w:val="Bullet-Level1"/>
        <w:rPr>
          <w:rFonts w:asciiTheme="minorHAnsi" w:hAnsiTheme="minorHAnsi" w:cstheme="minorHAnsi"/>
          <w:sz w:val="22"/>
          <w:szCs w:val="22"/>
        </w:rPr>
      </w:pPr>
      <w:r w:rsidRPr="00A34F8A">
        <w:rPr>
          <w:rFonts w:asciiTheme="minorHAnsi" w:hAnsiTheme="minorHAnsi" w:cstheme="minorHAnsi"/>
          <w:sz w:val="22"/>
          <w:szCs w:val="22"/>
        </w:rPr>
        <w:t>Improve energy efficiency, to deliver further benefits such as reduced electricity bills and avoided electricity network costs</w:t>
      </w:r>
    </w:p>
    <w:p w14:paraId="2F5F0AC9" w14:textId="108B1BEA" w:rsidR="00BE1020" w:rsidRPr="00A34F8A" w:rsidRDefault="00BE1020" w:rsidP="00BE1020">
      <w:pPr>
        <w:pStyle w:val="Bullet-Level1"/>
        <w:rPr>
          <w:rFonts w:asciiTheme="minorHAnsi" w:hAnsiTheme="minorHAnsi" w:cstheme="minorHAnsi"/>
          <w:sz w:val="22"/>
          <w:szCs w:val="22"/>
        </w:rPr>
      </w:pPr>
      <w:r w:rsidRPr="00A34F8A">
        <w:rPr>
          <w:rFonts w:asciiTheme="minorHAnsi" w:hAnsiTheme="minorHAnsi" w:cstheme="minorHAnsi"/>
          <w:sz w:val="22"/>
          <w:szCs w:val="22"/>
        </w:rPr>
        <w:t>Ensure international alignment of efficiency regulatory requirements and minimis</w:t>
      </w:r>
      <w:r w:rsidR="008A0E1B">
        <w:rPr>
          <w:rFonts w:asciiTheme="minorHAnsi" w:hAnsiTheme="minorHAnsi" w:cstheme="minorHAnsi"/>
          <w:sz w:val="22"/>
          <w:szCs w:val="22"/>
        </w:rPr>
        <w:t>e</w:t>
      </w:r>
      <w:r w:rsidR="00DA3E29">
        <w:rPr>
          <w:rFonts w:asciiTheme="minorHAnsi" w:hAnsiTheme="minorHAnsi" w:cstheme="minorHAnsi"/>
          <w:sz w:val="22"/>
          <w:szCs w:val="22"/>
        </w:rPr>
        <w:t xml:space="preserve"> </w:t>
      </w:r>
      <w:r w:rsidRPr="00A34F8A">
        <w:rPr>
          <w:rFonts w:asciiTheme="minorHAnsi" w:hAnsiTheme="minorHAnsi" w:cstheme="minorHAnsi"/>
          <w:sz w:val="22"/>
          <w:szCs w:val="22"/>
        </w:rPr>
        <w:t>trade barriers</w:t>
      </w:r>
    </w:p>
    <w:p w14:paraId="6C2D7E3C" w14:textId="158B52E8" w:rsidR="00BE1020" w:rsidRPr="00A34F8A" w:rsidRDefault="00BE1020" w:rsidP="00BE1020">
      <w:pPr>
        <w:pStyle w:val="Bullet-Level1"/>
        <w:rPr>
          <w:rFonts w:asciiTheme="minorHAnsi" w:hAnsiTheme="minorHAnsi" w:cstheme="minorHAnsi"/>
          <w:sz w:val="22"/>
          <w:szCs w:val="22"/>
        </w:rPr>
      </w:pPr>
      <w:r w:rsidRPr="00A34F8A">
        <w:rPr>
          <w:rFonts w:asciiTheme="minorHAnsi" w:hAnsiTheme="minorHAnsi" w:cstheme="minorHAnsi"/>
          <w:sz w:val="22"/>
          <w:szCs w:val="22"/>
        </w:rPr>
        <w:t>Minimise the public and private costs associated with regulating EPS (such as costs associated with manufacturing, registration, compliance and enforcement)</w:t>
      </w:r>
    </w:p>
    <w:p w14:paraId="2850ACFF" w14:textId="7A230391" w:rsidR="00BE1020" w:rsidRPr="00A34F8A" w:rsidRDefault="00BE1020" w:rsidP="00BE1020">
      <w:pPr>
        <w:pStyle w:val="Bullet-Level1"/>
        <w:rPr>
          <w:rFonts w:asciiTheme="minorHAnsi" w:hAnsiTheme="minorHAnsi" w:cstheme="minorHAnsi"/>
          <w:sz w:val="22"/>
          <w:szCs w:val="22"/>
        </w:rPr>
      </w:pPr>
      <w:r w:rsidRPr="00A34F8A">
        <w:rPr>
          <w:rFonts w:asciiTheme="minorHAnsi" w:hAnsiTheme="minorHAnsi" w:cstheme="minorHAnsi"/>
          <w:sz w:val="22"/>
          <w:szCs w:val="22"/>
        </w:rPr>
        <w:t>Ensure a sufficient supply of EPS for Australian and New Zealand consumers</w:t>
      </w:r>
    </w:p>
    <w:p w14:paraId="3A098D60" w14:textId="77777777" w:rsidR="00BE1020" w:rsidRPr="00A34F8A" w:rsidRDefault="00BE1020" w:rsidP="00BE1020">
      <w:pPr>
        <w:pStyle w:val="Bullet-Level1"/>
        <w:rPr>
          <w:rFonts w:asciiTheme="minorHAnsi" w:hAnsiTheme="minorHAnsi" w:cstheme="minorHAnsi"/>
          <w:sz w:val="22"/>
          <w:szCs w:val="22"/>
        </w:rPr>
      </w:pPr>
      <w:r w:rsidRPr="00A34F8A">
        <w:rPr>
          <w:rFonts w:asciiTheme="minorHAnsi" w:hAnsiTheme="minorHAnsi" w:cstheme="minorHAnsi"/>
          <w:sz w:val="22"/>
          <w:szCs w:val="22"/>
        </w:rPr>
        <w:t>Reduce greenhouse gas emissions, which will help both Australia and New Zealand’s climate-related commitments:</w:t>
      </w:r>
    </w:p>
    <w:p w14:paraId="1B817471" w14:textId="6FFA496D" w:rsidR="00BE1020" w:rsidRPr="00A34F8A" w:rsidRDefault="00BE1020" w:rsidP="00BE1020">
      <w:pPr>
        <w:pStyle w:val="Bullet-Level2"/>
        <w:numPr>
          <w:ilvl w:val="0"/>
          <w:numId w:val="3"/>
        </w:numPr>
        <w:ind w:left="1134"/>
        <w:rPr>
          <w:rFonts w:asciiTheme="minorHAnsi" w:hAnsiTheme="minorHAnsi" w:cstheme="minorHAnsi"/>
          <w:sz w:val="22"/>
          <w:szCs w:val="22"/>
        </w:rPr>
      </w:pPr>
      <w:r w:rsidRPr="00A34F8A">
        <w:rPr>
          <w:rFonts w:asciiTheme="minorHAnsi" w:hAnsiTheme="minorHAnsi" w:cstheme="minorHAnsi"/>
          <w:sz w:val="22"/>
          <w:szCs w:val="22"/>
        </w:rPr>
        <w:t xml:space="preserve">For New Zealand, the policy proposal is strategically aligned with its energy transition goals including improving energy efficiency and lowering emissions to achieve net zero by </w:t>
      </w:r>
      <w:r w:rsidRPr="0062402A">
        <w:rPr>
          <w:rFonts w:asciiTheme="minorHAnsi" w:hAnsiTheme="minorHAnsi" w:cstheme="minorHAnsi"/>
          <w:sz w:val="22"/>
          <w:szCs w:val="22"/>
        </w:rPr>
        <w:t xml:space="preserve">2050 </w:t>
      </w:r>
      <w:sdt>
        <w:sdtPr>
          <w:rPr>
            <w:rFonts w:asciiTheme="minorHAnsi" w:hAnsiTheme="minorHAnsi" w:cstheme="minorHAnsi"/>
            <w:sz w:val="22"/>
            <w:szCs w:val="22"/>
          </w:rPr>
          <w:id w:val="-58632223"/>
          <w:citation/>
        </w:sdtPr>
        <w:sdtContent>
          <w:r w:rsidRPr="0062402A">
            <w:rPr>
              <w:rFonts w:asciiTheme="minorHAnsi" w:hAnsiTheme="minorHAnsi" w:cstheme="minorHAnsi"/>
              <w:sz w:val="22"/>
              <w:szCs w:val="22"/>
            </w:rPr>
            <w:fldChar w:fldCharType="begin"/>
          </w:r>
          <w:r w:rsidR="00DA7696" w:rsidRPr="0062402A">
            <w:rPr>
              <w:rFonts w:asciiTheme="minorHAnsi" w:hAnsiTheme="minorHAnsi" w:cstheme="minorHAnsi"/>
              <w:sz w:val="22"/>
              <w:szCs w:val="22"/>
            </w:rPr>
            <w:instrText xml:space="preserve">CITATION New19 \l 3081 </w:instrText>
          </w:r>
          <w:r w:rsidRPr="0062402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(New Zealand Legislation, 2019)</w:t>
          </w:r>
          <w:r w:rsidRPr="0062402A">
            <w:rPr>
              <w:rFonts w:asciiTheme="minorHAnsi" w:hAnsiTheme="minorHAnsi" w:cstheme="minorHAnsi"/>
              <w:sz w:val="22"/>
              <w:szCs w:val="22"/>
            </w:rPr>
            <w:fldChar w:fldCharType="end"/>
          </w:r>
        </w:sdtContent>
      </w:sdt>
      <w:r w:rsidRPr="0062402A">
        <w:rPr>
          <w:rFonts w:asciiTheme="minorHAnsi" w:hAnsiTheme="minorHAnsi" w:cstheme="minorHAnsi"/>
          <w:sz w:val="22"/>
          <w:szCs w:val="22"/>
        </w:rPr>
        <w:t>. The</w:t>
      </w:r>
      <w:r w:rsidRPr="006D35C2">
        <w:rPr>
          <w:rFonts w:asciiTheme="minorHAnsi" w:hAnsiTheme="minorHAnsi" w:cstheme="minorHAnsi"/>
          <w:sz w:val="22"/>
          <w:szCs w:val="22"/>
        </w:rPr>
        <w:t xml:space="preserve"> proposal also contributes</w:t>
      </w:r>
      <w:r w:rsidRPr="00A34F8A">
        <w:rPr>
          <w:rFonts w:asciiTheme="minorHAnsi" w:hAnsiTheme="minorHAnsi" w:cstheme="minorHAnsi"/>
          <w:sz w:val="22"/>
          <w:szCs w:val="22"/>
        </w:rPr>
        <w:t xml:space="preserve"> to the New Zealand Energy Efficiency and Conservation Strategy </w:t>
      </w:r>
      <w:sdt>
        <w:sdtPr>
          <w:rPr>
            <w:rFonts w:asciiTheme="minorHAnsi" w:hAnsiTheme="minorHAnsi" w:cstheme="minorHAnsi"/>
            <w:sz w:val="22"/>
            <w:szCs w:val="22"/>
          </w:rPr>
          <w:id w:val="-2034796858"/>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Int23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(Ministry of Business, Innovation &amp; Employment, 2017)</w:t>
          </w:r>
          <w:r w:rsidRPr="00A34F8A">
            <w:rPr>
              <w:rFonts w:asciiTheme="minorHAnsi" w:hAnsiTheme="minorHAnsi" w:cstheme="minorHAnsi"/>
              <w:sz w:val="22"/>
              <w:szCs w:val="22"/>
            </w:rPr>
            <w:fldChar w:fldCharType="end"/>
          </w:r>
        </w:sdtContent>
      </w:sdt>
    </w:p>
    <w:p w14:paraId="505CE15A" w14:textId="14AF1576" w:rsidR="00BE1020" w:rsidRPr="0062402A" w:rsidRDefault="00BE1020" w:rsidP="00BE1020">
      <w:pPr>
        <w:pStyle w:val="Bullet-Level2"/>
        <w:numPr>
          <w:ilvl w:val="0"/>
          <w:numId w:val="3"/>
        </w:numPr>
        <w:ind w:left="1134"/>
        <w:rPr>
          <w:rFonts w:asciiTheme="minorHAnsi" w:hAnsiTheme="minorHAnsi" w:cstheme="minorHAnsi"/>
          <w:sz w:val="22"/>
          <w:szCs w:val="22"/>
        </w:rPr>
      </w:pPr>
      <w:r w:rsidRPr="006D35C2">
        <w:rPr>
          <w:rFonts w:asciiTheme="minorHAnsi" w:hAnsiTheme="minorHAnsi" w:cstheme="minorHAnsi"/>
          <w:sz w:val="22"/>
          <w:szCs w:val="22"/>
        </w:rPr>
        <w:t xml:space="preserve">For Australia, the proposal aligns with and contributes to the COAG National Energy Productivity Plan which aims to make a 40% improvement to energy productivity </w:t>
      </w:r>
      <w:sdt>
        <w:sdtPr>
          <w:rPr>
            <w:rFonts w:asciiTheme="minorHAnsi" w:hAnsiTheme="minorHAnsi" w:cstheme="minorHAnsi"/>
            <w:sz w:val="22"/>
            <w:szCs w:val="22"/>
          </w:rPr>
          <w:id w:val="-990557100"/>
          <w:citation/>
        </w:sdtPr>
        <w:sdtContent>
          <w:r w:rsidRPr="006D35C2">
            <w:rPr>
              <w:rFonts w:asciiTheme="minorHAnsi" w:hAnsiTheme="minorHAnsi" w:cstheme="minorHAnsi"/>
              <w:sz w:val="22"/>
              <w:szCs w:val="22"/>
            </w:rPr>
            <w:fldChar w:fldCharType="begin"/>
          </w:r>
          <w:r w:rsidRPr="006D35C2">
            <w:rPr>
              <w:rFonts w:asciiTheme="minorHAnsi" w:hAnsiTheme="minorHAnsi" w:cstheme="minorHAnsi"/>
              <w:sz w:val="22"/>
              <w:szCs w:val="22"/>
            </w:rPr>
            <w:instrText xml:space="preserve">CITATION COA15 \l 3081 </w:instrText>
          </w:r>
          <w:r w:rsidRPr="006D35C2">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(COAG Energy Council, 2015)</w:t>
          </w:r>
          <w:r w:rsidRPr="006D35C2">
            <w:rPr>
              <w:rFonts w:asciiTheme="minorHAnsi" w:hAnsiTheme="minorHAnsi" w:cstheme="minorHAnsi"/>
              <w:sz w:val="22"/>
              <w:szCs w:val="22"/>
            </w:rPr>
            <w:fldChar w:fldCharType="end"/>
          </w:r>
        </w:sdtContent>
      </w:sdt>
      <w:r w:rsidRPr="006D35C2">
        <w:rPr>
          <w:rFonts w:asciiTheme="minorHAnsi" w:hAnsiTheme="minorHAnsi" w:cstheme="minorHAnsi"/>
          <w:sz w:val="22"/>
          <w:szCs w:val="22"/>
        </w:rPr>
        <w:t xml:space="preserve">. Further, </w:t>
      </w:r>
      <w:r w:rsidR="00745441">
        <w:rPr>
          <w:rFonts w:asciiTheme="minorHAnsi" w:hAnsiTheme="minorHAnsi" w:cstheme="minorHAnsi"/>
          <w:sz w:val="22"/>
          <w:szCs w:val="22"/>
        </w:rPr>
        <w:t xml:space="preserve">one of the supporting actions in </w:t>
      </w:r>
      <w:r w:rsidR="005368C3">
        <w:rPr>
          <w:rFonts w:asciiTheme="minorHAnsi" w:hAnsiTheme="minorHAnsi" w:cstheme="minorHAnsi"/>
          <w:sz w:val="22"/>
          <w:szCs w:val="22"/>
        </w:rPr>
        <w:t>the</w:t>
      </w:r>
      <w:r w:rsidR="00CC5447">
        <w:rPr>
          <w:rFonts w:asciiTheme="minorHAnsi" w:hAnsiTheme="minorHAnsi" w:cstheme="minorHAnsi"/>
          <w:sz w:val="22"/>
          <w:szCs w:val="22"/>
        </w:rPr>
        <w:t xml:space="preserve"> ‘Technology and </w:t>
      </w:r>
      <w:r w:rsidR="00714E6E">
        <w:rPr>
          <w:rFonts w:asciiTheme="minorHAnsi" w:hAnsiTheme="minorHAnsi" w:cstheme="minorHAnsi"/>
          <w:sz w:val="22"/>
          <w:szCs w:val="22"/>
        </w:rPr>
        <w:t>innovation’</w:t>
      </w:r>
      <w:r w:rsidR="005368C3">
        <w:rPr>
          <w:rFonts w:asciiTheme="minorHAnsi" w:hAnsiTheme="minorHAnsi" w:cstheme="minorHAnsi"/>
          <w:sz w:val="22"/>
          <w:szCs w:val="22"/>
        </w:rPr>
        <w:t xml:space="preserve"> focus area in </w:t>
      </w:r>
      <w:r w:rsidRPr="006D35C2">
        <w:rPr>
          <w:rFonts w:asciiTheme="minorHAnsi" w:hAnsiTheme="minorHAnsi" w:cstheme="minorHAnsi"/>
          <w:sz w:val="22"/>
          <w:szCs w:val="22"/>
        </w:rPr>
        <w:t xml:space="preserve">the National Energy Performance Strategy (NEPS) </w:t>
      </w:r>
      <w:r w:rsidR="00745441">
        <w:rPr>
          <w:rFonts w:asciiTheme="minorHAnsi" w:hAnsiTheme="minorHAnsi" w:cstheme="minorHAnsi"/>
          <w:sz w:val="22"/>
          <w:szCs w:val="22"/>
        </w:rPr>
        <w:t xml:space="preserve">is to </w:t>
      </w:r>
      <w:r w:rsidR="009B0D6F">
        <w:rPr>
          <w:rFonts w:asciiTheme="minorHAnsi" w:hAnsiTheme="minorHAnsi" w:cstheme="minorHAnsi"/>
          <w:sz w:val="22"/>
          <w:szCs w:val="22"/>
        </w:rPr>
        <w:t xml:space="preserve">“streamline, expand and modernise the Greenhouse </w:t>
      </w:r>
      <w:r w:rsidR="00654554">
        <w:rPr>
          <w:rFonts w:asciiTheme="minorHAnsi" w:hAnsiTheme="minorHAnsi" w:cstheme="minorHAnsi"/>
          <w:sz w:val="22"/>
          <w:szCs w:val="22"/>
        </w:rPr>
        <w:t>and Energy Minimum Standards (GEMS) framework</w:t>
      </w:r>
      <w:r w:rsidRPr="0062402A">
        <w:rPr>
          <w:rFonts w:asciiTheme="minorHAnsi" w:hAnsiTheme="minorHAnsi" w:cstheme="minorHAnsi"/>
          <w:sz w:val="22"/>
          <w:szCs w:val="22"/>
        </w:rPr>
        <w:t xml:space="preserve"> </w:t>
      </w:r>
      <w:sdt>
        <w:sdtPr>
          <w:rPr>
            <w:rFonts w:asciiTheme="minorHAnsi" w:hAnsiTheme="minorHAnsi" w:cstheme="minorHAnsi"/>
            <w:sz w:val="22"/>
            <w:szCs w:val="22"/>
          </w:rPr>
          <w:id w:val="-1066565051"/>
          <w:citation/>
        </w:sdtPr>
        <w:sdtContent>
          <w:r w:rsidRPr="0062402A">
            <w:rPr>
              <w:rFonts w:asciiTheme="minorHAnsi" w:hAnsiTheme="minorHAnsi" w:cstheme="minorHAnsi"/>
              <w:sz w:val="22"/>
              <w:szCs w:val="22"/>
            </w:rPr>
            <w:fldChar w:fldCharType="begin"/>
          </w:r>
          <w:r w:rsidR="008B2F2C">
            <w:rPr>
              <w:rFonts w:asciiTheme="minorHAnsi" w:hAnsiTheme="minorHAnsi" w:cstheme="minorHAnsi"/>
              <w:sz w:val="22"/>
              <w:szCs w:val="22"/>
            </w:rPr>
            <w:instrText xml:space="preserve">CITATION Aus23 \l 3081 </w:instrText>
          </w:r>
          <w:r w:rsidRPr="0062402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(Department of Climate Change, Energy, the Environment and Water, 2024)</w:t>
          </w:r>
          <w:r w:rsidRPr="0062402A">
            <w:rPr>
              <w:rFonts w:asciiTheme="minorHAnsi" w:hAnsiTheme="minorHAnsi" w:cstheme="minorHAnsi"/>
              <w:sz w:val="22"/>
              <w:szCs w:val="22"/>
            </w:rPr>
            <w:fldChar w:fldCharType="end"/>
          </w:r>
        </w:sdtContent>
      </w:sdt>
      <w:r w:rsidRPr="006D35C2">
        <w:rPr>
          <w:rFonts w:asciiTheme="minorHAnsi" w:hAnsiTheme="minorHAnsi" w:cstheme="minorHAnsi"/>
          <w:sz w:val="22"/>
          <w:szCs w:val="22"/>
        </w:rPr>
        <w:t xml:space="preserve">. Improving the regulations will also contribute to the Australian Government’s target to reduce greenhouse gas emissions by 43% percent below 2005 levels by 2030 and to the individual states’ commitments to reach net zero by 2050 or earlier </w:t>
      </w:r>
      <w:sdt>
        <w:sdtPr>
          <w:rPr>
            <w:rFonts w:asciiTheme="minorHAnsi" w:hAnsiTheme="minorHAnsi" w:cstheme="minorHAnsi"/>
            <w:sz w:val="22"/>
            <w:szCs w:val="22"/>
          </w:rPr>
          <w:id w:val="-803156071"/>
          <w:citation/>
        </w:sdtPr>
        <w:sdtContent>
          <w:r w:rsidRPr="0062402A">
            <w:rPr>
              <w:rFonts w:asciiTheme="minorHAnsi" w:hAnsiTheme="minorHAnsi" w:cstheme="minorHAnsi"/>
              <w:sz w:val="22"/>
              <w:szCs w:val="22"/>
            </w:rPr>
            <w:fldChar w:fldCharType="begin"/>
          </w:r>
          <w:r w:rsidR="0034424E" w:rsidRPr="0062402A">
            <w:rPr>
              <w:rFonts w:asciiTheme="minorHAnsi" w:hAnsiTheme="minorHAnsi" w:cstheme="minorHAnsi"/>
              <w:sz w:val="22"/>
              <w:szCs w:val="22"/>
            </w:rPr>
            <w:instrText xml:space="preserve">CITATION Aus22 \l 3081 </w:instrText>
          </w:r>
          <w:r w:rsidRPr="0062402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(Australian Government: Australian Office of Financial Management, 2022)</w:t>
          </w:r>
          <w:r w:rsidRPr="0062402A">
            <w:rPr>
              <w:rFonts w:asciiTheme="minorHAnsi" w:hAnsiTheme="minorHAnsi" w:cstheme="minorHAnsi"/>
              <w:sz w:val="22"/>
              <w:szCs w:val="22"/>
            </w:rPr>
            <w:fldChar w:fldCharType="end"/>
          </w:r>
        </w:sdtContent>
      </w:sdt>
      <w:r w:rsidR="00C86F20">
        <w:rPr>
          <w:rFonts w:asciiTheme="minorHAnsi" w:hAnsiTheme="minorHAnsi" w:cstheme="minorHAnsi"/>
          <w:sz w:val="22"/>
          <w:szCs w:val="22"/>
        </w:rPr>
        <w:t>.</w:t>
      </w:r>
    </w:p>
    <w:p w14:paraId="163E0C6B" w14:textId="4930207B" w:rsidR="00BE1020" w:rsidRPr="00A34F8A" w:rsidRDefault="00BE1020" w:rsidP="00BE1020">
      <w:pPr>
        <w:rPr>
          <w:rFonts w:asciiTheme="minorHAnsi" w:hAnsiTheme="minorHAnsi" w:cstheme="minorHAnsi"/>
          <w:szCs w:val="22"/>
        </w:rPr>
      </w:pPr>
      <w:r w:rsidRPr="00A34F8A">
        <w:rPr>
          <w:rFonts w:asciiTheme="minorHAnsi" w:hAnsiTheme="minorHAnsi" w:cstheme="minorHAnsi"/>
          <w:szCs w:val="22"/>
        </w:rPr>
        <w:lastRenderedPageBreak/>
        <w:t xml:space="preserve">The sections below discuss considerations for increasing both the stringency and scope of the current </w:t>
      </w:r>
      <w:r w:rsidR="00044982">
        <w:rPr>
          <w:rFonts w:asciiTheme="minorHAnsi" w:hAnsiTheme="minorHAnsi" w:cstheme="minorHAnsi"/>
          <w:szCs w:val="22"/>
        </w:rPr>
        <w:t>requirements</w:t>
      </w:r>
      <w:r w:rsidRPr="00A34F8A">
        <w:rPr>
          <w:rFonts w:asciiTheme="minorHAnsi" w:hAnsiTheme="minorHAnsi" w:cstheme="minorHAnsi"/>
          <w:szCs w:val="22"/>
        </w:rPr>
        <w:t xml:space="preserve"> to ensure they remain relevant within the global context and effective at driving energy efficiency improvements and preventing market failures.</w:t>
      </w:r>
    </w:p>
    <w:p w14:paraId="2EF2D223" w14:textId="4FEC726B" w:rsidR="00BE1020" w:rsidRPr="00726930" w:rsidRDefault="00BE1020" w:rsidP="00726930">
      <w:pPr>
        <w:pStyle w:val="Heading2"/>
      </w:pPr>
      <w:bookmarkStart w:id="65" w:name="_Toc168660726"/>
      <w:bookmarkStart w:id="66" w:name="_Toc183163245"/>
      <w:r w:rsidRPr="00726930">
        <w:t>3.2 Considerations for increasing MEPS stringency</w:t>
      </w:r>
      <w:bookmarkEnd w:id="65"/>
      <w:bookmarkEnd w:id="66"/>
    </w:p>
    <w:p w14:paraId="0E35EE2C" w14:textId="0F89CF1E" w:rsidR="001A563F" w:rsidRPr="00A34F8A" w:rsidRDefault="001A563F" w:rsidP="001A563F">
      <w:pPr>
        <w:rPr>
          <w:rFonts w:asciiTheme="minorHAnsi" w:hAnsiTheme="minorHAnsi" w:cstheme="minorHAnsi"/>
          <w:szCs w:val="22"/>
        </w:rPr>
      </w:pPr>
      <w:r w:rsidRPr="00A34F8A">
        <w:rPr>
          <w:rFonts w:asciiTheme="minorHAnsi" w:hAnsiTheme="minorHAnsi" w:cstheme="minorHAnsi"/>
          <w:szCs w:val="22"/>
        </w:rPr>
        <w:t xml:space="preserve">The stringency of the current regulations in Australia and New Zealand (mark III) are detailed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_Ref141797307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5</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w:t>
      </w:r>
    </w:p>
    <w:p w14:paraId="45FECE59" w14:textId="77777777" w:rsidR="001A563F" w:rsidRPr="00A34F8A" w:rsidRDefault="001A563F" w:rsidP="001A563F">
      <w:pPr>
        <w:pStyle w:val="BlueLineTop"/>
        <w:rPr>
          <w:rFonts w:asciiTheme="minorHAnsi" w:hAnsiTheme="minorHAnsi" w:cstheme="minorHAnsi"/>
          <w:sz w:val="22"/>
          <w:szCs w:val="22"/>
        </w:rPr>
      </w:pPr>
    </w:p>
    <w:p w14:paraId="5B3F074B" w14:textId="2A8D47D9" w:rsidR="001A563F" w:rsidRPr="00A34F8A" w:rsidRDefault="001A563F" w:rsidP="001A563F">
      <w:pPr>
        <w:pStyle w:val="Caption"/>
        <w:rPr>
          <w:rFonts w:asciiTheme="minorHAnsi" w:hAnsiTheme="minorHAnsi" w:cstheme="minorHAnsi"/>
          <w:sz w:val="22"/>
          <w:szCs w:val="22"/>
        </w:rPr>
      </w:pPr>
      <w:bookmarkStart w:id="67" w:name="_Ref141797307"/>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w:t>
      </w:r>
      <w:r w:rsidRPr="00A34F8A">
        <w:rPr>
          <w:rFonts w:asciiTheme="minorHAnsi" w:hAnsiTheme="minorHAnsi" w:cstheme="minorHAnsi"/>
          <w:sz w:val="22"/>
          <w:szCs w:val="22"/>
        </w:rPr>
        <w:fldChar w:fldCharType="end"/>
      </w:r>
      <w:bookmarkEnd w:id="67"/>
      <w:r w:rsidRPr="00A34F8A">
        <w:rPr>
          <w:rFonts w:asciiTheme="minorHAnsi" w:hAnsiTheme="minorHAnsi" w:cstheme="minorHAnsi"/>
          <w:sz w:val="22"/>
          <w:szCs w:val="22"/>
        </w:rPr>
        <w:t xml:space="preserve">: Mark III efficiency requirements (Australian and New Zealand MEPS. Note SV=single voltage </w:t>
      </w:r>
      <w:sdt>
        <w:sdtPr>
          <w:rPr>
            <w:rFonts w:asciiTheme="minorHAnsi" w:hAnsiTheme="minorHAnsi" w:cstheme="minorHAnsi"/>
            <w:sz w:val="22"/>
            <w:szCs w:val="22"/>
          </w:rPr>
          <w:id w:val="-1760590852"/>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Aus17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(Australian Government Department of Environment and Energy, 2017)</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w:t>
      </w:r>
    </w:p>
    <w:tbl>
      <w:tblPr>
        <w:tblStyle w:val="ComCap4-nested"/>
        <w:tblW w:w="9072" w:type="dxa"/>
        <w:tblInd w:w="-567" w:type="dxa"/>
        <w:tblBorders>
          <w:insideV w:val="single" w:sz="4" w:space="0" w:color="auto"/>
        </w:tblBorders>
        <w:tblLook w:val="04A0" w:firstRow="1" w:lastRow="0" w:firstColumn="1" w:lastColumn="0" w:noHBand="0" w:noVBand="1"/>
      </w:tblPr>
      <w:tblGrid>
        <w:gridCol w:w="770"/>
        <w:gridCol w:w="1924"/>
        <w:gridCol w:w="1701"/>
        <w:gridCol w:w="4677"/>
      </w:tblGrid>
      <w:tr w:rsidR="00F01F11" w:rsidRPr="00A34F8A" w14:paraId="3B25C735" w14:textId="77777777" w:rsidTr="00667158">
        <w:trPr>
          <w:cnfStyle w:val="100000000000" w:firstRow="1" w:lastRow="0" w:firstColumn="0" w:lastColumn="0" w:oddVBand="0" w:evenVBand="0" w:oddHBand="0" w:evenHBand="0" w:firstRowFirstColumn="0" w:firstRowLastColumn="0" w:lastRowFirstColumn="0" w:lastRowLastColumn="0"/>
          <w:tblHeader/>
        </w:trPr>
        <w:tc>
          <w:tcPr>
            <w:tcW w:w="770" w:type="dxa"/>
            <w:tcBorders>
              <w:right w:val="single" w:sz="4" w:space="0" w:color="C4BC96" w:themeColor="background2" w:themeShade="BF"/>
            </w:tcBorders>
            <w:tcMar>
              <w:top w:w="57" w:type="dxa"/>
              <w:left w:w="57" w:type="dxa"/>
              <w:bottom w:w="57" w:type="dxa"/>
              <w:right w:w="57" w:type="dxa"/>
            </w:tcMar>
          </w:tcPr>
          <w:p w14:paraId="1C07B5B8" w14:textId="77777777" w:rsidR="001A563F" w:rsidRPr="00A34F8A" w:rsidRDefault="001A563F"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Output</w:t>
            </w:r>
          </w:p>
        </w:tc>
        <w:tc>
          <w:tcPr>
            <w:tcW w:w="1924" w:type="dxa"/>
            <w:tcBorders>
              <w:left w:val="single" w:sz="4" w:space="0" w:color="C4BC96" w:themeColor="background2" w:themeShade="BF"/>
            </w:tcBorders>
            <w:tcMar>
              <w:top w:w="57" w:type="dxa"/>
              <w:left w:w="57" w:type="dxa"/>
              <w:bottom w:w="57" w:type="dxa"/>
              <w:right w:w="57" w:type="dxa"/>
            </w:tcMar>
          </w:tcPr>
          <w:p w14:paraId="6ED315C7" w14:textId="77777777" w:rsidR="001A563F" w:rsidRPr="00A34F8A" w:rsidRDefault="001A563F"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Nameplate output power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w:t>
            </w:r>
          </w:p>
        </w:tc>
        <w:tc>
          <w:tcPr>
            <w:tcW w:w="1701" w:type="dxa"/>
            <w:tcBorders>
              <w:left w:val="single" w:sz="4" w:space="0" w:color="C4BC96" w:themeColor="background2" w:themeShade="BF"/>
            </w:tcBorders>
            <w:tcMar>
              <w:top w:w="57" w:type="dxa"/>
              <w:left w:w="57" w:type="dxa"/>
              <w:bottom w:w="57" w:type="dxa"/>
              <w:right w:w="57" w:type="dxa"/>
            </w:tcMar>
          </w:tcPr>
          <w:p w14:paraId="32F76D81" w14:textId="77777777" w:rsidR="001A563F" w:rsidRPr="00A34F8A" w:rsidRDefault="001A563F"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No-load mode power*</w:t>
            </w:r>
          </w:p>
        </w:tc>
        <w:tc>
          <w:tcPr>
            <w:tcW w:w="4677" w:type="dxa"/>
            <w:tcBorders>
              <w:left w:val="single" w:sz="4" w:space="0" w:color="C4BC96" w:themeColor="background2" w:themeShade="BF"/>
            </w:tcBorders>
            <w:tcMar>
              <w:top w:w="57" w:type="dxa"/>
              <w:left w:w="57" w:type="dxa"/>
              <w:bottom w:w="57" w:type="dxa"/>
              <w:right w:w="57" w:type="dxa"/>
            </w:tcMar>
          </w:tcPr>
          <w:p w14:paraId="5930AB3A" w14:textId="77777777" w:rsidR="001A563F" w:rsidRPr="00A34F8A" w:rsidRDefault="001A563F"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Average efficiency in active mode</w:t>
            </w:r>
          </w:p>
        </w:tc>
      </w:tr>
      <w:tr w:rsidR="00DA1EBB" w:rsidRPr="00A34F8A" w14:paraId="018F8E49" w14:textId="77777777" w:rsidTr="00667158">
        <w:tc>
          <w:tcPr>
            <w:tcW w:w="770" w:type="dxa"/>
            <w:vMerge w:val="restart"/>
            <w:tcBorders>
              <w:right w:val="single" w:sz="4" w:space="0" w:color="C4BC96" w:themeColor="background2" w:themeShade="BF"/>
            </w:tcBorders>
            <w:tcMar>
              <w:top w:w="57" w:type="dxa"/>
              <w:left w:w="57" w:type="dxa"/>
              <w:bottom w:w="57" w:type="dxa"/>
              <w:right w:w="57" w:type="dxa"/>
            </w:tcMar>
          </w:tcPr>
          <w:p w14:paraId="33580EC0" w14:textId="77777777" w:rsidR="001A563F" w:rsidRPr="00A34F8A" w:rsidRDefault="001A563F"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t>SV</w:t>
            </w:r>
          </w:p>
        </w:tc>
        <w:tc>
          <w:tcPr>
            <w:tcW w:w="1924" w:type="dxa"/>
            <w:tcBorders>
              <w:left w:val="single" w:sz="4" w:space="0" w:color="C4BC96" w:themeColor="background2" w:themeShade="BF"/>
              <w:right w:val="single" w:sz="4" w:space="0" w:color="AEAAAA"/>
            </w:tcBorders>
            <w:tcMar>
              <w:top w:w="57" w:type="dxa"/>
              <w:left w:w="57" w:type="dxa"/>
              <w:bottom w:w="57" w:type="dxa"/>
              <w:right w:w="57" w:type="dxa"/>
            </w:tcMar>
          </w:tcPr>
          <w:p w14:paraId="543AB510"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0 to 1W</w:t>
            </w:r>
          </w:p>
        </w:tc>
        <w:tc>
          <w:tcPr>
            <w:tcW w:w="1701" w:type="dxa"/>
            <w:tcBorders>
              <w:left w:val="single" w:sz="4" w:space="0" w:color="AEAAAA"/>
            </w:tcBorders>
            <w:tcMar>
              <w:top w:w="57" w:type="dxa"/>
              <w:left w:w="57" w:type="dxa"/>
              <w:bottom w:w="57" w:type="dxa"/>
              <w:right w:w="57" w:type="dxa"/>
            </w:tcMar>
          </w:tcPr>
          <w:p w14:paraId="6B41146E"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 0.5</w:t>
            </w:r>
          </w:p>
        </w:tc>
        <w:tc>
          <w:tcPr>
            <w:tcW w:w="4677" w:type="dxa"/>
            <w:tcBorders>
              <w:left w:val="single" w:sz="4" w:space="0" w:color="AEAAAA"/>
            </w:tcBorders>
            <w:tcMar>
              <w:top w:w="57" w:type="dxa"/>
              <w:left w:w="57" w:type="dxa"/>
              <w:bottom w:w="57" w:type="dxa"/>
              <w:right w:w="57" w:type="dxa"/>
            </w:tcMar>
          </w:tcPr>
          <w:p w14:paraId="3AB9B633"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 0.49 x P</w:t>
            </w:r>
            <w:r w:rsidRPr="00A34F8A">
              <w:rPr>
                <w:rFonts w:asciiTheme="minorHAnsi" w:hAnsiTheme="minorHAnsi" w:cstheme="minorHAnsi"/>
                <w:sz w:val="22"/>
                <w:szCs w:val="22"/>
                <w:vertAlign w:val="subscript"/>
              </w:rPr>
              <w:t>no</w:t>
            </w:r>
          </w:p>
        </w:tc>
      </w:tr>
      <w:tr w:rsidR="00DA1EBB" w:rsidRPr="00A34F8A" w14:paraId="0591BAD3" w14:textId="77777777" w:rsidTr="00667158">
        <w:tc>
          <w:tcPr>
            <w:tcW w:w="770" w:type="dxa"/>
            <w:vMerge/>
            <w:tcBorders>
              <w:right w:val="single" w:sz="4" w:space="0" w:color="C4BC96" w:themeColor="background2" w:themeShade="BF"/>
            </w:tcBorders>
            <w:tcMar>
              <w:top w:w="57" w:type="dxa"/>
              <w:left w:w="57" w:type="dxa"/>
              <w:bottom w:w="57" w:type="dxa"/>
              <w:right w:w="57" w:type="dxa"/>
            </w:tcMar>
          </w:tcPr>
          <w:p w14:paraId="7B522C21" w14:textId="77777777" w:rsidR="001A563F" w:rsidRPr="00A34F8A" w:rsidRDefault="001A563F" w:rsidP="005D3977">
            <w:pPr>
              <w:pStyle w:val="Table2-Rowheading"/>
              <w:rPr>
                <w:rFonts w:asciiTheme="minorHAnsi" w:hAnsiTheme="minorHAnsi" w:cstheme="minorHAnsi"/>
                <w:sz w:val="22"/>
                <w:szCs w:val="22"/>
              </w:rPr>
            </w:pPr>
          </w:p>
        </w:tc>
        <w:tc>
          <w:tcPr>
            <w:tcW w:w="1924" w:type="dxa"/>
            <w:tcBorders>
              <w:left w:val="single" w:sz="4" w:space="0" w:color="C4BC96" w:themeColor="background2" w:themeShade="BF"/>
              <w:right w:val="single" w:sz="4" w:space="0" w:color="AEAAAA"/>
            </w:tcBorders>
            <w:tcMar>
              <w:top w:w="57" w:type="dxa"/>
              <w:left w:w="57" w:type="dxa"/>
              <w:bottom w:w="57" w:type="dxa"/>
              <w:right w:w="57" w:type="dxa"/>
            </w:tcMar>
          </w:tcPr>
          <w:p w14:paraId="1A73F53D"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&gt; 1 to 49W</w:t>
            </w:r>
          </w:p>
        </w:tc>
        <w:tc>
          <w:tcPr>
            <w:tcW w:w="1701" w:type="dxa"/>
            <w:vMerge w:val="restart"/>
            <w:tcBorders>
              <w:left w:val="single" w:sz="4" w:space="0" w:color="AEAAAA"/>
            </w:tcBorders>
            <w:tcMar>
              <w:top w:w="57" w:type="dxa"/>
              <w:left w:w="57" w:type="dxa"/>
              <w:bottom w:w="57" w:type="dxa"/>
              <w:right w:w="57" w:type="dxa"/>
            </w:tcMar>
          </w:tcPr>
          <w:p w14:paraId="6D93DEED"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 0.75</w:t>
            </w:r>
          </w:p>
        </w:tc>
        <w:tc>
          <w:tcPr>
            <w:tcW w:w="4677" w:type="dxa"/>
            <w:tcBorders>
              <w:left w:val="single" w:sz="4" w:space="0" w:color="AEAAAA"/>
            </w:tcBorders>
            <w:tcMar>
              <w:top w:w="57" w:type="dxa"/>
              <w:left w:w="57" w:type="dxa"/>
              <w:bottom w:w="57" w:type="dxa"/>
              <w:right w:w="57" w:type="dxa"/>
            </w:tcMar>
          </w:tcPr>
          <w:p w14:paraId="5CDC2C06"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 0.09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+ 0.49</w:t>
            </w:r>
          </w:p>
        </w:tc>
      </w:tr>
      <w:tr w:rsidR="00DA1EBB" w:rsidRPr="00A34F8A" w14:paraId="155C8322" w14:textId="77777777" w:rsidTr="00667158">
        <w:tc>
          <w:tcPr>
            <w:tcW w:w="770" w:type="dxa"/>
            <w:vMerge/>
            <w:tcBorders>
              <w:right w:val="single" w:sz="4" w:space="0" w:color="C4BC96" w:themeColor="background2" w:themeShade="BF"/>
            </w:tcBorders>
            <w:tcMar>
              <w:top w:w="57" w:type="dxa"/>
              <w:left w:w="57" w:type="dxa"/>
              <w:bottom w:w="57" w:type="dxa"/>
              <w:right w:w="57" w:type="dxa"/>
            </w:tcMar>
          </w:tcPr>
          <w:p w14:paraId="42B8DF8F" w14:textId="77777777" w:rsidR="001A563F" w:rsidRPr="00A34F8A" w:rsidRDefault="001A563F" w:rsidP="005D3977">
            <w:pPr>
              <w:pStyle w:val="Table2-Rowheading"/>
              <w:rPr>
                <w:rFonts w:asciiTheme="minorHAnsi" w:hAnsiTheme="minorHAnsi" w:cstheme="minorHAnsi"/>
                <w:sz w:val="22"/>
                <w:szCs w:val="22"/>
              </w:rPr>
            </w:pPr>
          </w:p>
        </w:tc>
        <w:tc>
          <w:tcPr>
            <w:tcW w:w="1924" w:type="dxa"/>
            <w:tcBorders>
              <w:left w:val="single" w:sz="4" w:space="0" w:color="C4BC96" w:themeColor="background2" w:themeShade="BF"/>
              <w:right w:val="single" w:sz="4" w:space="0" w:color="AEAAAA"/>
            </w:tcBorders>
            <w:tcMar>
              <w:top w:w="57" w:type="dxa"/>
              <w:left w:w="57" w:type="dxa"/>
              <w:bottom w:w="57" w:type="dxa"/>
              <w:right w:w="57" w:type="dxa"/>
            </w:tcMar>
          </w:tcPr>
          <w:p w14:paraId="49653F8C"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&gt; 49 to 250W</w:t>
            </w:r>
          </w:p>
        </w:tc>
        <w:tc>
          <w:tcPr>
            <w:tcW w:w="1701" w:type="dxa"/>
            <w:vMerge/>
            <w:tcBorders>
              <w:left w:val="single" w:sz="4" w:space="0" w:color="AEAAAA"/>
            </w:tcBorders>
            <w:tcMar>
              <w:top w:w="57" w:type="dxa"/>
              <w:left w:w="57" w:type="dxa"/>
              <w:bottom w:w="57" w:type="dxa"/>
              <w:right w:w="57" w:type="dxa"/>
            </w:tcMar>
          </w:tcPr>
          <w:p w14:paraId="4C43CC74" w14:textId="77777777" w:rsidR="001A563F" w:rsidRPr="00A34F8A" w:rsidRDefault="001A563F" w:rsidP="005D3977">
            <w:pPr>
              <w:pStyle w:val="Table3-Normal"/>
              <w:rPr>
                <w:rFonts w:asciiTheme="minorHAnsi" w:hAnsiTheme="minorHAnsi" w:cstheme="minorHAnsi"/>
                <w:sz w:val="22"/>
                <w:szCs w:val="22"/>
              </w:rPr>
            </w:pPr>
          </w:p>
        </w:tc>
        <w:tc>
          <w:tcPr>
            <w:tcW w:w="4677" w:type="dxa"/>
            <w:tcBorders>
              <w:left w:val="single" w:sz="4" w:space="0" w:color="AEAAAA"/>
            </w:tcBorders>
            <w:tcMar>
              <w:top w:w="57" w:type="dxa"/>
              <w:left w:w="57" w:type="dxa"/>
              <w:bottom w:w="57" w:type="dxa"/>
              <w:right w:w="57" w:type="dxa"/>
            </w:tcMar>
          </w:tcPr>
          <w:p w14:paraId="60075BE0" w14:textId="77777777" w:rsidR="001A563F" w:rsidRPr="00A34F8A" w:rsidRDefault="001A563F"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 0.84</w:t>
            </w:r>
          </w:p>
        </w:tc>
      </w:tr>
    </w:tbl>
    <w:p w14:paraId="191F7244" w14:textId="77777777" w:rsidR="001A563F" w:rsidRPr="00A34F8A" w:rsidRDefault="001A563F" w:rsidP="001A563F">
      <w:pPr>
        <w:pStyle w:val="BlueLineBottom"/>
        <w:rPr>
          <w:rFonts w:asciiTheme="minorHAnsi" w:hAnsiTheme="minorHAnsi" w:cstheme="minorHAnsi"/>
          <w:sz w:val="22"/>
          <w:szCs w:val="22"/>
        </w:rPr>
      </w:pPr>
    </w:p>
    <w:p w14:paraId="666F560B" w14:textId="34DB78B5" w:rsidR="001A563F" w:rsidRPr="00A34F8A" w:rsidRDefault="001A563F" w:rsidP="001A563F">
      <w:pPr>
        <w:rPr>
          <w:rFonts w:asciiTheme="minorHAnsi" w:hAnsiTheme="minorHAnsi" w:cstheme="minorHAnsi"/>
          <w:szCs w:val="22"/>
        </w:rPr>
      </w:pPr>
      <w:r w:rsidRPr="00A34F8A">
        <w:rPr>
          <w:rFonts w:asciiTheme="minorHAnsi" w:hAnsiTheme="minorHAnsi" w:cstheme="minorHAnsi"/>
          <w:szCs w:val="22"/>
        </w:rPr>
        <w:t xml:space="preserve">In the US and EU, both the scope and stringency of the regulations that EPS must comply with are more comprehensive. The minimum energy efficiency required by mark VI is detailed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_Ref141798729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6</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w:t>
      </w:r>
    </w:p>
    <w:p w14:paraId="5844DECD" w14:textId="77777777" w:rsidR="001A563F" w:rsidRPr="00A34F8A" w:rsidRDefault="001A563F" w:rsidP="001A563F">
      <w:pPr>
        <w:pStyle w:val="BlueLineTop"/>
        <w:rPr>
          <w:rFonts w:asciiTheme="minorHAnsi" w:hAnsiTheme="minorHAnsi" w:cstheme="minorHAnsi"/>
          <w:sz w:val="22"/>
          <w:szCs w:val="22"/>
        </w:rPr>
      </w:pPr>
    </w:p>
    <w:p w14:paraId="65245382" w14:textId="2FBE7832" w:rsidR="001A563F" w:rsidRPr="00A34F8A" w:rsidRDefault="001A563F" w:rsidP="001A563F">
      <w:pPr>
        <w:pStyle w:val="Caption"/>
        <w:rPr>
          <w:rFonts w:asciiTheme="minorHAnsi" w:hAnsiTheme="minorHAnsi" w:cstheme="minorHAnsi"/>
          <w:sz w:val="22"/>
          <w:szCs w:val="22"/>
        </w:rPr>
      </w:pPr>
      <w:bookmarkStart w:id="68" w:name="_Ref141798729"/>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6</w:t>
      </w:r>
      <w:r w:rsidRPr="00A34F8A">
        <w:rPr>
          <w:rFonts w:asciiTheme="minorHAnsi" w:hAnsiTheme="minorHAnsi" w:cstheme="minorHAnsi"/>
          <w:sz w:val="22"/>
          <w:szCs w:val="22"/>
        </w:rPr>
        <w:fldChar w:fldCharType="end"/>
      </w:r>
      <w:bookmarkEnd w:id="68"/>
      <w:r w:rsidRPr="00A34F8A">
        <w:rPr>
          <w:rFonts w:asciiTheme="minorHAnsi" w:hAnsiTheme="minorHAnsi" w:cstheme="minorHAnsi"/>
          <w:sz w:val="22"/>
          <w:szCs w:val="22"/>
        </w:rPr>
        <w:t xml:space="preserve">: Mark VI efficiency requirements (current US and EU standards. SV=single voltage, MV=multiple voltage </w:t>
      </w:r>
      <w:sdt>
        <w:sdtPr>
          <w:rPr>
            <w:rFonts w:asciiTheme="minorHAnsi" w:hAnsiTheme="minorHAnsi" w:cstheme="minorHAnsi"/>
            <w:sz w:val="22"/>
            <w:szCs w:val="22"/>
          </w:rPr>
          <w:id w:val="718408626"/>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993"/>
        <w:gridCol w:w="1701"/>
        <w:gridCol w:w="2126"/>
        <w:gridCol w:w="4252"/>
      </w:tblGrid>
      <w:tr w:rsidR="00F01F11" w:rsidRPr="00A34F8A" w14:paraId="58A2960D" w14:textId="77777777" w:rsidTr="00F90D5D">
        <w:trPr>
          <w:cnfStyle w:val="100000000000" w:firstRow="1" w:lastRow="0" w:firstColumn="0" w:lastColumn="0" w:oddVBand="0" w:evenVBand="0" w:oddHBand="0" w:evenHBand="0" w:firstRowFirstColumn="0" w:firstRowLastColumn="0" w:lastRowFirstColumn="0" w:lastRowLastColumn="0"/>
          <w:cantSplit/>
          <w:tblHeader/>
        </w:trPr>
        <w:tc>
          <w:tcPr>
            <w:tcW w:w="993" w:type="dxa"/>
            <w:tcBorders>
              <w:right w:val="single" w:sz="4" w:space="0" w:color="C4BC96" w:themeColor="background2" w:themeShade="BF"/>
            </w:tcBorders>
            <w:tcMar>
              <w:top w:w="57" w:type="dxa"/>
              <w:left w:w="57" w:type="dxa"/>
              <w:bottom w:w="57" w:type="dxa"/>
              <w:right w:w="57" w:type="dxa"/>
            </w:tcMar>
          </w:tcPr>
          <w:p w14:paraId="3DA497CA" w14:textId="77777777" w:rsidR="001A563F" w:rsidRPr="00A34F8A" w:rsidRDefault="001A563F" w:rsidP="005D3977">
            <w:pPr>
              <w:rPr>
                <w:rFonts w:asciiTheme="minorHAnsi" w:hAnsiTheme="minorHAnsi" w:cstheme="minorHAnsi"/>
                <w:b w:val="0"/>
                <w:szCs w:val="22"/>
              </w:rPr>
            </w:pPr>
            <w:r w:rsidRPr="00A34F8A">
              <w:rPr>
                <w:rFonts w:asciiTheme="minorHAnsi" w:hAnsiTheme="minorHAnsi" w:cstheme="minorHAnsi"/>
                <w:szCs w:val="22"/>
              </w:rPr>
              <w:t>Output</w:t>
            </w:r>
          </w:p>
        </w:tc>
        <w:tc>
          <w:tcPr>
            <w:tcW w:w="1701" w:type="dxa"/>
            <w:tcMar>
              <w:top w:w="57" w:type="dxa"/>
              <w:left w:w="57" w:type="dxa"/>
              <w:bottom w:w="57" w:type="dxa"/>
              <w:right w:w="57" w:type="dxa"/>
            </w:tcMar>
          </w:tcPr>
          <w:p w14:paraId="6E5FF9FF" w14:textId="77777777" w:rsidR="001A563F" w:rsidRPr="00A34F8A" w:rsidRDefault="001A563F" w:rsidP="005D3977">
            <w:pPr>
              <w:rPr>
                <w:rFonts w:asciiTheme="minorHAnsi" w:hAnsiTheme="minorHAnsi" w:cstheme="minorHAnsi"/>
                <w:b w:val="0"/>
                <w:szCs w:val="22"/>
              </w:rPr>
            </w:pPr>
            <w:r w:rsidRPr="00A34F8A">
              <w:rPr>
                <w:rFonts w:asciiTheme="minorHAnsi" w:hAnsiTheme="minorHAnsi" w:cstheme="minorHAnsi"/>
                <w:szCs w:val="22"/>
              </w:rPr>
              <w:t>Nameplate output power (P</w:t>
            </w:r>
            <w:r w:rsidRPr="00A34F8A">
              <w:rPr>
                <w:rFonts w:asciiTheme="minorHAnsi" w:hAnsiTheme="minorHAnsi" w:cstheme="minorHAnsi"/>
                <w:szCs w:val="22"/>
                <w:vertAlign w:val="subscript"/>
              </w:rPr>
              <w:t>no</w:t>
            </w:r>
            <w:r w:rsidRPr="00A34F8A">
              <w:rPr>
                <w:rFonts w:asciiTheme="minorHAnsi" w:hAnsiTheme="minorHAnsi" w:cstheme="minorHAnsi"/>
                <w:szCs w:val="22"/>
              </w:rPr>
              <w:t>)</w:t>
            </w:r>
          </w:p>
        </w:tc>
        <w:tc>
          <w:tcPr>
            <w:tcW w:w="2126" w:type="dxa"/>
            <w:tcBorders>
              <w:left w:val="single" w:sz="4" w:space="0" w:color="C4BC96" w:themeColor="background2" w:themeShade="BF"/>
            </w:tcBorders>
            <w:tcMar>
              <w:top w:w="57" w:type="dxa"/>
              <w:left w:w="57" w:type="dxa"/>
              <w:bottom w:w="57" w:type="dxa"/>
              <w:right w:w="57" w:type="dxa"/>
            </w:tcMar>
          </w:tcPr>
          <w:p w14:paraId="73068EC4" w14:textId="77777777" w:rsidR="001A563F" w:rsidRPr="00A34F8A" w:rsidRDefault="001A563F" w:rsidP="005D3977">
            <w:pPr>
              <w:rPr>
                <w:rFonts w:asciiTheme="minorHAnsi" w:hAnsiTheme="minorHAnsi" w:cstheme="minorHAnsi"/>
                <w:b w:val="0"/>
                <w:szCs w:val="22"/>
              </w:rPr>
            </w:pPr>
            <w:r w:rsidRPr="00A34F8A">
              <w:rPr>
                <w:rFonts w:asciiTheme="minorHAnsi" w:hAnsiTheme="minorHAnsi" w:cstheme="minorHAnsi"/>
                <w:szCs w:val="22"/>
              </w:rPr>
              <w:t>No-load mode power</w:t>
            </w:r>
          </w:p>
        </w:tc>
        <w:tc>
          <w:tcPr>
            <w:tcW w:w="4252" w:type="dxa"/>
            <w:tcBorders>
              <w:left w:val="single" w:sz="4" w:space="0" w:color="C4BC96" w:themeColor="background2" w:themeShade="BF"/>
            </w:tcBorders>
            <w:tcMar>
              <w:top w:w="57" w:type="dxa"/>
              <w:left w:w="57" w:type="dxa"/>
              <w:bottom w:w="57" w:type="dxa"/>
              <w:right w:w="57" w:type="dxa"/>
            </w:tcMar>
          </w:tcPr>
          <w:p w14:paraId="5D9FDB07" w14:textId="77777777" w:rsidR="001A563F" w:rsidRPr="00A34F8A" w:rsidRDefault="001A563F" w:rsidP="005D3977">
            <w:pPr>
              <w:rPr>
                <w:rFonts w:asciiTheme="minorHAnsi" w:hAnsiTheme="minorHAnsi" w:cstheme="minorHAnsi"/>
                <w:b w:val="0"/>
                <w:szCs w:val="22"/>
              </w:rPr>
            </w:pPr>
            <w:r w:rsidRPr="00A34F8A">
              <w:rPr>
                <w:rFonts w:asciiTheme="minorHAnsi" w:hAnsiTheme="minorHAnsi" w:cstheme="minorHAnsi"/>
                <w:szCs w:val="22"/>
              </w:rPr>
              <w:t>Average efficiency in active mode</w:t>
            </w:r>
          </w:p>
        </w:tc>
      </w:tr>
      <w:tr w:rsidR="00F90D5D" w:rsidRPr="00A34F8A" w14:paraId="01D0664B" w14:textId="77777777" w:rsidTr="00F90D5D">
        <w:trPr>
          <w:cantSplit/>
          <w:trHeight w:val="79"/>
        </w:trPr>
        <w:tc>
          <w:tcPr>
            <w:tcW w:w="993" w:type="dxa"/>
            <w:vMerge w:val="restart"/>
            <w:tcBorders>
              <w:right w:val="single" w:sz="4" w:space="0" w:color="BFBFBF"/>
            </w:tcBorders>
            <w:tcMar>
              <w:top w:w="57" w:type="dxa"/>
              <w:left w:w="57" w:type="dxa"/>
              <w:bottom w:w="57" w:type="dxa"/>
              <w:right w:w="57" w:type="dxa"/>
            </w:tcMar>
          </w:tcPr>
          <w:p w14:paraId="706349E2" w14:textId="77777777" w:rsidR="001A563F" w:rsidRPr="00A34F8A" w:rsidRDefault="001A563F" w:rsidP="005D3977">
            <w:pPr>
              <w:rPr>
                <w:rFonts w:asciiTheme="minorHAnsi" w:hAnsiTheme="minorHAnsi" w:cstheme="minorHAnsi"/>
                <w:b/>
                <w:bCs/>
                <w:szCs w:val="22"/>
              </w:rPr>
            </w:pPr>
            <w:r w:rsidRPr="00A34F8A">
              <w:rPr>
                <w:rFonts w:asciiTheme="minorHAnsi" w:hAnsiTheme="minorHAnsi" w:cstheme="minorHAnsi"/>
                <w:b/>
                <w:bCs/>
                <w:szCs w:val="22"/>
              </w:rPr>
              <w:t>SV</w:t>
            </w:r>
          </w:p>
        </w:tc>
        <w:tc>
          <w:tcPr>
            <w:tcW w:w="1701" w:type="dxa"/>
            <w:tcBorders>
              <w:left w:val="single" w:sz="4" w:space="0" w:color="BFBFBF"/>
              <w:right w:val="single" w:sz="4" w:space="0" w:color="BFBFBF"/>
            </w:tcBorders>
            <w:tcMar>
              <w:top w:w="57" w:type="dxa"/>
              <w:left w:w="57" w:type="dxa"/>
              <w:bottom w:w="57" w:type="dxa"/>
              <w:right w:w="57" w:type="dxa"/>
            </w:tcMar>
          </w:tcPr>
          <w:p w14:paraId="2C166926"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0 to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72CCAEFE" w14:textId="77777777" w:rsidR="001A563F" w:rsidRPr="00A34F8A" w:rsidRDefault="001A563F"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 0.100</w:t>
            </w:r>
          </w:p>
          <w:p w14:paraId="31623E76"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AC-AC: ≤ 0.210</w:t>
            </w:r>
          </w:p>
        </w:tc>
        <w:tc>
          <w:tcPr>
            <w:tcW w:w="4252" w:type="dxa"/>
            <w:tcBorders>
              <w:left w:val="single" w:sz="4" w:space="0" w:color="BFBFBF" w:themeColor="background1" w:themeShade="BF"/>
            </w:tcBorders>
            <w:tcMar>
              <w:top w:w="57" w:type="dxa"/>
              <w:left w:w="57" w:type="dxa"/>
              <w:bottom w:w="57" w:type="dxa"/>
              <w:right w:w="57" w:type="dxa"/>
            </w:tcMar>
          </w:tcPr>
          <w:p w14:paraId="2102F5D5" w14:textId="77777777" w:rsidR="001A563F" w:rsidRPr="00A34F8A" w:rsidRDefault="001A563F"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0.5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w:t>
            </w:r>
          </w:p>
          <w:p w14:paraId="099DB25E"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Low voltage: ≥ 0.517 x Pno + 0.087</w:t>
            </w:r>
          </w:p>
        </w:tc>
      </w:tr>
      <w:tr w:rsidR="00F90D5D" w:rsidRPr="00A34F8A" w14:paraId="2956E5A1" w14:textId="77777777" w:rsidTr="00F90D5D">
        <w:trPr>
          <w:cantSplit/>
          <w:trHeight w:val="79"/>
        </w:trPr>
        <w:tc>
          <w:tcPr>
            <w:tcW w:w="993" w:type="dxa"/>
            <w:vMerge/>
            <w:tcBorders>
              <w:right w:val="single" w:sz="4" w:space="0" w:color="BFBFBF"/>
            </w:tcBorders>
            <w:tcMar>
              <w:top w:w="57" w:type="dxa"/>
              <w:left w:w="57" w:type="dxa"/>
              <w:bottom w:w="57" w:type="dxa"/>
              <w:right w:w="57" w:type="dxa"/>
            </w:tcMar>
          </w:tcPr>
          <w:p w14:paraId="32F0E9D1" w14:textId="77777777" w:rsidR="001A563F" w:rsidRPr="00A34F8A" w:rsidRDefault="001A563F" w:rsidP="005D3977">
            <w:pPr>
              <w:rPr>
                <w:rFonts w:asciiTheme="minorHAnsi" w:hAnsiTheme="minorHAnsi" w:cstheme="minorHAnsi"/>
                <w:b/>
                <w:bCs/>
                <w:szCs w:val="22"/>
              </w:rPr>
            </w:pPr>
          </w:p>
        </w:tc>
        <w:tc>
          <w:tcPr>
            <w:tcW w:w="1701" w:type="dxa"/>
            <w:tcBorders>
              <w:left w:val="single" w:sz="4" w:space="0" w:color="BFBFBF"/>
              <w:right w:val="single" w:sz="4" w:space="0" w:color="BFBFBF"/>
            </w:tcBorders>
            <w:tcMar>
              <w:top w:w="57" w:type="dxa"/>
              <w:left w:w="57" w:type="dxa"/>
              <w:bottom w:w="57" w:type="dxa"/>
              <w:right w:w="57" w:type="dxa"/>
            </w:tcMar>
          </w:tcPr>
          <w:p w14:paraId="5F46D4F6"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&gt; 1 to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3B64D0A3" w14:textId="77777777" w:rsidR="001A563F" w:rsidRPr="00A34F8A" w:rsidRDefault="001A563F" w:rsidP="005D3977">
            <w:pPr>
              <w:rPr>
                <w:rFonts w:asciiTheme="minorHAnsi" w:hAnsiTheme="minorHAnsi" w:cstheme="minorHAnsi"/>
                <w:szCs w:val="22"/>
              </w:rPr>
            </w:pPr>
          </w:p>
        </w:tc>
        <w:tc>
          <w:tcPr>
            <w:tcW w:w="4252" w:type="dxa"/>
            <w:tcBorders>
              <w:left w:val="single" w:sz="4" w:space="0" w:color="BFBFBF" w:themeColor="background1" w:themeShade="BF"/>
            </w:tcBorders>
            <w:tcMar>
              <w:top w:w="57" w:type="dxa"/>
              <w:left w:w="57" w:type="dxa"/>
              <w:bottom w:w="57" w:type="dxa"/>
              <w:right w:w="57" w:type="dxa"/>
            </w:tcMar>
          </w:tcPr>
          <w:p w14:paraId="25A4CCF1" w14:textId="77777777" w:rsidR="001A563F" w:rsidRPr="00A34F8A" w:rsidRDefault="001A563F"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0.071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0.0014 x P</w:t>
            </w:r>
            <w:r w:rsidRPr="00A34F8A">
              <w:rPr>
                <w:rFonts w:asciiTheme="minorHAnsi" w:hAnsiTheme="minorHAnsi" w:cstheme="minorHAnsi"/>
                <w:sz w:val="22"/>
                <w:szCs w:val="22"/>
                <w:vertAlign w:val="subscript"/>
              </w:rPr>
              <w:t xml:space="preserve">no </w:t>
            </w:r>
            <w:r w:rsidRPr="00A34F8A">
              <w:rPr>
                <w:rFonts w:asciiTheme="minorHAnsi" w:hAnsiTheme="minorHAnsi" w:cstheme="minorHAnsi"/>
                <w:sz w:val="22"/>
                <w:szCs w:val="22"/>
              </w:rPr>
              <w:t>+ 0.67</w:t>
            </w:r>
          </w:p>
          <w:p w14:paraId="3E56F738"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Low voltage: ≥ 0.0834 x ln(P</w:t>
            </w:r>
            <w:r w:rsidRPr="00A34F8A">
              <w:rPr>
                <w:rFonts w:asciiTheme="minorHAnsi" w:hAnsiTheme="minorHAnsi" w:cstheme="minorHAnsi"/>
                <w:szCs w:val="22"/>
                <w:vertAlign w:val="subscript"/>
              </w:rPr>
              <w:t>no</w:t>
            </w:r>
            <w:r w:rsidRPr="00A34F8A">
              <w:rPr>
                <w:rFonts w:asciiTheme="minorHAnsi" w:hAnsiTheme="minorHAnsi" w:cstheme="minorHAnsi"/>
                <w:szCs w:val="22"/>
              </w:rPr>
              <w:t>) – 0.0014 x P</w:t>
            </w:r>
            <w:r w:rsidRPr="00A34F8A">
              <w:rPr>
                <w:rFonts w:asciiTheme="minorHAnsi" w:hAnsiTheme="minorHAnsi" w:cstheme="minorHAnsi"/>
                <w:szCs w:val="22"/>
                <w:vertAlign w:val="subscript"/>
              </w:rPr>
              <w:t>no</w:t>
            </w:r>
            <w:r w:rsidRPr="00A34F8A">
              <w:rPr>
                <w:rFonts w:asciiTheme="minorHAnsi" w:hAnsiTheme="minorHAnsi" w:cstheme="minorHAnsi"/>
                <w:szCs w:val="22"/>
              </w:rPr>
              <w:t xml:space="preserve"> + 0.609</w:t>
            </w:r>
          </w:p>
        </w:tc>
      </w:tr>
      <w:tr w:rsidR="00F90D5D" w:rsidRPr="00A34F8A" w14:paraId="4D0AA586" w14:textId="77777777" w:rsidTr="00F90D5D">
        <w:trPr>
          <w:cantSplit/>
          <w:trHeight w:val="79"/>
        </w:trPr>
        <w:tc>
          <w:tcPr>
            <w:tcW w:w="993" w:type="dxa"/>
            <w:vMerge/>
            <w:tcBorders>
              <w:right w:val="single" w:sz="4" w:space="0" w:color="BFBFBF"/>
            </w:tcBorders>
            <w:tcMar>
              <w:top w:w="57" w:type="dxa"/>
              <w:left w:w="57" w:type="dxa"/>
              <w:bottom w:w="57" w:type="dxa"/>
              <w:right w:w="57" w:type="dxa"/>
            </w:tcMar>
          </w:tcPr>
          <w:p w14:paraId="05B41381" w14:textId="77777777" w:rsidR="001A563F" w:rsidRPr="00A34F8A" w:rsidRDefault="001A563F" w:rsidP="005D3977">
            <w:pPr>
              <w:rPr>
                <w:rFonts w:asciiTheme="minorHAnsi" w:hAnsiTheme="minorHAnsi" w:cstheme="minorHAnsi"/>
                <w:b/>
                <w:bCs/>
                <w:szCs w:val="22"/>
              </w:rPr>
            </w:pPr>
          </w:p>
        </w:tc>
        <w:tc>
          <w:tcPr>
            <w:tcW w:w="1701" w:type="dxa"/>
            <w:tcBorders>
              <w:left w:val="single" w:sz="4" w:space="0" w:color="BFBFBF"/>
              <w:right w:val="single" w:sz="4" w:space="0" w:color="BFBFBF"/>
            </w:tcBorders>
            <w:tcMar>
              <w:top w:w="57" w:type="dxa"/>
              <w:left w:w="57" w:type="dxa"/>
              <w:bottom w:w="57" w:type="dxa"/>
              <w:right w:w="57" w:type="dxa"/>
            </w:tcMar>
          </w:tcPr>
          <w:p w14:paraId="685CF050"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&gt;49 to 250W</w:t>
            </w:r>
          </w:p>
        </w:tc>
        <w:tc>
          <w:tcPr>
            <w:tcW w:w="2126" w:type="dxa"/>
            <w:tcBorders>
              <w:left w:val="single" w:sz="4" w:space="0" w:color="BFBFBF"/>
              <w:right w:val="single" w:sz="4" w:space="0" w:color="BFBFBF" w:themeColor="background1" w:themeShade="BF"/>
            </w:tcBorders>
            <w:tcMar>
              <w:top w:w="57" w:type="dxa"/>
              <w:left w:w="57" w:type="dxa"/>
              <w:bottom w:w="57" w:type="dxa"/>
              <w:right w:w="57" w:type="dxa"/>
            </w:tcMar>
          </w:tcPr>
          <w:p w14:paraId="507C0C98"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 0.210</w:t>
            </w:r>
          </w:p>
        </w:tc>
        <w:tc>
          <w:tcPr>
            <w:tcW w:w="4252" w:type="dxa"/>
            <w:tcBorders>
              <w:left w:val="single" w:sz="4" w:space="0" w:color="BFBFBF" w:themeColor="background1" w:themeShade="BF"/>
            </w:tcBorders>
            <w:tcMar>
              <w:top w:w="57" w:type="dxa"/>
              <w:left w:w="57" w:type="dxa"/>
              <w:bottom w:w="57" w:type="dxa"/>
              <w:right w:w="57" w:type="dxa"/>
            </w:tcMar>
          </w:tcPr>
          <w:p w14:paraId="41FC13C3" w14:textId="77777777" w:rsidR="001A563F" w:rsidRPr="00A34F8A" w:rsidRDefault="001A563F"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0.880</w:t>
            </w:r>
          </w:p>
          <w:p w14:paraId="7E8EF2EF"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Low voltage: ≥ 0.870</w:t>
            </w:r>
          </w:p>
        </w:tc>
      </w:tr>
      <w:tr w:rsidR="00F90D5D" w:rsidRPr="00A34F8A" w14:paraId="4CC13C57" w14:textId="77777777" w:rsidTr="00F90D5D">
        <w:trPr>
          <w:cantSplit/>
          <w:trHeight w:val="146"/>
        </w:trPr>
        <w:tc>
          <w:tcPr>
            <w:tcW w:w="993" w:type="dxa"/>
            <w:vMerge w:val="restart"/>
            <w:tcBorders>
              <w:right w:val="single" w:sz="4" w:space="0" w:color="BFBFBF"/>
            </w:tcBorders>
            <w:tcMar>
              <w:top w:w="57" w:type="dxa"/>
              <w:left w:w="57" w:type="dxa"/>
              <w:bottom w:w="57" w:type="dxa"/>
              <w:right w:w="57" w:type="dxa"/>
            </w:tcMar>
          </w:tcPr>
          <w:p w14:paraId="2C7CD255" w14:textId="77777777" w:rsidR="001A563F" w:rsidRPr="00A34F8A" w:rsidRDefault="001A563F" w:rsidP="005D3977">
            <w:pPr>
              <w:rPr>
                <w:rFonts w:asciiTheme="minorHAnsi" w:hAnsiTheme="minorHAnsi" w:cstheme="minorHAnsi"/>
                <w:b/>
                <w:bCs/>
                <w:szCs w:val="22"/>
              </w:rPr>
            </w:pPr>
            <w:r w:rsidRPr="00A34F8A">
              <w:rPr>
                <w:rFonts w:asciiTheme="minorHAnsi" w:hAnsiTheme="minorHAnsi" w:cstheme="minorHAnsi"/>
                <w:b/>
                <w:bCs/>
                <w:szCs w:val="22"/>
              </w:rPr>
              <w:t>MV</w:t>
            </w:r>
          </w:p>
        </w:tc>
        <w:tc>
          <w:tcPr>
            <w:tcW w:w="1701" w:type="dxa"/>
            <w:tcBorders>
              <w:left w:val="single" w:sz="4" w:space="0" w:color="BFBFBF"/>
              <w:right w:val="single" w:sz="4" w:space="0" w:color="BFBFBF"/>
            </w:tcBorders>
            <w:tcMar>
              <w:top w:w="57" w:type="dxa"/>
              <w:left w:w="57" w:type="dxa"/>
              <w:bottom w:w="57" w:type="dxa"/>
              <w:right w:w="57" w:type="dxa"/>
            </w:tcMar>
          </w:tcPr>
          <w:p w14:paraId="4B9DD9C0"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0 to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01B7708C"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 0.3</w:t>
            </w:r>
          </w:p>
        </w:tc>
        <w:tc>
          <w:tcPr>
            <w:tcW w:w="4252" w:type="dxa"/>
            <w:tcBorders>
              <w:left w:val="single" w:sz="4" w:space="0" w:color="BFBFBF" w:themeColor="background1" w:themeShade="BF"/>
            </w:tcBorders>
            <w:tcMar>
              <w:top w:w="57" w:type="dxa"/>
              <w:left w:w="57" w:type="dxa"/>
              <w:bottom w:w="57" w:type="dxa"/>
              <w:right w:w="57" w:type="dxa"/>
            </w:tcMar>
          </w:tcPr>
          <w:p w14:paraId="75655D82" w14:textId="77777777" w:rsidR="001A563F" w:rsidRPr="00A34F8A" w:rsidRDefault="001A563F"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0.497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+ 0.1669</w:t>
            </w:r>
          </w:p>
        </w:tc>
      </w:tr>
      <w:tr w:rsidR="00F90D5D" w:rsidRPr="00A34F8A" w14:paraId="330E0319" w14:textId="77777777" w:rsidTr="00F90D5D">
        <w:trPr>
          <w:cantSplit/>
          <w:trHeight w:val="145"/>
        </w:trPr>
        <w:tc>
          <w:tcPr>
            <w:tcW w:w="993" w:type="dxa"/>
            <w:vMerge/>
            <w:tcBorders>
              <w:right w:val="single" w:sz="4" w:space="0" w:color="BFBFBF"/>
            </w:tcBorders>
            <w:tcMar>
              <w:top w:w="57" w:type="dxa"/>
              <w:left w:w="57" w:type="dxa"/>
              <w:bottom w:w="57" w:type="dxa"/>
              <w:right w:w="57" w:type="dxa"/>
            </w:tcMar>
          </w:tcPr>
          <w:p w14:paraId="2C34A69B" w14:textId="77777777" w:rsidR="001A563F" w:rsidRPr="00A34F8A" w:rsidRDefault="001A563F" w:rsidP="005D3977">
            <w:pPr>
              <w:rPr>
                <w:rFonts w:asciiTheme="minorHAnsi" w:hAnsiTheme="minorHAnsi" w:cstheme="minorHAnsi"/>
                <w:b/>
                <w:bCs/>
                <w:szCs w:val="22"/>
              </w:rPr>
            </w:pPr>
          </w:p>
        </w:tc>
        <w:tc>
          <w:tcPr>
            <w:tcW w:w="1701" w:type="dxa"/>
            <w:tcBorders>
              <w:left w:val="single" w:sz="4" w:space="0" w:color="BFBFBF"/>
              <w:right w:val="single" w:sz="4" w:space="0" w:color="BFBFBF"/>
            </w:tcBorders>
            <w:tcMar>
              <w:top w:w="57" w:type="dxa"/>
              <w:left w:w="57" w:type="dxa"/>
              <w:bottom w:w="57" w:type="dxa"/>
              <w:right w:w="57" w:type="dxa"/>
            </w:tcMar>
          </w:tcPr>
          <w:p w14:paraId="7AE84958"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&gt;1 to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3C52A849" w14:textId="77777777" w:rsidR="001A563F" w:rsidRPr="00A34F8A" w:rsidRDefault="001A563F" w:rsidP="005D3977">
            <w:pPr>
              <w:rPr>
                <w:rFonts w:asciiTheme="minorHAnsi" w:hAnsiTheme="minorHAnsi" w:cstheme="minorHAnsi"/>
                <w:szCs w:val="22"/>
              </w:rPr>
            </w:pPr>
          </w:p>
        </w:tc>
        <w:tc>
          <w:tcPr>
            <w:tcW w:w="4252" w:type="dxa"/>
            <w:tcBorders>
              <w:left w:val="single" w:sz="4" w:space="0" w:color="BFBFBF" w:themeColor="background1" w:themeShade="BF"/>
            </w:tcBorders>
            <w:tcMar>
              <w:top w:w="57" w:type="dxa"/>
              <w:left w:w="57" w:type="dxa"/>
              <w:bottom w:w="57" w:type="dxa"/>
              <w:right w:w="57" w:type="dxa"/>
            </w:tcMar>
          </w:tcPr>
          <w:p w14:paraId="4A0EC0FA" w14:textId="77777777" w:rsidR="001A563F" w:rsidRPr="00A34F8A" w:rsidRDefault="001A563F"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0.075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+ 0.561</w:t>
            </w:r>
          </w:p>
        </w:tc>
      </w:tr>
      <w:tr w:rsidR="00F90D5D" w:rsidRPr="00A34F8A" w14:paraId="012E2F66" w14:textId="77777777" w:rsidTr="00F90D5D">
        <w:trPr>
          <w:cantSplit/>
          <w:trHeight w:val="79"/>
        </w:trPr>
        <w:tc>
          <w:tcPr>
            <w:tcW w:w="993" w:type="dxa"/>
            <w:vMerge/>
            <w:tcBorders>
              <w:right w:val="single" w:sz="4" w:space="0" w:color="BFBFBF"/>
            </w:tcBorders>
            <w:tcMar>
              <w:top w:w="57" w:type="dxa"/>
              <w:left w:w="57" w:type="dxa"/>
              <w:bottom w:w="57" w:type="dxa"/>
              <w:right w:w="57" w:type="dxa"/>
            </w:tcMar>
          </w:tcPr>
          <w:p w14:paraId="3B99AC7A" w14:textId="77777777" w:rsidR="001A563F" w:rsidRPr="00A34F8A" w:rsidRDefault="001A563F" w:rsidP="005D3977">
            <w:pPr>
              <w:rPr>
                <w:rFonts w:asciiTheme="minorHAnsi" w:hAnsiTheme="minorHAnsi" w:cstheme="minorHAnsi"/>
                <w:b/>
                <w:bCs/>
                <w:szCs w:val="22"/>
              </w:rPr>
            </w:pPr>
          </w:p>
        </w:tc>
        <w:tc>
          <w:tcPr>
            <w:tcW w:w="1701" w:type="dxa"/>
            <w:tcBorders>
              <w:left w:val="single" w:sz="4" w:space="0" w:color="BFBFBF"/>
              <w:right w:val="single" w:sz="4" w:space="0" w:color="BFBFBF"/>
            </w:tcBorders>
            <w:tcMar>
              <w:top w:w="57" w:type="dxa"/>
              <w:left w:w="57" w:type="dxa"/>
              <w:bottom w:w="57" w:type="dxa"/>
              <w:right w:w="57" w:type="dxa"/>
            </w:tcMar>
          </w:tcPr>
          <w:p w14:paraId="117A885C" w14:textId="77777777" w:rsidR="001A563F" w:rsidRPr="00A34F8A" w:rsidRDefault="001A563F" w:rsidP="005D3977">
            <w:pPr>
              <w:rPr>
                <w:rFonts w:asciiTheme="minorHAnsi" w:hAnsiTheme="minorHAnsi" w:cstheme="minorHAnsi"/>
                <w:szCs w:val="22"/>
              </w:rPr>
            </w:pPr>
            <w:r w:rsidRPr="00A34F8A">
              <w:rPr>
                <w:rFonts w:asciiTheme="minorHAnsi" w:hAnsiTheme="minorHAnsi" w:cstheme="minorHAnsi"/>
                <w:szCs w:val="22"/>
              </w:rPr>
              <w:t>&gt;49 to 250W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24CDE234" w14:textId="77777777" w:rsidR="001A563F" w:rsidRPr="00A34F8A" w:rsidRDefault="001A563F" w:rsidP="005D3977">
            <w:pPr>
              <w:rPr>
                <w:rFonts w:asciiTheme="minorHAnsi" w:hAnsiTheme="minorHAnsi" w:cstheme="minorHAnsi"/>
                <w:szCs w:val="22"/>
              </w:rPr>
            </w:pPr>
          </w:p>
        </w:tc>
        <w:tc>
          <w:tcPr>
            <w:tcW w:w="4252" w:type="dxa"/>
            <w:tcBorders>
              <w:left w:val="single" w:sz="4" w:space="0" w:color="BFBFBF" w:themeColor="background1" w:themeShade="BF"/>
            </w:tcBorders>
            <w:tcMar>
              <w:top w:w="57" w:type="dxa"/>
              <w:left w:w="57" w:type="dxa"/>
              <w:bottom w:w="57" w:type="dxa"/>
              <w:right w:w="57" w:type="dxa"/>
            </w:tcMar>
          </w:tcPr>
          <w:p w14:paraId="096BA1E3" w14:textId="77777777" w:rsidR="001A563F" w:rsidRPr="00A34F8A" w:rsidRDefault="001A563F"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0.860</w:t>
            </w:r>
          </w:p>
        </w:tc>
      </w:tr>
    </w:tbl>
    <w:p w14:paraId="63DD1CCA" w14:textId="77777777" w:rsidR="001A563F" w:rsidRPr="00A34F8A" w:rsidRDefault="001A563F" w:rsidP="001A563F">
      <w:pPr>
        <w:pStyle w:val="BlueLineBottom"/>
        <w:rPr>
          <w:rFonts w:asciiTheme="minorHAnsi" w:hAnsiTheme="minorHAnsi" w:cstheme="minorHAnsi"/>
          <w:sz w:val="22"/>
          <w:szCs w:val="22"/>
        </w:rPr>
      </w:pPr>
    </w:p>
    <w:p w14:paraId="535B23B8" w14:textId="69A01041" w:rsidR="00B04770" w:rsidRPr="00A34F8A" w:rsidRDefault="00CB53FA" w:rsidP="00726930">
      <w:pPr>
        <w:pStyle w:val="Heading3"/>
      </w:pPr>
      <w:bookmarkStart w:id="69" w:name="_Toc168660641"/>
      <w:bookmarkStart w:id="70" w:name="_Toc183163246"/>
      <w:r w:rsidRPr="00A34F8A">
        <w:t>Aligning MEPS stringency with international standards</w:t>
      </w:r>
      <w:bookmarkEnd w:id="69"/>
      <w:bookmarkEnd w:id="70"/>
    </w:p>
    <w:p w14:paraId="297E3763" w14:textId="26B20ACA" w:rsidR="00896B5D" w:rsidRPr="00A34F8A" w:rsidRDefault="00896B5D" w:rsidP="00896B5D">
      <w:pPr>
        <w:rPr>
          <w:rFonts w:asciiTheme="minorHAnsi" w:hAnsiTheme="minorHAnsi" w:cstheme="minorHAnsi"/>
          <w:szCs w:val="22"/>
        </w:rPr>
      </w:pPr>
      <w:r w:rsidRPr="00A34F8A">
        <w:rPr>
          <w:rFonts w:asciiTheme="minorHAnsi" w:hAnsiTheme="minorHAnsi" w:cstheme="minorHAnsi"/>
          <w:szCs w:val="22"/>
        </w:rPr>
        <w:t xml:space="preserve">Increasing the MEPS to mark IV or V will not drive energy efficiency gains. Based on NZ EECA data we know that a large majority of EPS already meet mark VI level; very few are at mark III, IV and V. This makes sense given that large markets such as the US and EU require mark VI products. Many of the same products are being sold in Australia and New Zealand which is why a large portion of these markets are also comprised of mark VI products. This is supported by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_Ref141789429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2</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_Ref141789431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3</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and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_Ref141798039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4</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above which show a considerable decline in the number of EPS sold at the MEPS (mark III) and an increase in the number of EPS sold at mark VI level, between 2012 and 2022. </w:t>
      </w:r>
    </w:p>
    <w:p w14:paraId="6A1FA721" w14:textId="3A7E0073" w:rsidR="00896B5D" w:rsidRPr="00003A4E" w:rsidRDefault="00896B5D" w:rsidP="00896B5D">
      <w:pPr>
        <w:rPr>
          <w:rFonts w:asciiTheme="minorHAnsi" w:hAnsiTheme="minorHAnsi" w:cstheme="minorHAnsi"/>
          <w:szCs w:val="22"/>
        </w:rPr>
      </w:pPr>
      <w:r w:rsidRPr="00A34F8A">
        <w:rPr>
          <w:rFonts w:asciiTheme="minorHAnsi" w:hAnsiTheme="minorHAnsi" w:cstheme="minorHAnsi"/>
          <w:szCs w:val="22"/>
        </w:rPr>
        <w:t xml:space="preserve">Increasing the MEPS to align with international standards will not cause supply or manufacturing constraints. Because of the relative size of the Australian and New Zealand markets compared to the US and EU, the increased demand for higher efficiency EPS will not cause supply shortages. For those manufacturers that may be targeting countries with less stringent regulations, there may be a </w:t>
      </w:r>
      <w:r w:rsidRPr="00003A4E">
        <w:rPr>
          <w:rFonts w:asciiTheme="minorHAnsi" w:hAnsiTheme="minorHAnsi" w:cstheme="minorHAnsi"/>
          <w:szCs w:val="22"/>
        </w:rPr>
        <w:t>transition period required in order to adapt to producing higher efficiency products. Any changes to regulations following this RIS should be accompanied by an adequate transition period. However, interviews with industry experts confirmed that manufacturers can adapt to efficiency requirements with relative ease.</w:t>
      </w:r>
    </w:p>
    <w:p w14:paraId="5B5B98D8" w14:textId="0197BBCD" w:rsidR="00896B5D" w:rsidRPr="00A34F8A" w:rsidRDefault="00896B5D" w:rsidP="00896B5D">
      <w:pPr>
        <w:rPr>
          <w:rFonts w:asciiTheme="minorHAnsi" w:hAnsiTheme="minorHAnsi" w:cstheme="minorHAnsi"/>
          <w:szCs w:val="22"/>
        </w:rPr>
      </w:pPr>
      <w:r w:rsidRPr="00003A4E">
        <w:rPr>
          <w:rFonts w:asciiTheme="minorHAnsi" w:hAnsiTheme="minorHAnsi" w:cstheme="minorHAnsi"/>
          <w:szCs w:val="22"/>
        </w:rPr>
        <w:t>Increasing the MEPS to align with international standards will not significantly increase the cost of EPS.</w:t>
      </w:r>
      <w:r w:rsidR="00125089">
        <w:rPr>
          <w:rFonts w:asciiTheme="minorHAnsi" w:hAnsiTheme="minorHAnsi" w:cstheme="minorHAnsi"/>
          <w:szCs w:val="22"/>
        </w:rPr>
        <w:t xml:space="preserve"> </w:t>
      </w:r>
      <w:r w:rsidRPr="00003A4E">
        <w:rPr>
          <w:rFonts w:asciiTheme="minorHAnsi" w:hAnsiTheme="minorHAnsi" w:cstheme="minorHAnsi"/>
          <w:szCs w:val="22"/>
        </w:rPr>
        <w:t>This is because most EPS on the</w:t>
      </w:r>
      <w:r w:rsidRPr="00A34F8A">
        <w:rPr>
          <w:rFonts w:asciiTheme="minorHAnsi" w:hAnsiTheme="minorHAnsi" w:cstheme="minorHAnsi"/>
          <w:szCs w:val="22"/>
        </w:rPr>
        <w:t xml:space="preserve"> market in Australia and New Zealand are already compliant with mark VI. This was confirmed in interviews with industry experts - we heard that bringing the scope and stringency of regulations in line with international standards will not drastically increase costs. There is a small increase in product cost associated with increased efficiency, however this would only apply to the small portion of the market that does not already meet the mark VI level (see section 4 and appendix 1 for anticipated product cost mark-ups). There would, however, be a larger increase in costs if Australia and New Zealand were to implement regulations beyond mark VI before similar regulations were implemented in other international markets.</w:t>
      </w:r>
    </w:p>
    <w:p w14:paraId="640379F9" w14:textId="7BE85F96" w:rsidR="00033273" w:rsidRDefault="00896B5D" w:rsidP="00896B5D">
      <w:pPr>
        <w:rPr>
          <w:rFonts w:asciiTheme="minorHAnsi" w:hAnsiTheme="minorHAnsi" w:cstheme="minorHAnsi"/>
          <w:szCs w:val="22"/>
        </w:rPr>
      </w:pPr>
      <w:r w:rsidRPr="00A34F8A">
        <w:rPr>
          <w:rFonts w:asciiTheme="minorHAnsi" w:hAnsiTheme="minorHAnsi" w:cstheme="minorHAnsi"/>
          <w:szCs w:val="22"/>
        </w:rPr>
        <w:t xml:space="preserve">As both the US and EU are in the process of conducting impact analyses on further increasing the stringency of their regulations, beyond mark VI to a probable mark VII, Australia and New Zealand may wish to also consider this level. The level being considered in the US analysis will likely become mark VII and is anticipated to be implemented around 2027. The EU have suggested that they will follow suit and align with the US. The efficiency requirements that are expected to be defined as mark VII are outlined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_Ref141798753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7</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w:t>
      </w:r>
      <w:r w:rsidR="00033273">
        <w:rPr>
          <w:rFonts w:asciiTheme="minorHAnsi" w:hAnsiTheme="minorHAnsi" w:cstheme="minorHAnsi"/>
          <w:szCs w:val="22"/>
        </w:rPr>
        <w:br w:type="page"/>
      </w:r>
    </w:p>
    <w:p w14:paraId="746B27AF" w14:textId="77777777" w:rsidR="00896B5D" w:rsidRPr="00A34F8A" w:rsidRDefault="00896B5D" w:rsidP="00896B5D">
      <w:pPr>
        <w:pStyle w:val="BlueLineTop"/>
        <w:rPr>
          <w:rFonts w:asciiTheme="minorHAnsi" w:hAnsiTheme="minorHAnsi" w:cstheme="minorHAnsi"/>
          <w:sz w:val="22"/>
          <w:szCs w:val="22"/>
        </w:rPr>
      </w:pPr>
    </w:p>
    <w:p w14:paraId="4DDE69CC" w14:textId="09C2CA25" w:rsidR="00896B5D" w:rsidRPr="00A34F8A" w:rsidRDefault="00896B5D" w:rsidP="00896B5D">
      <w:pPr>
        <w:pStyle w:val="Caption"/>
        <w:rPr>
          <w:rFonts w:asciiTheme="minorHAnsi" w:hAnsiTheme="minorHAnsi" w:cstheme="minorHAnsi"/>
          <w:sz w:val="22"/>
          <w:szCs w:val="22"/>
        </w:rPr>
      </w:pPr>
      <w:bookmarkStart w:id="71" w:name="_Ref141798753"/>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7</w:t>
      </w:r>
      <w:r w:rsidRPr="00A34F8A">
        <w:rPr>
          <w:rFonts w:asciiTheme="minorHAnsi" w:hAnsiTheme="minorHAnsi" w:cstheme="minorHAnsi"/>
          <w:sz w:val="22"/>
          <w:szCs w:val="22"/>
        </w:rPr>
        <w:fldChar w:fldCharType="end"/>
      </w:r>
      <w:bookmarkEnd w:id="71"/>
      <w:r w:rsidRPr="00A34F8A">
        <w:rPr>
          <w:rFonts w:asciiTheme="minorHAnsi" w:hAnsiTheme="minorHAnsi" w:cstheme="minorHAnsi"/>
          <w:sz w:val="22"/>
          <w:szCs w:val="22"/>
        </w:rPr>
        <w:t xml:space="preserve">: Proposed mark VII efficiency standard. SV=single voltage, MV=multiple voltage </w:t>
      </w:r>
      <w:sdt>
        <w:sdtPr>
          <w:rPr>
            <w:rFonts w:asciiTheme="minorHAnsi" w:hAnsiTheme="minorHAnsi" w:cstheme="minorHAnsi"/>
            <w:sz w:val="22"/>
            <w:szCs w:val="22"/>
          </w:rPr>
          <w:id w:val="1838965465"/>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2268"/>
        <w:gridCol w:w="2268"/>
        <w:gridCol w:w="2268"/>
        <w:gridCol w:w="2268"/>
      </w:tblGrid>
      <w:tr w:rsidR="00F01F11" w:rsidRPr="00A34F8A" w14:paraId="4C8896B4" w14:textId="77777777" w:rsidTr="006D0789">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right w:val="single" w:sz="4" w:space="0" w:color="C4BC96" w:themeColor="background2" w:themeShade="BF"/>
            </w:tcBorders>
            <w:tcMar>
              <w:top w:w="57" w:type="dxa"/>
              <w:left w:w="57" w:type="dxa"/>
              <w:bottom w:w="57" w:type="dxa"/>
              <w:right w:w="57" w:type="dxa"/>
            </w:tcMar>
          </w:tcPr>
          <w:p w14:paraId="688D8F73" w14:textId="77777777" w:rsidR="00896B5D" w:rsidRPr="00A34F8A" w:rsidRDefault="00896B5D" w:rsidP="005D3977">
            <w:pPr>
              <w:rPr>
                <w:rFonts w:asciiTheme="minorHAnsi" w:hAnsiTheme="minorHAnsi" w:cstheme="minorHAnsi"/>
                <w:b w:val="0"/>
                <w:szCs w:val="22"/>
              </w:rPr>
            </w:pPr>
            <w:r w:rsidRPr="00A34F8A">
              <w:rPr>
                <w:rFonts w:asciiTheme="minorHAnsi" w:hAnsiTheme="minorHAnsi" w:cstheme="minorHAnsi"/>
                <w:szCs w:val="22"/>
              </w:rPr>
              <w:t>Output</w:t>
            </w:r>
          </w:p>
        </w:tc>
        <w:tc>
          <w:tcPr>
            <w:tcW w:w="0" w:type="dxa"/>
            <w:tcMar>
              <w:top w:w="57" w:type="dxa"/>
              <w:left w:w="57" w:type="dxa"/>
              <w:bottom w:w="57" w:type="dxa"/>
              <w:right w:w="57" w:type="dxa"/>
            </w:tcMar>
          </w:tcPr>
          <w:p w14:paraId="19C50E8A" w14:textId="77777777" w:rsidR="00896B5D" w:rsidRPr="00A34F8A" w:rsidRDefault="00896B5D" w:rsidP="005D3977">
            <w:pPr>
              <w:rPr>
                <w:rFonts w:asciiTheme="minorHAnsi" w:hAnsiTheme="minorHAnsi" w:cstheme="minorHAnsi"/>
                <w:b w:val="0"/>
                <w:szCs w:val="22"/>
              </w:rPr>
            </w:pPr>
            <w:r w:rsidRPr="00A34F8A">
              <w:rPr>
                <w:rFonts w:asciiTheme="minorHAnsi" w:hAnsiTheme="minorHAnsi" w:cstheme="minorHAnsi"/>
                <w:szCs w:val="22"/>
              </w:rPr>
              <w:t>Nameplate output power (P</w:t>
            </w:r>
            <w:r w:rsidRPr="00A34F8A">
              <w:rPr>
                <w:rFonts w:asciiTheme="minorHAnsi" w:hAnsiTheme="minorHAnsi" w:cstheme="minorHAnsi"/>
                <w:szCs w:val="22"/>
                <w:vertAlign w:val="subscript"/>
              </w:rPr>
              <w:t>no</w:t>
            </w:r>
            <w:r w:rsidRPr="00A34F8A">
              <w:rPr>
                <w:rFonts w:asciiTheme="minorHAnsi" w:hAnsiTheme="minorHAnsi" w:cstheme="minorHAnsi"/>
                <w:szCs w:val="22"/>
              </w:rPr>
              <w:t>)</w:t>
            </w:r>
          </w:p>
        </w:tc>
        <w:tc>
          <w:tcPr>
            <w:tcW w:w="0" w:type="dxa"/>
            <w:tcBorders>
              <w:left w:val="single" w:sz="4" w:space="0" w:color="C4BC96" w:themeColor="background2" w:themeShade="BF"/>
            </w:tcBorders>
            <w:tcMar>
              <w:top w:w="57" w:type="dxa"/>
              <w:left w:w="57" w:type="dxa"/>
              <w:bottom w:w="57" w:type="dxa"/>
              <w:right w:w="57" w:type="dxa"/>
            </w:tcMar>
          </w:tcPr>
          <w:p w14:paraId="37CB7CDB" w14:textId="77777777" w:rsidR="00896B5D" w:rsidRPr="00A34F8A" w:rsidRDefault="00896B5D" w:rsidP="005D3977">
            <w:pPr>
              <w:rPr>
                <w:rFonts w:asciiTheme="minorHAnsi" w:hAnsiTheme="minorHAnsi" w:cstheme="minorHAnsi"/>
                <w:b w:val="0"/>
                <w:szCs w:val="22"/>
              </w:rPr>
            </w:pPr>
            <w:r w:rsidRPr="00A34F8A">
              <w:rPr>
                <w:rFonts w:asciiTheme="minorHAnsi" w:hAnsiTheme="minorHAnsi" w:cstheme="minorHAnsi"/>
                <w:szCs w:val="22"/>
              </w:rPr>
              <w:t>No-load mode power</w:t>
            </w:r>
          </w:p>
        </w:tc>
        <w:tc>
          <w:tcPr>
            <w:tcW w:w="0" w:type="dxa"/>
            <w:tcBorders>
              <w:left w:val="single" w:sz="4" w:space="0" w:color="C4BC96" w:themeColor="background2" w:themeShade="BF"/>
            </w:tcBorders>
            <w:tcMar>
              <w:top w:w="57" w:type="dxa"/>
              <w:left w:w="57" w:type="dxa"/>
              <w:bottom w:w="57" w:type="dxa"/>
              <w:right w:w="57" w:type="dxa"/>
            </w:tcMar>
          </w:tcPr>
          <w:p w14:paraId="1481A44B" w14:textId="77777777" w:rsidR="00896B5D" w:rsidRPr="00A34F8A" w:rsidRDefault="00896B5D" w:rsidP="005D3977">
            <w:pPr>
              <w:rPr>
                <w:rFonts w:asciiTheme="minorHAnsi" w:hAnsiTheme="minorHAnsi" w:cstheme="minorHAnsi"/>
                <w:b w:val="0"/>
                <w:szCs w:val="22"/>
              </w:rPr>
            </w:pPr>
            <w:r w:rsidRPr="00A34F8A">
              <w:rPr>
                <w:rFonts w:asciiTheme="minorHAnsi" w:hAnsiTheme="minorHAnsi" w:cstheme="minorHAnsi"/>
                <w:szCs w:val="22"/>
              </w:rPr>
              <w:t>Average efficiency in active mode</w:t>
            </w:r>
          </w:p>
        </w:tc>
      </w:tr>
      <w:tr w:rsidR="00DA1EBB" w:rsidRPr="00A34F8A" w14:paraId="224AC441" w14:textId="77777777" w:rsidTr="006D0789">
        <w:trPr>
          <w:cantSplit/>
          <w:trHeight w:val="79"/>
        </w:trPr>
        <w:tc>
          <w:tcPr>
            <w:tcW w:w="0" w:type="dxa"/>
            <w:vMerge w:val="restart"/>
            <w:tcBorders>
              <w:right w:val="single" w:sz="4" w:space="0" w:color="BFBFBF"/>
            </w:tcBorders>
            <w:tcMar>
              <w:top w:w="57" w:type="dxa"/>
              <w:left w:w="57" w:type="dxa"/>
              <w:bottom w:w="57" w:type="dxa"/>
              <w:right w:w="57" w:type="dxa"/>
            </w:tcMar>
          </w:tcPr>
          <w:p w14:paraId="2F0A5FD8" w14:textId="77777777" w:rsidR="00896B5D" w:rsidRPr="00A34F8A" w:rsidRDefault="00896B5D" w:rsidP="005D3977">
            <w:pPr>
              <w:rPr>
                <w:rFonts w:asciiTheme="minorHAnsi" w:hAnsiTheme="minorHAnsi" w:cstheme="minorHAnsi"/>
                <w:b/>
                <w:bCs/>
                <w:szCs w:val="22"/>
              </w:rPr>
            </w:pPr>
            <w:r w:rsidRPr="00A34F8A">
              <w:rPr>
                <w:rFonts w:asciiTheme="minorHAnsi" w:hAnsiTheme="minorHAnsi" w:cstheme="minorHAnsi"/>
                <w:b/>
                <w:bCs/>
                <w:szCs w:val="22"/>
              </w:rPr>
              <w:t>SV</w:t>
            </w:r>
          </w:p>
        </w:tc>
        <w:tc>
          <w:tcPr>
            <w:tcW w:w="0" w:type="dxa"/>
            <w:tcBorders>
              <w:left w:val="single" w:sz="4" w:space="0" w:color="BFBFBF"/>
              <w:right w:val="single" w:sz="4" w:space="0" w:color="BFBFBF"/>
            </w:tcBorders>
            <w:tcMar>
              <w:top w:w="57" w:type="dxa"/>
              <w:left w:w="57" w:type="dxa"/>
              <w:bottom w:w="57" w:type="dxa"/>
              <w:right w:w="57" w:type="dxa"/>
            </w:tcMar>
          </w:tcPr>
          <w:p w14:paraId="3C0B9CE3"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0 to 1W</w:t>
            </w:r>
          </w:p>
        </w:tc>
        <w:tc>
          <w:tcPr>
            <w:tcW w:w="0"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248E8BE1"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 0.075</w:t>
            </w:r>
          </w:p>
          <w:p w14:paraId="0B99014C"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Basic: ≤ 0.075</w:t>
            </w:r>
          </w:p>
          <w:p w14:paraId="07D369D3"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Low: ≤ 0.072</w:t>
            </w:r>
          </w:p>
        </w:tc>
        <w:tc>
          <w:tcPr>
            <w:tcW w:w="0" w:type="dxa"/>
            <w:tcBorders>
              <w:left w:val="single" w:sz="4" w:space="0" w:color="BFBFBF" w:themeColor="background1" w:themeShade="BF"/>
            </w:tcBorders>
            <w:tcMar>
              <w:top w:w="57" w:type="dxa"/>
              <w:left w:w="57" w:type="dxa"/>
              <w:bottom w:w="57" w:type="dxa"/>
              <w:right w:w="57" w:type="dxa"/>
            </w:tcMar>
          </w:tcPr>
          <w:p w14:paraId="548F7361" w14:textId="77777777" w:rsidR="00896B5D" w:rsidRPr="00A34F8A" w:rsidRDefault="00896B5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0.5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+ 0.1669</w:t>
            </w:r>
          </w:p>
          <w:p w14:paraId="1E4A4521" w14:textId="77777777" w:rsidR="00896B5D" w:rsidRPr="00A34F8A" w:rsidRDefault="00896B5D" w:rsidP="005D3977">
            <w:pPr>
              <w:rPr>
                <w:rFonts w:asciiTheme="minorHAnsi" w:hAnsiTheme="minorHAnsi" w:cstheme="minorHAnsi"/>
                <w:szCs w:val="22"/>
                <w:highlight w:val="yellow"/>
              </w:rPr>
            </w:pPr>
            <w:r w:rsidRPr="00A34F8A">
              <w:rPr>
                <w:rFonts w:asciiTheme="minorHAnsi" w:hAnsiTheme="minorHAnsi" w:cstheme="minorHAnsi"/>
                <w:szCs w:val="22"/>
              </w:rPr>
              <w:t>Low voltage: ≥ 0.517 x Pno + 0.091</w:t>
            </w:r>
          </w:p>
        </w:tc>
      </w:tr>
      <w:tr w:rsidR="00DA1EBB" w:rsidRPr="00A34F8A" w14:paraId="501CA649"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2957AD1C" w14:textId="77777777" w:rsidR="00896B5D" w:rsidRPr="00A34F8A" w:rsidRDefault="00896B5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2398C731"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&gt; 1 to 49W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371E693C" w14:textId="77777777" w:rsidR="00896B5D" w:rsidRPr="00A34F8A" w:rsidRDefault="00896B5D" w:rsidP="005D3977">
            <w:pPr>
              <w:rPr>
                <w:rFonts w:asciiTheme="minorHAnsi" w:hAnsiTheme="minorHAnsi" w:cstheme="minorHAnsi"/>
                <w:szCs w:val="22"/>
                <w:highlight w:val="yellow"/>
              </w:rPr>
            </w:pPr>
          </w:p>
        </w:tc>
        <w:tc>
          <w:tcPr>
            <w:tcW w:w="0" w:type="dxa"/>
            <w:tcBorders>
              <w:left w:val="single" w:sz="4" w:space="0" w:color="BFBFBF" w:themeColor="background1" w:themeShade="BF"/>
            </w:tcBorders>
            <w:tcMar>
              <w:top w:w="57" w:type="dxa"/>
              <w:left w:w="57" w:type="dxa"/>
              <w:bottom w:w="57" w:type="dxa"/>
              <w:right w:w="57" w:type="dxa"/>
            </w:tcMar>
          </w:tcPr>
          <w:p w14:paraId="24B7F2BF"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Basic voltage: ≥ 0.071 x ln(Pno) – 0.00115 x Pno + 0.67</w:t>
            </w:r>
          </w:p>
          <w:p w14:paraId="3FE85BF5" w14:textId="77777777" w:rsidR="00896B5D" w:rsidRPr="00A34F8A" w:rsidRDefault="00896B5D" w:rsidP="005D3977">
            <w:pPr>
              <w:pStyle w:val="Table3-Normal"/>
              <w:rPr>
                <w:rFonts w:asciiTheme="minorHAnsi" w:hAnsiTheme="minorHAnsi" w:cstheme="minorHAnsi"/>
                <w:sz w:val="22"/>
                <w:szCs w:val="22"/>
                <w:highlight w:val="yellow"/>
              </w:rPr>
            </w:pPr>
            <w:r w:rsidRPr="00A34F8A">
              <w:rPr>
                <w:rFonts w:asciiTheme="minorHAnsi" w:hAnsiTheme="minorHAnsi" w:cstheme="minorHAnsi"/>
                <w:sz w:val="22"/>
                <w:szCs w:val="22"/>
              </w:rPr>
              <w:t>Low voltage: ≥ 0.0834 x ln(Pno) – 0.0011 x Pno + 0.609</w:t>
            </w:r>
          </w:p>
        </w:tc>
      </w:tr>
      <w:tr w:rsidR="00DA1EBB" w:rsidRPr="00A34F8A" w14:paraId="314B4D40"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76242804" w14:textId="77777777" w:rsidR="00896B5D" w:rsidRPr="00A34F8A" w:rsidRDefault="00896B5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64201810"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&gt;49 to 250W</w:t>
            </w:r>
          </w:p>
        </w:tc>
        <w:tc>
          <w:tcPr>
            <w:tcW w:w="0" w:type="dxa"/>
            <w:tcBorders>
              <w:left w:val="single" w:sz="4" w:space="0" w:color="BFBFBF"/>
              <w:right w:val="single" w:sz="4" w:space="0" w:color="BFBFBF" w:themeColor="background1" w:themeShade="BF"/>
            </w:tcBorders>
            <w:tcMar>
              <w:top w:w="57" w:type="dxa"/>
              <w:left w:w="57" w:type="dxa"/>
              <w:bottom w:w="57" w:type="dxa"/>
              <w:right w:w="57" w:type="dxa"/>
            </w:tcMar>
          </w:tcPr>
          <w:p w14:paraId="3E480C55"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 0.150</w:t>
            </w:r>
          </w:p>
          <w:p w14:paraId="6D0DEFA5"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Basic: ≤ 0.075</w:t>
            </w:r>
          </w:p>
          <w:p w14:paraId="4AAF73D1" w14:textId="77777777" w:rsidR="00896B5D" w:rsidRPr="00A34F8A" w:rsidRDefault="00896B5D" w:rsidP="005D3977">
            <w:pPr>
              <w:pStyle w:val="Table3-Normal"/>
              <w:rPr>
                <w:rFonts w:asciiTheme="minorHAnsi" w:hAnsiTheme="minorHAnsi" w:cstheme="minorHAnsi"/>
                <w:sz w:val="22"/>
                <w:szCs w:val="22"/>
                <w:highlight w:val="yellow"/>
              </w:rPr>
            </w:pPr>
            <w:r w:rsidRPr="00A34F8A">
              <w:rPr>
                <w:rFonts w:asciiTheme="minorHAnsi" w:hAnsiTheme="minorHAnsi" w:cstheme="minorHAnsi"/>
                <w:sz w:val="22"/>
                <w:szCs w:val="22"/>
              </w:rPr>
              <w:t>AC-AC Low: ≤ 0.185</w:t>
            </w:r>
          </w:p>
        </w:tc>
        <w:tc>
          <w:tcPr>
            <w:tcW w:w="0" w:type="dxa"/>
            <w:tcBorders>
              <w:left w:val="single" w:sz="4" w:space="0" w:color="BFBFBF" w:themeColor="background1" w:themeShade="BF"/>
            </w:tcBorders>
            <w:tcMar>
              <w:top w:w="57" w:type="dxa"/>
              <w:left w:w="57" w:type="dxa"/>
              <w:bottom w:w="57" w:type="dxa"/>
              <w:right w:w="57" w:type="dxa"/>
            </w:tcMar>
          </w:tcPr>
          <w:p w14:paraId="47FB01E6"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Basic voltage: ≥ 0.890</w:t>
            </w:r>
          </w:p>
          <w:p w14:paraId="0384C0C1"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Low voltage: ≥ 0.880</w:t>
            </w:r>
          </w:p>
          <w:p w14:paraId="16E36AAE" w14:textId="77777777" w:rsidR="00896B5D" w:rsidRPr="00A34F8A" w:rsidRDefault="00896B5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Basic voltage: ≥ 0.902</w:t>
            </w:r>
          </w:p>
          <w:p w14:paraId="2D806263" w14:textId="77777777" w:rsidR="00896B5D" w:rsidRPr="00A34F8A" w:rsidRDefault="00896B5D" w:rsidP="005D3977">
            <w:pPr>
              <w:pStyle w:val="Table3-Normal"/>
              <w:rPr>
                <w:rFonts w:asciiTheme="minorHAnsi" w:hAnsiTheme="minorHAnsi" w:cstheme="minorHAnsi"/>
                <w:sz w:val="22"/>
                <w:szCs w:val="22"/>
                <w:highlight w:val="yellow"/>
              </w:rPr>
            </w:pPr>
            <w:r w:rsidRPr="00A34F8A">
              <w:rPr>
                <w:rFonts w:asciiTheme="minorHAnsi" w:hAnsiTheme="minorHAnsi" w:cstheme="minorHAnsi"/>
                <w:sz w:val="22"/>
                <w:szCs w:val="22"/>
              </w:rPr>
              <w:t>AC-AC Low voltage: ≥ 0.880</w:t>
            </w:r>
          </w:p>
        </w:tc>
      </w:tr>
      <w:tr w:rsidR="00DA1EBB" w:rsidRPr="00A34F8A" w14:paraId="44A69669" w14:textId="77777777" w:rsidTr="006D0789">
        <w:trPr>
          <w:cantSplit/>
          <w:trHeight w:val="146"/>
        </w:trPr>
        <w:tc>
          <w:tcPr>
            <w:tcW w:w="0" w:type="dxa"/>
            <w:vMerge w:val="restart"/>
            <w:tcBorders>
              <w:right w:val="single" w:sz="4" w:space="0" w:color="BFBFBF"/>
            </w:tcBorders>
            <w:tcMar>
              <w:top w:w="57" w:type="dxa"/>
              <w:left w:w="57" w:type="dxa"/>
              <w:bottom w:w="57" w:type="dxa"/>
              <w:right w:w="57" w:type="dxa"/>
            </w:tcMar>
          </w:tcPr>
          <w:p w14:paraId="30DF6F8F" w14:textId="77777777" w:rsidR="00896B5D" w:rsidRPr="00A34F8A" w:rsidRDefault="00896B5D" w:rsidP="005D3977">
            <w:pPr>
              <w:rPr>
                <w:rFonts w:asciiTheme="minorHAnsi" w:hAnsiTheme="minorHAnsi" w:cstheme="minorHAnsi"/>
                <w:b/>
                <w:bCs/>
                <w:szCs w:val="22"/>
              </w:rPr>
            </w:pPr>
            <w:r w:rsidRPr="00A34F8A">
              <w:rPr>
                <w:rFonts w:asciiTheme="minorHAnsi" w:hAnsiTheme="minorHAnsi" w:cstheme="minorHAnsi"/>
                <w:b/>
                <w:bCs/>
                <w:szCs w:val="22"/>
              </w:rPr>
              <w:t>MV</w:t>
            </w:r>
          </w:p>
        </w:tc>
        <w:tc>
          <w:tcPr>
            <w:tcW w:w="0" w:type="dxa"/>
            <w:tcBorders>
              <w:left w:val="single" w:sz="4" w:space="0" w:color="BFBFBF"/>
              <w:right w:val="single" w:sz="4" w:space="0" w:color="BFBFBF"/>
            </w:tcBorders>
            <w:tcMar>
              <w:top w:w="57" w:type="dxa"/>
              <w:left w:w="57" w:type="dxa"/>
              <w:bottom w:w="57" w:type="dxa"/>
              <w:right w:w="57" w:type="dxa"/>
            </w:tcMar>
          </w:tcPr>
          <w:p w14:paraId="06C79C97"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0 to 1W</w:t>
            </w:r>
          </w:p>
        </w:tc>
        <w:tc>
          <w:tcPr>
            <w:tcW w:w="0"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32CF05F4"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 0.075</w:t>
            </w:r>
          </w:p>
        </w:tc>
        <w:tc>
          <w:tcPr>
            <w:tcW w:w="0" w:type="dxa"/>
            <w:tcBorders>
              <w:left w:val="single" w:sz="4" w:space="0" w:color="BFBFBF" w:themeColor="background1" w:themeShade="BF"/>
            </w:tcBorders>
            <w:tcMar>
              <w:top w:w="57" w:type="dxa"/>
              <w:left w:w="57" w:type="dxa"/>
              <w:bottom w:w="57" w:type="dxa"/>
              <w:right w:w="57" w:type="dxa"/>
            </w:tcMar>
          </w:tcPr>
          <w:p w14:paraId="4B2424DA" w14:textId="77777777" w:rsidR="00896B5D" w:rsidRPr="00A34F8A" w:rsidRDefault="00896B5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0.497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+ 0.067</w:t>
            </w:r>
          </w:p>
        </w:tc>
      </w:tr>
      <w:tr w:rsidR="00DA1EBB" w:rsidRPr="00A34F8A" w14:paraId="2B1D2FB1" w14:textId="77777777" w:rsidTr="006D0789">
        <w:trPr>
          <w:cantSplit/>
          <w:trHeight w:val="145"/>
        </w:trPr>
        <w:tc>
          <w:tcPr>
            <w:tcW w:w="0" w:type="dxa"/>
            <w:vMerge/>
            <w:tcBorders>
              <w:right w:val="single" w:sz="4" w:space="0" w:color="BFBFBF"/>
            </w:tcBorders>
            <w:tcMar>
              <w:top w:w="57" w:type="dxa"/>
              <w:left w:w="57" w:type="dxa"/>
              <w:bottom w:w="57" w:type="dxa"/>
              <w:right w:w="57" w:type="dxa"/>
            </w:tcMar>
          </w:tcPr>
          <w:p w14:paraId="45E52478" w14:textId="77777777" w:rsidR="00896B5D" w:rsidRPr="00A34F8A" w:rsidRDefault="00896B5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02B4DFC5"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&gt;1 to 49W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6FF949AD" w14:textId="77777777" w:rsidR="00896B5D" w:rsidRPr="00A34F8A" w:rsidRDefault="00896B5D" w:rsidP="005D3977">
            <w:pPr>
              <w:rPr>
                <w:rFonts w:asciiTheme="minorHAnsi" w:hAnsiTheme="minorHAnsi" w:cstheme="minorHAnsi"/>
                <w:szCs w:val="22"/>
              </w:rPr>
            </w:pPr>
          </w:p>
        </w:tc>
        <w:tc>
          <w:tcPr>
            <w:tcW w:w="0" w:type="dxa"/>
            <w:tcBorders>
              <w:left w:val="single" w:sz="4" w:space="0" w:color="BFBFBF" w:themeColor="background1" w:themeShade="BF"/>
            </w:tcBorders>
            <w:tcMar>
              <w:top w:w="57" w:type="dxa"/>
              <w:left w:w="57" w:type="dxa"/>
              <w:bottom w:w="57" w:type="dxa"/>
              <w:right w:w="57" w:type="dxa"/>
            </w:tcMar>
          </w:tcPr>
          <w:p w14:paraId="498C6C22" w14:textId="77777777" w:rsidR="00896B5D" w:rsidRPr="00A34F8A" w:rsidRDefault="00896B5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0.0782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0.013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+ 0.643</w:t>
            </w:r>
          </w:p>
        </w:tc>
      </w:tr>
      <w:tr w:rsidR="00DA1EBB" w:rsidRPr="00A34F8A" w14:paraId="3396EE7F"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19BB5CE4" w14:textId="77777777" w:rsidR="00896B5D" w:rsidRPr="00A34F8A" w:rsidRDefault="00896B5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43E74429"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&gt;49 to 250W</w:t>
            </w:r>
          </w:p>
        </w:tc>
        <w:tc>
          <w:tcPr>
            <w:tcW w:w="0" w:type="dxa"/>
            <w:tcBorders>
              <w:left w:val="single" w:sz="4" w:space="0" w:color="BFBFBF"/>
              <w:right w:val="single" w:sz="4" w:space="0" w:color="BFBFBF" w:themeColor="background1" w:themeShade="BF"/>
            </w:tcBorders>
            <w:tcMar>
              <w:top w:w="57" w:type="dxa"/>
              <w:left w:w="57" w:type="dxa"/>
              <w:bottom w:w="57" w:type="dxa"/>
              <w:right w:w="57" w:type="dxa"/>
            </w:tcMar>
          </w:tcPr>
          <w:p w14:paraId="1A2EAE9D" w14:textId="77777777" w:rsidR="00896B5D" w:rsidRPr="00A34F8A" w:rsidRDefault="00896B5D" w:rsidP="005D3977">
            <w:pPr>
              <w:rPr>
                <w:rFonts w:asciiTheme="minorHAnsi" w:hAnsiTheme="minorHAnsi" w:cstheme="minorHAnsi"/>
                <w:szCs w:val="22"/>
              </w:rPr>
            </w:pPr>
            <w:r w:rsidRPr="00A34F8A">
              <w:rPr>
                <w:rFonts w:asciiTheme="minorHAnsi" w:hAnsiTheme="minorHAnsi" w:cstheme="minorHAnsi"/>
                <w:szCs w:val="22"/>
              </w:rPr>
              <w:t>≤ 0.125</w:t>
            </w:r>
          </w:p>
        </w:tc>
        <w:tc>
          <w:tcPr>
            <w:tcW w:w="0" w:type="dxa"/>
            <w:tcBorders>
              <w:left w:val="single" w:sz="4" w:space="0" w:color="BFBFBF" w:themeColor="background1" w:themeShade="BF"/>
            </w:tcBorders>
            <w:tcMar>
              <w:top w:w="57" w:type="dxa"/>
              <w:left w:w="57" w:type="dxa"/>
              <w:bottom w:w="57" w:type="dxa"/>
              <w:right w:w="57" w:type="dxa"/>
            </w:tcMar>
          </w:tcPr>
          <w:p w14:paraId="0BED8F16" w14:textId="77777777" w:rsidR="00896B5D" w:rsidRPr="00A34F8A" w:rsidRDefault="00896B5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0.885</w:t>
            </w:r>
          </w:p>
        </w:tc>
      </w:tr>
    </w:tbl>
    <w:p w14:paraId="40485E1F" w14:textId="77777777" w:rsidR="00896B5D" w:rsidRPr="00A34F8A" w:rsidRDefault="00896B5D" w:rsidP="00896B5D">
      <w:pPr>
        <w:pStyle w:val="BlueLineBottom"/>
        <w:rPr>
          <w:rFonts w:asciiTheme="minorHAnsi" w:hAnsiTheme="minorHAnsi" w:cstheme="minorHAnsi"/>
          <w:sz w:val="22"/>
          <w:szCs w:val="22"/>
        </w:rPr>
      </w:pPr>
    </w:p>
    <w:p w14:paraId="334F98E3" w14:textId="77777777" w:rsidR="00896B5D" w:rsidRPr="00A34F8A" w:rsidRDefault="00896B5D" w:rsidP="00896B5D">
      <w:pPr>
        <w:rPr>
          <w:rFonts w:asciiTheme="minorHAnsi" w:hAnsiTheme="minorHAnsi" w:cstheme="minorHAnsi"/>
          <w:szCs w:val="22"/>
        </w:rPr>
      </w:pPr>
      <w:r w:rsidRPr="00A34F8A">
        <w:rPr>
          <w:rFonts w:asciiTheme="minorHAnsi" w:hAnsiTheme="minorHAnsi" w:cstheme="minorHAnsi"/>
          <w:szCs w:val="22"/>
        </w:rPr>
        <w:t xml:space="preserve">Australia and New Zealand will need to consider if they wish to harmonise with these markets and if so, when it is best to do so. In interviews we heard that a two-year lag period behind the US and EU markets is sufficient for Australian and New Zealand markets to be able to follow suit without incurring supply shortages and cost increases. </w:t>
      </w:r>
    </w:p>
    <w:p w14:paraId="0FA91D33" w14:textId="460822D5" w:rsidR="00896B5D" w:rsidRPr="00A34F8A" w:rsidRDefault="00896B5D" w:rsidP="00896B5D">
      <w:pPr>
        <w:rPr>
          <w:rFonts w:asciiTheme="minorHAnsi" w:hAnsiTheme="minorHAnsi" w:cstheme="minorHAnsi"/>
          <w:szCs w:val="22"/>
        </w:rPr>
      </w:pPr>
      <w:r w:rsidRPr="00A34F8A">
        <w:rPr>
          <w:rFonts w:asciiTheme="minorHAnsi" w:hAnsiTheme="minorHAnsi" w:cstheme="minorHAnsi"/>
          <w:szCs w:val="22"/>
        </w:rPr>
        <w:t xml:space="preserve">Going beyond international regulations is not feasible for Australia and New Zealand. If Australia and New Zealand were to move to mark VII or a different, more stringent energy efficiency standard before the other large markets, it is possible that there would be significant market and trade disruptions. Australia and New Zealand’s markets are not big enough to drive manufacturers to create higher efficiency products. This means that these markets would only be able to sell existing products that are already at an efficiency level above VI. There is limited data on the number of EPS that exceed level VI. As the Australian and New Zealand markets tends to lag the US market by 6-8 years, it is likely that the proportion of EPS exceeding level VI locally is much lower. </w:t>
      </w:r>
    </w:p>
    <w:p w14:paraId="74AD1ADD" w14:textId="3F05427E" w:rsidR="00896B5D" w:rsidRPr="00A34F8A" w:rsidRDefault="00896B5D" w:rsidP="00726930">
      <w:pPr>
        <w:pStyle w:val="Heading3"/>
      </w:pPr>
      <w:bookmarkStart w:id="72" w:name="_Toc168660642"/>
      <w:bookmarkStart w:id="73" w:name="_Toc183163247"/>
      <w:r w:rsidRPr="00A34F8A">
        <w:lastRenderedPageBreak/>
        <w:t>Including a 10</w:t>
      </w:r>
      <w:r w:rsidR="00E97D47" w:rsidRPr="00A34F8A">
        <w:t>% load efficiency</w:t>
      </w:r>
      <w:bookmarkEnd w:id="72"/>
      <w:bookmarkEnd w:id="73"/>
    </w:p>
    <w:p w14:paraId="77DDE98A" w14:textId="014A679A" w:rsidR="003A0560" w:rsidRPr="00A34F8A" w:rsidRDefault="003A0560" w:rsidP="003A0560">
      <w:pPr>
        <w:rPr>
          <w:rFonts w:asciiTheme="minorHAnsi" w:hAnsiTheme="minorHAnsi" w:cstheme="minorHAnsi"/>
          <w:szCs w:val="22"/>
        </w:rPr>
      </w:pPr>
      <w:r w:rsidRPr="00A34F8A">
        <w:rPr>
          <w:rFonts w:asciiTheme="minorHAnsi" w:hAnsiTheme="minorHAnsi" w:cstheme="minorHAnsi"/>
          <w:szCs w:val="22"/>
        </w:rPr>
        <w:t xml:space="preserve">The EU includes a 10% loading point efficiency requirement in their EPS regulations </w:t>
      </w:r>
      <w:sdt>
        <w:sdtPr>
          <w:rPr>
            <w:rFonts w:asciiTheme="minorHAnsi" w:hAnsiTheme="minorHAnsi" w:cstheme="minorHAnsi"/>
            <w:szCs w:val="22"/>
          </w:rPr>
          <w:id w:val="-1107576788"/>
          <w:placeholder>
            <w:docPart w:val="8E85A0BE15C64958A1D25820E656859C"/>
          </w:placeholder>
          <w:citation/>
        </w:sdtPr>
        <w:sdtContent>
          <w:r w:rsidRPr="00A34F8A">
            <w:rPr>
              <w:rFonts w:asciiTheme="minorHAnsi" w:hAnsiTheme="minorHAnsi" w:cstheme="minorHAnsi"/>
              <w:szCs w:val="22"/>
            </w:rPr>
            <w:fldChar w:fldCharType="begin"/>
          </w:r>
          <w:r w:rsidR="00CE45D0">
            <w:rPr>
              <w:rFonts w:asciiTheme="minorHAnsi" w:hAnsiTheme="minorHAnsi" w:cstheme="minorHAnsi"/>
              <w:szCs w:val="22"/>
            </w:rPr>
            <w:instrText xml:space="preserve">CITATION The191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(The European Commission,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This differs from the international testing standard and both the US regulations and the MEPS which only sets a requirement for EPS active average efficiency (average of 25%, 50%, 75% and 100% loading points) and a separate no-load requirement </w:t>
      </w:r>
      <w:sdt>
        <w:sdtPr>
          <w:rPr>
            <w:rFonts w:asciiTheme="minorHAnsi" w:hAnsiTheme="minorHAnsi" w:cstheme="minorHAnsi"/>
            <w:szCs w:val="22"/>
          </w:rPr>
          <w:id w:val="-191456587"/>
          <w:placeholder>
            <w:docPart w:val="8E85A0BE15C64958A1D25820E656859C"/>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USD22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One argument in favour of testing EPS at a 10% load is that it captures their performance at lower loads (0 – 25%) which would otherwise not be captured. In response, it is argued that there is a correlation between how an EPS operates at the average active efficiency – i.e., the average efficiency across 25%, 50%, 75% and 100% loads – and how an EPS operates at lower loads. The data below, obtained from the EU’s consultation materials for its review of the Ecodesign regulation, shows that there appears to be some relationship between the efficiency at 10% of rated load and the average efficiency. </w:t>
      </w:r>
    </w:p>
    <w:p w14:paraId="17554361" w14:textId="77777777" w:rsidR="003A0560" w:rsidRPr="00A34F8A" w:rsidRDefault="003A0560" w:rsidP="003A0560">
      <w:pPr>
        <w:rPr>
          <w:rFonts w:asciiTheme="minorHAnsi" w:hAnsiTheme="minorHAnsi" w:cstheme="minorHAnsi"/>
          <w:szCs w:val="22"/>
        </w:rPr>
      </w:pPr>
      <w:r w:rsidRPr="00A34F8A">
        <w:rPr>
          <w:rFonts w:asciiTheme="minorHAnsi" w:hAnsiTheme="minorHAnsi" w:cstheme="minorHAnsi"/>
          <w:noProof/>
          <w:szCs w:val="22"/>
        </w:rPr>
        <w:drawing>
          <wp:anchor distT="0" distB="0" distL="114300" distR="114300" simplePos="0" relativeHeight="251658240" behindDoc="0" locked="0" layoutInCell="1" allowOverlap="1" wp14:anchorId="6B2D4749" wp14:editId="4A033FA5">
            <wp:simplePos x="1276350" y="913130"/>
            <wp:positionH relativeFrom="column">
              <wp:align>left</wp:align>
            </wp:positionH>
            <wp:positionV relativeFrom="paragraph">
              <wp:align>top</wp:align>
            </wp:positionV>
            <wp:extent cx="3221990" cy="3780155"/>
            <wp:effectExtent l="0" t="0" r="0" b="0"/>
            <wp:wrapSquare wrapText="bothSides"/>
            <wp:docPr id="538815976" name="Picture 538815976" descr="A scatter chart showing the high correlation between average active efficiency and low load efficiency external power supplies tested for the European Commission's review of the EPS Ecodesign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15976" name="Picture 538815976" descr="A scatter chart showing the high correlation between average active efficiency and low load efficiency external power supplies tested for the European Commission's review of the EPS Ecodesign regulation."/>
                    <pic:cNvPicPr/>
                  </pic:nvPicPr>
                  <pic:blipFill>
                    <a:blip r:embed="rId24">
                      <a:extLst>
                        <a:ext uri="{28A0092B-C50C-407E-A947-70E740481C1C}">
                          <a14:useLocalDpi xmlns:a14="http://schemas.microsoft.com/office/drawing/2010/main" val="0"/>
                        </a:ext>
                      </a:extLst>
                    </a:blip>
                    <a:stretch>
                      <a:fillRect/>
                    </a:stretch>
                  </pic:blipFill>
                  <pic:spPr>
                    <a:xfrm>
                      <a:off x="0" y="0"/>
                      <a:ext cx="3221990" cy="3780155"/>
                    </a:xfrm>
                    <a:prstGeom prst="rect">
                      <a:avLst/>
                    </a:prstGeom>
                  </pic:spPr>
                </pic:pic>
              </a:graphicData>
            </a:graphic>
          </wp:anchor>
        </w:drawing>
      </w:r>
      <w:r w:rsidRPr="00A34F8A">
        <w:rPr>
          <w:rFonts w:asciiTheme="minorHAnsi" w:hAnsiTheme="minorHAnsi" w:cstheme="minorHAnsi"/>
          <w:szCs w:val="22"/>
        </w:rPr>
        <w:br w:type="textWrapping" w:clear="all"/>
      </w:r>
    </w:p>
    <w:p w14:paraId="3D06979C" w14:textId="5444C182" w:rsidR="003A0560" w:rsidRPr="00A34F8A" w:rsidRDefault="003A0560" w:rsidP="003A0560">
      <w:pPr>
        <w:pStyle w:val="Caption"/>
        <w:rPr>
          <w:rFonts w:asciiTheme="minorHAnsi" w:hAnsiTheme="minorHAnsi" w:cstheme="minorHAnsi"/>
          <w:sz w:val="22"/>
          <w:szCs w:val="22"/>
        </w:rPr>
      </w:pPr>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Figure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w:t>
      </w:r>
      <w:r w:rsidRPr="00A34F8A">
        <w:rPr>
          <w:rFonts w:asciiTheme="minorHAnsi" w:hAnsiTheme="minorHAnsi" w:cstheme="minorHAnsi"/>
          <w:sz w:val="22"/>
          <w:szCs w:val="22"/>
        </w:rPr>
        <w:fldChar w:fldCharType="end"/>
      </w:r>
      <w:r w:rsidRPr="00A34F8A">
        <w:rPr>
          <w:rFonts w:asciiTheme="minorHAnsi" w:hAnsiTheme="minorHAnsi" w:cstheme="minorHAnsi"/>
          <w:sz w:val="22"/>
          <w:szCs w:val="22"/>
        </w:rPr>
        <w:t>: Correlation between average active efficiency and low load efficiency (10%) in EPS devices tested for the EU commission’s review of EPS Ecodesign regulation</w:t>
      </w:r>
    </w:p>
    <w:p w14:paraId="40F31E6D" w14:textId="77777777" w:rsidR="003A0560" w:rsidRPr="00A34F8A" w:rsidRDefault="003A0560" w:rsidP="003A0560">
      <w:pPr>
        <w:rPr>
          <w:rFonts w:asciiTheme="minorHAnsi" w:hAnsiTheme="minorHAnsi" w:cstheme="minorHAnsi"/>
          <w:szCs w:val="22"/>
        </w:rPr>
      </w:pPr>
    </w:p>
    <w:p w14:paraId="49E324DF" w14:textId="17976411" w:rsidR="003A0560" w:rsidRPr="00A34F8A" w:rsidRDefault="003A0560" w:rsidP="003A0560">
      <w:pPr>
        <w:rPr>
          <w:rFonts w:asciiTheme="minorHAnsi" w:hAnsiTheme="minorHAnsi" w:cstheme="minorHAnsi"/>
          <w:szCs w:val="22"/>
        </w:rPr>
      </w:pPr>
      <w:r w:rsidRPr="00A34F8A">
        <w:rPr>
          <w:rFonts w:asciiTheme="minorHAnsi" w:hAnsiTheme="minorHAnsi" w:cstheme="minorHAnsi"/>
          <w:szCs w:val="22"/>
        </w:rPr>
        <w:t xml:space="preserve">Beyond the statistical considerations, there are regulatory barriers to implementing a test standard in the US which includes a 10% loading condition. In interviews we confirmed that the US would require a new law if they wished to add the 10% loading conditions. This is because in the US, the Energy Policy and Conservation Act (“EPCA”) only provides authority to the DOE to include a single test </w:t>
      </w:r>
      <w:sdt>
        <w:sdtPr>
          <w:rPr>
            <w:rFonts w:asciiTheme="minorHAnsi" w:hAnsiTheme="minorHAnsi" w:cstheme="minorHAnsi"/>
            <w:szCs w:val="22"/>
          </w:rPr>
          <w:id w:val="92136038"/>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Dep19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(Department of Energy,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In contrast, the EU was able to add a separate 10% loading condition in their regulation without the same regulatory barriers. </w:t>
      </w:r>
    </w:p>
    <w:p w14:paraId="2A0A60B8" w14:textId="6762E911" w:rsidR="003A0560" w:rsidRPr="00A34F8A" w:rsidRDefault="003A0560" w:rsidP="003A0560">
      <w:pPr>
        <w:rPr>
          <w:rFonts w:asciiTheme="minorHAnsi" w:hAnsiTheme="minorHAnsi" w:cstheme="minorHAnsi"/>
          <w:szCs w:val="22"/>
        </w:rPr>
      </w:pPr>
      <w:r w:rsidRPr="00A34F8A">
        <w:rPr>
          <w:rFonts w:asciiTheme="minorHAnsi" w:hAnsiTheme="minorHAnsi" w:cstheme="minorHAnsi"/>
          <w:szCs w:val="22"/>
        </w:rPr>
        <w:t xml:space="preserve">Including an Australian and New Zealand requirement that is not part of the US standard would mean fewer compliance pathways for manufacturers, as tests conducted to the US </w:t>
      </w:r>
      <w:r w:rsidRPr="00A34F8A">
        <w:rPr>
          <w:rFonts w:asciiTheme="minorHAnsi" w:hAnsiTheme="minorHAnsi" w:cstheme="minorHAnsi"/>
          <w:szCs w:val="22"/>
        </w:rPr>
        <w:lastRenderedPageBreak/>
        <w:t>standard would no longer be acceptable. Under the EU eco-design requirements 2019/1782 there is an additional test point, 10% load. This requirement is not used in the active mode active efficiency calculation (load points 100%, 75%, 50%, 10%), but is collected to determine the “feasibility of setting a requirement regarding minimum energy efficiency at 10% load”. The modelling for this C-RIS does not include the 10% loading point as we do not have enough information to understand the cost implications of the 10% load efficiency values on the Australian and New Zealand EPS markets. We would like to hear stakeholders</w:t>
      </w:r>
      <w:r w:rsidR="00876235">
        <w:rPr>
          <w:rFonts w:asciiTheme="minorHAnsi" w:hAnsiTheme="minorHAnsi" w:cstheme="minorHAnsi"/>
          <w:szCs w:val="22"/>
        </w:rPr>
        <w:t>’</w:t>
      </w:r>
      <w:r w:rsidRPr="00A34F8A">
        <w:rPr>
          <w:rFonts w:asciiTheme="minorHAnsi" w:hAnsiTheme="minorHAnsi" w:cstheme="minorHAnsi"/>
          <w:szCs w:val="22"/>
        </w:rPr>
        <w:t xml:space="preserve"> views on the 10% load point testing requirement. The data above suggests that many products are already achieving a reasonable low load efficiency, so the additional testing and compliance costs are not likely to deliver significant additional benefit. </w:t>
      </w:r>
    </w:p>
    <w:p w14:paraId="1723EBB1" w14:textId="2F712FC6" w:rsidR="003A0560" w:rsidRPr="00A34F8A" w:rsidRDefault="003A0560" w:rsidP="00726930">
      <w:pPr>
        <w:pStyle w:val="Heading2"/>
      </w:pPr>
      <w:bookmarkStart w:id="74" w:name="_Toc168660727"/>
      <w:bookmarkStart w:id="75" w:name="_Toc183163248"/>
      <w:r w:rsidRPr="00A34F8A">
        <w:t>3.3 Considerations for expanding scope</w:t>
      </w:r>
      <w:bookmarkEnd w:id="74"/>
      <w:bookmarkEnd w:id="75"/>
    </w:p>
    <w:p w14:paraId="37C4365F" w14:textId="6C7787CE" w:rsidR="00584450" w:rsidRPr="00A34F8A" w:rsidRDefault="00584450" w:rsidP="00726930">
      <w:pPr>
        <w:pStyle w:val="Heading3"/>
      </w:pPr>
      <w:bookmarkStart w:id="76" w:name="_Toc168660643"/>
      <w:bookmarkStart w:id="77" w:name="_Toc183163249"/>
      <w:r w:rsidRPr="00A34F8A">
        <w:t>Aligning scope with international standa</w:t>
      </w:r>
      <w:r w:rsidR="00AE4CAE" w:rsidRPr="00A34F8A">
        <w:t>rds</w:t>
      </w:r>
      <w:bookmarkEnd w:id="76"/>
      <w:bookmarkEnd w:id="77"/>
    </w:p>
    <w:p w14:paraId="6A317687" w14:textId="1805698B" w:rsidR="00CB42EA" w:rsidRPr="00A34F8A" w:rsidRDefault="00CB42EA" w:rsidP="00CB42EA">
      <w:pPr>
        <w:rPr>
          <w:rFonts w:asciiTheme="minorHAnsi" w:hAnsiTheme="minorHAnsi" w:cstheme="minorHAnsi"/>
          <w:szCs w:val="22"/>
        </w:rPr>
      </w:pPr>
      <w:r w:rsidRPr="001E5937">
        <w:rPr>
          <w:rFonts w:asciiTheme="minorHAnsi" w:hAnsiTheme="minorHAnsi" w:cstheme="minorHAnsi"/>
          <w:szCs w:val="22"/>
        </w:rPr>
        <w:t>The scope of the current regulation in Australia and New Zealand captures less than 20% of EPS sales when compared to the capture of international regulations, e.g., US and EU. The current regulation does not include multiple voltage EPS and adaptive voltage devices that allow for fast charging. These types of EPS are common to many phones, tablets, laptops and other personal electronic devices. The EU Common Charger initiative will require USB-C charging ports for many devices from 2024</w:t>
      </w:r>
      <w:sdt>
        <w:sdtPr>
          <w:rPr>
            <w:rFonts w:asciiTheme="minorHAnsi" w:hAnsiTheme="minorHAnsi" w:cstheme="minorHAnsi"/>
            <w:szCs w:val="22"/>
          </w:rPr>
          <w:id w:val="-377710142"/>
          <w:placeholder>
            <w:docPart w:val="4E1A6767E460499DA51A52E23660D2A5"/>
          </w:placeholder>
          <w:citation/>
        </w:sdtPr>
        <w:sdtContent>
          <w:r w:rsidRPr="001E5937">
            <w:rPr>
              <w:rFonts w:asciiTheme="minorHAnsi" w:hAnsiTheme="minorHAnsi" w:cstheme="minorHAnsi"/>
              <w:szCs w:val="22"/>
            </w:rPr>
            <w:fldChar w:fldCharType="begin"/>
          </w:r>
          <w:r w:rsidRPr="001E5937">
            <w:rPr>
              <w:rFonts w:asciiTheme="minorHAnsi" w:hAnsiTheme="minorHAnsi" w:cstheme="minorHAnsi"/>
              <w:szCs w:val="22"/>
              <w:lang w:val="en-US"/>
            </w:rPr>
            <w:instrText xml:space="preserve"> CITATION Eur22 \l 1033 </w:instrText>
          </w:r>
          <w:r w:rsidRPr="001E5937">
            <w:rPr>
              <w:rFonts w:asciiTheme="minorHAnsi" w:hAnsiTheme="minorHAnsi" w:cstheme="minorHAnsi"/>
              <w:szCs w:val="22"/>
            </w:rPr>
            <w:fldChar w:fldCharType="separate"/>
          </w:r>
          <w:r w:rsidR="002E2541">
            <w:rPr>
              <w:rFonts w:asciiTheme="minorHAnsi" w:hAnsiTheme="minorHAnsi" w:cstheme="minorHAnsi"/>
              <w:noProof/>
              <w:szCs w:val="22"/>
              <w:lang w:val="en-US"/>
            </w:rPr>
            <w:t xml:space="preserve"> </w:t>
          </w:r>
          <w:r w:rsidR="002E2541" w:rsidRPr="002E2541">
            <w:rPr>
              <w:rFonts w:asciiTheme="minorHAnsi" w:hAnsiTheme="minorHAnsi" w:cstheme="minorHAnsi"/>
              <w:noProof/>
              <w:szCs w:val="22"/>
              <w:lang w:val="en-US"/>
            </w:rPr>
            <w:t>(European Union, 2022)</w:t>
          </w:r>
          <w:r w:rsidRPr="001E5937">
            <w:rPr>
              <w:rFonts w:asciiTheme="minorHAnsi" w:hAnsiTheme="minorHAnsi" w:cstheme="minorHAnsi"/>
              <w:szCs w:val="22"/>
            </w:rPr>
            <w:fldChar w:fldCharType="end"/>
          </w:r>
        </w:sdtContent>
      </w:sdt>
      <w:r w:rsidRPr="001E5937">
        <w:rPr>
          <w:rFonts w:asciiTheme="minorHAnsi" w:hAnsiTheme="minorHAnsi" w:cstheme="minorHAnsi"/>
          <w:szCs w:val="22"/>
        </w:rPr>
        <w:t>, which will further increase the adoption of adaptive voltage EPS devices. Given the ubiquity of these electronic devices in today’s marketplace, by excluding them under the current regulations, a significant and growing portion of the market remain unregulated.</w:t>
      </w:r>
      <w:r w:rsidRPr="00A34F8A">
        <w:rPr>
          <w:rFonts w:asciiTheme="minorHAnsi" w:hAnsiTheme="minorHAnsi" w:cstheme="minorHAnsi"/>
          <w:szCs w:val="22"/>
        </w:rPr>
        <w:t xml:space="preserve"> The US and EU currently regulate these products at an efficiency level of mark VI </w:t>
      </w:r>
      <w:sdt>
        <w:sdtPr>
          <w:rPr>
            <w:rFonts w:asciiTheme="minorHAnsi" w:hAnsiTheme="minorHAnsi" w:cstheme="minorHAnsi"/>
            <w:szCs w:val="22"/>
          </w:rPr>
          <w:id w:val="1480200033"/>
          <w:placeholder>
            <w:docPart w:val="4E1A6767E460499DA51A52E23660D2A5"/>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USD22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sdt>
        <w:sdtPr>
          <w:rPr>
            <w:rFonts w:asciiTheme="minorHAnsi" w:hAnsiTheme="minorHAnsi" w:cstheme="minorHAnsi"/>
            <w:szCs w:val="22"/>
          </w:rPr>
          <w:id w:val="-2108483492"/>
          <w:placeholder>
            <w:docPart w:val="4E1A6767E460499DA51A52E23660D2A5"/>
          </w:placeholder>
          <w:citation/>
        </w:sdtPr>
        <w:sdtContent>
          <w:r w:rsidRPr="00A34F8A">
            <w:rPr>
              <w:rFonts w:asciiTheme="minorHAnsi" w:hAnsiTheme="minorHAnsi" w:cstheme="minorHAnsi"/>
              <w:szCs w:val="22"/>
            </w:rPr>
            <w:fldChar w:fldCharType="begin"/>
          </w:r>
          <w:r w:rsidR="00CE45D0">
            <w:rPr>
              <w:rFonts w:asciiTheme="minorHAnsi" w:hAnsiTheme="minorHAnsi" w:cstheme="minorHAnsi"/>
              <w:szCs w:val="22"/>
            </w:rPr>
            <w:instrText xml:space="preserve">CITATION The191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(The European Commission,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w:t>
      </w:r>
    </w:p>
    <w:p w14:paraId="069CF6EF" w14:textId="77777777" w:rsidR="00CB42EA" w:rsidRPr="00A34F8A" w:rsidRDefault="00CB42EA" w:rsidP="00CB42EA">
      <w:pPr>
        <w:rPr>
          <w:rFonts w:asciiTheme="minorHAnsi" w:hAnsiTheme="minorHAnsi" w:cstheme="minorHAnsi"/>
          <w:szCs w:val="22"/>
        </w:rPr>
      </w:pPr>
      <w:r w:rsidRPr="00A34F8A">
        <w:rPr>
          <w:rFonts w:asciiTheme="minorHAnsi" w:hAnsiTheme="minorHAnsi" w:cstheme="minorHAnsi"/>
          <w:szCs w:val="22"/>
        </w:rPr>
        <w:t xml:space="preserve">Australia and New Zealand could consider expanding the scope of their regulations and aligning with the current US and EU regulations. This would mean including newer technologies that will deliver more power over time. For example, USB Power Delivery (USB-PD). USB-PD is a fast-charging protocol and standard that allows for higher power delivery over USB connections. Devices such as smartphones, tablets, laptops, and other electronics have become more power-hungry, thus the need for faster and more powerful charging capabilities has grown. USB-PD addresses this need. It allows devices to receive the optimal amount of power they require for faster charging – up to 100W (20V at 5A). In interviews with industry experts, we heard that further innovation was taking place to develop USB-PDs to deliver up to 250W. </w:t>
      </w:r>
    </w:p>
    <w:p w14:paraId="4EB9D2CA" w14:textId="77777777" w:rsidR="00CB42EA" w:rsidRPr="00A34F8A" w:rsidRDefault="00CB42EA" w:rsidP="00CB42EA">
      <w:pPr>
        <w:rPr>
          <w:rFonts w:asciiTheme="minorHAnsi" w:hAnsiTheme="minorHAnsi" w:cstheme="minorHAnsi"/>
          <w:szCs w:val="22"/>
        </w:rPr>
      </w:pPr>
      <w:r w:rsidRPr="00A34F8A">
        <w:rPr>
          <w:rFonts w:asciiTheme="minorHAnsi" w:hAnsiTheme="minorHAnsi" w:cstheme="minorHAnsi"/>
          <w:szCs w:val="22"/>
        </w:rPr>
        <w:t xml:space="preserve">The US and EU have suggested they are likely to expand the scope of their regulations further to capture new technologies like wireless chargers if, and when, they increase their current regulations to mark VII as anticipated. Developing a consistent test method and standard for these devices is challenging. However, wireless chargers have the potential for large energy conversion losses due to inefficient designs or large power consumption. In interviews, industry experts relayed concerns about the energy losses from more powerful wireless chargers that may be developed. Australia and New Zealand should consider the possibility of continuously updating their regulatory scope in line with international regulations. Under the </w:t>
      </w:r>
      <w:r w:rsidRPr="00A34F8A">
        <w:rPr>
          <w:rFonts w:asciiTheme="minorHAnsi" w:hAnsiTheme="minorHAnsi" w:cstheme="minorHAnsi"/>
          <w:szCs w:val="22"/>
        </w:rPr>
        <w:lastRenderedPageBreak/>
        <w:t>proposed mark VII US regulation, EPS in devices such as wireless chargers are likely to be covered.</w:t>
      </w:r>
    </w:p>
    <w:p w14:paraId="0A8E408E" w14:textId="68D5188E" w:rsidR="00CB42EA" w:rsidRPr="00A34F8A" w:rsidRDefault="00F237B4" w:rsidP="00726930">
      <w:pPr>
        <w:pStyle w:val="Heading3"/>
      </w:pPr>
      <w:bookmarkStart w:id="78" w:name="_Toc168660644"/>
      <w:bookmarkStart w:id="79" w:name="_Toc183163250"/>
      <w:r w:rsidRPr="00A34F8A">
        <w:t>Including wireless chargers</w:t>
      </w:r>
      <w:bookmarkEnd w:id="78"/>
      <w:bookmarkEnd w:id="79"/>
    </w:p>
    <w:p w14:paraId="5618356F" w14:textId="6D35B61F" w:rsidR="00B4393E" w:rsidRPr="00A34F8A" w:rsidRDefault="00B4393E" w:rsidP="00B4393E">
      <w:pPr>
        <w:rPr>
          <w:rFonts w:asciiTheme="minorHAnsi" w:hAnsiTheme="minorHAnsi" w:cstheme="minorHAnsi"/>
          <w:szCs w:val="22"/>
        </w:rPr>
      </w:pPr>
      <w:r w:rsidRPr="00B30B3C">
        <w:rPr>
          <w:rFonts w:asciiTheme="minorHAnsi" w:hAnsiTheme="minorHAnsi" w:cstheme="minorHAnsi"/>
          <w:szCs w:val="22"/>
        </w:rPr>
        <w:t>The US and EU are proposing to include some types of wireless chargers in their regulations and Australia and New Zealand could follow these markets with an adequate lag period.</w:t>
      </w:r>
    </w:p>
    <w:p w14:paraId="79C6C900" w14:textId="77777777" w:rsidR="00B4393E" w:rsidRPr="00A34F8A" w:rsidRDefault="00B4393E" w:rsidP="00B4393E">
      <w:pPr>
        <w:rPr>
          <w:rFonts w:asciiTheme="minorHAnsi" w:hAnsiTheme="minorHAnsi" w:cstheme="minorHAnsi"/>
          <w:szCs w:val="22"/>
        </w:rPr>
      </w:pPr>
      <w:r w:rsidRPr="00A34F8A">
        <w:rPr>
          <w:rFonts w:asciiTheme="minorHAnsi" w:hAnsiTheme="minorHAnsi" w:cstheme="minorHAnsi"/>
          <w:szCs w:val="22"/>
        </w:rPr>
        <w:t xml:space="preserve">Wireless chargers are devices that allow the charging of compatible electronic devices – such as smartphones, smartwatches, headphones and tablets – without the need for a physical cable connection. Instead of plugging the device directly into a power source, wireless charging relies on electromagnetic fields to transfer energy from the charging pad to the device's battery. Wireless chargers have become increasingly popular in recent years. </w:t>
      </w:r>
    </w:p>
    <w:p w14:paraId="5A19F17F" w14:textId="77777777" w:rsidR="00B4393E" w:rsidRPr="00A34F8A" w:rsidRDefault="00B4393E" w:rsidP="00B4393E">
      <w:pPr>
        <w:rPr>
          <w:rFonts w:asciiTheme="minorHAnsi" w:hAnsiTheme="minorHAnsi" w:cstheme="minorHAnsi"/>
          <w:szCs w:val="22"/>
        </w:rPr>
      </w:pPr>
      <w:r w:rsidRPr="00A34F8A">
        <w:rPr>
          <w:rFonts w:asciiTheme="minorHAnsi" w:hAnsiTheme="minorHAnsi" w:cstheme="minorHAnsi"/>
          <w:szCs w:val="22"/>
        </w:rPr>
        <w:t xml:space="preserve">We heard in interviews with experts that there are some issues with regulating wireless chargers. The energy efficiency of wireless chargers depends on a few factors. One factor is the position of a device relative to the charging pad. There is an optimal position on the charging pad, however, consumers may not place their devices in this exact position. This lack of consistency poses a challenge for energy efficiency testing, although not all wireless charging devices face this issue. </w:t>
      </w:r>
    </w:p>
    <w:p w14:paraId="30526F94" w14:textId="6FCAE068" w:rsidR="00B4393E" w:rsidRPr="00A34F8A" w:rsidRDefault="00B4393E" w:rsidP="00B4393E">
      <w:pPr>
        <w:rPr>
          <w:rFonts w:asciiTheme="minorHAnsi" w:hAnsiTheme="minorHAnsi" w:cstheme="minorHAnsi"/>
          <w:szCs w:val="22"/>
        </w:rPr>
      </w:pPr>
      <w:r w:rsidRPr="00A34F8A">
        <w:rPr>
          <w:rFonts w:asciiTheme="minorHAnsi" w:hAnsiTheme="minorHAnsi" w:cstheme="minorHAnsi"/>
          <w:szCs w:val="22"/>
        </w:rPr>
        <w:t xml:space="preserve">Broadly speaking, there are two different ways that wireless chargers “connect” with a device. There are fixed-location wireless chargers which refer to inductive wireless battery chargers that use a physical receiver locating feature (such as a cradle, dock or magnet). This feature allows for consistent alignment and orientation of the receiver to the transmitter, ensuring efficient charging. Devices intended for use in wet environments that fall under this definition (such as toothbrush or shaver chargers) are mandated to undergo testing following the Department of Energy (DOE) test procedure to meet the necessary standards and regulations </w:t>
      </w:r>
      <w:sdt>
        <w:sdtPr>
          <w:rPr>
            <w:rFonts w:asciiTheme="minorHAnsi" w:hAnsiTheme="minorHAnsi" w:cstheme="minorHAnsi"/>
            <w:szCs w:val="22"/>
          </w:rPr>
          <w:id w:val="260416616"/>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USD22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The proposed 2027 (mark VII) regulations in the US are considering expanding the requirement for fixed-location wireless chargers. It is likely that the EU would follow the US in this case. </w:t>
      </w:r>
    </w:p>
    <w:p w14:paraId="658F3D75" w14:textId="265CE7FA" w:rsidR="00B4393E" w:rsidRPr="00755E27" w:rsidRDefault="00B4393E" w:rsidP="00B4393E">
      <w:pPr>
        <w:rPr>
          <w:rFonts w:asciiTheme="minorHAnsi" w:hAnsiTheme="minorHAnsi" w:cstheme="minorHAnsi"/>
          <w:szCs w:val="22"/>
        </w:rPr>
      </w:pPr>
      <w:r w:rsidRPr="00A34F8A">
        <w:rPr>
          <w:rFonts w:asciiTheme="minorHAnsi" w:hAnsiTheme="minorHAnsi" w:cstheme="minorHAnsi"/>
          <w:szCs w:val="22"/>
        </w:rPr>
        <w:t xml:space="preserve">There are also open-placement wireless chargers that do not have a physical locating feature, such as charging mats used for phones </w:t>
      </w:r>
      <w:sdt>
        <w:sdtPr>
          <w:rPr>
            <w:rFonts w:asciiTheme="minorHAnsi" w:hAnsiTheme="minorHAnsi" w:cstheme="minorHAnsi"/>
            <w:szCs w:val="22"/>
          </w:rPr>
          <w:id w:val="-20325393"/>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USD22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This type of wireless charger is not being considered under the proposed regulations. This is due to the difficulty of testing for, and enforcing of, a standard for open-placement wireless chargers. International regulators have proposed a method that only regulates the no-load mode. That is, testing an open-placement wireless charger when no device is present. Interviews confirmed that this method would </w:t>
      </w:r>
      <w:r w:rsidRPr="00755E27">
        <w:rPr>
          <w:rFonts w:asciiTheme="minorHAnsi" w:hAnsiTheme="minorHAnsi" w:cstheme="minorHAnsi"/>
          <w:szCs w:val="22"/>
        </w:rPr>
        <w:t>ensure consistency. Both US and EU markets are considering adopting this method of testing in their upcoming regulations in 2027. We also heard in interviews that Australia and New Zealand would be able to follow international regulations regarding wireless chargers with sufficient notice. In addition, an adequate transition period after deciding on the regulations will be necessary.</w:t>
      </w:r>
    </w:p>
    <w:p w14:paraId="4335904A" w14:textId="1E47C81C" w:rsidR="00B4393E" w:rsidRPr="00755E27" w:rsidRDefault="00B4393E" w:rsidP="00B4393E">
      <w:pPr>
        <w:rPr>
          <w:rFonts w:asciiTheme="minorHAnsi" w:hAnsiTheme="minorHAnsi" w:cstheme="minorHAnsi"/>
          <w:szCs w:val="22"/>
        </w:rPr>
      </w:pPr>
      <w:r w:rsidRPr="00755E27">
        <w:rPr>
          <w:rFonts w:asciiTheme="minorHAnsi" w:hAnsiTheme="minorHAnsi" w:cstheme="minorHAnsi"/>
          <w:szCs w:val="22"/>
        </w:rPr>
        <w:t>While wireless charging remains a relatively</w:t>
      </w:r>
      <w:r w:rsidRPr="00A34F8A">
        <w:rPr>
          <w:rFonts w:asciiTheme="minorHAnsi" w:hAnsiTheme="minorHAnsi" w:cstheme="minorHAnsi"/>
          <w:szCs w:val="22"/>
        </w:rPr>
        <w:t xml:space="preserve"> new technology in the market, there are some recognised standards that are developing. The Wireless Power Consortium (WPC) – a collaborative standards development group comprised of more than 350 companies globally – have a developed a “de facto wireless charging standard” for delivering 5-15 watts of power called “Qi” </w:t>
      </w:r>
      <w:sdt>
        <w:sdtPr>
          <w:rPr>
            <w:rFonts w:asciiTheme="minorHAnsi" w:hAnsiTheme="minorHAnsi" w:cstheme="minorHAnsi"/>
            <w:szCs w:val="22"/>
          </w:rPr>
          <w:id w:val="-1852941031"/>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Wir23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(Wireless Power Consortium: Qi, n.d.)</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The WPC estimate that there are currently </w:t>
      </w:r>
      <w:r w:rsidRPr="00A34F8A">
        <w:rPr>
          <w:rFonts w:asciiTheme="minorHAnsi" w:hAnsiTheme="minorHAnsi" w:cstheme="minorHAnsi"/>
          <w:szCs w:val="22"/>
        </w:rPr>
        <w:lastRenderedPageBreak/>
        <w:t xml:space="preserve">9,000 Qi certified products on the market today. In the May 2020 Request for Information (RFI), the DOE reported that the WPC commented that there were no commonly recognised test procedures for wireless chargers for industry or regulatory use </w:t>
      </w:r>
      <w:sdt>
        <w:sdtPr>
          <w:rPr>
            <w:rFonts w:asciiTheme="minorHAnsi" w:hAnsiTheme="minorHAnsi" w:cstheme="minorHAnsi"/>
            <w:szCs w:val="22"/>
          </w:rPr>
          <w:id w:val="2011569693"/>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USD22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This was before the DOE differentiated between fixed position and open position wireless chargers – these terms were introduced in 2021 in a battery test procedure which may have been a </w:t>
      </w:r>
      <w:r w:rsidRPr="00755E27">
        <w:rPr>
          <w:rFonts w:asciiTheme="minorHAnsi" w:hAnsiTheme="minorHAnsi" w:cstheme="minorHAnsi"/>
          <w:szCs w:val="22"/>
        </w:rPr>
        <w:t>response to the WPC’s call for consistency.</w:t>
      </w:r>
    </w:p>
    <w:p w14:paraId="78ED381A" w14:textId="77777777" w:rsidR="00B4393E" w:rsidRPr="00A34F8A" w:rsidRDefault="00B4393E" w:rsidP="00B4393E">
      <w:pPr>
        <w:rPr>
          <w:rFonts w:asciiTheme="minorHAnsi" w:hAnsiTheme="minorHAnsi" w:cstheme="minorHAnsi"/>
          <w:szCs w:val="22"/>
        </w:rPr>
      </w:pPr>
      <w:r w:rsidRPr="00755E27">
        <w:rPr>
          <w:rFonts w:asciiTheme="minorHAnsi" w:hAnsiTheme="minorHAnsi" w:cstheme="minorHAnsi"/>
          <w:szCs w:val="22"/>
        </w:rPr>
        <w:t>This RIS includes fixed-location wireless charging included in the current US test method and regulations. We do not include the potential expanded definition for fixed location wireless chargers or open location wireless charging in our modelling for this RIS as they are not currently included in the international regulations. Should international regulations change to include these devices, further consultation and modelling may be required to determine whether MEPS should also include these devices.</w:t>
      </w:r>
    </w:p>
    <w:p w14:paraId="6371BA59" w14:textId="34EFDEB7" w:rsidR="00B4393E" w:rsidRPr="00A34F8A" w:rsidRDefault="00B4393E" w:rsidP="00726930">
      <w:pPr>
        <w:pStyle w:val="Heading2"/>
      </w:pPr>
      <w:bookmarkStart w:id="80" w:name="_Toc168660728"/>
      <w:bookmarkStart w:id="81" w:name="_Toc183163251"/>
      <w:r w:rsidRPr="00A34F8A">
        <w:t>3.4 Modelling scenarios</w:t>
      </w:r>
      <w:bookmarkEnd w:id="80"/>
      <w:bookmarkEnd w:id="81"/>
    </w:p>
    <w:p w14:paraId="1B15E939" w14:textId="77777777" w:rsidR="004A03AE" w:rsidRPr="00A34F8A" w:rsidRDefault="004A03AE" w:rsidP="004A03AE">
      <w:pPr>
        <w:rPr>
          <w:rFonts w:asciiTheme="minorHAnsi" w:hAnsiTheme="minorHAnsi" w:cstheme="minorHAnsi"/>
          <w:szCs w:val="22"/>
        </w:rPr>
      </w:pPr>
      <w:r w:rsidRPr="00A34F8A">
        <w:rPr>
          <w:rFonts w:asciiTheme="minorHAnsi" w:hAnsiTheme="minorHAnsi" w:cstheme="minorHAnsi"/>
          <w:szCs w:val="22"/>
        </w:rPr>
        <w:t>The following policy options are proposed for modelling. They seek to address the problems highlighted in Section 1 and 2.</w:t>
      </w:r>
    </w:p>
    <w:p w14:paraId="58599E6D" w14:textId="1D60E9CD" w:rsidR="004A03AE" w:rsidRPr="00A34F8A" w:rsidRDefault="004A03AE" w:rsidP="00726930">
      <w:pPr>
        <w:pStyle w:val="Heading3"/>
      </w:pPr>
      <w:bookmarkStart w:id="82" w:name="_Toc168660645"/>
      <w:bookmarkStart w:id="83" w:name="_Toc183163252"/>
      <w:r w:rsidRPr="00A34F8A">
        <w:t>Scenario 1: Business as usual (BAU)</w:t>
      </w:r>
      <w:bookmarkEnd w:id="82"/>
      <w:bookmarkEnd w:id="83"/>
    </w:p>
    <w:p w14:paraId="19CA3CF4" w14:textId="77777777" w:rsidR="00B857CF" w:rsidRPr="00A34F8A" w:rsidRDefault="00B857CF" w:rsidP="00B857CF">
      <w:pPr>
        <w:rPr>
          <w:rFonts w:asciiTheme="minorHAnsi" w:hAnsiTheme="minorHAnsi" w:cstheme="minorHAnsi"/>
          <w:szCs w:val="22"/>
        </w:rPr>
      </w:pPr>
      <w:r w:rsidRPr="00A34F8A">
        <w:rPr>
          <w:rFonts w:asciiTheme="minorHAnsi" w:hAnsiTheme="minorHAnsi" w:cstheme="minorHAnsi"/>
          <w:szCs w:val="22"/>
        </w:rPr>
        <w:t>Under this scenario, we assess the costs and benefits of renewing the current regulation in Australia and New Zealand so that it continues into the future. This constitutes the baseline scenario which other scenarios will be compared to. In this scenario we will quantify the BAU case, as well as projecting future changes under BAU conditions. Future conditions are subject to changes in international regulations, technology, the price of electricity, the emissions output of electricity per kWh on energy, and the overall demand for EPS.</w:t>
      </w:r>
    </w:p>
    <w:p w14:paraId="7E911D4D" w14:textId="29407C7C" w:rsidR="00B857CF" w:rsidRPr="00A34F8A" w:rsidRDefault="00B857CF" w:rsidP="00B857CF">
      <w:pPr>
        <w:rPr>
          <w:rFonts w:asciiTheme="minorHAnsi" w:hAnsiTheme="minorHAnsi" w:cstheme="minorHAnsi"/>
          <w:szCs w:val="22"/>
        </w:rPr>
      </w:pPr>
      <w:r w:rsidRPr="00A34F8A">
        <w:rPr>
          <w:rFonts w:asciiTheme="minorHAnsi" w:hAnsiTheme="minorHAnsi" w:cstheme="minorHAnsi"/>
          <w:szCs w:val="22"/>
        </w:rPr>
        <w:t xml:space="preserve">The current scope of the MEPS is detailed in Section 1.2 of this report. Of note, the MEPS is considerably narrower in scope compared to the total EPS market in Australia and New Zealand. The stringency of the MEPS is detailed below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_Ref141177726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8</w:t>
      </w:r>
      <w:r w:rsidRPr="00A34F8A">
        <w:rPr>
          <w:rFonts w:asciiTheme="minorHAnsi" w:hAnsiTheme="minorHAnsi" w:cstheme="minorHAnsi"/>
          <w:szCs w:val="22"/>
        </w:rPr>
        <w:fldChar w:fldCharType="end"/>
      </w:r>
      <w:r w:rsidRPr="00A34F8A">
        <w:rPr>
          <w:rFonts w:asciiTheme="minorHAnsi" w:hAnsiTheme="minorHAnsi" w:cstheme="minorHAnsi"/>
          <w:szCs w:val="22"/>
        </w:rPr>
        <w:t>.</w:t>
      </w:r>
    </w:p>
    <w:p w14:paraId="201E09D0" w14:textId="13778727" w:rsidR="009132C9" w:rsidRPr="00A34F8A" w:rsidRDefault="009132C9">
      <w:pPr>
        <w:spacing w:after="0" w:line="240" w:lineRule="auto"/>
        <w:rPr>
          <w:rFonts w:asciiTheme="minorHAnsi" w:hAnsiTheme="minorHAnsi" w:cstheme="minorHAnsi"/>
          <w:color w:val="363838"/>
          <w:szCs w:val="22"/>
        </w:rPr>
      </w:pPr>
      <w:r w:rsidRPr="00A34F8A">
        <w:rPr>
          <w:rFonts w:asciiTheme="minorHAnsi" w:hAnsiTheme="minorHAnsi" w:cstheme="minorHAnsi"/>
          <w:szCs w:val="22"/>
        </w:rPr>
        <w:br w:type="page"/>
      </w:r>
    </w:p>
    <w:p w14:paraId="3B6B2756" w14:textId="036CA88D" w:rsidR="00B857CF" w:rsidRPr="00A34F8A" w:rsidRDefault="00B857CF" w:rsidP="00B857CF">
      <w:pPr>
        <w:pStyle w:val="Caption"/>
        <w:rPr>
          <w:rFonts w:asciiTheme="minorHAnsi" w:hAnsiTheme="minorHAnsi" w:cstheme="minorHAnsi"/>
          <w:sz w:val="22"/>
          <w:szCs w:val="22"/>
        </w:rPr>
      </w:pPr>
      <w:bookmarkStart w:id="84" w:name="_Ref141177726"/>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8</w:t>
      </w:r>
      <w:r w:rsidRPr="00A34F8A">
        <w:rPr>
          <w:rFonts w:asciiTheme="minorHAnsi" w:hAnsiTheme="minorHAnsi" w:cstheme="minorHAnsi"/>
          <w:sz w:val="22"/>
          <w:szCs w:val="22"/>
        </w:rPr>
        <w:fldChar w:fldCharType="end"/>
      </w:r>
      <w:bookmarkEnd w:id="84"/>
      <w:r w:rsidRPr="00A34F8A">
        <w:rPr>
          <w:rFonts w:asciiTheme="minorHAnsi" w:hAnsiTheme="minorHAnsi" w:cstheme="minorHAnsi"/>
          <w:sz w:val="22"/>
          <w:szCs w:val="22"/>
        </w:rPr>
        <w:t>: Current MEPS for EPS in Australia and New Zealand – at mark III level</w:t>
      </w:r>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2268"/>
        <w:gridCol w:w="2268"/>
        <w:gridCol w:w="2268"/>
        <w:gridCol w:w="2268"/>
      </w:tblGrid>
      <w:tr w:rsidR="00F01F11" w:rsidRPr="00A34F8A" w14:paraId="08632A39" w14:textId="77777777" w:rsidTr="006D0789">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right w:val="single" w:sz="4" w:space="0" w:color="C4BC96" w:themeColor="background2" w:themeShade="BF"/>
            </w:tcBorders>
            <w:tcMar>
              <w:top w:w="57" w:type="dxa"/>
              <w:left w:w="57" w:type="dxa"/>
              <w:bottom w:w="57" w:type="dxa"/>
              <w:right w:w="57" w:type="dxa"/>
            </w:tcMar>
          </w:tcPr>
          <w:p w14:paraId="18D0DF9E" w14:textId="77777777" w:rsidR="00B857CF" w:rsidRPr="00A34F8A" w:rsidRDefault="00B857CF" w:rsidP="005D3977">
            <w:pPr>
              <w:rPr>
                <w:rFonts w:asciiTheme="minorHAnsi" w:hAnsiTheme="minorHAnsi" w:cstheme="minorHAnsi"/>
                <w:b w:val="0"/>
                <w:szCs w:val="22"/>
              </w:rPr>
            </w:pPr>
            <w:r w:rsidRPr="00A34F8A">
              <w:rPr>
                <w:rFonts w:asciiTheme="minorHAnsi" w:hAnsiTheme="minorHAnsi" w:cstheme="minorHAnsi"/>
                <w:szCs w:val="22"/>
              </w:rPr>
              <w:t>Mark</w:t>
            </w:r>
          </w:p>
        </w:tc>
        <w:tc>
          <w:tcPr>
            <w:tcW w:w="0" w:type="dxa"/>
            <w:tcMar>
              <w:top w:w="57" w:type="dxa"/>
              <w:left w:w="57" w:type="dxa"/>
              <w:bottom w:w="57" w:type="dxa"/>
              <w:right w:w="57" w:type="dxa"/>
            </w:tcMar>
          </w:tcPr>
          <w:p w14:paraId="201F6DEB" w14:textId="77777777" w:rsidR="00B857CF" w:rsidRPr="00A34F8A" w:rsidRDefault="00B857CF" w:rsidP="005D3977">
            <w:pPr>
              <w:rPr>
                <w:rFonts w:asciiTheme="minorHAnsi" w:hAnsiTheme="minorHAnsi" w:cstheme="minorHAnsi"/>
                <w:b w:val="0"/>
                <w:szCs w:val="22"/>
              </w:rPr>
            </w:pPr>
            <w:r w:rsidRPr="00A34F8A">
              <w:rPr>
                <w:rFonts w:asciiTheme="minorHAnsi" w:hAnsiTheme="minorHAnsi" w:cstheme="minorHAnsi"/>
                <w:szCs w:val="22"/>
              </w:rPr>
              <w:t>Nameplate output power (P</w:t>
            </w:r>
            <w:r w:rsidRPr="00A34F8A">
              <w:rPr>
                <w:rFonts w:asciiTheme="minorHAnsi" w:hAnsiTheme="minorHAnsi" w:cstheme="minorHAnsi"/>
                <w:szCs w:val="22"/>
                <w:vertAlign w:val="subscript"/>
              </w:rPr>
              <w:t>no</w:t>
            </w:r>
            <w:r w:rsidRPr="00A34F8A">
              <w:rPr>
                <w:rFonts w:asciiTheme="minorHAnsi" w:hAnsiTheme="minorHAnsi" w:cstheme="minorHAnsi"/>
                <w:szCs w:val="22"/>
              </w:rPr>
              <w:t>)</w:t>
            </w:r>
          </w:p>
        </w:tc>
        <w:tc>
          <w:tcPr>
            <w:tcW w:w="0" w:type="dxa"/>
            <w:tcBorders>
              <w:left w:val="single" w:sz="4" w:space="0" w:color="C4BC96" w:themeColor="background2" w:themeShade="BF"/>
            </w:tcBorders>
            <w:tcMar>
              <w:top w:w="57" w:type="dxa"/>
              <w:left w:w="57" w:type="dxa"/>
              <w:bottom w:w="57" w:type="dxa"/>
              <w:right w:w="57" w:type="dxa"/>
            </w:tcMar>
          </w:tcPr>
          <w:p w14:paraId="70C888B7" w14:textId="77777777" w:rsidR="00B857CF" w:rsidRPr="00A34F8A" w:rsidRDefault="00B857CF" w:rsidP="005D3977">
            <w:pPr>
              <w:rPr>
                <w:rFonts w:asciiTheme="minorHAnsi" w:hAnsiTheme="minorHAnsi" w:cstheme="minorHAnsi"/>
                <w:b w:val="0"/>
                <w:szCs w:val="22"/>
              </w:rPr>
            </w:pPr>
            <w:r w:rsidRPr="00A34F8A">
              <w:rPr>
                <w:rFonts w:asciiTheme="minorHAnsi" w:hAnsiTheme="minorHAnsi" w:cstheme="minorHAnsi"/>
                <w:szCs w:val="22"/>
              </w:rPr>
              <w:t>No-load mode power*</w:t>
            </w:r>
          </w:p>
        </w:tc>
        <w:tc>
          <w:tcPr>
            <w:tcW w:w="0" w:type="dxa"/>
            <w:tcBorders>
              <w:left w:val="single" w:sz="4" w:space="0" w:color="C4BC96" w:themeColor="background2" w:themeShade="BF"/>
            </w:tcBorders>
            <w:tcMar>
              <w:top w:w="57" w:type="dxa"/>
              <w:left w:w="57" w:type="dxa"/>
              <w:bottom w:w="57" w:type="dxa"/>
              <w:right w:w="57" w:type="dxa"/>
            </w:tcMar>
          </w:tcPr>
          <w:p w14:paraId="5831C519" w14:textId="77777777" w:rsidR="00B857CF" w:rsidRPr="00A34F8A" w:rsidRDefault="00B857CF" w:rsidP="005D3977">
            <w:pPr>
              <w:rPr>
                <w:rFonts w:asciiTheme="minorHAnsi" w:hAnsiTheme="minorHAnsi" w:cstheme="minorHAnsi"/>
                <w:b w:val="0"/>
                <w:szCs w:val="22"/>
              </w:rPr>
            </w:pPr>
            <w:r w:rsidRPr="00A34F8A">
              <w:rPr>
                <w:rFonts w:asciiTheme="minorHAnsi" w:hAnsiTheme="minorHAnsi" w:cstheme="minorHAnsi"/>
                <w:szCs w:val="22"/>
              </w:rPr>
              <w:t>Average efficiency in active mode</w:t>
            </w:r>
          </w:p>
        </w:tc>
      </w:tr>
      <w:tr w:rsidR="00DA1EBB" w:rsidRPr="00A34F8A" w14:paraId="7FF4201C" w14:textId="77777777" w:rsidTr="006D0789">
        <w:trPr>
          <w:cantSplit/>
          <w:trHeight w:val="79"/>
        </w:trPr>
        <w:tc>
          <w:tcPr>
            <w:tcW w:w="0" w:type="dxa"/>
            <w:vMerge w:val="restart"/>
            <w:tcBorders>
              <w:right w:val="single" w:sz="4" w:space="0" w:color="BFBFBF"/>
            </w:tcBorders>
            <w:tcMar>
              <w:top w:w="57" w:type="dxa"/>
              <w:left w:w="57" w:type="dxa"/>
              <w:bottom w:w="57" w:type="dxa"/>
              <w:right w:w="57" w:type="dxa"/>
            </w:tcMar>
          </w:tcPr>
          <w:p w14:paraId="5F5793E3" w14:textId="77777777" w:rsidR="00B857CF" w:rsidRPr="00A34F8A" w:rsidRDefault="00B857CF" w:rsidP="005D3977">
            <w:pPr>
              <w:rPr>
                <w:rFonts w:asciiTheme="minorHAnsi" w:hAnsiTheme="minorHAnsi" w:cstheme="minorHAnsi"/>
                <w:b/>
                <w:bCs/>
                <w:szCs w:val="22"/>
              </w:rPr>
            </w:pPr>
            <w:r w:rsidRPr="00A34F8A">
              <w:rPr>
                <w:rFonts w:asciiTheme="minorHAnsi" w:hAnsiTheme="minorHAnsi" w:cstheme="minorHAnsi"/>
                <w:b/>
                <w:bCs/>
                <w:szCs w:val="22"/>
              </w:rPr>
              <w:t>III</w:t>
            </w:r>
          </w:p>
        </w:tc>
        <w:tc>
          <w:tcPr>
            <w:tcW w:w="0" w:type="dxa"/>
            <w:tcBorders>
              <w:left w:val="single" w:sz="4" w:space="0" w:color="BFBFBF"/>
              <w:right w:val="single" w:sz="4" w:space="0" w:color="BFBFBF"/>
            </w:tcBorders>
            <w:tcMar>
              <w:top w:w="57" w:type="dxa"/>
              <w:left w:w="57" w:type="dxa"/>
              <w:bottom w:w="57" w:type="dxa"/>
              <w:right w:w="57" w:type="dxa"/>
            </w:tcMar>
          </w:tcPr>
          <w:p w14:paraId="3DD15ABC"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0 to 1W</w:t>
            </w:r>
          </w:p>
        </w:tc>
        <w:tc>
          <w:tcPr>
            <w:tcW w:w="0" w:type="dxa"/>
            <w:tcBorders>
              <w:left w:val="single" w:sz="4" w:space="0" w:color="BFBFBF"/>
              <w:right w:val="single" w:sz="4" w:space="0" w:color="BFBFBF" w:themeColor="background1" w:themeShade="BF"/>
            </w:tcBorders>
            <w:tcMar>
              <w:top w:w="57" w:type="dxa"/>
              <w:left w:w="57" w:type="dxa"/>
              <w:bottom w:w="57" w:type="dxa"/>
              <w:right w:w="57" w:type="dxa"/>
            </w:tcMar>
          </w:tcPr>
          <w:p w14:paraId="2392AE06"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 0.5</w:t>
            </w:r>
          </w:p>
        </w:tc>
        <w:tc>
          <w:tcPr>
            <w:tcW w:w="0" w:type="dxa"/>
            <w:tcBorders>
              <w:left w:val="single" w:sz="4" w:space="0" w:color="BFBFBF" w:themeColor="background1" w:themeShade="BF"/>
            </w:tcBorders>
            <w:tcMar>
              <w:top w:w="57" w:type="dxa"/>
              <w:left w:w="57" w:type="dxa"/>
              <w:bottom w:w="57" w:type="dxa"/>
              <w:right w:w="57" w:type="dxa"/>
            </w:tcMar>
          </w:tcPr>
          <w:p w14:paraId="4D2AD9D8"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 0.49 x P</w:t>
            </w:r>
            <w:r w:rsidRPr="00A34F8A">
              <w:rPr>
                <w:rFonts w:asciiTheme="minorHAnsi" w:hAnsiTheme="minorHAnsi" w:cstheme="minorHAnsi"/>
                <w:szCs w:val="22"/>
                <w:vertAlign w:val="subscript"/>
              </w:rPr>
              <w:t>no</w:t>
            </w:r>
          </w:p>
        </w:tc>
      </w:tr>
      <w:tr w:rsidR="00DA1EBB" w:rsidRPr="00A34F8A" w14:paraId="265434DD"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5380E0E9" w14:textId="77777777" w:rsidR="00B857CF" w:rsidRPr="00A34F8A" w:rsidRDefault="00B857CF"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12412589"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&gt; 1 to 49W</w:t>
            </w:r>
          </w:p>
        </w:tc>
        <w:tc>
          <w:tcPr>
            <w:tcW w:w="0"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6849B8E8"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 0.75</w:t>
            </w:r>
          </w:p>
        </w:tc>
        <w:tc>
          <w:tcPr>
            <w:tcW w:w="0" w:type="dxa"/>
            <w:tcBorders>
              <w:left w:val="single" w:sz="4" w:space="0" w:color="BFBFBF" w:themeColor="background1" w:themeShade="BF"/>
            </w:tcBorders>
            <w:tcMar>
              <w:top w:w="57" w:type="dxa"/>
              <w:left w:w="57" w:type="dxa"/>
              <w:bottom w:w="57" w:type="dxa"/>
              <w:right w:w="57" w:type="dxa"/>
            </w:tcMar>
          </w:tcPr>
          <w:p w14:paraId="6F4788B3"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 0.09 x ln(P</w:t>
            </w:r>
            <w:r w:rsidRPr="00A34F8A">
              <w:rPr>
                <w:rFonts w:asciiTheme="minorHAnsi" w:hAnsiTheme="minorHAnsi" w:cstheme="minorHAnsi"/>
                <w:szCs w:val="22"/>
                <w:vertAlign w:val="subscript"/>
              </w:rPr>
              <w:t>no</w:t>
            </w:r>
            <w:r w:rsidRPr="00A34F8A">
              <w:rPr>
                <w:rFonts w:asciiTheme="minorHAnsi" w:hAnsiTheme="minorHAnsi" w:cstheme="minorHAnsi"/>
                <w:szCs w:val="22"/>
              </w:rPr>
              <w:t>) + 0.49</w:t>
            </w:r>
          </w:p>
        </w:tc>
      </w:tr>
      <w:tr w:rsidR="00DA1EBB" w:rsidRPr="00A34F8A" w14:paraId="753D9650"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077CC340" w14:textId="77777777" w:rsidR="00B857CF" w:rsidRPr="00A34F8A" w:rsidRDefault="00B857CF"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585B343B"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&gt;49 to 250W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3DEFAE4D" w14:textId="77777777" w:rsidR="00B857CF" w:rsidRPr="00A34F8A" w:rsidRDefault="00B857CF" w:rsidP="005D3977">
            <w:pPr>
              <w:rPr>
                <w:rFonts w:asciiTheme="minorHAnsi" w:hAnsiTheme="minorHAnsi" w:cstheme="minorHAnsi"/>
                <w:szCs w:val="22"/>
              </w:rPr>
            </w:pPr>
          </w:p>
        </w:tc>
        <w:tc>
          <w:tcPr>
            <w:tcW w:w="0" w:type="dxa"/>
            <w:tcBorders>
              <w:left w:val="single" w:sz="4" w:space="0" w:color="BFBFBF" w:themeColor="background1" w:themeShade="BF"/>
            </w:tcBorders>
            <w:tcMar>
              <w:top w:w="57" w:type="dxa"/>
              <w:left w:w="57" w:type="dxa"/>
              <w:bottom w:w="57" w:type="dxa"/>
              <w:right w:w="57" w:type="dxa"/>
            </w:tcMar>
          </w:tcPr>
          <w:p w14:paraId="2EFE84E8" w14:textId="77777777" w:rsidR="00B857CF" w:rsidRPr="00A34F8A" w:rsidRDefault="00B857CF" w:rsidP="005D3977">
            <w:pPr>
              <w:rPr>
                <w:rFonts w:asciiTheme="minorHAnsi" w:hAnsiTheme="minorHAnsi" w:cstheme="minorHAnsi"/>
                <w:szCs w:val="22"/>
              </w:rPr>
            </w:pPr>
            <w:r w:rsidRPr="00A34F8A">
              <w:rPr>
                <w:rFonts w:asciiTheme="minorHAnsi" w:hAnsiTheme="minorHAnsi" w:cstheme="minorHAnsi"/>
                <w:szCs w:val="22"/>
              </w:rPr>
              <w:t>≥ 0.84</w:t>
            </w:r>
          </w:p>
        </w:tc>
      </w:tr>
    </w:tbl>
    <w:p w14:paraId="56BC79B1" w14:textId="77777777" w:rsidR="00B857CF" w:rsidRPr="00A34F8A" w:rsidRDefault="00B857CF" w:rsidP="00B857CF">
      <w:pPr>
        <w:pStyle w:val="BlueLineBottom"/>
        <w:rPr>
          <w:rFonts w:asciiTheme="minorHAnsi" w:hAnsiTheme="minorHAnsi" w:cstheme="minorHAnsi"/>
          <w:sz w:val="22"/>
          <w:szCs w:val="22"/>
        </w:rPr>
      </w:pPr>
    </w:p>
    <w:p w14:paraId="5679664E" w14:textId="4027C379" w:rsidR="00B857CF" w:rsidRPr="00A34F8A" w:rsidRDefault="00B857CF" w:rsidP="00E7062A">
      <w:pPr>
        <w:pStyle w:val="Heading3"/>
      </w:pPr>
      <w:bookmarkStart w:id="85" w:name="_Toc168660646"/>
      <w:bookmarkStart w:id="86" w:name="_Toc183163253"/>
      <w:r w:rsidRPr="00A34F8A">
        <w:t>Scenario 2: Remove regulations from 2025</w:t>
      </w:r>
      <w:bookmarkEnd w:id="85"/>
      <w:bookmarkEnd w:id="86"/>
    </w:p>
    <w:p w14:paraId="222D67F3" w14:textId="77777777" w:rsidR="00E322ED" w:rsidRPr="00A34F8A" w:rsidRDefault="00E322ED" w:rsidP="00E322ED">
      <w:pPr>
        <w:rPr>
          <w:rFonts w:asciiTheme="minorHAnsi" w:hAnsiTheme="minorHAnsi" w:cstheme="minorHAnsi"/>
          <w:strike/>
          <w:szCs w:val="22"/>
        </w:rPr>
      </w:pPr>
      <w:r w:rsidRPr="00A34F8A">
        <w:rPr>
          <w:rFonts w:asciiTheme="minorHAnsi" w:hAnsiTheme="minorHAnsi" w:cstheme="minorHAnsi"/>
          <w:szCs w:val="22"/>
        </w:rPr>
        <w:t xml:space="preserve">Under Scenario 2, the Australian and New Zealand governments would no longer regulate the minimum energy efficiency requirements of EPS from 2025. Approximately 80% of the currently regulated market in Australia and New Zealand already meet the mark VI efficiency level, despite the much lower Australian and New Zealand minimum standard of mark III. It appears that the Australian and New Zealand markets are benefitting from the international market and international regulations. As such, this scenario will help determine if there is a net benefit produced by removing the regulations all together. </w:t>
      </w:r>
    </w:p>
    <w:p w14:paraId="42F98887" w14:textId="77777777" w:rsidR="00E322ED" w:rsidRPr="00A34F8A" w:rsidRDefault="00E322ED" w:rsidP="00E322ED">
      <w:pPr>
        <w:rPr>
          <w:rFonts w:asciiTheme="minorHAnsi" w:hAnsiTheme="minorHAnsi" w:cstheme="minorHAnsi"/>
          <w:szCs w:val="22"/>
        </w:rPr>
      </w:pPr>
      <w:r w:rsidRPr="00A34F8A">
        <w:rPr>
          <w:rFonts w:asciiTheme="minorHAnsi" w:hAnsiTheme="minorHAnsi" w:cstheme="minorHAnsi"/>
          <w:szCs w:val="22"/>
        </w:rPr>
        <w:t xml:space="preserve">A further consideration for the modelling of this policy option is the potential for dumping of low efficiency products in Australia and New Zealand to increase. Currently, despite the impact of international regulations, there are still a small number of mark III and mark IV products sold in Australia and New Zealand. There is a risk that manufacturers and suppliers of EPS that are currently meeting, but not exceeding, the MEPS will adapt to a regulation-free market and start making or sourcing lower efficiency products if regulations are removed. Findings from our interviews with international regulators suggested that lower efficiency products were cheaper to make and suppliers suggested that they would typically just source the cheapest available product from manufacturers. Therefore, it is likely that there would be an increase in the number of EPS at or below the current MEPS if regulations were removed. </w:t>
      </w:r>
    </w:p>
    <w:p w14:paraId="295A97BF" w14:textId="05101C9C" w:rsidR="00E322ED" w:rsidRPr="00A34F8A" w:rsidRDefault="00E322ED" w:rsidP="00E7062A">
      <w:pPr>
        <w:pStyle w:val="Heading3"/>
      </w:pPr>
      <w:bookmarkStart w:id="87" w:name="_Toc168660647"/>
      <w:bookmarkStart w:id="88" w:name="_Toc183163254"/>
      <w:r w:rsidRPr="00A34F8A">
        <w:t>Scenario 3: Increase MEPS to align with international standards without changing the scope</w:t>
      </w:r>
      <w:bookmarkEnd w:id="87"/>
      <w:bookmarkEnd w:id="88"/>
    </w:p>
    <w:p w14:paraId="21D37254" w14:textId="77777777" w:rsidR="00A11D95" w:rsidRPr="00A34F8A" w:rsidRDefault="00A11D95" w:rsidP="00A11D95">
      <w:pPr>
        <w:rPr>
          <w:rFonts w:asciiTheme="minorHAnsi" w:hAnsiTheme="minorHAnsi" w:cstheme="minorHAnsi"/>
          <w:szCs w:val="22"/>
        </w:rPr>
      </w:pPr>
      <w:r w:rsidRPr="00A34F8A">
        <w:rPr>
          <w:rFonts w:asciiTheme="minorHAnsi" w:hAnsiTheme="minorHAnsi" w:cstheme="minorHAnsi"/>
          <w:szCs w:val="22"/>
        </w:rPr>
        <w:t xml:space="preserve">Scenario 3 is a policy option that involves increasing the stringency of the MEPS to align with current international regulations. The scope of the current regulation would remain unchanged. </w:t>
      </w:r>
    </w:p>
    <w:p w14:paraId="47D5B1F8" w14:textId="29F46A41" w:rsidR="00A11D95" w:rsidRPr="00A34F8A" w:rsidRDefault="00A11D95" w:rsidP="00A11D95">
      <w:pPr>
        <w:rPr>
          <w:rFonts w:asciiTheme="minorHAnsi" w:hAnsiTheme="minorHAnsi" w:cstheme="minorHAnsi"/>
          <w:szCs w:val="22"/>
        </w:rPr>
      </w:pPr>
      <w:r w:rsidRPr="00A34F8A">
        <w:rPr>
          <w:rFonts w:asciiTheme="minorHAnsi" w:hAnsiTheme="minorHAnsi" w:cstheme="minorHAnsi"/>
          <w:szCs w:val="22"/>
        </w:rPr>
        <w:t xml:space="preserve">Both the EU and US currently have a minimum energy efficiency standard at the mark VI level. The minimum energy efficiency associated with mark VI is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_Ref141192189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9</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w:t>
      </w:r>
    </w:p>
    <w:p w14:paraId="6C194C6F" w14:textId="1F69EC4A" w:rsidR="009132C9" w:rsidRPr="00A34F8A" w:rsidRDefault="009132C9">
      <w:pPr>
        <w:spacing w:after="0" w:line="240" w:lineRule="auto"/>
        <w:rPr>
          <w:rFonts w:asciiTheme="minorHAnsi" w:hAnsiTheme="minorHAnsi" w:cstheme="minorHAnsi"/>
          <w:color w:val="363838"/>
          <w:szCs w:val="22"/>
        </w:rPr>
      </w:pPr>
      <w:r w:rsidRPr="00A34F8A">
        <w:rPr>
          <w:rFonts w:asciiTheme="minorHAnsi" w:hAnsiTheme="minorHAnsi" w:cstheme="minorHAnsi"/>
          <w:szCs w:val="22"/>
        </w:rPr>
        <w:br w:type="page"/>
      </w:r>
    </w:p>
    <w:p w14:paraId="6C68194A" w14:textId="77777777" w:rsidR="00DD0F97" w:rsidRPr="00DD0F97" w:rsidRDefault="00DD0F97" w:rsidP="006D0789">
      <w:pPr>
        <w:pStyle w:val="BlueLineTop"/>
      </w:pPr>
      <w:bookmarkStart w:id="89" w:name="_Ref141192189"/>
    </w:p>
    <w:p w14:paraId="21963A42" w14:textId="21BABD2B" w:rsidR="00A11D95" w:rsidRPr="00A34F8A" w:rsidRDefault="00A11D95" w:rsidP="00A11D95">
      <w:pPr>
        <w:pStyle w:val="Caption"/>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9</w:t>
      </w:r>
      <w:r w:rsidRPr="00A34F8A">
        <w:rPr>
          <w:rFonts w:asciiTheme="minorHAnsi" w:hAnsiTheme="minorHAnsi" w:cstheme="minorHAnsi"/>
          <w:sz w:val="22"/>
          <w:szCs w:val="22"/>
        </w:rPr>
        <w:fldChar w:fldCharType="end"/>
      </w:r>
      <w:bookmarkEnd w:id="89"/>
      <w:r w:rsidRPr="00A34F8A">
        <w:rPr>
          <w:rFonts w:asciiTheme="minorHAnsi" w:hAnsiTheme="minorHAnsi" w:cstheme="minorHAnsi"/>
          <w:sz w:val="22"/>
          <w:szCs w:val="22"/>
        </w:rPr>
        <w:t xml:space="preserve">: Mark VI efficiency standard. SV=single voltage, MV=multiple voltage </w:t>
      </w:r>
      <w:sdt>
        <w:sdtPr>
          <w:rPr>
            <w:rFonts w:asciiTheme="minorHAnsi" w:hAnsiTheme="minorHAnsi" w:cstheme="minorHAnsi"/>
            <w:sz w:val="22"/>
            <w:szCs w:val="22"/>
          </w:rPr>
          <w:id w:val="-1676641112"/>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2268"/>
        <w:gridCol w:w="2268"/>
        <w:gridCol w:w="2268"/>
        <w:gridCol w:w="2268"/>
      </w:tblGrid>
      <w:tr w:rsidR="00F01F11" w:rsidRPr="00A34F8A" w14:paraId="009DC50F" w14:textId="77777777" w:rsidTr="006D0789">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right w:val="single" w:sz="4" w:space="0" w:color="C4BC96" w:themeColor="background2" w:themeShade="BF"/>
            </w:tcBorders>
            <w:tcMar>
              <w:top w:w="57" w:type="dxa"/>
              <w:left w:w="57" w:type="dxa"/>
              <w:bottom w:w="57" w:type="dxa"/>
              <w:right w:w="57" w:type="dxa"/>
            </w:tcMar>
          </w:tcPr>
          <w:p w14:paraId="1B45BA3D" w14:textId="77777777" w:rsidR="00A11D95" w:rsidRPr="00A34F8A" w:rsidRDefault="00A11D95" w:rsidP="005D3977">
            <w:pPr>
              <w:rPr>
                <w:rFonts w:asciiTheme="minorHAnsi" w:hAnsiTheme="minorHAnsi" w:cstheme="minorHAnsi"/>
                <w:b w:val="0"/>
                <w:szCs w:val="22"/>
              </w:rPr>
            </w:pPr>
            <w:r w:rsidRPr="00A34F8A">
              <w:rPr>
                <w:rFonts w:asciiTheme="minorHAnsi" w:hAnsiTheme="minorHAnsi" w:cstheme="minorHAnsi"/>
                <w:szCs w:val="22"/>
              </w:rPr>
              <w:t>Output</w:t>
            </w:r>
          </w:p>
        </w:tc>
        <w:tc>
          <w:tcPr>
            <w:tcW w:w="0" w:type="dxa"/>
            <w:tcMar>
              <w:top w:w="57" w:type="dxa"/>
              <w:left w:w="57" w:type="dxa"/>
              <w:bottom w:w="57" w:type="dxa"/>
              <w:right w:w="57" w:type="dxa"/>
            </w:tcMar>
          </w:tcPr>
          <w:p w14:paraId="5D067BD8" w14:textId="77777777" w:rsidR="00A11D95" w:rsidRPr="00A34F8A" w:rsidRDefault="00A11D95" w:rsidP="005D3977">
            <w:pPr>
              <w:rPr>
                <w:rFonts w:asciiTheme="minorHAnsi" w:hAnsiTheme="minorHAnsi" w:cstheme="minorHAnsi"/>
                <w:b w:val="0"/>
                <w:szCs w:val="22"/>
              </w:rPr>
            </w:pPr>
            <w:r w:rsidRPr="00A34F8A">
              <w:rPr>
                <w:rFonts w:asciiTheme="minorHAnsi" w:hAnsiTheme="minorHAnsi" w:cstheme="minorHAnsi"/>
                <w:szCs w:val="22"/>
              </w:rPr>
              <w:t>Nameplate output power (P</w:t>
            </w:r>
            <w:r w:rsidRPr="00A34F8A">
              <w:rPr>
                <w:rFonts w:asciiTheme="minorHAnsi" w:hAnsiTheme="minorHAnsi" w:cstheme="minorHAnsi"/>
                <w:szCs w:val="22"/>
                <w:vertAlign w:val="subscript"/>
              </w:rPr>
              <w:t>no</w:t>
            </w:r>
            <w:r w:rsidRPr="00A34F8A">
              <w:rPr>
                <w:rFonts w:asciiTheme="minorHAnsi" w:hAnsiTheme="minorHAnsi" w:cstheme="minorHAnsi"/>
                <w:szCs w:val="22"/>
              </w:rPr>
              <w:t>)</w:t>
            </w:r>
          </w:p>
        </w:tc>
        <w:tc>
          <w:tcPr>
            <w:tcW w:w="0" w:type="dxa"/>
            <w:tcBorders>
              <w:left w:val="single" w:sz="4" w:space="0" w:color="C4BC96" w:themeColor="background2" w:themeShade="BF"/>
            </w:tcBorders>
            <w:tcMar>
              <w:top w:w="57" w:type="dxa"/>
              <w:left w:w="57" w:type="dxa"/>
              <w:bottom w:w="57" w:type="dxa"/>
              <w:right w:w="57" w:type="dxa"/>
            </w:tcMar>
          </w:tcPr>
          <w:p w14:paraId="5CC9E476" w14:textId="77777777" w:rsidR="00A11D95" w:rsidRPr="00A34F8A" w:rsidRDefault="00A11D95" w:rsidP="005D3977">
            <w:pPr>
              <w:rPr>
                <w:rFonts w:asciiTheme="minorHAnsi" w:hAnsiTheme="minorHAnsi" w:cstheme="minorHAnsi"/>
                <w:b w:val="0"/>
                <w:szCs w:val="22"/>
              </w:rPr>
            </w:pPr>
            <w:r w:rsidRPr="00A34F8A">
              <w:rPr>
                <w:rFonts w:asciiTheme="minorHAnsi" w:hAnsiTheme="minorHAnsi" w:cstheme="minorHAnsi"/>
                <w:szCs w:val="22"/>
              </w:rPr>
              <w:t>No-load mode power</w:t>
            </w:r>
          </w:p>
        </w:tc>
        <w:tc>
          <w:tcPr>
            <w:tcW w:w="0" w:type="dxa"/>
            <w:tcBorders>
              <w:left w:val="single" w:sz="4" w:space="0" w:color="C4BC96" w:themeColor="background2" w:themeShade="BF"/>
            </w:tcBorders>
            <w:tcMar>
              <w:top w:w="57" w:type="dxa"/>
              <w:left w:w="57" w:type="dxa"/>
              <w:bottom w:w="57" w:type="dxa"/>
              <w:right w:w="57" w:type="dxa"/>
            </w:tcMar>
          </w:tcPr>
          <w:p w14:paraId="484E5849" w14:textId="77777777" w:rsidR="00A11D95" w:rsidRPr="00A34F8A" w:rsidRDefault="00A11D95" w:rsidP="005D3977">
            <w:pPr>
              <w:rPr>
                <w:rFonts w:asciiTheme="minorHAnsi" w:hAnsiTheme="minorHAnsi" w:cstheme="minorHAnsi"/>
                <w:b w:val="0"/>
                <w:szCs w:val="22"/>
              </w:rPr>
            </w:pPr>
            <w:r w:rsidRPr="00A34F8A">
              <w:rPr>
                <w:rFonts w:asciiTheme="minorHAnsi" w:hAnsiTheme="minorHAnsi" w:cstheme="minorHAnsi"/>
                <w:szCs w:val="22"/>
              </w:rPr>
              <w:t>Average efficiency in active mode</w:t>
            </w:r>
          </w:p>
        </w:tc>
      </w:tr>
      <w:tr w:rsidR="00DA1EBB" w:rsidRPr="00A34F8A" w14:paraId="04308BA5" w14:textId="77777777" w:rsidTr="006D0789">
        <w:trPr>
          <w:cantSplit/>
          <w:trHeight w:val="79"/>
        </w:trPr>
        <w:tc>
          <w:tcPr>
            <w:tcW w:w="0" w:type="dxa"/>
            <w:vMerge w:val="restart"/>
            <w:tcBorders>
              <w:right w:val="single" w:sz="4" w:space="0" w:color="BFBFBF"/>
            </w:tcBorders>
            <w:tcMar>
              <w:top w:w="57" w:type="dxa"/>
              <w:left w:w="57" w:type="dxa"/>
              <w:bottom w:w="57" w:type="dxa"/>
              <w:right w:w="57" w:type="dxa"/>
            </w:tcMar>
          </w:tcPr>
          <w:p w14:paraId="3F9D9070" w14:textId="77777777" w:rsidR="00A11D95" w:rsidRPr="00A34F8A" w:rsidRDefault="00A11D95" w:rsidP="005D3977">
            <w:pPr>
              <w:rPr>
                <w:rFonts w:asciiTheme="minorHAnsi" w:hAnsiTheme="minorHAnsi" w:cstheme="minorHAnsi"/>
                <w:b/>
                <w:bCs/>
                <w:szCs w:val="22"/>
              </w:rPr>
            </w:pPr>
            <w:r w:rsidRPr="00A34F8A">
              <w:rPr>
                <w:rFonts w:asciiTheme="minorHAnsi" w:hAnsiTheme="minorHAnsi" w:cstheme="minorHAnsi"/>
                <w:b/>
                <w:bCs/>
                <w:szCs w:val="22"/>
              </w:rPr>
              <w:t>SV</w:t>
            </w:r>
          </w:p>
        </w:tc>
        <w:tc>
          <w:tcPr>
            <w:tcW w:w="0" w:type="dxa"/>
            <w:tcBorders>
              <w:left w:val="single" w:sz="4" w:space="0" w:color="BFBFBF"/>
              <w:right w:val="single" w:sz="4" w:space="0" w:color="BFBFBF"/>
            </w:tcBorders>
            <w:tcMar>
              <w:top w:w="57" w:type="dxa"/>
              <w:left w:w="57" w:type="dxa"/>
              <w:bottom w:w="57" w:type="dxa"/>
              <w:right w:w="57" w:type="dxa"/>
            </w:tcMar>
          </w:tcPr>
          <w:p w14:paraId="1ABAF72D"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0 to 1W</w:t>
            </w:r>
          </w:p>
        </w:tc>
        <w:tc>
          <w:tcPr>
            <w:tcW w:w="0"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11A93A2A" w14:textId="77777777" w:rsidR="00A11D95" w:rsidRPr="00A34F8A" w:rsidRDefault="00A11D9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 0.100</w:t>
            </w:r>
          </w:p>
          <w:p w14:paraId="2429154E"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AC-AC: ≤ 0.210</w:t>
            </w:r>
          </w:p>
        </w:tc>
        <w:tc>
          <w:tcPr>
            <w:tcW w:w="0" w:type="dxa"/>
            <w:tcBorders>
              <w:left w:val="single" w:sz="4" w:space="0" w:color="BFBFBF" w:themeColor="background1" w:themeShade="BF"/>
            </w:tcBorders>
            <w:tcMar>
              <w:top w:w="57" w:type="dxa"/>
              <w:left w:w="57" w:type="dxa"/>
              <w:bottom w:w="57" w:type="dxa"/>
              <w:right w:w="57" w:type="dxa"/>
            </w:tcMar>
          </w:tcPr>
          <w:p w14:paraId="57232614" w14:textId="77777777" w:rsidR="00A11D95" w:rsidRPr="00A34F8A" w:rsidRDefault="00A11D9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0.5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w:t>
            </w:r>
          </w:p>
          <w:p w14:paraId="7A78B7CF"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Low voltage: ≥ 0.517 x Pno + 0.087</w:t>
            </w:r>
          </w:p>
        </w:tc>
      </w:tr>
      <w:tr w:rsidR="00DA1EBB" w:rsidRPr="00A34F8A" w14:paraId="2CF51C61"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5569EDC4" w14:textId="77777777" w:rsidR="00A11D95" w:rsidRPr="00A34F8A" w:rsidRDefault="00A11D95"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5BD35437"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&gt; 1 to 49W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55529DEB" w14:textId="77777777" w:rsidR="00A11D95" w:rsidRPr="00A34F8A" w:rsidRDefault="00A11D95" w:rsidP="005D3977">
            <w:pPr>
              <w:rPr>
                <w:rFonts w:asciiTheme="minorHAnsi" w:hAnsiTheme="minorHAnsi" w:cstheme="minorHAnsi"/>
                <w:szCs w:val="22"/>
              </w:rPr>
            </w:pPr>
          </w:p>
        </w:tc>
        <w:tc>
          <w:tcPr>
            <w:tcW w:w="0" w:type="dxa"/>
            <w:tcBorders>
              <w:left w:val="single" w:sz="4" w:space="0" w:color="BFBFBF" w:themeColor="background1" w:themeShade="BF"/>
            </w:tcBorders>
            <w:tcMar>
              <w:top w:w="57" w:type="dxa"/>
              <w:left w:w="57" w:type="dxa"/>
              <w:bottom w:w="57" w:type="dxa"/>
              <w:right w:w="57" w:type="dxa"/>
            </w:tcMar>
          </w:tcPr>
          <w:p w14:paraId="5D811557" w14:textId="77777777" w:rsidR="00A11D95" w:rsidRPr="00A34F8A" w:rsidRDefault="00A11D9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0.071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0.0014 x P</w:t>
            </w:r>
            <w:r w:rsidRPr="00A34F8A">
              <w:rPr>
                <w:rFonts w:asciiTheme="minorHAnsi" w:hAnsiTheme="minorHAnsi" w:cstheme="minorHAnsi"/>
                <w:sz w:val="22"/>
                <w:szCs w:val="22"/>
                <w:vertAlign w:val="subscript"/>
              </w:rPr>
              <w:t xml:space="preserve">no </w:t>
            </w:r>
            <w:r w:rsidRPr="00A34F8A">
              <w:rPr>
                <w:rFonts w:asciiTheme="minorHAnsi" w:hAnsiTheme="minorHAnsi" w:cstheme="minorHAnsi"/>
                <w:sz w:val="22"/>
                <w:szCs w:val="22"/>
              </w:rPr>
              <w:t>+ 0.67</w:t>
            </w:r>
          </w:p>
          <w:p w14:paraId="3C1C83B2"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Low voltage: ≥ 0.0834 x ln(P</w:t>
            </w:r>
            <w:r w:rsidRPr="00A34F8A">
              <w:rPr>
                <w:rFonts w:asciiTheme="minorHAnsi" w:hAnsiTheme="minorHAnsi" w:cstheme="minorHAnsi"/>
                <w:szCs w:val="22"/>
                <w:vertAlign w:val="subscript"/>
              </w:rPr>
              <w:t>no</w:t>
            </w:r>
            <w:r w:rsidRPr="00A34F8A">
              <w:rPr>
                <w:rFonts w:asciiTheme="minorHAnsi" w:hAnsiTheme="minorHAnsi" w:cstheme="minorHAnsi"/>
                <w:szCs w:val="22"/>
              </w:rPr>
              <w:t>) – 0.0014 x P</w:t>
            </w:r>
            <w:r w:rsidRPr="00A34F8A">
              <w:rPr>
                <w:rFonts w:asciiTheme="minorHAnsi" w:hAnsiTheme="minorHAnsi" w:cstheme="minorHAnsi"/>
                <w:szCs w:val="22"/>
                <w:vertAlign w:val="subscript"/>
              </w:rPr>
              <w:t>no</w:t>
            </w:r>
            <w:r w:rsidRPr="00A34F8A">
              <w:rPr>
                <w:rFonts w:asciiTheme="minorHAnsi" w:hAnsiTheme="minorHAnsi" w:cstheme="minorHAnsi"/>
                <w:szCs w:val="22"/>
              </w:rPr>
              <w:t xml:space="preserve"> + 0.609</w:t>
            </w:r>
          </w:p>
        </w:tc>
      </w:tr>
      <w:tr w:rsidR="00DA1EBB" w:rsidRPr="00A34F8A" w14:paraId="21897787"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524E9179" w14:textId="77777777" w:rsidR="00A11D95" w:rsidRPr="00A34F8A" w:rsidRDefault="00A11D95"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2B2FBFCD"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&gt;49 to 250W</w:t>
            </w:r>
          </w:p>
        </w:tc>
        <w:tc>
          <w:tcPr>
            <w:tcW w:w="0" w:type="dxa"/>
            <w:tcBorders>
              <w:left w:val="single" w:sz="4" w:space="0" w:color="BFBFBF"/>
              <w:right w:val="single" w:sz="4" w:space="0" w:color="BFBFBF" w:themeColor="background1" w:themeShade="BF"/>
            </w:tcBorders>
            <w:tcMar>
              <w:top w:w="57" w:type="dxa"/>
              <w:left w:w="57" w:type="dxa"/>
              <w:bottom w:w="57" w:type="dxa"/>
              <w:right w:w="57" w:type="dxa"/>
            </w:tcMar>
          </w:tcPr>
          <w:p w14:paraId="61DDE414"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 0.210</w:t>
            </w:r>
          </w:p>
        </w:tc>
        <w:tc>
          <w:tcPr>
            <w:tcW w:w="0" w:type="dxa"/>
            <w:tcBorders>
              <w:left w:val="single" w:sz="4" w:space="0" w:color="BFBFBF" w:themeColor="background1" w:themeShade="BF"/>
            </w:tcBorders>
            <w:tcMar>
              <w:top w:w="57" w:type="dxa"/>
              <w:left w:w="57" w:type="dxa"/>
              <w:bottom w:w="57" w:type="dxa"/>
              <w:right w:w="57" w:type="dxa"/>
            </w:tcMar>
          </w:tcPr>
          <w:p w14:paraId="1883AD7B" w14:textId="77777777" w:rsidR="00A11D95" w:rsidRPr="00A34F8A" w:rsidRDefault="00A11D9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0.880</w:t>
            </w:r>
          </w:p>
          <w:p w14:paraId="0EA315D6"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Low voltage: ≥ 0.870</w:t>
            </w:r>
          </w:p>
        </w:tc>
      </w:tr>
      <w:tr w:rsidR="00DA1EBB" w:rsidRPr="00A34F8A" w14:paraId="56F9F61B" w14:textId="77777777" w:rsidTr="006D0789">
        <w:trPr>
          <w:cantSplit/>
          <w:trHeight w:val="146"/>
        </w:trPr>
        <w:tc>
          <w:tcPr>
            <w:tcW w:w="0" w:type="dxa"/>
            <w:vMerge w:val="restart"/>
            <w:tcBorders>
              <w:right w:val="single" w:sz="4" w:space="0" w:color="BFBFBF"/>
            </w:tcBorders>
            <w:tcMar>
              <w:top w:w="57" w:type="dxa"/>
              <w:left w:w="57" w:type="dxa"/>
              <w:bottom w:w="57" w:type="dxa"/>
              <w:right w:w="57" w:type="dxa"/>
            </w:tcMar>
          </w:tcPr>
          <w:p w14:paraId="31BB4624" w14:textId="77777777" w:rsidR="00A11D95" w:rsidRPr="00A34F8A" w:rsidRDefault="00A11D95" w:rsidP="005D3977">
            <w:pPr>
              <w:rPr>
                <w:rFonts w:asciiTheme="minorHAnsi" w:hAnsiTheme="minorHAnsi" w:cstheme="minorHAnsi"/>
                <w:b/>
                <w:bCs/>
                <w:szCs w:val="22"/>
              </w:rPr>
            </w:pPr>
            <w:r w:rsidRPr="00A34F8A">
              <w:rPr>
                <w:rFonts w:asciiTheme="minorHAnsi" w:hAnsiTheme="minorHAnsi" w:cstheme="minorHAnsi"/>
                <w:b/>
                <w:bCs/>
                <w:szCs w:val="22"/>
              </w:rPr>
              <w:t>MV</w:t>
            </w:r>
          </w:p>
        </w:tc>
        <w:tc>
          <w:tcPr>
            <w:tcW w:w="0" w:type="dxa"/>
            <w:tcBorders>
              <w:left w:val="single" w:sz="4" w:space="0" w:color="BFBFBF"/>
              <w:right w:val="single" w:sz="4" w:space="0" w:color="BFBFBF"/>
            </w:tcBorders>
            <w:tcMar>
              <w:top w:w="57" w:type="dxa"/>
              <w:left w:w="57" w:type="dxa"/>
              <w:bottom w:w="57" w:type="dxa"/>
              <w:right w:w="57" w:type="dxa"/>
            </w:tcMar>
          </w:tcPr>
          <w:p w14:paraId="787EB395"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0 to 1W</w:t>
            </w:r>
          </w:p>
        </w:tc>
        <w:tc>
          <w:tcPr>
            <w:tcW w:w="0"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2FBC5989"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 0.3</w:t>
            </w:r>
          </w:p>
        </w:tc>
        <w:tc>
          <w:tcPr>
            <w:tcW w:w="0" w:type="dxa"/>
            <w:tcBorders>
              <w:left w:val="single" w:sz="4" w:space="0" w:color="BFBFBF" w:themeColor="background1" w:themeShade="BF"/>
            </w:tcBorders>
            <w:tcMar>
              <w:top w:w="57" w:type="dxa"/>
              <w:left w:w="57" w:type="dxa"/>
              <w:bottom w:w="57" w:type="dxa"/>
              <w:right w:w="57" w:type="dxa"/>
            </w:tcMar>
          </w:tcPr>
          <w:p w14:paraId="67C3A0BA" w14:textId="77777777" w:rsidR="00A11D95" w:rsidRPr="00A34F8A" w:rsidRDefault="00A11D9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0.497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+ 0.1669</w:t>
            </w:r>
          </w:p>
        </w:tc>
      </w:tr>
      <w:tr w:rsidR="00DA1EBB" w:rsidRPr="00A34F8A" w14:paraId="1DAF7062" w14:textId="77777777" w:rsidTr="006D0789">
        <w:trPr>
          <w:cantSplit/>
          <w:trHeight w:val="145"/>
        </w:trPr>
        <w:tc>
          <w:tcPr>
            <w:tcW w:w="0" w:type="dxa"/>
            <w:vMerge/>
            <w:tcBorders>
              <w:right w:val="single" w:sz="4" w:space="0" w:color="BFBFBF"/>
            </w:tcBorders>
            <w:tcMar>
              <w:top w:w="57" w:type="dxa"/>
              <w:left w:w="57" w:type="dxa"/>
              <w:bottom w:w="57" w:type="dxa"/>
              <w:right w:w="57" w:type="dxa"/>
            </w:tcMar>
          </w:tcPr>
          <w:p w14:paraId="4E635149" w14:textId="77777777" w:rsidR="00A11D95" w:rsidRPr="00A34F8A" w:rsidRDefault="00A11D95"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53323170"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&gt;1 to 49W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479F804F" w14:textId="77777777" w:rsidR="00A11D95" w:rsidRPr="00A34F8A" w:rsidRDefault="00A11D95" w:rsidP="005D3977">
            <w:pPr>
              <w:rPr>
                <w:rFonts w:asciiTheme="minorHAnsi" w:hAnsiTheme="minorHAnsi" w:cstheme="minorHAnsi"/>
                <w:szCs w:val="22"/>
              </w:rPr>
            </w:pPr>
          </w:p>
        </w:tc>
        <w:tc>
          <w:tcPr>
            <w:tcW w:w="0" w:type="dxa"/>
            <w:tcBorders>
              <w:left w:val="single" w:sz="4" w:space="0" w:color="BFBFBF" w:themeColor="background1" w:themeShade="BF"/>
            </w:tcBorders>
            <w:tcMar>
              <w:top w:w="57" w:type="dxa"/>
              <w:left w:w="57" w:type="dxa"/>
              <w:bottom w:w="57" w:type="dxa"/>
              <w:right w:w="57" w:type="dxa"/>
            </w:tcMar>
          </w:tcPr>
          <w:p w14:paraId="4D0A42BF" w14:textId="77777777" w:rsidR="00A11D95" w:rsidRPr="00A34F8A" w:rsidRDefault="00A11D9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0.075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+ 0.561</w:t>
            </w:r>
          </w:p>
        </w:tc>
      </w:tr>
      <w:tr w:rsidR="00DA1EBB" w:rsidRPr="00A34F8A" w14:paraId="6BECB525"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6E770EA7" w14:textId="77777777" w:rsidR="00A11D95" w:rsidRPr="00A34F8A" w:rsidRDefault="00A11D95"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687A1F91" w14:textId="77777777" w:rsidR="00A11D95" w:rsidRPr="00A34F8A" w:rsidRDefault="00A11D95" w:rsidP="005D3977">
            <w:pPr>
              <w:rPr>
                <w:rFonts w:asciiTheme="minorHAnsi" w:hAnsiTheme="minorHAnsi" w:cstheme="minorHAnsi"/>
                <w:szCs w:val="22"/>
              </w:rPr>
            </w:pPr>
            <w:r w:rsidRPr="00A34F8A">
              <w:rPr>
                <w:rFonts w:asciiTheme="minorHAnsi" w:hAnsiTheme="minorHAnsi" w:cstheme="minorHAnsi"/>
                <w:szCs w:val="22"/>
              </w:rPr>
              <w:t>&gt;49 to 250W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3019E41B" w14:textId="77777777" w:rsidR="00A11D95" w:rsidRPr="00A34F8A" w:rsidRDefault="00A11D95" w:rsidP="005D3977">
            <w:pPr>
              <w:rPr>
                <w:rFonts w:asciiTheme="minorHAnsi" w:hAnsiTheme="minorHAnsi" w:cstheme="minorHAnsi"/>
                <w:szCs w:val="22"/>
              </w:rPr>
            </w:pPr>
          </w:p>
        </w:tc>
        <w:tc>
          <w:tcPr>
            <w:tcW w:w="0" w:type="dxa"/>
            <w:tcBorders>
              <w:left w:val="single" w:sz="4" w:space="0" w:color="BFBFBF" w:themeColor="background1" w:themeShade="BF"/>
            </w:tcBorders>
            <w:tcMar>
              <w:top w:w="57" w:type="dxa"/>
              <w:left w:w="57" w:type="dxa"/>
              <w:bottom w:w="57" w:type="dxa"/>
              <w:right w:w="57" w:type="dxa"/>
            </w:tcMar>
          </w:tcPr>
          <w:p w14:paraId="6C509EE5" w14:textId="77777777" w:rsidR="00A11D95" w:rsidRPr="00A34F8A" w:rsidRDefault="00A11D9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0.860</w:t>
            </w:r>
          </w:p>
        </w:tc>
      </w:tr>
    </w:tbl>
    <w:p w14:paraId="72EE3351" w14:textId="77777777" w:rsidR="00A11D95" w:rsidRPr="00A34F8A" w:rsidRDefault="00A11D95" w:rsidP="00A11D95">
      <w:pPr>
        <w:pStyle w:val="BlueLineBottom"/>
        <w:rPr>
          <w:rFonts w:asciiTheme="minorHAnsi" w:hAnsiTheme="minorHAnsi" w:cstheme="minorHAnsi"/>
          <w:sz w:val="22"/>
          <w:szCs w:val="22"/>
        </w:rPr>
      </w:pPr>
    </w:p>
    <w:p w14:paraId="37339367" w14:textId="77777777" w:rsidR="00A11D95" w:rsidRPr="00A34F8A" w:rsidRDefault="00A11D95" w:rsidP="00A11D95">
      <w:pPr>
        <w:rPr>
          <w:rFonts w:asciiTheme="minorHAnsi" w:hAnsiTheme="minorHAnsi" w:cstheme="minorHAnsi"/>
          <w:szCs w:val="22"/>
        </w:rPr>
      </w:pPr>
      <w:r w:rsidRPr="00A34F8A">
        <w:rPr>
          <w:rFonts w:asciiTheme="minorHAnsi" w:hAnsiTheme="minorHAnsi" w:cstheme="minorHAnsi"/>
          <w:szCs w:val="22"/>
        </w:rPr>
        <w:t>Under scenario 3, there will be an increase in the regulated efficiency for both active and no-load modes across all power ranges, compared with mark III.</w:t>
      </w:r>
    </w:p>
    <w:p w14:paraId="50AA9C53" w14:textId="77777777" w:rsidR="00A11D95" w:rsidRPr="00A34F8A" w:rsidRDefault="00A11D95" w:rsidP="00A11D95">
      <w:pPr>
        <w:rPr>
          <w:rFonts w:asciiTheme="minorHAnsi" w:hAnsiTheme="minorHAnsi" w:cstheme="minorHAnsi"/>
          <w:szCs w:val="22"/>
        </w:rPr>
      </w:pPr>
      <w:r w:rsidRPr="00A34F8A">
        <w:rPr>
          <w:rFonts w:asciiTheme="minorHAnsi" w:hAnsiTheme="minorHAnsi" w:cstheme="minorHAnsi"/>
          <w:szCs w:val="22"/>
        </w:rPr>
        <w:t xml:space="preserve">The scope of the MEPS (outlined in Section 1.2) will not change in this policy option. Therefore, many EPS such as multiple voltage EPS and adaptive voltage EPS will remain unregulated. </w:t>
      </w:r>
    </w:p>
    <w:p w14:paraId="64488152" w14:textId="2DF37C85" w:rsidR="00A11D95" w:rsidRPr="00A34F8A" w:rsidRDefault="00A11D95" w:rsidP="00E7062A">
      <w:pPr>
        <w:pStyle w:val="Heading3"/>
      </w:pPr>
      <w:bookmarkStart w:id="90" w:name="_Toc168660648"/>
      <w:bookmarkStart w:id="91" w:name="_Toc183163255"/>
      <w:r w:rsidRPr="00A34F8A">
        <w:t>Scenario 4: Increase scope and MEPS to align with international standards</w:t>
      </w:r>
      <w:bookmarkEnd w:id="90"/>
      <w:bookmarkEnd w:id="91"/>
    </w:p>
    <w:p w14:paraId="5CA4D4DE" w14:textId="5CF13285" w:rsidR="00FE4137" w:rsidRPr="00A34F8A" w:rsidRDefault="00FE4137" w:rsidP="00FE4137">
      <w:pPr>
        <w:rPr>
          <w:rFonts w:asciiTheme="minorHAnsi" w:hAnsiTheme="minorHAnsi" w:cstheme="minorHAnsi"/>
          <w:szCs w:val="22"/>
        </w:rPr>
      </w:pPr>
      <w:r w:rsidRPr="00A34F8A">
        <w:rPr>
          <w:rFonts w:asciiTheme="minorHAnsi" w:hAnsiTheme="minorHAnsi" w:cstheme="minorHAnsi"/>
          <w:szCs w:val="22"/>
        </w:rPr>
        <w:t xml:space="preserve">Under this scenario, we will assess the costs and benefits of increasing the scope and stringency of the MEPS to align with international standards at mark VI (defined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_Ref141192189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9</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w:t>
      </w:r>
      <w:r w:rsidR="00BA09B6">
        <w:rPr>
          <w:rFonts w:asciiTheme="minorHAnsi" w:hAnsiTheme="minorHAnsi" w:cstheme="minorHAnsi"/>
          <w:szCs w:val="22"/>
        </w:rPr>
        <w:t>in</w:t>
      </w:r>
      <w:r w:rsidRPr="00A34F8A">
        <w:rPr>
          <w:rFonts w:asciiTheme="minorHAnsi" w:hAnsiTheme="minorHAnsi" w:cstheme="minorHAnsi"/>
          <w:szCs w:val="22"/>
        </w:rPr>
        <w:t xml:space="preserve"> 2025. The expanded scope would include multiple voltage and adaptive voltage EPS that are currently unregulated in Australia and New Zealand.</w:t>
      </w:r>
    </w:p>
    <w:p w14:paraId="729E9381" w14:textId="6CA246C4" w:rsidR="00FE4137" w:rsidRPr="00A34F8A" w:rsidRDefault="00FE4137" w:rsidP="00FE4137">
      <w:pPr>
        <w:pStyle w:val="Heading3"/>
        <w:rPr>
          <w:rFonts w:asciiTheme="minorHAnsi" w:hAnsiTheme="minorHAnsi" w:cstheme="minorHAnsi"/>
          <w:sz w:val="22"/>
          <w:szCs w:val="22"/>
        </w:rPr>
      </w:pPr>
      <w:bookmarkStart w:id="92" w:name="_Toc183163256"/>
      <w:r w:rsidRPr="00A34F8A">
        <w:rPr>
          <w:rFonts w:asciiTheme="minorHAnsi" w:hAnsiTheme="minorHAnsi" w:cstheme="minorHAnsi"/>
          <w:sz w:val="22"/>
          <w:szCs w:val="22"/>
        </w:rPr>
        <w:t>Adopt international testing standards</w:t>
      </w:r>
      <w:bookmarkEnd w:id="92"/>
    </w:p>
    <w:p w14:paraId="6D7C4D50" w14:textId="65ADB5E1" w:rsidR="008D60E4" w:rsidRPr="00A34F8A" w:rsidRDefault="008D60E4" w:rsidP="008D60E4">
      <w:pPr>
        <w:rPr>
          <w:rFonts w:asciiTheme="minorHAnsi" w:hAnsiTheme="minorHAnsi" w:cstheme="minorHAnsi"/>
          <w:szCs w:val="22"/>
        </w:rPr>
      </w:pPr>
      <w:r w:rsidRPr="00A34F8A">
        <w:rPr>
          <w:rFonts w:asciiTheme="minorHAnsi" w:hAnsiTheme="minorHAnsi" w:cstheme="minorHAnsi"/>
          <w:szCs w:val="22"/>
        </w:rPr>
        <w:t xml:space="preserve">In addition to aligning with the scope and stringency of the current international (EU and US) standards, this scenario considers adopting international testing standards. As discussed in Section 1.3, there are inefficiencies with the current regulation. Suppliers of EPS in Australia and New Zealand must </w:t>
      </w:r>
      <w:r w:rsidR="00BA09B6">
        <w:rPr>
          <w:rFonts w:asciiTheme="minorHAnsi" w:hAnsiTheme="minorHAnsi" w:cstheme="minorHAnsi"/>
          <w:szCs w:val="22"/>
        </w:rPr>
        <w:t>be tested to</w:t>
      </w:r>
      <w:r w:rsidR="006D0789">
        <w:rPr>
          <w:rFonts w:asciiTheme="minorHAnsi" w:hAnsiTheme="minorHAnsi" w:cstheme="minorHAnsi"/>
          <w:szCs w:val="22"/>
        </w:rPr>
        <w:t xml:space="preserve"> </w:t>
      </w:r>
      <w:r w:rsidRPr="00A34F8A">
        <w:rPr>
          <w:rFonts w:asciiTheme="minorHAnsi" w:hAnsiTheme="minorHAnsi" w:cstheme="minorHAnsi"/>
          <w:szCs w:val="22"/>
        </w:rPr>
        <w:t xml:space="preserve">the AS/NZS testing standard. This means that products </w:t>
      </w:r>
      <w:r w:rsidRPr="00A34F8A">
        <w:rPr>
          <w:rFonts w:asciiTheme="minorHAnsi" w:hAnsiTheme="minorHAnsi" w:cstheme="minorHAnsi"/>
          <w:szCs w:val="22"/>
        </w:rPr>
        <w:lastRenderedPageBreak/>
        <w:t xml:space="preserve">sold globally that have already been tested </w:t>
      </w:r>
      <w:r w:rsidR="00C65CE2">
        <w:rPr>
          <w:rFonts w:asciiTheme="minorHAnsi" w:hAnsiTheme="minorHAnsi" w:cstheme="minorHAnsi"/>
          <w:szCs w:val="22"/>
        </w:rPr>
        <w:t>using</w:t>
      </w:r>
      <w:r w:rsidRPr="00A34F8A">
        <w:rPr>
          <w:rFonts w:asciiTheme="minorHAnsi" w:hAnsiTheme="minorHAnsi" w:cstheme="minorHAnsi"/>
          <w:szCs w:val="22"/>
        </w:rPr>
        <w:t xml:space="preserve"> EU or US </w:t>
      </w:r>
      <w:r w:rsidR="00C65CE2">
        <w:rPr>
          <w:rFonts w:asciiTheme="minorHAnsi" w:hAnsiTheme="minorHAnsi" w:cstheme="minorHAnsi"/>
          <w:szCs w:val="22"/>
        </w:rPr>
        <w:t>test methods</w:t>
      </w:r>
      <w:r w:rsidRPr="00A34F8A">
        <w:rPr>
          <w:rFonts w:asciiTheme="minorHAnsi" w:hAnsiTheme="minorHAnsi" w:cstheme="minorHAnsi"/>
          <w:szCs w:val="22"/>
        </w:rPr>
        <w:t xml:space="preserve"> must repeat testing. For scenario 4 and 5 we consider adopting international testing standards, i.e. removing the need for and the cost of additional testing to register a product in Australia or New Zealand. </w:t>
      </w:r>
    </w:p>
    <w:p w14:paraId="11CB63A6" w14:textId="199D16D1" w:rsidR="008D60E4" w:rsidRPr="00A34F8A" w:rsidRDefault="008D60E4" w:rsidP="00E7062A">
      <w:pPr>
        <w:pStyle w:val="Heading3"/>
      </w:pPr>
      <w:bookmarkStart w:id="93" w:name="_Toc168660649"/>
      <w:bookmarkStart w:id="94" w:name="_Toc183163257"/>
      <w:r w:rsidRPr="00A34F8A">
        <w:t>Scenario 5: Direct harmonisation with international standards</w:t>
      </w:r>
      <w:bookmarkEnd w:id="93"/>
      <w:bookmarkEnd w:id="94"/>
    </w:p>
    <w:p w14:paraId="23701C57" w14:textId="42CFCC61" w:rsidR="008F3FDD" w:rsidRPr="00A34F8A" w:rsidRDefault="008F3FDD" w:rsidP="008F3FDD">
      <w:pPr>
        <w:rPr>
          <w:rFonts w:asciiTheme="minorHAnsi" w:hAnsiTheme="minorHAnsi" w:cstheme="minorHAnsi"/>
          <w:szCs w:val="22"/>
        </w:rPr>
      </w:pPr>
      <w:r w:rsidRPr="00A34F8A">
        <w:rPr>
          <w:rFonts w:asciiTheme="minorHAnsi" w:hAnsiTheme="minorHAnsi" w:cstheme="minorHAnsi"/>
          <w:szCs w:val="22"/>
        </w:rPr>
        <w:t xml:space="preserve">The US and EU are currently in consultation over a proposed update to their EPS minimum efficiency standards and are likely to align at what would become mark VII (defined in </w:t>
      </w:r>
      <w:r w:rsidRPr="00A34F8A">
        <w:rPr>
          <w:rFonts w:asciiTheme="minorHAnsi" w:hAnsiTheme="minorHAnsi" w:cstheme="minorHAnsi"/>
          <w:szCs w:val="22"/>
          <w:highlight w:val="yellow"/>
        </w:rPr>
        <w:fldChar w:fldCharType="begin" w:fldLock="1"/>
      </w:r>
      <w:r w:rsidRPr="00A34F8A">
        <w:rPr>
          <w:rFonts w:asciiTheme="minorHAnsi" w:hAnsiTheme="minorHAnsi" w:cstheme="minorHAnsi"/>
          <w:szCs w:val="22"/>
        </w:rPr>
        <w:instrText xml:space="preserve"> REF _Ref141196366 \h </w:instrText>
      </w:r>
      <w:r w:rsidR="00A34F8A" w:rsidRPr="00A34F8A">
        <w:rPr>
          <w:rFonts w:asciiTheme="minorHAnsi" w:hAnsiTheme="minorHAnsi" w:cstheme="minorHAnsi"/>
          <w:szCs w:val="22"/>
          <w:highlight w:val="yellow"/>
        </w:rPr>
        <w:instrText xml:space="preserve"> \* MERGEFORMAT </w:instrText>
      </w:r>
      <w:r w:rsidRPr="00A34F8A">
        <w:rPr>
          <w:rFonts w:asciiTheme="minorHAnsi" w:hAnsiTheme="minorHAnsi" w:cstheme="minorHAnsi"/>
          <w:szCs w:val="22"/>
          <w:highlight w:val="yellow"/>
        </w:rPr>
      </w:r>
      <w:r w:rsidRPr="00A34F8A">
        <w:rPr>
          <w:rFonts w:asciiTheme="minorHAnsi" w:hAnsiTheme="minorHAnsi" w:cstheme="minorHAnsi"/>
          <w:szCs w:val="22"/>
          <w:highlight w:val="yellow"/>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10</w:t>
      </w:r>
      <w:r w:rsidRPr="00A34F8A">
        <w:rPr>
          <w:rFonts w:asciiTheme="minorHAnsi" w:hAnsiTheme="minorHAnsi" w:cstheme="minorHAnsi"/>
          <w:szCs w:val="22"/>
          <w:highlight w:val="yellow"/>
        </w:rPr>
        <w:fldChar w:fldCharType="end"/>
      </w:r>
      <w:r w:rsidRPr="00A34F8A">
        <w:rPr>
          <w:rFonts w:asciiTheme="minorHAnsi" w:hAnsiTheme="minorHAnsi" w:cstheme="minorHAnsi"/>
          <w:szCs w:val="22"/>
        </w:rPr>
        <w:t xml:space="preserve"> below). Under this scenario we will assess the costs and benefits of increasing the MEPS (in scope and stringency) to mark VI in 2025 and then further increasing the MEPS from mark VI to mark VII in 2029. This would allow at least a two-year lag time after the EU and the US are likely to increase their standards. </w:t>
      </w:r>
    </w:p>
    <w:p w14:paraId="1EFBF034" w14:textId="77777777" w:rsidR="008F3FDD" w:rsidRPr="00A34F8A" w:rsidRDefault="008F3FDD" w:rsidP="008F3FDD">
      <w:pPr>
        <w:pStyle w:val="BlueLineTop"/>
        <w:rPr>
          <w:rFonts w:asciiTheme="minorHAnsi" w:hAnsiTheme="minorHAnsi" w:cstheme="minorHAnsi"/>
          <w:sz w:val="22"/>
          <w:szCs w:val="22"/>
        </w:rPr>
      </w:pPr>
    </w:p>
    <w:p w14:paraId="423AB004" w14:textId="5793E092" w:rsidR="008F3FDD" w:rsidRPr="00A34F8A" w:rsidRDefault="008F3FDD" w:rsidP="008F3FDD">
      <w:pPr>
        <w:pStyle w:val="Caption"/>
        <w:rPr>
          <w:rFonts w:asciiTheme="minorHAnsi" w:hAnsiTheme="minorHAnsi" w:cstheme="minorHAnsi"/>
          <w:sz w:val="22"/>
          <w:szCs w:val="22"/>
        </w:rPr>
      </w:pPr>
      <w:bookmarkStart w:id="95" w:name="_Ref141196366"/>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10</w:t>
      </w:r>
      <w:r w:rsidRPr="00A34F8A">
        <w:rPr>
          <w:rFonts w:asciiTheme="minorHAnsi" w:hAnsiTheme="minorHAnsi" w:cstheme="minorHAnsi"/>
          <w:sz w:val="22"/>
          <w:szCs w:val="22"/>
        </w:rPr>
        <w:fldChar w:fldCharType="end"/>
      </w:r>
      <w:bookmarkEnd w:id="95"/>
      <w:r w:rsidRPr="00A34F8A">
        <w:rPr>
          <w:rFonts w:asciiTheme="minorHAnsi" w:hAnsiTheme="minorHAnsi" w:cstheme="minorHAnsi"/>
          <w:sz w:val="22"/>
          <w:szCs w:val="22"/>
        </w:rPr>
        <w:t xml:space="preserve">: Proposed mark VII efficiency standard. SV=single voltage, MV=multiple voltage </w:t>
      </w:r>
      <w:sdt>
        <w:sdtPr>
          <w:rPr>
            <w:rFonts w:asciiTheme="minorHAnsi" w:hAnsiTheme="minorHAnsi" w:cstheme="minorHAnsi"/>
            <w:sz w:val="22"/>
            <w:szCs w:val="22"/>
          </w:rPr>
          <w:id w:val="-1885944213"/>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2268"/>
        <w:gridCol w:w="2268"/>
        <w:gridCol w:w="2268"/>
        <w:gridCol w:w="2268"/>
      </w:tblGrid>
      <w:tr w:rsidR="00F01F11" w:rsidRPr="00A34F8A" w14:paraId="606A29F8" w14:textId="77777777" w:rsidTr="006D0789">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right w:val="single" w:sz="4" w:space="0" w:color="C4BC96" w:themeColor="background2" w:themeShade="BF"/>
            </w:tcBorders>
            <w:tcMar>
              <w:top w:w="57" w:type="dxa"/>
              <w:left w:w="57" w:type="dxa"/>
              <w:bottom w:w="57" w:type="dxa"/>
              <w:right w:w="57" w:type="dxa"/>
            </w:tcMar>
          </w:tcPr>
          <w:p w14:paraId="607F5AF9" w14:textId="77777777" w:rsidR="008F3FDD" w:rsidRPr="00A34F8A" w:rsidRDefault="008F3FDD" w:rsidP="005D3977">
            <w:pPr>
              <w:rPr>
                <w:rFonts w:asciiTheme="minorHAnsi" w:hAnsiTheme="minorHAnsi" w:cstheme="minorHAnsi"/>
                <w:b w:val="0"/>
                <w:szCs w:val="22"/>
              </w:rPr>
            </w:pPr>
            <w:r w:rsidRPr="00A34F8A">
              <w:rPr>
                <w:rFonts w:asciiTheme="minorHAnsi" w:hAnsiTheme="minorHAnsi" w:cstheme="minorHAnsi"/>
                <w:szCs w:val="22"/>
              </w:rPr>
              <w:t>Output</w:t>
            </w:r>
          </w:p>
        </w:tc>
        <w:tc>
          <w:tcPr>
            <w:tcW w:w="0" w:type="dxa"/>
            <w:tcMar>
              <w:top w:w="57" w:type="dxa"/>
              <w:left w:w="57" w:type="dxa"/>
              <w:bottom w:w="57" w:type="dxa"/>
              <w:right w:w="57" w:type="dxa"/>
            </w:tcMar>
          </w:tcPr>
          <w:p w14:paraId="10D1F447" w14:textId="77777777" w:rsidR="008F3FDD" w:rsidRPr="00A34F8A" w:rsidRDefault="008F3FDD" w:rsidP="005D3977">
            <w:pPr>
              <w:rPr>
                <w:rFonts w:asciiTheme="minorHAnsi" w:hAnsiTheme="minorHAnsi" w:cstheme="minorHAnsi"/>
                <w:b w:val="0"/>
                <w:szCs w:val="22"/>
              </w:rPr>
            </w:pPr>
            <w:r w:rsidRPr="00A34F8A">
              <w:rPr>
                <w:rFonts w:asciiTheme="minorHAnsi" w:hAnsiTheme="minorHAnsi" w:cstheme="minorHAnsi"/>
                <w:szCs w:val="22"/>
              </w:rPr>
              <w:t>Nameplate output power (P</w:t>
            </w:r>
            <w:r w:rsidRPr="00A34F8A">
              <w:rPr>
                <w:rFonts w:asciiTheme="minorHAnsi" w:hAnsiTheme="minorHAnsi" w:cstheme="minorHAnsi"/>
                <w:szCs w:val="22"/>
                <w:vertAlign w:val="subscript"/>
              </w:rPr>
              <w:t>no</w:t>
            </w:r>
            <w:r w:rsidRPr="00A34F8A">
              <w:rPr>
                <w:rFonts w:asciiTheme="minorHAnsi" w:hAnsiTheme="minorHAnsi" w:cstheme="minorHAnsi"/>
                <w:szCs w:val="22"/>
              </w:rPr>
              <w:t>)</w:t>
            </w:r>
          </w:p>
        </w:tc>
        <w:tc>
          <w:tcPr>
            <w:tcW w:w="0" w:type="dxa"/>
            <w:tcBorders>
              <w:left w:val="single" w:sz="4" w:space="0" w:color="C4BC96" w:themeColor="background2" w:themeShade="BF"/>
            </w:tcBorders>
            <w:tcMar>
              <w:top w:w="57" w:type="dxa"/>
              <w:left w:w="57" w:type="dxa"/>
              <w:bottom w:w="57" w:type="dxa"/>
              <w:right w:w="57" w:type="dxa"/>
            </w:tcMar>
          </w:tcPr>
          <w:p w14:paraId="6194F7E5" w14:textId="77777777" w:rsidR="008F3FDD" w:rsidRPr="00A34F8A" w:rsidRDefault="008F3FDD" w:rsidP="005D3977">
            <w:pPr>
              <w:rPr>
                <w:rFonts w:asciiTheme="minorHAnsi" w:hAnsiTheme="minorHAnsi" w:cstheme="minorHAnsi"/>
                <w:b w:val="0"/>
                <w:szCs w:val="22"/>
              </w:rPr>
            </w:pPr>
            <w:r w:rsidRPr="00A34F8A">
              <w:rPr>
                <w:rFonts w:asciiTheme="minorHAnsi" w:hAnsiTheme="minorHAnsi" w:cstheme="minorHAnsi"/>
                <w:szCs w:val="22"/>
              </w:rPr>
              <w:t>No-load mode power</w:t>
            </w:r>
          </w:p>
        </w:tc>
        <w:tc>
          <w:tcPr>
            <w:tcW w:w="0" w:type="dxa"/>
            <w:tcBorders>
              <w:left w:val="single" w:sz="4" w:space="0" w:color="C4BC96" w:themeColor="background2" w:themeShade="BF"/>
            </w:tcBorders>
            <w:tcMar>
              <w:top w:w="57" w:type="dxa"/>
              <w:left w:w="57" w:type="dxa"/>
              <w:bottom w:w="57" w:type="dxa"/>
              <w:right w:w="57" w:type="dxa"/>
            </w:tcMar>
          </w:tcPr>
          <w:p w14:paraId="2AF6FD8F" w14:textId="77777777" w:rsidR="008F3FDD" w:rsidRPr="00A34F8A" w:rsidRDefault="008F3FDD" w:rsidP="005D3977">
            <w:pPr>
              <w:rPr>
                <w:rFonts w:asciiTheme="minorHAnsi" w:hAnsiTheme="minorHAnsi" w:cstheme="minorHAnsi"/>
                <w:b w:val="0"/>
                <w:szCs w:val="22"/>
              </w:rPr>
            </w:pPr>
            <w:r w:rsidRPr="00A34F8A">
              <w:rPr>
                <w:rFonts w:asciiTheme="minorHAnsi" w:hAnsiTheme="minorHAnsi" w:cstheme="minorHAnsi"/>
                <w:szCs w:val="22"/>
              </w:rPr>
              <w:t>Average efficiency in active mode</w:t>
            </w:r>
          </w:p>
        </w:tc>
      </w:tr>
      <w:tr w:rsidR="00DA1EBB" w:rsidRPr="00A34F8A" w14:paraId="6D3233EF" w14:textId="77777777" w:rsidTr="006D0789">
        <w:trPr>
          <w:cantSplit/>
          <w:trHeight w:val="79"/>
        </w:trPr>
        <w:tc>
          <w:tcPr>
            <w:tcW w:w="0" w:type="dxa"/>
            <w:vMerge w:val="restart"/>
            <w:tcBorders>
              <w:right w:val="single" w:sz="4" w:space="0" w:color="BFBFBF"/>
            </w:tcBorders>
            <w:tcMar>
              <w:top w:w="57" w:type="dxa"/>
              <w:left w:w="57" w:type="dxa"/>
              <w:bottom w:w="57" w:type="dxa"/>
              <w:right w:w="57" w:type="dxa"/>
            </w:tcMar>
          </w:tcPr>
          <w:p w14:paraId="63D8F2D2" w14:textId="77777777" w:rsidR="008F3FDD" w:rsidRPr="00A34F8A" w:rsidRDefault="008F3FDD" w:rsidP="005D3977">
            <w:pPr>
              <w:rPr>
                <w:rFonts w:asciiTheme="minorHAnsi" w:hAnsiTheme="minorHAnsi" w:cstheme="minorHAnsi"/>
                <w:b/>
                <w:bCs/>
                <w:szCs w:val="22"/>
              </w:rPr>
            </w:pPr>
            <w:r w:rsidRPr="00A34F8A">
              <w:rPr>
                <w:rFonts w:asciiTheme="minorHAnsi" w:hAnsiTheme="minorHAnsi" w:cstheme="minorHAnsi"/>
                <w:b/>
                <w:bCs/>
                <w:szCs w:val="22"/>
              </w:rPr>
              <w:t>SV</w:t>
            </w:r>
          </w:p>
        </w:tc>
        <w:tc>
          <w:tcPr>
            <w:tcW w:w="0" w:type="dxa"/>
            <w:tcBorders>
              <w:left w:val="single" w:sz="4" w:space="0" w:color="BFBFBF"/>
              <w:right w:val="single" w:sz="4" w:space="0" w:color="BFBFBF"/>
            </w:tcBorders>
            <w:tcMar>
              <w:top w:w="57" w:type="dxa"/>
              <w:left w:w="57" w:type="dxa"/>
              <w:bottom w:w="57" w:type="dxa"/>
              <w:right w:w="57" w:type="dxa"/>
            </w:tcMar>
          </w:tcPr>
          <w:p w14:paraId="14E8596E"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0 to 1W</w:t>
            </w:r>
          </w:p>
        </w:tc>
        <w:tc>
          <w:tcPr>
            <w:tcW w:w="0"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30BB7D18"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 0.075</w:t>
            </w:r>
          </w:p>
          <w:p w14:paraId="23BADB09"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Basic: ≤ 0.075</w:t>
            </w:r>
          </w:p>
          <w:p w14:paraId="5271AF87"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Low: ≤ 0.072</w:t>
            </w:r>
          </w:p>
        </w:tc>
        <w:tc>
          <w:tcPr>
            <w:tcW w:w="0" w:type="dxa"/>
            <w:tcBorders>
              <w:left w:val="single" w:sz="4" w:space="0" w:color="BFBFBF" w:themeColor="background1" w:themeShade="BF"/>
            </w:tcBorders>
            <w:tcMar>
              <w:top w:w="57" w:type="dxa"/>
              <w:left w:w="57" w:type="dxa"/>
              <w:bottom w:w="57" w:type="dxa"/>
              <w:right w:w="57" w:type="dxa"/>
            </w:tcMar>
          </w:tcPr>
          <w:p w14:paraId="6E679DEA" w14:textId="77777777" w:rsidR="008F3FDD" w:rsidRPr="00A34F8A" w:rsidRDefault="008F3FD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0.5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+ 0.1669</w:t>
            </w:r>
          </w:p>
          <w:p w14:paraId="18220BFA" w14:textId="77777777" w:rsidR="008F3FDD" w:rsidRPr="00A34F8A" w:rsidRDefault="008F3FDD" w:rsidP="005D3977">
            <w:pPr>
              <w:rPr>
                <w:rFonts w:asciiTheme="minorHAnsi" w:hAnsiTheme="minorHAnsi" w:cstheme="minorHAnsi"/>
                <w:szCs w:val="22"/>
                <w:highlight w:val="yellow"/>
              </w:rPr>
            </w:pPr>
            <w:r w:rsidRPr="00A34F8A">
              <w:rPr>
                <w:rFonts w:asciiTheme="minorHAnsi" w:hAnsiTheme="minorHAnsi" w:cstheme="minorHAnsi"/>
                <w:szCs w:val="22"/>
              </w:rPr>
              <w:t>Low voltage: ≥ 0.517 x Pno + 0.091</w:t>
            </w:r>
          </w:p>
        </w:tc>
      </w:tr>
      <w:tr w:rsidR="00DA1EBB" w:rsidRPr="00A34F8A" w14:paraId="61456699"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39FF47EB" w14:textId="77777777" w:rsidR="008F3FDD" w:rsidRPr="00A34F8A" w:rsidRDefault="008F3FD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1176D206"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&gt; 1 to 49W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1663E6E1" w14:textId="77777777" w:rsidR="008F3FDD" w:rsidRPr="00A34F8A" w:rsidRDefault="008F3FDD" w:rsidP="005D3977">
            <w:pPr>
              <w:rPr>
                <w:rFonts w:asciiTheme="minorHAnsi" w:hAnsiTheme="minorHAnsi" w:cstheme="minorHAnsi"/>
                <w:szCs w:val="22"/>
                <w:highlight w:val="yellow"/>
              </w:rPr>
            </w:pPr>
          </w:p>
        </w:tc>
        <w:tc>
          <w:tcPr>
            <w:tcW w:w="0" w:type="dxa"/>
            <w:tcBorders>
              <w:left w:val="single" w:sz="4" w:space="0" w:color="BFBFBF" w:themeColor="background1" w:themeShade="BF"/>
            </w:tcBorders>
            <w:tcMar>
              <w:top w:w="57" w:type="dxa"/>
              <w:left w:w="57" w:type="dxa"/>
              <w:bottom w:w="57" w:type="dxa"/>
              <w:right w:w="57" w:type="dxa"/>
            </w:tcMar>
          </w:tcPr>
          <w:p w14:paraId="119D1025"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Basic voltage: ≥ 0.071 x ln(Pno) – 0.00115 x Pno + 0.67</w:t>
            </w:r>
          </w:p>
          <w:p w14:paraId="51811D14" w14:textId="77777777" w:rsidR="008F3FDD" w:rsidRPr="00A34F8A" w:rsidRDefault="008F3FDD" w:rsidP="005D3977">
            <w:pPr>
              <w:pStyle w:val="Table3-Normal"/>
              <w:rPr>
                <w:rFonts w:asciiTheme="minorHAnsi" w:hAnsiTheme="minorHAnsi" w:cstheme="minorHAnsi"/>
                <w:sz w:val="22"/>
                <w:szCs w:val="22"/>
                <w:highlight w:val="yellow"/>
              </w:rPr>
            </w:pPr>
            <w:r w:rsidRPr="00A34F8A">
              <w:rPr>
                <w:rFonts w:asciiTheme="minorHAnsi" w:hAnsiTheme="minorHAnsi" w:cstheme="minorHAnsi"/>
                <w:sz w:val="22"/>
                <w:szCs w:val="22"/>
              </w:rPr>
              <w:t>Low voltage: ≥ 0.0834 x ln(Pno) – 0.0011 x Pno + 0.609</w:t>
            </w:r>
          </w:p>
        </w:tc>
      </w:tr>
      <w:tr w:rsidR="00DA1EBB" w:rsidRPr="00A34F8A" w14:paraId="27FE1330"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3E7DEFB9" w14:textId="77777777" w:rsidR="008F3FDD" w:rsidRPr="00A34F8A" w:rsidRDefault="008F3FD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00625484"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&gt;49 to 250W</w:t>
            </w:r>
          </w:p>
        </w:tc>
        <w:tc>
          <w:tcPr>
            <w:tcW w:w="0" w:type="dxa"/>
            <w:tcBorders>
              <w:left w:val="single" w:sz="4" w:space="0" w:color="BFBFBF"/>
              <w:right w:val="single" w:sz="4" w:space="0" w:color="BFBFBF" w:themeColor="background1" w:themeShade="BF"/>
            </w:tcBorders>
            <w:tcMar>
              <w:top w:w="57" w:type="dxa"/>
              <w:left w:w="57" w:type="dxa"/>
              <w:bottom w:w="57" w:type="dxa"/>
              <w:right w:w="57" w:type="dxa"/>
            </w:tcMar>
          </w:tcPr>
          <w:p w14:paraId="57510A4B"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 0.150</w:t>
            </w:r>
          </w:p>
          <w:p w14:paraId="5B04BDE1"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Basic: ≤ 0.075</w:t>
            </w:r>
          </w:p>
          <w:p w14:paraId="5FF558C6" w14:textId="77777777" w:rsidR="008F3FDD" w:rsidRPr="00A34F8A" w:rsidRDefault="008F3FDD" w:rsidP="005D3977">
            <w:pPr>
              <w:pStyle w:val="Table3-Normal"/>
              <w:rPr>
                <w:rFonts w:asciiTheme="minorHAnsi" w:hAnsiTheme="minorHAnsi" w:cstheme="minorHAnsi"/>
                <w:sz w:val="22"/>
                <w:szCs w:val="22"/>
                <w:highlight w:val="yellow"/>
              </w:rPr>
            </w:pPr>
            <w:r w:rsidRPr="00A34F8A">
              <w:rPr>
                <w:rFonts w:asciiTheme="minorHAnsi" w:hAnsiTheme="minorHAnsi" w:cstheme="minorHAnsi"/>
                <w:sz w:val="22"/>
                <w:szCs w:val="22"/>
              </w:rPr>
              <w:t>AC-AC Low: ≤ 0.185</w:t>
            </w:r>
          </w:p>
        </w:tc>
        <w:tc>
          <w:tcPr>
            <w:tcW w:w="0" w:type="dxa"/>
            <w:tcBorders>
              <w:left w:val="single" w:sz="4" w:space="0" w:color="BFBFBF" w:themeColor="background1" w:themeShade="BF"/>
            </w:tcBorders>
            <w:tcMar>
              <w:top w:w="57" w:type="dxa"/>
              <w:left w:w="57" w:type="dxa"/>
              <w:bottom w:w="57" w:type="dxa"/>
              <w:right w:w="57" w:type="dxa"/>
            </w:tcMar>
          </w:tcPr>
          <w:p w14:paraId="625B7D51"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Basic voltage: ≥ 0.890</w:t>
            </w:r>
          </w:p>
          <w:p w14:paraId="6AE38103"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AC-DC Low voltage: ≥ 0.880</w:t>
            </w:r>
          </w:p>
          <w:p w14:paraId="34D94235" w14:textId="77777777" w:rsidR="008F3FDD" w:rsidRPr="00A34F8A" w:rsidRDefault="008F3FDD" w:rsidP="005D3977">
            <w:pPr>
              <w:pStyle w:val="Table3-Normal"/>
              <w:rPr>
                <w:rFonts w:asciiTheme="minorHAnsi" w:hAnsiTheme="minorHAnsi" w:cstheme="minorHAnsi"/>
                <w:sz w:val="22"/>
                <w:szCs w:val="22"/>
              </w:rPr>
            </w:pPr>
            <w:r w:rsidRPr="00A34F8A">
              <w:rPr>
                <w:rFonts w:asciiTheme="minorHAnsi" w:hAnsiTheme="minorHAnsi" w:cstheme="minorHAnsi"/>
                <w:sz w:val="22"/>
                <w:szCs w:val="22"/>
              </w:rPr>
              <w:t>AC-AC Basic voltage: ≥ 0.902</w:t>
            </w:r>
          </w:p>
          <w:p w14:paraId="0DCDB74F" w14:textId="77777777" w:rsidR="008F3FDD" w:rsidRPr="00A34F8A" w:rsidRDefault="008F3FDD" w:rsidP="005D3977">
            <w:pPr>
              <w:pStyle w:val="Table3-Normal"/>
              <w:rPr>
                <w:rFonts w:asciiTheme="minorHAnsi" w:hAnsiTheme="minorHAnsi" w:cstheme="minorHAnsi"/>
                <w:sz w:val="22"/>
                <w:szCs w:val="22"/>
                <w:highlight w:val="yellow"/>
              </w:rPr>
            </w:pPr>
            <w:r w:rsidRPr="00A34F8A">
              <w:rPr>
                <w:rFonts w:asciiTheme="minorHAnsi" w:hAnsiTheme="minorHAnsi" w:cstheme="minorHAnsi"/>
                <w:sz w:val="22"/>
                <w:szCs w:val="22"/>
              </w:rPr>
              <w:t>AC-AC Low voltage: ≥ 0.880</w:t>
            </w:r>
          </w:p>
        </w:tc>
      </w:tr>
      <w:tr w:rsidR="00DA1EBB" w:rsidRPr="00A34F8A" w14:paraId="439CAB2B" w14:textId="77777777" w:rsidTr="006D0789">
        <w:trPr>
          <w:cantSplit/>
          <w:trHeight w:val="146"/>
        </w:trPr>
        <w:tc>
          <w:tcPr>
            <w:tcW w:w="0" w:type="dxa"/>
            <w:vMerge w:val="restart"/>
            <w:tcBorders>
              <w:right w:val="single" w:sz="4" w:space="0" w:color="BFBFBF"/>
            </w:tcBorders>
            <w:tcMar>
              <w:top w:w="57" w:type="dxa"/>
              <w:left w:w="57" w:type="dxa"/>
              <w:bottom w:w="57" w:type="dxa"/>
              <w:right w:w="57" w:type="dxa"/>
            </w:tcMar>
          </w:tcPr>
          <w:p w14:paraId="5932E8D6" w14:textId="77777777" w:rsidR="008F3FDD" w:rsidRPr="00A34F8A" w:rsidRDefault="008F3FDD" w:rsidP="005D3977">
            <w:pPr>
              <w:rPr>
                <w:rFonts w:asciiTheme="minorHAnsi" w:hAnsiTheme="minorHAnsi" w:cstheme="minorHAnsi"/>
                <w:b/>
                <w:bCs/>
                <w:szCs w:val="22"/>
              </w:rPr>
            </w:pPr>
            <w:r w:rsidRPr="00A34F8A">
              <w:rPr>
                <w:rFonts w:asciiTheme="minorHAnsi" w:hAnsiTheme="minorHAnsi" w:cstheme="minorHAnsi"/>
                <w:b/>
                <w:bCs/>
                <w:szCs w:val="22"/>
              </w:rPr>
              <w:t>MV</w:t>
            </w:r>
          </w:p>
        </w:tc>
        <w:tc>
          <w:tcPr>
            <w:tcW w:w="0" w:type="dxa"/>
            <w:tcBorders>
              <w:left w:val="single" w:sz="4" w:space="0" w:color="BFBFBF"/>
              <w:right w:val="single" w:sz="4" w:space="0" w:color="BFBFBF"/>
            </w:tcBorders>
            <w:tcMar>
              <w:top w:w="57" w:type="dxa"/>
              <w:left w:w="57" w:type="dxa"/>
              <w:bottom w:w="57" w:type="dxa"/>
              <w:right w:w="57" w:type="dxa"/>
            </w:tcMar>
          </w:tcPr>
          <w:p w14:paraId="111B2FC3"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0 to 1W</w:t>
            </w:r>
          </w:p>
        </w:tc>
        <w:tc>
          <w:tcPr>
            <w:tcW w:w="0"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5B041365"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 0.075</w:t>
            </w:r>
          </w:p>
        </w:tc>
        <w:tc>
          <w:tcPr>
            <w:tcW w:w="0" w:type="dxa"/>
            <w:tcBorders>
              <w:left w:val="single" w:sz="4" w:space="0" w:color="BFBFBF" w:themeColor="background1" w:themeShade="BF"/>
            </w:tcBorders>
            <w:tcMar>
              <w:top w:w="57" w:type="dxa"/>
              <w:left w:w="57" w:type="dxa"/>
              <w:bottom w:w="57" w:type="dxa"/>
              <w:right w:w="57" w:type="dxa"/>
            </w:tcMar>
          </w:tcPr>
          <w:p w14:paraId="4668F570" w14:textId="77777777" w:rsidR="008F3FDD" w:rsidRPr="00A34F8A" w:rsidRDefault="008F3FD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0.497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+ 0.067</w:t>
            </w:r>
          </w:p>
        </w:tc>
      </w:tr>
      <w:tr w:rsidR="00DA1EBB" w:rsidRPr="00A34F8A" w14:paraId="313D8F7C" w14:textId="77777777" w:rsidTr="006D0789">
        <w:trPr>
          <w:cantSplit/>
          <w:trHeight w:val="145"/>
        </w:trPr>
        <w:tc>
          <w:tcPr>
            <w:tcW w:w="0" w:type="dxa"/>
            <w:vMerge/>
            <w:tcBorders>
              <w:right w:val="single" w:sz="4" w:space="0" w:color="BFBFBF"/>
            </w:tcBorders>
            <w:tcMar>
              <w:top w:w="57" w:type="dxa"/>
              <w:left w:w="57" w:type="dxa"/>
              <w:bottom w:w="57" w:type="dxa"/>
              <w:right w:w="57" w:type="dxa"/>
            </w:tcMar>
          </w:tcPr>
          <w:p w14:paraId="6C5F7685" w14:textId="77777777" w:rsidR="008F3FDD" w:rsidRPr="00A34F8A" w:rsidRDefault="008F3FD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2552CDB8"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&gt;1 to 49W</w:t>
            </w:r>
          </w:p>
        </w:tc>
        <w:tc>
          <w:tcPr>
            <w:tcW w:w="0" w:type="dxa"/>
            <w:vMerge/>
            <w:tcBorders>
              <w:left w:val="single" w:sz="4" w:space="0" w:color="BFBFBF"/>
              <w:right w:val="single" w:sz="4" w:space="0" w:color="BFBFBF" w:themeColor="background1" w:themeShade="BF"/>
            </w:tcBorders>
            <w:tcMar>
              <w:top w:w="57" w:type="dxa"/>
              <w:left w:w="57" w:type="dxa"/>
              <w:bottom w:w="57" w:type="dxa"/>
              <w:right w:w="57" w:type="dxa"/>
            </w:tcMar>
          </w:tcPr>
          <w:p w14:paraId="74AAD9FE" w14:textId="77777777" w:rsidR="008F3FDD" w:rsidRPr="00A34F8A" w:rsidRDefault="008F3FDD" w:rsidP="005D3977">
            <w:pPr>
              <w:rPr>
                <w:rFonts w:asciiTheme="minorHAnsi" w:hAnsiTheme="minorHAnsi" w:cstheme="minorHAnsi"/>
                <w:szCs w:val="22"/>
              </w:rPr>
            </w:pPr>
          </w:p>
        </w:tc>
        <w:tc>
          <w:tcPr>
            <w:tcW w:w="0" w:type="dxa"/>
            <w:tcBorders>
              <w:left w:val="single" w:sz="4" w:space="0" w:color="BFBFBF" w:themeColor="background1" w:themeShade="BF"/>
            </w:tcBorders>
            <w:tcMar>
              <w:top w:w="57" w:type="dxa"/>
              <w:left w:w="57" w:type="dxa"/>
              <w:bottom w:w="57" w:type="dxa"/>
              <w:right w:w="57" w:type="dxa"/>
            </w:tcMar>
          </w:tcPr>
          <w:p w14:paraId="5979D06B" w14:textId="77777777" w:rsidR="008F3FDD" w:rsidRPr="00A34F8A" w:rsidRDefault="008F3FD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0.0782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0.013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+ 0.643</w:t>
            </w:r>
          </w:p>
        </w:tc>
      </w:tr>
      <w:tr w:rsidR="00DA1EBB" w:rsidRPr="00A34F8A" w14:paraId="5A952B92" w14:textId="77777777" w:rsidTr="006D0789">
        <w:trPr>
          <w:cantSplit/>
          <w:trHeight w:val="79"/>
        </w:trPr>
        <w:tc>
          <w:tcPr>
            <w:tcW w:w="0" w:type="dxa"/>
            <w:vMerge/>
            <w:tcBorders>
              <w:right w:val="single" w:sz="4" w:space="0" w:color="BFBFBF"/>
            </w:tcBorders>
            <w:tcMar>
              <w:top w:w="57" w:type="dxa"/>
              <w:left w:w="57" w:type="dxa"/>
              <w:bottom w:w="57" w:type="dxa"/>
              <w:right w:w="57" w:type="dxa"/>
            </w:tcMar>
          </w:tcPr>
          <w:p w14:paraId="21B65021" w14:textId="77777777" w:rsidR="008F3FDD" w:rsidRPr="00A34F8A" w:rsidRDefault="008F3FDD" w:rsidP="005D3977">
            <w:pPr>
              <w:rPr>
                <w:rFonts w:asciiTheme="minorHAnsi" w:hAnsiTheme="minorHAnsi" w:cstheme="minorHAnsi"/>
                <w:b/>
                <w:bCs/>
                <w:szCs w:val="22"/>
              </w:rPr>
            </w:pPr>
          </w:p>
        </w:tc>
        <w:tc>
          <w:tcPr>
            <w:tcW w:w="0" w:type="dxa"/>
            <w:tcBorders>
              <w:left w:val="single" w:sz="4" w:space="0" w:color="BFBFBF"/>
              <w:right w:val="single" w:sz="4" w:space="0" w:color="BFBFBF"/>
            </w:tcBorders>
            <w:tcMar>
              <w:top w:w="57" w:type="dxa"/>
              <w:left w:w="57" w:type="dxa"/>
              <w:bottom w:w="57" w:type="dxa"/>
              <w:right w:w="57" w:type="dxa"/>
            </w:tcMar>
          </w:tcPr>
          <w:p w14:paraId="6A2CD1C9"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&gt;49 to 250W</w:t>
            </w:r>
          </w:p>
        </w:tc>
        <w:tc>
          <w:tcPr>
            <w:tcW w:w="0" w:type="dxa"/>
            <w:tcBorders>
              <w:left w:val="single" w:sz="4" w:space="0" w:color="BFBFBF"/>
              <w:right w:val="single" w:sz="4" w:space="0" w:color="BFBFBF" w:themeColor="background1" w:themeShade="BF"/>
            </w:tcBorders>
            <w:tcMar>
              <w:top w:w="57" w:type="dxa"/>
              <w:left w:w="57" w:type="dxa"/>
              <w:bottom w:w="57" w:type="dxa"/>
              <w:right w:w="57" w:type="dxa"/>
            </w:tcMar>
          </w:tcPr>
          <w:p w14:paraId="5478F704" w14:textId="77777777" w:rsidR="008F3FDD" w:rsidRPr="00A34F8A" w:rsidRDefault="008F3FDD" w:rsidP="005D3977">
            <w:pPr>
              <w:rPr>
                <w:rFonts w:asciiTheme="minorHAnsi" w:hAnsiTheme="minorHAnsi" w:cstheme="minorHAnsi"/>
                <w:szCs w:val="22"/>
              </w:rPr>
            </w:pPr>
            <w:r w:rsidRPr="00A34F8A">
              <w:rPr>
                <w:rFonts w:asciiTheme="minorHAnsi" w:hAnsiTheme="minorHAnsi" w:cstheme="minorHAnsi"/>
                <w:szCs w:val="22"/>
              </w:rPr>
              <w:t>≤ 0.125</w:t>
            </w:r>
          </w:p>
        </w:tc>
        <w:tc>
          <w:tcPr>
            <w:tcW w:w="0" w:type="dxa"/>
            <w:tcBorders>
              <w:left w:val="single" w:sz="4" w:space="0" w:color="BFBFBF" w:themeColor="background1" w:themeShade="BF"/>
            </w:tcBorders>
            <w:tcMar>
              <w:top w:w="57" w:type="dxa"/>
              <w:left w:w="57" w:type="dxa"/>
              <w:bottom w:w="57" w:type="dxa"/>
              <w:right w:w="57" w:type="dxa"/>
            </w:tcMar>
          </w:tcPr>
          <w:p w14:paraId="3FA93CFA" w14:textId="77777777" w:rsidR="008F3FDD" w:rsidRPr="00A34F8A" w:rsidRDefault="008F3FDD"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0.885</w:t>
            </w:r>
          </w:p>
        </w:tc>
      </w:tr>
    </w:tbl>
    <w:p w14:paraId="27B55755" w14:textId="77777777" w:rsidR="008F3FDD" w:rsidRPr="00A34F8A" w:rsidRDefault="008F3FDD" w:rsidP="008F3FDD">
      <w:pPr>
        <w:pStyle w:val="BlueLineBottom"/>
        <w:rPr>
          <w:rFonts w:asciiTheme="minorHAnsi" w:hAnsiTheme="minorHAnsi" w:cstheme="minorHAnsi"/>
          <w:sz w:val="22"/>
          <w:szCs w:val="22"/>
        </w:rPr>
      </w:pPr>
    </w:p>
    <w:p w14:paraId="72E422CE" w14:textId="77777777" w:rsidR="008F3FDD" w:rsidRPr="00A34F8A" w:rsidRDefault="008F3FDD" w:rsidP="008F3FDD">
      <w:pPr>
        <w:rPr>
          <w:rFonts w:asciiTheme="minorHAnsi" w:hAnsiTheme="minorHAnsi" w:cstheme="minorHAnsi"/>
          <w:szCs w:val="22"/>
        </w:rPr>
      </w:pPr>
      <w:r w:rsidRPr="00A34F8A">
        <w:rPr>
          <w:rFonts w:asciiTheme="minorHAnsi" w:hAnsiTheme="minorHAnsi" w:cstheme="minorHAnsi"/>
          <w:szCs w:val="22"/>
        </w:rPr>
        <w:t>This scenario would also adopt international EPS testing standards, as described in scenario 4 above.</w:t>
      </w:r>
    </w:p>
    <w:p w14:paraId="03B37D7B" w14:textId="5A1351CB" w:rsidR="00974721" w:rsidRPr="00E7062A" w:rsidRDefault="00974721" w:rsidP="00E13108">
      <w:pPr>
        <w:pStyle w:val="ChapterTitle"/>
        <w:keepNext/>
        <w:rPr>
          <w:rFonts w:asciiTheme="minorHAnsi" w:hAnsiTheme="minorHAnsi" w:cstheme="minorHAnsi"/>
          <w:sz w:val="32"/>
          <w:szCs w:val="32"/>
        </w:rPr>
      </w:pPr>
      <w:bookmarkStart w:id="96" w:name="_Toc168660729"/>
      <w:bookmarkStart w:id="97" w:name="_Toc183163258"/>
      <w:r w:rsidRPr="00E7062A">
        <w:rPr>
          <w:rFonts w:asciiTheme="minorHAnsi" w:hAnsiTheme="minorHAnsi" w:cstheme="minorHAnsi"/>
          <w:sz w:val="32"/>
          <w:szCs w:val="32"/>
        </w:rPr>
        <w:lastRenderedPageBreak/>
        <w:t>Section 4: Impact assessment</w:t>
      </w:r>
      <w:bookmarkEnd w:id="96"/>
      <w:bookmarkEnd w:id="97"/>
    </w:p>
    <w:p w14:paraId="35182B41" w14:textId="3FD9281B" w:rsidR="008F3FDD" w:rsidRPr="00A34F8A" w:rsidRDefault="009E1FC5" w:rsidP="008F3FDD">
      <w:pPr>
        <w:rPr>
          <w:rFonts w:asciiTheme="minorHAnsi" w:hAnsiTheme="minorHAnsi" w:cstheme="minorHAnsi"/>
          <w:szCs w:val="22"/>
        </w:rPr>
      </w:pPr>
      <w:r w:rsidRPr="00A34F8A">
        <w:rPr>
          <w:rFonts w:asciiTheme="minorHAnsi" w:hAnsiTheme="minorHAnsi" w:cstheme="minorHAnsi"/>
          <w:szCs w:val="22"/>
        </w:rPr>
        <w:t>This section summarises the results of the cost-benefit analysis which compares four different policy options to a baseline scenario of business as usual (BAU). The impacts have been assessed separately in the Australian and New Zealand contexts. A qualitative discussion of the policy options and implementation considerations is also included in this section.</w:t>
      </w:r>
    </w:p>
    <w:p w14:paraId="7834637F" w14:textId="269DF042" w:rsidR="009E1FC5" w:rsidRPr="00A34F8A" w:rsidRDefault="009E1FC5" w:rsidP="00E7062A">
      <w:pPr>
        <w:pStyle w:val="Heading2"/>
      </w:pPr>
      <w:bookmarkStart w:id="98" w:name="_Toc168660730"/>
      <w:bookmarkStart w:id="99" w:name="_Toc183163259"/>
      <w:r w:rsidRPr="00A34F8A">
        <w:t>4.1 Framework for analysis</w:t>
      </w:r>
      <w:bookmarkEnd w:id="98"/>
      <w:bookmarkEnd w:id="99"/>
    </w:p>
    <w:p w14:paraId="62B2B43D" w14:textId="77777777" w:rsidR="003640E6" w:rsidRPr="00A34F8A" w:rsidRDefault="003640E6" w:rsidP="003640E6">
      <w:pPr>
        <w:rPr>
          <w:rFonts w:asciiTheme="minorHAnsi" w:hAnsiTheme="minorHAnsi" w:cstheme="minorHAnsi"/>
          <w:szCs w:val="22"/>
          <w:lang w:eastAsia="en-GB"/>
        </w:rPr>
      </w:pPr>
      <w:r w:rsidRPr="00A34F8A">
        <w:rPr>
          <w:rFonts w:asciiTheme="minorHAnsi" w:hAnsiTheme="minorHAnsi" w:cstheme="minorHAnsi"/>
          <w:szCs w:val="22"/>
          <w:lang w:eastAsia="en-GB"/>
        </w:rPr>
        <w:t>A cost-benefit analysis has been performed to systematically evaluate the impacts of changes to the existing regulation on direct participants, the community, and the economy. These impacts were determined in monetary terms to understand the potential comparative gains or losses from each option, and to identify the option that maximises the net benefits to society.</w:t>
      </w:r>
    </w:p>
    <w:p w14:paraId="7CB9710E" w14:textId="77777777" w:rsidR="003640E6" w:rsidRPr="00A34F8A" w:rsidRDefault="003640E6" w:rsidP="003640E6">
      <w:pPr>
        <w:rPr>
          <w:rFonts w:asciiTheme="minorHAnsi" w:hAnsiTheme="minorHAnsi" w:cstheme="minorHAnsi"/>
          <w:szCs w:val="22"/>
          <w:lang w:eastAsia="en-GB"/>
        </w:rPr>
      </w:pPr>
      <w:r w:rsidRPr="00A34F8A">
        <w:rPr>
          <w:rFonts w:asciiTheme="minorHAnsi" w:hAnsiTheme="minorHAnsi" w:cstheme="minorHAnsi"/>
          <w:szCs w:val="22"/>
          <w:lang w:eastAsia="en-GB"/>
        </w:rPr>
        <w:t>A multi-step, bottom-up modelling process was used to estimate the net economic impact of each option, compared to the baseline scenario (continuing with the existing regulation). The model estimates the impact of regulation changes at a product level and scales this to market level to determine the net economic impacts.</w:t>
      </w:r>
    </w:p>
    <w:p w14:paraId="713331AD" w14:textId="38E06D05" w:rsidR="003640E6" w:rsidRPr="00A34F8A" w:rsidRDefault="003640E6" w:rsidP="003640E6">
      <w:pPr>
        <w:rPr>
          <w:rFonts w:asciiTheme="minorHAnsi" w:hAnsiTheme="minorHAnsi" w:cstheme="minorHAnsi"/>
          <w:szCs w:val="22"/>
          <w:lang w:eastAsia="en-GB"/>
        </w:rPr>
      </w:pPr>
      <w:r w:rsidRPr="00A34F8A">
        <w:rPr>
          <w:rFonts w:asciiTheme="minorHAnsi" w:hAnsiTheme="minorHAnsi" w:cstheme="minorHAnsi"/>
          <w:szCs w:val="22"/>
          <w:lang w:eastAsia="en-GB"/>
        </w:rPr>
        <w:t xml:space="preserve">The cost-benefit model includes four main components (illustrated in </w:t>
      </w:r>
      <w:r w:rsidRPr="00A34F8A">
        <w:rPr>
          <w:rFonts w:asciiTheme="minorHAnsi" w:hAnsiTheme="minorHAnsi" w:cstheme="minorHAnsi"/>
          <w:szCs w:val="22"/>
          <w:lang w:eastAsia="en-GB"/>
        </w:rPr>
        <w:fldChar w:fldCharType="begin" w:fldLock="1"/>
      </w:r>
      <w:r w:rsidRPr="00A34F8A">
        <w:rPr>
          <w:rFonts w:asciiTheme="minorHAnsi" w:hAnsiTheme="minorHAnsi" w:cstheme="minorHAnsi"/>
          <w:szCs w:val="22"/>
          <w:lang w:eastAsia="en-GB"/>
        </w:rPr>
        <w:instrText xml:space="preserve"> REF _Ref131166343 \h </w:instrText>
      </w:r>
      <w:r w:rsidR="00A34F8A" w:rsidRPr="00A34F8A">
        <w:rPr>
          <w:rFonts w:asciiTheme="minorHAnsi" w:hAnsiTheme="minorHAnsi" w:cstheme="minorHAnsi"/>
          <w:szCs w:val="22"/>
          <w:lang w:eastAsia="en-GB"/>
        </w:rPr>
        <w:instrText xml:space="preserve"> \* MERGEFORMAT </w:instrText>
      </w:r>
      <w:r w:rsidRPr="00A34F8A">
        <w:rPr>
          <w:rFonts w:asciiTheme="minorHAnsi" w:hAnsiTheme="minorHAnsi" w:cstheme="minorHAnsi"/>
          <w:szCs w:val="22"/>
          <w:lang w:eastAsia="en-GB"/>
        </w:rPr>
      </w:r>
      <w:r w:rsidRPr="00A34F8A">
        <w:rPr>
          <w:rFonts w:asciiTheme="minorHAnsi" w:hAnsiTheme="minorHAnsi" w:cstheme="minorHAnsi"/>
          <w:szCs w:val="22"/>
          <w:lang w:eastAsia="en-GB"/>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6</w:t>
      </w:r>
      <w:r w:rsidRPr="00A34F8A">
        <w:rPr>
          <w:rFonts w:asciiTheme="minorHAnsi" w:hAnsiTheme="minorHAnsi" w:cstheme="minorHAnsi"/>
          <w:szCs w:val="22"/>
          <w:lang w:eastAsia="en-GB"/>
        </w:rPr>
        <w:fldChar w:fldCharType="end"/>
      </w:r>
      <w:r w:rsidRPr="00A34F8A">
        <w:rPr>
          <w:rFonts w:asciiTheme="minorHAnsi" w:hAnsiTheme="minorHAnsi" w:cstheme="minorHAnsi"/>
          <w:szCs w:val="22"/>
          <w:lang w:eastAsia="en-GB"/>
        </w:rPr>
        <w:t>):</w:t>
      </w:r>
    </w:p>
    <w:p w14:paraId="5405A2F9" w14:textId="77777777" w:rsidR="003640E6" w:rsidRPr="00A34F8A" w:rsidRDefault="003640E6" w:rsidP="003640E6">
      <w:pPr>
        <w:pStyle w:val="Bullet-Level1"/>
        <w:rPr>
          <w:rFonts w:asciiTheme="minorHAnsi" w:hAnsiTheme="minorHAnsi" w:cstheme="minorHAnsi"/>
          <w:sz w:val="22"/>
          <w:szCs w:val="22"/>
        </w:rPr>
      </w:pPr>
      <w:r w:rsidRPr="006D0789">
        <w:rPr>
          <w:rStyle w:val="BlueBold"/>
          <w:rFonts w:asciiTheme="minorHAnsi" w:hAnsiTheme="minorHAnsi" w:cstheme="minorHAnsi"/>
          <w:color w:val="auto"/>
          <w:sz w:val="22"/>
          <w:szCs w:val="22"/>
        </w:rPr>
        <w:t>Scenario inputs:</w:t>
      </w:r>
      <w:r w:rsidRPr="006D0789">
        <w:rPr>
          <w:rFonts w:asciiTheme="minorHAnsi" w:hAnsiTheme="minorHAnsi" w:cstheme="minorHAnsi"/>
          <w:color w:val="auto"/>
          <w:sz w:val="22"/>
          <w:szCs w:val="22"/>
        </w:rPr>
        <w:t xml:space="preserve"> </w:t>
      </w:r>
      <w:r w:rsidRPr="00A34F8A">
        <w:rPr>
          <w:rFonts w:asciiTheme="minorHAnsi" w:hAnsiTheme="minorHAnsi" w:cstheme="minorHAnsi"/>
          <w:color w:val="auto"/>
          <w:sz w:val="22"/>
          <w:szCs w:val="22"/>
        </w:rPr>
        <w:t xml:space="preserve">The key variables that determine the scale, scope, and compliance methodology of the regulation for each modelled scenario. These settings informed each of the other model components. </w:t>
      </w:r>
    </w:p>
    <w:p w14:paraId="7749FE4C" w14:textId="77777777" w:rsidR="003640E6" w:rsidRPr="00A34F8A" w:rsidRDefault="003640E6" w:rsidP="003640E6">
      <w:pPr>
        <w:pStyle w:val="Bullet-Level1"/>
        <w:rPr>
          <w:rFonts w:asciiTheme="minorHAnsi" w:hAnsiTheme="minorHAnsi" w:cstheme="minorHAnsi"/>
          <w:color w:val="auto"/>
          <w:sz w:val="22"/>
          <w:szCs w:val="22"/>
        </w:rPr>
      </w:pPr>
      <w:r w:rsidRPr="006D0789">
        <w:rPr>
          <w:rStyle w:val="BlueBold"/>
          <w:rFonts w:asciiTheme="minorHAnsi" w:hAnsiTheme="minorHAnsi" w:cstheme="minorHAnsi"/>
          <w:color w:val="auto"/>
          <w:sz w:val="22"/>
          <w:szCs w:val="22"/>
        </w:rPr>
        <w:t>Product costs and energy savings:</w:t>
      </w:r>
      <w:r w:rsidRPr="006D0789">
        <w:rPr>
          <w:rFonts w:asciiTheme="minorHAnsi" w:hAnsiTheme="minorHAnsi" w:cstheme="minorHAnsi"/>
          <w:color w:val="auto"/>
          <w:sz w:val="22"/>
          <w:szCs w:val="22"/>
        </w:rPr>
        <w:t xml:space="preserve"> </w:t>
      </w:r>
      <w:r w:rsidRPr="00A34F8A">
        <w:rPr>
          <w:rFonts w:asciiTheme="minorHAnsi" w:hAnsiTheme="minorHAnsi" w:cstheme="minorHAnsi"/>
          <w:color w:val="auto"/>
          <w:sz w:val="22"/>
          <w:szCs w:val="22"/>
        </w:rPr>
        <w:t>current and projected costs for each product to comply with the MEPS, the theoretical energy consumption changes stimulated by the MEPS, and the likely use and energy demand profile for</w:t>
      </w:r>
      <w:r w:rsidRPr="00A34F8A">
        <w:rPr>
          <w:rFonts w:asciiTheme="minorHAnsi" w:hAnsiTheme="minorHAnsi" w:cstheme="minorHAnsi"/>
          <w:sz w:val="22"/>
          <w:szCs w:val="22"/>
        </w:rPr>
        <w:t xml:space="preserve"> </w:t>
      </w:r>
      <w:r w:rsidRPr="00A34F8A">
        <w:rPr>
          <w:rFonts w:asciiTheme="minorHAnsi" w:hAnsiTheme="minorHAnsi" w:cstheme="minorHAnsi"/>
          <w:color w:val="auto"/>
          <w:sz w:val="22"/>
          <w:szCs w:val="22"/>
        </w:rPr>
        <w:t>the product to determine annual energy savings and the time that these savings occur.</w:t>
      </w:r>
    </w:p>
    <w:p w14:paraId="6CADB3A0" w14:textId="77777777" w:rsidR="003640E6" w:rsidRPr="00A34F8A" w:rsidRDefault="003640E6" w:rsidP="003640E6">
      <w:pPr>
        <w:pStyle w:val="Bullet-Level1"/>
        <w:rPr>
          <w:rFonts w:asciiTheme="minorHAnsi" w:hAnsiTheme="minorHAnsi" w:cstheme="minorHAnsi"/>
          <w:color w:val="auto"/>
          <w:sz w:val="22"/>
          <w:szCs w:val="22"/>
        </w:rPr>
      </w:pPr>
      <w:r w:rsidRPr="006D0789">
        <w:rPr>
          <w:rStyle w:val="BlueBold"/>
          <w:rFonts w:asciiTheme="minorHAnsi" w:hAnsiTheme="minorHAnsi" w:cstheme="minorHAnsi"/>
          <w:color w:val="auto"/>
          <w:sz w:val="22"/>
          <w:szCs w:val="22"/>
        </w:rPr>
        <w:t>Market adoption:</w:t>
      </w:r>
      <w:r w:rsidRPr="006D0789">
        <w:rPr>
          <w:rFonts w:asciiTheme="minorHAnsi" w:hAnsiTheme="minorHAnsi" w:cstheme="minorHAnsi"/>
          <w:color w:val="auto"/>
          <w:sz w:val="22"/>
          <w:szCs w:val="22"/>
        </w:rPr>
        <w:t xml:space="preserve"> </w:t>
      </w:r>
      <w:r w:rsidRPr="00A34F8A">
        <w:rPr>
          <w:rFonts w:asciiTheme="minorHAnsi" w:hAnsiTheme="minorHAnsi" w:cstheme="minorHAnsi"/>
          <w:color w:val="auto"/>
          <w:sz w:val="22"/>
          <w:szCs w:val="22"/>
        </w:rPr>
        <w:t>The historic and current market size for each product, projected product uptake rates, and projected changes in product and electricity costs over the modelling period.</w:t>
      </w:r>
    </w:p>
    <w:p w14:paraId="5ED0F171" w14:textId="77777777" w:rsidR="003640E6" w:rsidRPr="00A34F8A" w:rsidRDefault="003640E6" w:rsidP="003640E6">
      <w:pPr>
        <w:pStyle w:val="Bullet-Level1"/>
        <w:rPr>
          <w:rFonts w:asciiTheme="minorHAnsi" w:hAnsiTheme="minorHAnsi" w:cstheme="minorHAnsi"/>
          <w:sz w:val="22"/>
          <w:szCs w:val="22"/>
        </w:rPr>
      </w:pPr>
      <w:r w:rsidRPr="006D0789">
        <w:rPr>
          <w:rStyle w:val="BlueBold"/>
          <w:rFonts w:asciiTheme="minorHAnsi" w:hAnsiTheme="minorHAnsi" w:cstheme="minorHAnsi"/>
          <w:color w:val="auto"/>
          <w:sz w:val="22"/>
          <w:szCs w:val="22"/>
        </w:rPr>
        <w:t>Total impact:</w:t>
      </w:r>
      <w:r w:rsidRPr="006D0789">
        <w:rPr>
          <w:rFonts w:asciiTheme="minorHAnsi" w:hAnsiTheme="minorHAnsi" w:cstheme="minorHAnsi"/>
          <w:color w:val="auto"/>
          <w:sz w:val="22"/>
          <w:szCs w:val="22"/>
        </w:rPr>
        <w:t xml:space="preserve"> </w:t>
      </w:r>
      <w:r w:rsidRPr="00A34F8A">
        <w:rPr>
          <w:rFonts w:asciiTheme="minorHAnsi" w:hAnsiTheme="minorHAnsi" w:cstheme="minorHAnsi"/>
          <w:color w:val="auto"/>
          <w:sz w:val="22"/>
          <w:szCs w:val="22"/>
        </w:rPr>
        <w:t>The aggregate costs and benefits of the regulation to participants (both industry and households), government (administration and enforcement costs) and society as a whole (external benefits such as emissions, health, and avoided electricity network costs shared by all customers). The total impacts have been individually determined for Australia and New Zealand.</w:t>
      </w:r>
    </w:p>
    <w:p w14:paraId="10CB60AF" w14:textId="77777777" w:rsidR="003640E6" w:rsidRPr="00A34F8A" w:rsidRDefault="003640E6" w:rsidP="003640E6">
      <w:pPr>
        <w:rPr>
          <w:rFonts w:asciiTheme="minorHAnsi" w:hAnsiTheme="minorHAnsi" w:cstheme="minorHAnsi"/>
          <w:szCs w:val="22"/>
        </w:rPr>
      </w:pPr>
    </w:p>
    <w:p w14:paraId="6548CAE0" w14:textId="77777777" w:rsidR="003640E6" w:rsidRPr="00A34F8A" w:rsidRDefault="003640E6" w:rsidP="003640E6">
      <w:pPr>
        <w:rPr>
          <w:rFonts w:asciiTheme="minorHAnsi" w:hAnsiTheme="minorHAnsi" w:cstheme="minorHAnsi"/>
          <w:szCs w:val="22"/>
        </w:rPr>
      </w:pPr>
      <w:r w:rsidRPr="00A34F8A">
        <w:rPr>
          <w:rFonts w:asciiTheme="minorHAnsi" w:hAnsiTheme="minorHAnsi" w:cstheme="minorHAnsi"/>
          <w:noProof/>
          <w:szCs w:val="22"/>
        </w:rPr>
        <w:lastRenderedPageBreak/>
        <w:drawing>
          <wp:inline distT="0" distB="0" distL="0" distR="0" wp14:anchorId="6EDD4EF9" wp14:editId="39732465">
            <wp:extent cx="5371465" cy="3742055"/>
            <wp:effectExtent l="0" t="0" r="635" b="4445"/>
            <wp:docPr id="1" name="Picture 1" descr="Chart setting out the scenario inputs to the model used to estimate the costs and benefits of each scenario considered in this regulation impact statement.  The inputs include product level costs and savings, such as manufacturing and distribution costs, electricity savings and compliance costs.  The model also considers the market size for each product and the change in that market due to changes in energy and produ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etting out the scenario inputs to the model used to estimate the costs and benefits of each scenario considered in this regulation impact statement.  The inputs include product level costs and savings, such as manufacturing and distribution costs, electricity savings and compliance costs.  The model also considers the market size for each product and the change in that market due to changes in energy and product costs."/>
                    <pic:cNvPicPr/>
                  </pic:nvPicPr>
                  <pic:blipFill>
                    <a:blip r:embed="rId25"/>
                    <a:stretch>
                      <a:fillRect/>
                    </a:stretch>
                  </pic:blipFill>
                  <pic:spPr>
                    <a:xfrm>
                      <a:off x="0" y="0"/>
                      <a:ext cx="5371465" cy="3742055"/>
                    </a:xfrm>
                    <a:prstGeom prst="rect">
                      <a:avLst/>
                    </a:prstGeom>
                  </pic:spPr>
                </pic:pic>
              </a:graphicData>
            </a:graphic>
          </wp:inline>
        </w:drawing>
      </w:r>
    </w:p>
    <w:p w14:paraId="349BE125" w14:textId="66CB77C4" w:rsidR="003640E6" w:rsidRPr="00A34F8A" w:rsidRDefault="003640E6" w:rsidP="003640E6">
      <w:pPr>
        <w:pStyle w:val="Caption"/>
        <w:rPr>
          <w:rFonts w:asciiTheme="minorHAnsi" w:hAnsiTheme="minorHAnsi" w:cstheme="minorHAnsi"/>
          <w:sz w:val="22"/>
          <w:szCs w:val="22"/>
          <w:lang w:eastAsia="en-GB"/>
        </w:rPr>
      </w:pPr>
      <w:bookmarkStart w:id="100" w:name="_Ref131166343"/>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Figure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6</w:t>
      </w:r>
      <w:r w:rsidRPr="00A34F8A">
        <w:rPr>
          <w:rFonts w:asciiTheme="minorHAnsi" w:hAnsiTheme="minorHAnsi" w:cstheme="minorHAnsi"/>
          <w:sz w:val="22"/>
          <w:szCs w:val="22"/>
        </w:rPr>
        <w:fldChar w:fldCharType="end"/>
      </w:r>
      <w:bookmarkEnd w:id="100"/>
      <w:r w:rsidRPr="00A34F8A">
        <w:rPr>
          <w:rFonts w:asciiTheme="minorHAnsi" w:hAnsiTheme="minorHAnsi" w:cstheme="minorHAnsi"/>
          <w:sz w:val="22"/>
          <w:szCs w:val="22"/>
        </w:rPr>
        <w:t>: CBA model components</w:t>
      </w:r>
    </w:p>
    <w:p w14:paraId="5B192640" w14:textId="77777777" w:rsidR="003640E6" w:rsidRPr="00A34F8A" w:rsidRDefault="003640E6" w:rsidP="003640E6">
      <w:pPr>
        <w:rPr>
          <w:rFonts w:asciiTheme="minorHAnsi" w:hAnsiTheme="minorHAnsi" w:cstheme="minorHAnsi"/>
          <w:szCs w:val="22"/>
        </w:rPr>
      </w:pPr>
    </w:p>
    <w:p w14:paraId="1F3D1B85" w14:textId="75DB3EEF" w:rsidR="003640E6" w:rsidRPr="00E7062A" w:rsidRDefault="003640E6" w:rsidP="00E7062A">
      <w:pPr>
        <w:pStyle w:val="Heading3"/>
      </w:pPr>
      <w:bookmarkStart w:id="101" w:name="_Toc168660650"/>
      <w:bookmarkStart w:id="102" w:name="_Toc183163260"/>
      <w:r w:rsidRPr="00E7062A">
        <w:t>Cost-benefit analysis input and assumptions</w:t>
      </w:r>
      <w:bookmarkEnd w:id="101"/>
      <w:bookmarkEnd w:id="102"/>
    </w:p>
    <w:p w14:paraId="2AB1C8DE" w14:textId="77777777" w:rsidR="00D63003" w:rsidRPr="00A34F8A" w:rsidRDefault="00D63003" w:rsidP="00D63003">
      <w:pPr>
        <w:rPr>
          <w:rFonts w:asciiTheme="minorHAnsi" w:hAnsiTheme="minorHAnsi" w:cstheme="minorHAnsi"/>
          <w:szCs w:val="22"/>
        </w:rPr>
      </w:pPr>
      <w:r w:rsidRPr="00A34F8A">
        <w:rPr>
          <w:rFonts w:asciiTheme="minorHAnsi" w:hAnsiTheme="minorHAnsi" w:cstheme="minorHAnsi"/>
          <w:szCs w:val="22"/>
          <w:highlight w:val="yellow"/>
        </w:rPr>
        <w:fldChar w:fldCharType="begin" w:fldLock="1"/>
      </w:r>
      <w:r w:rsidRPr="00A34F8A">
        <w:rPr>
          <w:rFonts w:asciiTheme="minorHAnsi" w:hAnsiTheme="minorHAnsi" w:cstheme="minorHAnsi"/>
          <w:szCs w:val="22"/>
        </w:rPr>
        <w:instrText xml:space="preserve"> REF _Ref131168681 \h </w:instrText>
      </w:r>
      <w:r w:rsidRPr="00A34F8A">
        <w:rPr>
          <w:rFonts w:asciiTheme="minorHAnsi" w:hAnsiTheme="minorHAnsi" w:cstheme="minorHAnsi"/>
          <w:szCs w:val="22"/>
          <w:highlight w:val="yellow"/>
        </w:rPr>
        <w:instrText xml:space="preserve"> \* MERGEFORMAT </w:instrText>
      </w:r>
      <w:r w:rsidRPr="00A34F8A">
        <w:rPr>
          <w:rFonts w:asciiTheme="minorHAnsi" w:hAnsiTheme="minorHAnsi" w:cstheme="minorHAnsi"/>
          <w:szCs w:val="22"/>
          <w:highlight w:val="yellow"/>
        </w:rPr>
      </w:r>
      <w:r w:rsidRPr="00A34F8A">
        <w:rPr>
          <w:rFonts w:asciiTheme="minorHAnsi" w:hAnsiTheme="minorHAnsi" w:cstheme="minorHAnsi"/>
          <w:szCs w:val="22"/>
          <w:highlight w:val="yellow"/>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11</w:t>
      </w:r>
      <w:r w:rsidRPr="00A34F8A">
        <w:rPr>
          <w:rFonts w:asciiTheme="minorHAnsi" w:hAnsiTheme="minorHAnsi" w:cstheme="minorHAnsi"/>
          <w:szCs w:val="22"/>
          <w:highlight w:val="yellow"/>
        </w:rPr>
        <w:fldChar w:fldCharType="end"/>
      </w:r>
      <w:r w:rsidRPr="00A34F8A">
        <w:rPr>
          <w:rFonts w:asciiTheme="minorHAnsi" w:hAnsiTheme="minorHAnsi" w:cstheme="minorHAnsi"/>
          <w:szCs w:val="22"/>
        </w:rPr>
        <w:t xml:space="preserve"> below outlines the main costs and benefits considered in the analysis. New Zealand takes a societal level approach to its cost-benefit analyses. A detailed explanation of inputs, assumptions and modelling methodology is provided in Appendix One.</w:t>
      </w:r>
    </w:p>
    <w:p w14:paraId="6856021B" w14:textId="77777777" w:rsidR="00362410" w:rsidRPr="00A34F8A" w:rsidRDefault="00362410" w:rsidP="00362410">
      <w:pPr>
        <w:pStyle w:val="BlueLineTop"/>
        <w:rPr>
          <w:rFonts w:asciiTheme="minorHAnsi" w:hAnsiTheme="minorHAnsi" w:cstheme="minorHAnsi"/>
          <w:sz w:val="22"/>
          <w:szCs w:val="22"/>
        </w:rPr>
      </w:pPr>
      <w:bookmarkStart w:id="103" w:name="_Ref131168681"/>
    </w:p>
    <w:p w14:paraId="4D092F54" w14:textId="056C46A0" w:rsidR="00D63003" w:rsidRPr="00362410" w:rsidRDefault="00D63003" w:rsidP="00362410">
      <w:pPr>
        <w:spacing w:after="0" w:line="240" w:lineRule="auto"/>
        <w:rPr>
          <w:rFonts w:asciiTheme="minorHAnsi" w:hAnsiTheme="minorHAnsi" w:cstheme="minorHAnsi"/>
          <w:i/>
          <w:iCs/>
          <w:szCs w:val="22"/>
        </w:rPr>
      </w:pPr>
      <w:r w:rsidRPr="00362410">
        <w:rPr>
          <w:rFonts w:asciiTheme="minorHAnsi" w:hAnsiTheme="minorHAnsi" w:cstheme="minorHAnsi"/>
          <w:i/>
          <w:iCs/>
          <w:szCs w:val="22"/>
        </w:rPr>
        <w:t xml:space="preserve">Table </w:t>
      </w:r>
      <w:r w:rsidRPr="00362410">
        <w:rPr>
          <w:rFonts w:asciiTheme="minorHAnsi" w:hAnsiTheme="minorHAnsi" w:cstheme="minorHAnsi"/>
          <w:i/>
          <w:iCs/>
          <w:szCs w:val="22"/>
        </w:rPr>
        <w:fldChar w:fldCharType="begin"/>
      </w:r>
      <w:r w:rsidRPr="00362410">
        <w:rPr>
          <w:rFonts w:asciiTheme="minorHAnsi" w:hAnsiTheme="minorHAnsi" w:cstheme="minorHAnsi"/>
          <w:i/>
          <w:iCs/>
          <w:szCs w:val="22"/>
        </w:rPr>
        <w:instrText>SEQ Table \* ARABIC</w:instrText>
      </w:r>
      <w:r w:rsidRPr="00362410">
        <w:rPr>
          <w:rFonts w:asciiTheme="minorHAnsi" w:hAnsiTheme="minorHAnsi" w:cstheme="minorHAnsi"/>
          <w:i/>
          <w:iCs/>
          <w:szCs w:val="22"/>
        </w:rPr>
        <w:fldChar w:fldCharType="separate"/>
      </w:r>
      <w:r w:rsidR="00C6363F">
        <w:rPr>
          <w:rFonts w:asciiTheme="minorHAnsi" w:hAnsiTheme="minorHAnsi" w:cstheme="minorHAnsi"/>
          <w:i/>
          <w:iCs/>
          <w:noProof/>
          <w:szCs w:val="22"/>
        </w:rPr>
        <w:t>11</w:t>
      </w:r>
      <w:r w:rsidRPr="00362410">
        <w:rPr>
          <w:rFonts w:asciiTheme="minorHAnsi" w:hAnsiTheme="minorHAnsi" w:cstheme="minorHAnsi"/>
          <w:i/>
          <w:iCs/>
          <w:szCs w:val="22"/>
        </w:rPr>
        <w:fldChar w:fldCharType="end"/>
      </w:r>
      <w:bookmarkEnd w:id="103"/>
      <w:r w:rsidRPr="00362410">
        <w:rPr>
          <w:rFonts w:asciiTheme="minorHAnsi" w:hAnsiTheme="minorHAnsi" w:cstheme="minorHAnsi"/>
          <w:i/>
          <w:iCs/>
          <w:szCs w:val="22"/>
        </w:rPr>
        <w:t>: Considered costs and benefits (public, private and societal for Australia and New Zealand)</w:t>
      </w:r>
    </w:p>
    <w:tbl>
      <w:tblPr>
        <w:tblStyle w:val="ComCap4-nested"/>
        <w:tblW w:w="9072" w:type="dxa"/>
        <w:tblInd w:w="-567" w:type="dxa"/>
        <w:tblBorders>
          <w:insideV w:val="single" w:sz="4" w:space="0" w:color="auto"/>
        </w:tblBorders>
        <w:tblLook w:val="04A0" w:firstRow="1" w:lastRow="0" w:firstColumn="1" w:lastColumn="0" w:noHBand="0" w:noVBand="1"/>
      </w:tblPr>
      <w:tblGrid>
        <w:gridCol w:w="993"/>
        <w:gridCol w:w="4536"/>
        <w:gridCol w:w="3543"/>
      </w:tblGrid>
      <w:tr w:rsidR="00936B91" w:rsidRPr="00A34F8A" w14:paraId="07FB15AC" w14:textId="77777777" w:rsidTr="0045530A">
        <w:trPr>
          <w:cnfStyle w:val="100000000000" w:firstRow="1" w:lastRow="0" w:firstColumn="0" w:lastColumn="0" w:oddVBand="0" w:evenVBand="0" w:oddHBand="0" w:evenHBand="0" w:firstRowFirstColumn="0" w:firstRowLastColumn="0" w:lastRowFirstColumn="0" w:lastRowLastColumn="0"/>
          <w:tblHeader/>
        </w:trPr>
        <w:tc>
          <w:tcPr>
            <w:tcW w:w="993" w:type="dxa"/>
            <w:tcBorders>
              <w:right w:val="single" w:sz="4" w:space="0" w:color="C4BC96" w:themeColor="background2" w:themeShade="BF"/>
            </w:tcBorders>
            <w:tcMar>
              <w:top w:w="57" w:type="dxa"/>
              <w:left w:w="57" w:type="dxa"/>
              <w:bottom w:w="57" w:type="dxa"/>
              <w:right w:w="57" w:type="dxa"/>
            </w:tcMar>
          </w:tcPr>
          <w:p w14:paraId="74699230" w14:textId="77777777" w:rsidR="00D63003" w:rsidRPr="00A34F8A" w:rsidRDefault="00D63003"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Type</w:t>
            </w:r>
          </w:p>
        </w:tc>
        <w:tc>
          <w:tcPr>
            <w:tcW w:w="4536" w:type="dxa"/>
            <w:tcBorders>
              <w:left w:val="single" w:sz="4" w:space="0" w:color="C4BC96" w:themeColor="background2" w:themeShade="BF"/>
            </w:tcBorders>
            <w:tcMar>
              <w:top w:w="57" w:type="dxa"/>
              <w:left w:w="57" w:type="dxa"/>
              <w:bottom w:w="57" w:type="dxa"/>
              <w:right w:w="57" w:type="dxa"/>
            </w:tcMar>
          </w:tcPr>
          <w:p w14:paraId="111A3D97" w14:textId="77777777" w:rsidR="00D63003" w:rsidRPr="00A34F8A" w:rsidRDefault="00D63003"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Costs</w:t>
            </w:r>
          </w:p>
        </w:tc>
        <w:tc>
          <w:tcPr>
            <w:tcW w:w="3543" w:type="dxa"/>
            <w:tcBorders>
              <w:left w:val="single" w:sz="4" w:space="0" w:color="C4BC96" w:themeColor="background2" w:themeShade="BF"/>
            </w:tcBorders>
            <w:tcMar>
              <w:top w:w="57" w:type="dxa"/>
              <w:left w:w="57" w:type="dxa"/>
              <w:bottom w:w="57" w:type="dxa"/>
              <w:right w:w="57" w:type="dxa"/>
            </w:tcMar>
          </w:tcPr>
          <w:p w14:paraId="36B990F7" w14:textId="77777777" w:rsidR="00D63003" w:rsidRPr="00A34F8A" w:rsidRDefault="00D63003" w:rsidP="005D3977">
            <w:pPr>
              <w:pStyle w:val="Table1-Columnheading"/>
              <w:rPr>
                <w:rFonts w:asciiTheme="minorHAnsi" w:hAnsiTheme="minorHAnsi" w:cstheme="minorHAnsi"/>
                <w:sz w:val="22"/>
                <w:szCs w:val="22"/>
              </w:rPr>
            </w:pPr>
            <w:r w:rsidRPr="00A34F8A">
              <w:rPr>
                <w:rFonts w:asciiTheme="minorHAnsi" w:hAnsiTheme="minorHAnsi" w:cstheme="minorHAnsi"/>
                <w:sz w:val="22"/>
                <w:szCs w:val="22"/>
              </w:rPr>
              <w:t>Benefits</w:t>
            </w:r>
          </w:p>
        </w:tc>
      </w:tr>
      <w:tr w:rsidR="00936B91" w:rsidRPr="00A34F8A" w14:paraId="1CA61420" w14:textId="77777777" w:rsidTr="0045530A">
        <w:tc>
          <w:tcPr>
            <w:tcW w:w="993" w:type="dxa"/>
            <w:tcBorders>
              <w:right w:val="single" w:sz="4" w:space="0" w:color="C4BC96" w:themeColor="background2" w:themeShade="BF"/>
            </w:tcBorders>
            <w:tcMar>
              <w:top w:w="57" w:type="dxa"/>
              <w:left w:w="57" w:type="dxa"/>
              <w:bottom w:w="57" w:type="dxa"/>
              <w:right w:w="57" w:type="dxa"/>
            </w:tcMar>
          </w:tcPr>
          <w:p w14:paraId="467B14F7" w14:textId="77777777" w:rsidR="00D63003" w:rsidRPr="00A34F8A" w:rsidRDefault="00D63003"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t>Public (AUS)</w:t>
            </w:r>
          </w:p>
        </w:tc>
        <w:tc>
          <w:tcPr>
            <w:tcW w:w="4536" w:type="dxa"/>
            <w:tcBorders>
              <w:left w:val="single" w:sz="4" w:space="0" w:color="C4BC96" w:themeColor="background2" w:themeShade="BF"/>
              <w:right w:val="single" w:sz="4" w:space="0" w:color="AEAAAA"/>
            </w:tcBorders>
            <w:tcMar>
              <w:top w:w="57" w:type="dxa"/>
              <w:left w:w="57" w:type="dxa"/>
              <w:bottom w:w="57" w:type="dxa"/>
              <w:right w:w="57" w:type="dxa"/>
            </w:tcMar>
          </w:tcPr>
          <w:p w14:paraId="7AE02B62"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Administrative and enforcement costs</w:t>
            </w:r>
          </w:p>
        </w:tc>
        <w:tc>
          <w:tcPr>
            <w:tcW w:w="3543" w:type="dxa"/>
            <w:tcBorders>
              <w:left w:val="single" w:sz="4" w:space="0" w:color="AEAAAA"/>
            </w:tcBorders>
            <w:tcMar>
              <w:top w:w="57" w:type="dxa"/>
              <w:left w:w="57" w:type="dxa"/>
              <w:bottom w:w="57" w:type="dxa"/>
              <w:right w:w="57" w:type="dxa"/>
            </w:tcMar>
          </w:tcPr>
          <w:p w14:paraId="04ED3EC6"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Reduced greenhouse gas emissions</w:t>
            </w:r>
          </w:p>
          <w:p w14:paraId="1C8DE243"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Improved air quality</w:t>
            </w:r>
          </w:p>
          <w:p w14:paraId="0A2DDDE3"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Avoided energy network costs</w:t>
            </w:r>
          </w:p>
        </w:tc>
      </w:tr>
      <w:tr w:rsidR="00936B91" w:rsidRPr="00A34F8A" w14:paraId="06CCB83F" w14:textId="77777777" w:rsidTr="0045530A">
        <w:tc>
          <w:tcPr>
            <w:tcW w:w="993" w:type="dxa"/>
            <w:tcBorders>
              <w:right w:val="single" w:sz="4" w:space="0" w:color="C4BC96" w:themeColor="background2" w:themeShade="BF"/>
            </w:tcBorders>
            <w:tcMar>
              <w:top w:w="57" w:type="dxa"/>
              <w:left w:w="57" w:type="dxa"/>
              <w:bottom w:w="57" w:type="dxa"/>
              <w:right w:w="57" w:type="dxa"/>
            </w:tcMar>
          </w:tcPr>
          <w:p w14:paraId="2A5ECE1E" w14:textId="77777777" w:rsidR="00D63003" w:rsidRPr="00A34F8A" w:rsidRDefault="00D63003"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t>Private (AUS)</w:t>
            </w:r>
          </w:p>
        </w:tc>
        <w:tc>
          <w:tcPr>
            <w:tcW w:w="4536" w:type="dxa"/>
            <w:tcBorders>
              <w:left w:val="single" w:sz="4" w:space="0" w:color="C4BC96" w:themeColor="background2" w:themeShade="BF"/>
              <w:right w:val="single" w:sz="4" w:space="0" w:color="AEAAAA"/>
            </w:tcBorders>
            <w:tcMar>
              <w:top w:w="57" w:type="dxa"/>
              <w:left w:w="57" w:type="dxa"/>
              <w:bottom w:w="57" w:type="dxa"/>
              <w:right w:w="57" w:type="dxa"/>
            </w:tcMar>
          </w:tcPr>
          <w:p w14:paraId="12161B1C"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Compliance cost for industry (certification, manufacturing and distribution)</w:t>
            </w:r>
          </w:p>
          <w:p w14:paraId="751ABC36"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Incremental product mark-up cost (increased efficiency)</w:t>
            </w:r>
          </w:p>
        </w:tc>
        <w:tc>
          <w:tcPr>
            <w:tcW w:w="3543" w:type="dxa"/>
            <w:tcBorders>
              <w:left w:val="single" w:sz="4" w:space="0" w:color="AEAAAA"/>
            </w:tcBorders>
            <w:tcMar>
              <w:top w:w="57" w:type="dxa"/>
              <w:left w:w="57" w:type="dxa"/>
              <w:bottom w:w="57" w:type="dxa"/>
              <w:right w:w="57" w:type="dxa"/>
            </w:tcMar>
          </w:tcPr>
          <w:p w14:paraId="1DB368EB"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Energy bill savings (residential and commercial)</w:t>
            </w:r>
          </w:p>
        </w:tc>
      </w:tr>
      <w:tr w:rsidR="008C2618" w:rsidRPr="00A34F8A" w14:paraId="74E86FD0" w14:textId="77777777" w:rsidTr="0045530A">
        <w:tc>
          <w:tcPr>
            <w:tcW w:w="993" w:type="dxa"/>
            <w:tcBorders>
              <w:right w:val="single" w:sz="4" w:space="0" w:color="C4BC96" w:themeColor="background2" w:themeShade="BF"/>
            </w:tcBorders>
            <w:tcMar>
              <w:top w:w="57" w:type="dxa"/>
              <w:left w:w="57" w:type="dxa"/>
              <w:bottom w:w="57" w:type="dxa"/>
              <w:right w:w="57" w:type="dxa"/>
            </w:tcMar>
          </w:tcPr>
          <w:p w14:paraId="76C4F730" w14:textId="77777777" w:rsidR="00D63003" w:rsidRPr="00A34F8A" w:rsidRDefault="00D63003" w:rsidP="005D3977">
            <w:pPr>
              <w:pStyle w:val="Table2-Rowheading"/>
              <w:rPr>
                <w:rFonts w:asciiTheme="minorHAnsi" w:hAnsiTheme="minorHAnsi" w:cstheme="minorHAnsi"/>
                <w:sz w:val="22"/>
                <w:szCs w:val="22"/>
              </w:rPr>
            </w:pPr>
            <w:r w:rsidRPr="00A34F8A">
              <w:rPr>
                <w:rFonts w:asciiTheme="minorHAnsi" w:hAnsiTheme="minorHAnsi" w:cstheme="minorHAnsi"/>
                <w:sz w:val="22"/>
                <w:szCs w:val="22"/>
              </w:rPr>
              <w:lastRenderedPageBreak/>
              <w:t>Societal (NZ)</w:t>
            </w:r>
          </w:p>
        </w:tc>
        <w:tc>
          <w:tcPr>
            <w:tcW w:w="4536" w:type="dxa"/>
            <w:tcBorders>
              <w:left w:val="single" w:sz="4" w:space="0" w:color="C4BC96" w:themeColor="background2" w:themeShade="BF"/>
              <w:right w:val="single" w:sz="4" w:space="0" w:color="AEAAAA"/>
            </w:tcBorders>
            <w:tcMar>
              <w:top w:w="57" w:type="dxa"/>
              <w:left w:w="57" w:type="dxa"/>
              <w:bottom w:w="57" w:type="dxa"/>
              <w:right w:w="57" w:type="dxa"/>
            </w:tcMar>
          </w:tcPr>
          <w:p w14:paraId="7D4BF661"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Wholesale product price factor – 50% of incremental product mark-up cost (increased efficiency)</w:t>
            </w:r>
          </w:p>
          <w:p w14:paraId="6637D083"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Compliance cost for industry (certification, manufacturing and distribution)</w:t>
            </w:r>
          </w:p>
          <w:p w14:paraId="06471360" w14:textId="78A5181F"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Administrative and enforcement costs</w:t>
            </w:r>
            <w:r w:rsidR="009F3717">
              <w:rPr>
                <w:rFonts w:asciiTheme="minorHAnsi" w:hAnsiTheme="minorHAnsi" w:cstheme="minorHAnsi"/>
                <w:sz w:val="22"/>
                <w:szCs w:val="22"/>
              </w:rPr>
              <w:t xml:space="preserve"> (government)</w:t>
            </w:r>
          </w:p>
        </w:tc>
        <w:tc>
          <w:tcPr>
            <w:tcW w:w="3543" w:type="dxa"/>
            <w:tcBorders>
              <w:left w:val="single" w:sz="4" w:space="0" w:color="AEAAAA"/>
            </w:tcBorders>
            <w:tcMar>
              <w:top w:w="57" w:type="dxa"/>
              <w:left w:w="57" w:type="dxa"/>
              <w:bottom w:w="57" w:type="dxa"/>
              <w:right w:w="57" w:type="dxa"/>
            </w:tcMar>
          </w:tcPr>
          <w:p w14:paraId="6FBEFEEC"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Energy bill savings (long run marginal cost)</w:t>
            </w:r>
          </w:p>
          <w:p w14:paraId="0D4694A8"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Reduced greenhouse gas emissions</w:t>
            </w:r>
          </w:p>
          <w:p w14:paraId="67C19A51" w14:textId="2D2BF000" w:rsidR="00D63003" w:rsidRPr="00A34F8A" w:rsidRDefault="00D63003" w:rsidP="008C2618">
            <w:pPr>
              <w:pStyle w:val="Table5-Bullet-Level1"/>
              <w:numPr>
                <w:ilvl w:val="0"/>
                <w:numId w:val="0"/>
              </w:numPr>
              <w:rPr>
                <w:rFonts w:asciiTheme="minorHAnsi" w:hAnsiTheme="minorHAnsi" w:cstheme="minorHAnsi"/>
                <w:sz w:val="22"/>
                <w:szCs w:val="22"/>
              </w:rPr>
            </w:pPr>
          </w:p>
          <w:p w14:paraId="0949F27E" w14:textId="77777777" w:rsidR="00D63003" w:rsidRPr="00A34F8A" w:rsidRDefault="00D63003" w:rsidP="005D3977">
            <w:pPr>
              <w:pStyle w:val="Table5-Bullet-Level1"/>
              <w:rPr>
                <w:rFonts w:asciiTheme="minorHAnsi" w:hAnsiTheme="minorHAnsi" w:cstheme="minorHAnsi"/>
                <w:sz w:val="22"/>
                <w:szCs w:val="22"/>
              </w:rPr>
            </w:pPr>
            <w:r w:rsidRPr="00A34F8A">
              <w:rPr>
                <w:rFonts w:asciiTheme="minorHAnsi" w:hAnsiTheme="minorHAnsi" w:cstheme="minorHAnsi"/>
                <w:sz w:val="22"/>
                <w:szCs w:val="22"/>
              </w:rPr>
              <w:t>Avoided energy network costs</w:t>
            </w:r>
          </w:p>
        </w:tc>
      </w:tr>
    </w:tbl>
    <w:p w14:paraId="14166691" w14:textId="77777777" w:rsidR="00D63003" w:rsidRPr="00A34F8A" w:rsidRDefault="00D63003" w:rsidP="00D63003">
      <w:pPr>
        <w:pStyle w:val="BlueLineBottom"/>
        <w:rPr>
          <w:rFonts w:asciiTheme="minorHAnsi" w:hAnsiTheme="minorHAnsi" w:cstheme="minorHAnsi"/>
          <w:sz w:val="22"/>
          <w:szCs w:val="22"/>
        </w:rPr>
      </w:pPr>
    </w:p>
    <w:p w14:paraId="3A6980A6" w14:textId="77777777" w:rsidR="00D63003" w:rsidRPr="00A34F8A" w:rsidRDefault="00D63003" w:rsidP="00D63003">
      <w:pPr>
        <w:rPr>
          <w:rFonts w:asciiTheme="minorHAnsi" w:hAnsiTheme="minorHAnsi" w:cstheme="minorHAnsi"/>
          <w:szCs w:val="22"/>
        </w:rPr>
      </w:pPr>
      <w:r w:rsidRPr="00A34F8A">
        <w:rPr>
          <w:rFonts w:asciiTheme="minorHAnsi" w:hAnsiTheme="minorHAnsi" w:cstheme="minorHAnsi"/>
          <w:szCs w:val="22"/>
        </w:rPr>
        <w:t>Savings are compared to the ‘business as usual’ baseline scenario (Scenario 1) where no changes are made to the regulation. The impact scenarios modelled are:</w:t>
      </w:r>
    </w:p>
    <w:p w14:paraId="7C792E14" w14:textId="77777777" w:rsidR="00D63003" w:rsidRPr="00A34F8A" w:rsidRDefault="00D63003" w:rsidP="00D63003">
      <w:pPr>
        <w:pStyle w:val="Bullet-Level1"/>
        <w:rPr>
          <w:rFonts w:asciiTheme="minorHAnsi" w:hAnsiTheme="minorHAnsi" w:cstheme="minorHAnsi"/>
          <w:sz w:val="22"/>
          <w:szCs w:val="22"/>
        </w:rPr>
      </w:pPr>
      <w:r w:rsidRPr="008C2618">
        <w:rPr>
          <w:rStyle w:val="BlueBold"/>
          <w:rFonts w:asciiTheme="minorHAnsi" w:hAnsiTheme="minorHAnsi" w:cstheme="minorHAnsi"/>
          <w:color w:val="auto"/>
          <w:sz w:val="22"/>
          <w:szCs w:val="22"/>
        </w:rPr>
        <w:t>Scenario 2:</w:t>
      </w:r>
      <w:r w:rsidRPr="008C2618">
        <w:rPr>
          <w:rFonts w:asciiTheme="minorHAnsi" w:hAnsiTheme="minorHAnsi" w:cstheme="minorHAnsi"/>
          <w:color w:val="auto"/>
          <w:sz w:val="22"/>
          <w:szCs w:val="22"/>
        </w:rPr>
        <w:t xml:space="preserve"> </w:t>
      </w:r>
      <w:r w:rsidRPr="00A34F8A">
        <w:rPr>
          <w:rFonts w:asciiTheme="minorHAnsi" w:hAnsiTheme="minorHAnsi" w:cstheme="minorHAnsi"/>
          <w:sz w:val="22"/>
          <w:szCs w:val="22"/>
        </w:rPr>
        <w:t>Remove regulations from 2025 (baseline scenario until 2025).</w:t>
      </w:r>
    </w:p>
    <w:p w14:paraId="4FE9A3EF" w14:textId="77777777" w:rsidR="00D63003" w:rsidRPr="00A34F8A" w:rsidRDefault="00D63003" w:rsidP="00D63003">
      <w:pPr>
        <w:pStyle w:val="Bullet-Level1"/>
        <w:rPr>
          <w:rFonts w:asciiTheme="minorHAnsi" w:hAnsiTheme="minorHAnsi" w:cstheme="minorHAnsi"/>
          <w:sz w:val="22"/>
          <w:szCs w:val="22"/>
        </w:rPr>
      </w:pPr>
      <w:r w:rsidRPr="008C2618">
        <w:rPr>
          <w:rStyle w:val="BlueBold"/>
          <w:rFonts w:asciiTheme="minorHAnsi" w:hAnsiTheme="minorHAnsi" w:cstheme="minorHAnsi"/>
          <w:color w:val="auto"/>
          <w:sz w:val="22"/>
          <w:szCs w:val="22"/>
        </w:rPr>
        <w:t>Scenario 3:</w:t>
      </w:r>
      <w:r w:rsidRPr="008C2618">
        <w:rPr>
          <w:rFonts w:asciiTheme="minorHAnsi" w:hAnsiTheme="minorHAnsi" w:cstheme="minorHAnsi"/>
          <w:color w:val="auto"/>
          <w:sz w:val="22"/>
          <w:szCs w:val="22"/>
        </w:rPr>
        <w:t xml:space="preserve"> </w:t>
      </w:r>
      <w:r w:rsidRPr="00A34F8A">
        <w:rPr>
          <w:rFonts w:asciiTheme="minorHAnsi" w:hAnsiTheme="minorHAnsi" w:cstheme="minorHAnsi"/>
          <w:sz w:val="22"/>
          <w:szCs w:val="22"/>
        </w:rPr>
        <w:t>Increase MEPS to mark VI from 2025, no change to scope.</w:t>
      </w:r>
    </w:p>
    <w:p w14:paraId="5142EC9A" w14:textId="77777777" w:rsidR="00D63003" w:rsidRPr="00A34F8A" w:rsidRDefault="00D63003" w:rsidP="00D63003">
      <w:pPr>
        <w:pStyle w:val="Bullet-Level1"/>
        <w:rPr>
          <w:rFonts w:asciiTheme="minorHAnsi" w:hAnsiTheme="minorHAnsi" w:cstheme="minorHAnsi"/>
          <w:sz w:val="22"/>
          <w:szCs w:val="22"/>
        </w:rPr>
      </w:pPr>
      <w:r w:rsidRPr="008C2618">
        <w:rPr>
          <w:rStyle w:val="BlueBold"/>
          <w:rFonts w:asciiTheme="minorHAnsi" w:hAnsiTheme="minorHAnsi" w:cstheme="minorHAnsi"/>
          <w:color w:val="auto"/>
          <w:sz w:val="22"/>
          <w:szCs w:val="22"/>
        </w:rPr>
        <w:t>Scenario 4:</w:t>
      </w:r>
      <w:r w:rsidRPr="008C2618">
        <w:rPr>
          <w:rFonts w:asciiTheme="minorHAnsi" w:hAnsiTheme="minorHAnsi" w:cstheme="minorHAnsi"/>
          <w:color w:val="auto"/>
          <w:sz w:val="22"/>
          <w:szCs w:val="22"/>
        </w:rPr>
        <w:t xml:space="preserve"> </w:t>
      </w:r>
      <w:r w:rsidRPr="00A34F8A">
        <w:rPr>
          <w:rFonts w:asciiTheme="minorHAnsi" w:hAnsiTheme="minorHAnsi" w:cstheme="minorHAnsi"/>
          <w:sz w:val="22"/>
          <w:szCs w:val="22"/>
        </w:rPr>
        <w:t>Increase scope and MEPS to align with international standards (mark VI) from 2025, adopt international testing standard.</w:t>
      </w:r>
    </w:p>
    <w:p w14:paraId="0F7BB58D" w14:textId="77777777" w:rsidR="00D63003" w:rsidRPr="00A34F8A" w:rsidRDefault="00D63003" w:rsidP="00D63003">
      <w:pPr>
        <w:pStyle w:val="Bullet-Level1"/>
        <w:rPr>
          <w:rFonts w:asciiTheme="minorHAnsi" w:hAnsiTheme="minorHAnsi" w:cstheme="minorHAnsi"/>
          <w:sz w:val="22"/>
          <w:szCs w:val="22"/>
        </w:rPr>
      </w:pPr>
      <w:r w:rsidRPr="008C2618">
        <w:rPr>
          <w:rStyle w:val="BlueBold"/>
          <w:rFonts w:asciiTheme="minorHAnsi" w:hAnsiTheme="minorHAnsi" w:cstheme="minorHAnsi"/>
          <w:color w:val="auto"/>
          <w:sz w:val="22"/>
          <w:szCs w:val="22"/>
        </w:rPr>
        <w:t>Scenario 5:</w:t>
      </w:r>
      <w:r w:rsidRPr="008C2618">
        <w:rPr>
          <w:rFonts w:asciiTheme="minorHAnsi" w:hAnsiTheme="minorHAnsi" w:cstheme="minorHAnsi"/>
          <w:color w:val="auto"/>
          <w:sz w:val="22"/>
          <w:szCs w:val="22"/>
        </w:rPr>
        <w:t xml:space="preserve"> </w:t>
      </w:r>
      <w:r w:rsidRPr="00A34F8A">
        <w:rPr>
          <w:rFonts w:asciiTheme="minorHAnsi" w:hAnsiTheme="minorHAnsi" w:cstheme="minorHAnsi"/>
          <w:sz w:val="22"/>
          <w:szCs w:val="22"/>
        </w:rPr>
        <w:t>Increase scope and MEPS to align with international standards (mark VI) from 2025, with a further increase to mark VII in 2029, adopt international testing standard.</w:t>
      </w:r>
    </w:p>
    <w:p w14:paraId="17F0A164" w14:textId="26EB7E74" w:rsidR="00D63003" w:rsidRPr="00A34F8A" w:rsidRDefault="00D63003" w:rsidP="00D63003">
      <w:pPr>
        <w:rPr>
          <w:rFonts w:asciiTheme="minorHAnsi" w:hAnsiTheme="minorHAnsi" w:cstheme="minorHAnsi"/>
          <w:szCs w:val="22"/>
        </w:rPr>
      </w:pPr>
      <w:r w:rsidRPr="00A34F8A">
        <w:rPr>
          <w:rFonts w:asciiTheme="minorHAnsi" w:hAnsiTheme="minorHAnsi" w:cstheme="minorHAnsi"/>
          <w:szCs w:val="22"/>
        </w:rPr>
        <w:t xml:space="preserve">The impact assessment quantifies the differences between these scenarios and the baseline scenario (Scenario 1 – no change to the current Australian and New Zealand regulations). Several key input assumptions are detailed in the sub-sections below (see Appendix </w:t>
      </w:r>
      <w:r w:rsidR="004D78AE">
        <w:rPr>
          <w:rFonts w:asciiTheme="minorHAnsi" w:hAnsiTheme="minorHAnsi" w:cstheme="minorHAnsi"/>
          <w:szCs w:val="22"/>
        </w:rPr>
        <w:t>O</w:t>
      </w:r>
      <w:r w:rsidRPr="00A34F8A">
        <w:rPr>
          <w:rFonts w:asciiTheme="minorHAnsi" w:hAnsiTheme="minorHAnsi" w:cstheme="minorHAnsi"/>
          <w:szCs w:val="22"/>
        </w:rPr>
        <w:t>ne for a more comprehensive discussion).</w:t>
      </w:r>
    </w:p>
    <w:p w14:paraId="352B7A75" w14:textId="26805D26" w:rsidR="00D63003" w:rsidRPr="00E7062A" w:rsidRDefault="00D63003" w:rsidP="00E7062A">
      <w:pPr>
        <w:pStyle w:val="Heading3"/>
      </w:pPr>
      <w:bookmarkStart w:id="104" w:name="_Toc168660651"/>
      <w:bookmarkStart w:id="105" w:name="_Toc183163261"/>
      <w:r w:rsidRPr="00E7062A">
        <w:t>Market size and distribution</w:t>
      </w:r>
      <w:bookmarkEnd w:id="104"/>
      <w:bookmarkEnd w:id="105"/>
    </w:p>
    <w:p w14:paraId="4DB6BF71" w14:textId="77777777" w:rsidR="004034F5" w:rsidRPr="00A34F8A" w:rsidRDefault="004034F5" w:rsidP="004034F5">
      <w:pPr>
        <w:rPr>
          <w:rFonts w:asciiTheme="minorHAnsi" w:hAnsiTheme="minorHAnsi" w:cstheme="minorHAnsi"/>
          <w:szCs w:val="22"/>
        </w:rPr>
      </w:pPr>
      <w:r w:rsidRPr="00A34F8A">
        <w:rPr>
          <w:rFonts w:asciiTheme="minorHAnsi" w:hAnsiTheme="minorHAnsi" w:cstheme="minorHAnsi"/>
          <w:szCs w:val="22"/>
        </w:rPr>
        <w:t>Market size and distribution assumptions are based on extrapolation from two data sources, including:</w:t>
      </w:r>
    </w:p>
    <w:p w14:paraId="76DB31CE" w14:textId="77777777" w:rsidR="004034F5" w:rsidRPr="00A34F8A" w:rsidRDefault="004034F5" w:rsidP="004034F5">
      <w:pPr>
        <w:pStyle w:val="Bullet-Level1"/>
        <w:rPr>
          <w:rFonts w:asciiTheme="minorHAnsi" w:hAnsiTheme="minorHAnsi" w:cstheme="minorHAnsi"/>
          <w:sz w:val="22"/>
          <w:szCs w:val="22"/>
        </w:rPr>
      </w:pPr>
      <w:r w:rsidRPr="00A34F8A">
        <w:rPr>
          <w:rFonts w:asciiTheme="minorHAnsi" w:hAnsiTheme="minorHAnsi" w:cstheme="minorHAnsi"/>
          <w:sz w:val="22"/>
          <w:szCs w:val="22"/>
        </w:rPr>
        <w:t>New Zealand EPS reported sales data (2012-2022), provided to the Energy Efficiency and Conservation Authority (EECA).</w:t>
      </w:r>
    </w:p>
    <w:p w14:paraId="5212B148" w14:textId="53550296" w:rsidR="004034F5" w:rsidRPr="00A34F8A" w:rsidRDefault="004034F5" w:rsidP="004034F5">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US Department of Energy (DOE), Energy Efficiency and Renewable Energy (EERE) – Preliminary analysis for external power supply (EPS) </w:t>
      </w:r>
      <w:sdt>
        <w:sdtPr>
          <w:rPr>
            <w:rFonts w:asciiTheme="minorHAnsi" w:hAnsiTheme="minorHAnsi" w:cstheme="minorHAnsi"/>
            <w:sz w:val="22"/>
            <w:szCs w:val="22"/>
          </w:rPr>
          <w:id w:val="-78370648"/>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w:t>
      </w:r>
    </w:p>
    <w:p w14:paraId="32280454" w14:textId="77777777" w:rsidR="004034F5" w:rsidRPr="00A34F8A" w:rsidRDefault="004034F5" w:rsidP="004034F5">
      <w:pPr>
        <w:rPr>
          <w:rFonts w:asciiTheme="minorHAnsi" w:hAnsiTheme="minorHAnsi" w:cstheme="minorHAnsi"/>
          <w:szCs w:val="22"/>
        </w:rPr>
      </w:pPr>
      <w:r w:rsidRPr="00A34F8A">
        <w:rPr>
          <w:rFonts w:asciiTheme="minorHAnsi" w:hAnsiTheme="minorHAnsi" w:cstheme="minorHAnsi"/>
          <w:szCs w:val="22"/>
        </w:rPr>
        <w:t xml:space="preserve">It has been assumed that the EECA data represents compliant (i.e., meet MEPS) sales under the current scope of the regulation in New Zealand (extrapolated to the Australian market based on population). The US DOE data has been assumed to represent total US EPS sales under the scope of their current regulations. For the expanded scope scenarios (Scenario 4 and 5) we have extrapolated the US DOE data to the Australian and New Zealand markets based on population. The US data was collated from a series of interviews with manufacturers and suppliers, conducted by consultants preparing the US impact assessment, and was cross-checked with global market research. As such, it is likely that the US data represents the total </w:t>
      </w:r>
      <w:r w:rsidRPr="00A34F8A">
        <w:rPr>
          <w:rFonts w:asciiTheme="minorHAnsi" w:hAnsiTheme="minorHAnsi" w:cstheme="minorHAnsi"/>
          <w:szCs w:val="22"/>
        </w:rPr>
        <w:lastRenderedPageBreak/>
        <w:t>US market, rather than the total compliant US market. To account for any potential non-compliance, we have applied a compliance factor of 0.8 in our model.</w:t>
      </w:r>
    </w:p>
    <w:p w14:paraId="443AD6F1" w14:textId="77777777" w:rsidR="004034F5" w:rsidRPr="00A34F8A" w:rsidRDefault="004034F5" w:rsidP="004034F5">
      <w:pPr>
        <w:rPr>
          <w:rFonts w:asciiTheme="minorHAnsi" w:hAnsiTheme="minorHAnsi" w:cstheme="minorHAnsi"/>
          <w:szCs w:val="22"/>
        </w:rPr>
      </w:pPr>
      <w:r w:rsidRPr="00A34F8A">
        <w:rPr>
          <w:rFonts w:asciiTheme="minorHAnsi" w:hAnsiTheme="minorHAnsi" w:cstheme="minorHAnsi"/>
          <w:szCs w:val="22"/>
        </w:rPr>
        <w:t>Distribution of EPS by product class and by efficiency level was determined through analysis of the EECA sales data. The analysis has been performed using the same product classes the US DOE used in their recent analysis, which were found to be representative of the total market. The product classes are defined as follows:</w:t>
      </w:r>
    </w:p>
    <w:p w14:paraId="2054BFE2"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Basic Voltage 2.5W (0W – 7.25W)</w:t>
      </w:r>
    </w:p>
    <w:p w14:paraId="6E51FCE4"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Basic Voltage 12W (7.25W – 18W)</w:t>
      </w:r>
    </w:p>
    <w:p w14:paraId="5A5FB515"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Basic Voltage 24W (18W-54W)</w:t>
      </w:r>
    </w:p>
    <w:p w14:paraId="24B2C304"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Basic Voltage 60W (54W-90W)</w:t>
      </w:r>
    </w:p>
    <w:p w14:paraId="78F048DE"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Basic Voltage 120W (&gt;90W)</w:t>
      </w:r>
    </w:p>
    <w:p w14:paraId="35285360"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Low Voltage 5W (0W-7.5W)</w:t>
      </w:r>
    </w:p>
    <w:p w14:paraId="671364E9"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Low Voltage 10W (7.5W-11W)</w:t>
      </w:r>
    </w:p>
    <w:p w14:paraId="6E133315"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Low Voltage 12W (11W-18W)</w:t>
      </w:r>
    </w:p>
    <w:p w14:paraId="719B90CE"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AC-DC Low Voltage 24W (&gt;18W)</w:t>
      </w:r>
    </w:p>
    <w:p w14:paraId="780F297E"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AC-AC Basic Voltage 3.6W (0W-13.8W)</w:t>
      </w:r>
    </w:p>
    <w:p w14:paraId="78B7ADF2"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AC-AC Basic Voltage 24W (13.8W-32W)</w:t>
      </w:r>
    </w:p>
    <w:p w14:paraId="399921C3"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AC-AC Basic Voltage 40W (&gt;32W)</w:t>
      </w:r>
    </w:p>
    <w:p w14:paraId="42B111A1"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AC-AC Low Voltage 12W (0W-14.5W)</w:t>
      </w:r>
    </w:p>
    <w:p w14:paraId="1DFE1486"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AC-AC Low Voltage 17W (14.5W-20.5W)</w:t>
      </w:r>
    </w:p>
    <w:p w14:paraId="376613A6"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Single voltage EPS AC-AC Low Voltage 24W (&gt;20.5W)</w:t>
      </w:r>
    </w:p>
    <w:p w14:paraId="620C9F45"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Multiple voltage EPS 18W (0W-24W)</w:t>
      </w:r>
    </w:p>
    <w:p w14:paraId="1946FD59"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Multiple voltage EPS 30W (24W-60W)</w:t>
      </w:r>
    </w:p>
    <w:p w14:paraId="53720CA8" w14:textId="77777777" w:rsidR="004034F5" w:rsidRPr="00A34F8A" w:rsidRDefault="004034F5" w:rsidP="004034F5">
      <w:pPr>
        <w:pStyle w:val="Bullet-VerticalCompact-Level1"/>
        <w:rPr>
          <w:rFonts w:asciiTheme="minorHAnsi" w:hAnsiTheme="minorHAnsi" w:cstheme="minorHAnsi"/>
          <w:sz w:val="22"/>
          <w:szCs w:val="22"/>
        </w:rPr>
      </w:pPr>
      <w:r w:rsidRPr="00A34F8A">
        <w:rPr>
          <w:rFonts w:asciiTheme="minorHAnsi" w:hAnsiTheme="minorHAnsi" w:cstheme="minorHAnsi"/>
          <w:sz w:val="22"/>
          <w:szCs w:val="22"/>
        </w:rPr>
        <w:t>Multiple voltage EPS 90W (&gt;60W)</w:t>
      </w:r>
    </w:p>
    <w:p w14:paraId="4AE4B8AE" w14:textId="77777777" w:rsidR="004034F5" w:rsidRPr="00A34F8A" w:rsidRDefault="004034F5" w:rsidP="004034F5">
      <w:pPr>
        <w:rPr>
          <w:rFonts w:asciiTheme="minorHAnsi" w:hAnsiTheme="minorHAnsi" w:cstheme="minorHAnsi"/>
          <w:szCs w:val="22"/>
        </w:rPr>
      </w:pPr>
      <w:r w:rsidRPr="00A34F8A">
        <w:rPr>
          <w:rFonts w:asciiTheme="minorHAnsi" w:hAnsiTheme="minorHAnsi" w:cstheme="minorHAnsi"/>
          <w:szCs w:val="22"/>
        </w:rPr>
        <w:t xml:space="preserve">The US also defined the distribution by end-use product application (e.g. smartphone, USB wall-adapter, notebooks etc.) within each product class. We assumed the same distribution in our analysis, combined with their data on loading point and usage (hours per week) by end-use application. This enabled us to calculate a weighted average energy usage per week (including both active and no-load modes) for each product class. </w:t>
      </w:r>
    </w:p>
    <w:p w14:paraId="4A94D826" w14:textId="074D2859" w:rsidR="004034F5" w:rsidRPr="00E7062A" w:rsidRDefault="004034F5" w:rsidP="00E7062A">
      <w:pPr>
        <w:pStyle w:val="Heading3"/>
      </w:pPr>
      <w:bookmarkStart w:id="106" w:name="_Toc168660652"/>
      <w:bookmarkStart w:id="107" w:name="_Toc183163262"/>
      <w:r w:rsidRPr="00E7062A">
        <w:t>Market growth</w:t>
      </w:r>
      <w:bookmarkEnd w:id="106"/>
      <w:bookmarkEnd w:id="107"/>
    </w:p>
    <w:p w14:paraId="00923523" w14:textId="40783618" w:rsidR="00FA652C" w:rsidRPr="00A34F8A" w:rsidRDefault="00FA652C" w:rsidP="00FA652C">
      <w:pPr>
        <w:rPr>
          <w:rFonts w:asciiTheme="minorHAnsi" w:hAnsiTheme="minorHAnsi" w:cstheme="minorHAnsi"/>
          <w:szCs w:val="22"/>
        </w:rPr>
      </w:pPr>
      <w:r w:rsidRPr="00A34F8A">
        <w:rPr>
          <w:rFonts w:asciiTheme="minorHAnsi" w:hAnsiTheme="minorHAnsi" w:cstheme="minorHAnsi"/>
          <w:szCs w:val="22"/>
        </w:rPr>
        <w:t xml:space="preserve">We have assumed growth in EPS sales based on population, using the medium case under the New Zealand National Population Projections: 2022-2073 </w:t>
      </w:r>
      <w:sdt>
        <w:sdtPr>
          <w:rPr>
            <w:rFonts w:asciiTheme="minorHAnsi" w:hAnsiTheme="minorHAnsi" w:cstheme="minorHAnsi"/>
            <w:szCs w:val="22"/>
          </w:rPr>
          <w:id w:val="-898278764"/>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Sta22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(Stats NZ,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and the medium series under the ABS Population Projections, Australia </w:t>
      </w:r>
      <w:sdt>
        <w:sdtPr>
          <w:rPr>
            <w:rFonts w:asciiTheme="minorHAnsi" w:hAnsiTheme="minorHAnsi" w:cstheme="minorHAnsi"/>
            <w:szCs w:val="22"/>
          </w:rPr>
          <w:id w:val="-1041049627"/>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Aus18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(Australian Bureau of Statistics, 2018)</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We have assumed the same growth rate applies across all product categories. This was the same approach taken by the US DOE impact assessment. </w:t>
      </w:r>
    </w:p>
    <w:p w14:paraId="7621E1F7" w14:textId="02A62C4D" w:rsidR="00FA652C" w:rsidRPr="00E7062A" w:rsidRDefault="00FA652C" w:rsidP="00E7062A">
      <w:pPr>
        <w:pStyle w:val="Heading3"/>
      </w:pPr>
      <w:bookmarkStart w:id="108" w:name="_Toc168660653"/>
      <w:bookmarkStart w:id="109" w:name="_Toc183163263"/>
      <w:r w:rsidRPr="00E7062A">
        <w:t>Cost to industry</w:t>
      </w:r>
      <w:bookmarkEnd w:id="108"/>
      <w:bookmarkEnd w:id="109"/>
    </w:p>
    <w:p w14:paraId="0E52E539" w14:textId="14C3331C" w:rsidR="00DE4115" w:rsidRPr="00A34F8A" w:rsidRDefault="00DE4115" w:rsidP="00DE4115">
      <w:pPr>
        <w:rPr>
          <w:rFonts w:asciiTheme="minorHAnsi" w:hAnsiTheme="minorHAnsi" w:cstheme="minorHAnsi"/>
          <w:szCs w:val="22"/>
        </w:rPr>
      </w:pPr>
      <w:r w:rsidRPr="00A34F8A">
        <w:rPr>
          <w:rFonts w:asciiTheme="minorHAnsi" w:hAnsiTheme="minorHAnsi" w:cstheme="minorHAnsi"/>
          <w:szCs w:val="22"/>
        </w:rPr>
        <w:t xml:space="preserve">The assumed annual costs to business for complying with the current regulation are shown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_Ref131498434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12</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These costs were determined through interviews with suppliers. </w:t>
      </w:r>
    </w:p>
    <w:p w14:paraId="1D30794D" w14:textId="77777777" w:rsidR="00DE4115" w:rsidRPr="00A34F8A" w:rsidRDefault="00DE4115" w:rsidP="00DE4115">
      <w:pPr>
        <w:pStyle w:val="BlueLineTop"/>
        <w:rPr>
          <w:rFonts w:asciiTheme="minorHAnsi" w:hAnsiTheme="minorHAnsi" w:cstheme="minorHAnsi"/>
          <w:sz w:val="22"/>
          <w:szCs w:val="22"/>
        </w:rPr>
      </w:pPr>
    </w:p>
    <w:p w14:paraId="67AA3E49" w14:textId="06BA933D" w:rsidR="00DE4115" w:rsidRPr="00A34F8A" w:rsidRDefault="00DE4115" w:rsidP="00DE4115">
      <w:pPr>
        <w:pStyle w:val="Caption"/>
        <w:rPr>
          <w:rFonts w:asciiTheme="minorHAnsi" w:hAnsiTheme="minorHAnsi" w:cstheme="minorHAnsi"/>
          <w:sz w:val="22"/>
          <w:szCs w:val="22"/>
        </w:rPr>
      </w:pPr>
      <w:bookmarkStart w:id="110" w:name="_Ref131498434"/>
      <w:bookmarkStart w:id="111" w:name="_Hlk171080666"/>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12</w:t>
      </w:r>
      <w:r w:rsidRPr="00A34F8A">
        <w:rPr>
          <w:rFonts w:asciiTheme="minorHAnsi" w:hAnsiTheme="minorHAnsi" w:cstheme="minorHAnsi"/>
          <w:sz w:val="22"/>
          <w:szCs w:val="22"/>
        </w:rPr>
        <w:fldChar w:fldCharType="end"/>
      </w:r>
      <w:bookmarkEnd w:id="110"/>
      <w:r w:rsidRPr="00A34F8A">
        <w:rPr>
          <w:rFonts w:asciiTheme="minorHAnsi" w:hAnsiTheme="minorHAnsi" w:cstheme="minorHAnsi"/>
          <w:sz w:val="22"/>
          <w:szCs w:val="22"/>
        </w:rPr>
        <w:t xml:space="preserve">: Annual costs </w:t>
      </w:r>
      <w:r w:rsidR="00F17097">
        <w:rPr>
          <w:rFonts w:asciiTheme="minorHAnsi" w:hAnsiTheme="minorHAnsi" w:cstheme="minorHAnsi"/>
          <w:sz w:val="22"/>
          <w:szCs w:val="22"/>
        </w:rPr>
        <w:t xml:space="preserve">(in AUD, 2023 pricing) </w:t>
      </w:r>
      <w:r w:rsidRPr="00A34F8A">
        <w:rPr>
          <w:rFonts w:asciiTheme="minorHAnsi" w:hAnsiTheme="minorHAnsi" w:cstheme="minorHAnsi"/>
          <w:sz w:val="22"/>
          <w:szCs w:val="22"/>
        </w:rPr>
        <w:t>to business</w:t>
      </w:r>
      <w:bookmarkEnd w:id="111"/>
      <w:r w:rsidRPr="00A34F8A">
        <w:rPr>
          <w:rFonts w:asciiTheme="minorHAnsi" w:hAnsiTheme="minorHAnsi" w:cstheme="minorHAnsi"/>
          <w:sz w:val="22"/>
          <w:szCs w:val="22"/>
        </w:rPr>
        <w:t xml:space="preserve"> for current regulation (Scenario 1, 2 and 3)</w:t>
      </w:r>
    </w:p>
    <w:tbl>
      <w:tblPr>
        <w:tblStyle w:val="ComCap4-nested"/>
        <w:tblW w:w="9072" w:type="dxa"/>
        <w:tblInd w:w="-567" w:type="dxa"/>
        <w:tblBorders>
          <w:insideV w:val="single" w:sz="4" w:space="0" w:color="auto"/>
        </w:tblBorders>
        <w:tblLook w:val="04A0" w:firstRow="1" w:lastRow="0" w:firstColumn="1" w:lastColumn="0" w:noHBand="0" w:noVBand="1"/>
      </w:tblPr>
      <w:tblGrid>
        <w:gridCol w:w="3024"/>
        <w:gridCol w:w="3024"/>
        <w:gridCol w:w="3024"/>
      </w:tblGrid>
      <w:tr w:rsidR="00DA1EBB" w:rsidRPr="00A34F8A" w14:paraId="23B8AFE3" w14:textId="77777777" w:rsidTr="006421C0">
        <w:trPr>
          <w:cnfStyle w:val="100000000000" w:firstRow="1" w:lastRow="0" w:firstColumn="0" w:lastColumn="0" w:oddVBand="0" w:evenVBand="0" w:oddHBand="0" w:evenHBand="0" w:firstRowFirstColumn="0" w:firstRowLastColumn="0" w:lastRowFirstColumn="0" w:lastRowLastColumn="0"/>
        </w:trPr>
        <w:tc>
          <w:tcPr>
            <w:tcW w:w="3024" w:type="dxa"/>
            <w:tcBorders>
              <w:right w:val="single" w:sz="4" w:space="0" w:color="C4BC96" w:themeColor="background2" w:themeShade="BF"/>
            </w:tcBorders>
          </w:tcPr>
          <w:p w14:paraId="09246305" w14:textId="77777777" w:rsidR="00DE4115" w:rsidRPr="00A34F8A" w:rsidRDefault="00DE411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administrative cost</w:t>
            </w:r>
          </w:p>
        </w:tc>
        <w:tc>
          <w:tcPr>
            <w:tcW w:w="3024" w:type="dxa"/>
            <w:tcBorders>
              <w:left w:val="single" w:sz="4" w:space="0" w:color="C4BC96" w:themeColor="background2" w:themeShade="BF"/>
            </w:tcBorders>
          </w:tcPr>
          <w:p w14:paraId="53F76AE4" w14:textId="77777777" w:rsidR="00DE4115" w:rsidRPr="00A34F8A" w:rsidRDefault="00DE411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 xml:space="preserve">Annual registration fees </w:t>
            </w:r>
          </w:p>
        </w:tc>
        <w:tc>
          <w:tcPr>
            <w:tcW w:w="3024" w:type="dxa"/>
            <w:tcBorders>
              <w:left w:val="single" w:sz="4" w:space="0" w:color="C4BC96" w:themeColor="background2" w:themeShade="BF"/>
            </w:tcBorders>
          </w:tcPr>
          <w:p w14:paraId="55CC8FE2" w14:textId="77777777" w:rsidR="00DE4115" w:rsidRPr="00A34F8A" w:rsidRDefault="00DE411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testing cost</w:t>
            </w:r>
          </w:p>
        </w:tc>
      </w:tr>
      <w:tr w:rsidR="00045634" w:rsidRPr="00A34F8A" w14:paraId="3AF93AAD" w14:textId="77777777" w:rsidTr="006421C0">
        <w:tc>
          <w:tcPr>
            <w:tcW w:w="3024" w:type="dxa"/>
            <w:tcBorders>
              <w:right w:val="single" w:sz="4" w:space="0" w:color="C4BC96" w:themeColor="background2" w:themeShade="BF"/>
            </w:tcBorders>
          </w:tcPr>
          <w:p w14:paraId="7F4068AF" w14:textId="77777777" w:rsidR="00DE4115" w:rsidRPr="00A34F8A" w:rsidRDefault="00DE411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$77,630</w:t>
            </w:r>
          </w:p>
        </w:tc>
        <w:tc>
          <w:tcPr>
            <w:tcW w:w="3024" w:type="dxa"/>
            <w:tcBorders>
              <w:left w:val="single" w:sz="4" w:space="0" w:color="C4BC96" w:themeColor="background2" w:themeShade="BF"/>
              <w:right w:val="single" w:sz="4" w:space="0" w:color="AEAAAA"/>
            </w:tcBorders>
          </w:tcPr>
          <w:p w14:paraId="64FCFDE1" w14:textId="77777777" w:rsidR="00DE4115" w:rsidRPr="00A34F8A" w:rsidRDefault="00DE411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$99,753</w:t>
            </w:r>
          </w:p>
        </w:tc>
        <w:tc>
          <w:tcPr>
            <w:tcW w:w="3024" w:type="dxa"/>
            <w:tcBorders>
              <w:left w:val="single" w:sz="4" w:space="0" w:color="AEAAAA"/>
            </w:tcBorders>
          </w:tcPr>
          <w:p w14:paraId="58A487C3" w14:textId="77777777" w:rsidR="00DE4115" w:rsidRPr="00A34F8A" w:rsidRDefault="00DE411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$984,729</w:t>
            </w:r>
          </w:p>
        </w:tc>
      </w:tr>
    </w:tbl>
    <w:p w14:paraId="064CDBD6" w14:textId="77777777" w:rsidR="00DE4115" w:rsidRPr="00A34F8A" w:rsidRDefault="00DE4115" w:rsidP="00DE4115">
      <w:pPr>
        <w:pStyle w:val="BlueLineBottom"/>
        <w:rPr>
          <w:rFonts w:asciiTheme="minorHAnsi" w:hAnsiTheme="minorHAnsi" w:cstheme="minorHAnsi"/>
          <w:sz w:val="22"/>
          <w:szCs w:val="22"/>
        </w:rPr>
      </w:pPr>
    </w:p>
    <w:p w14:paraId="4D9A642D" w14:textId="77777777" w:rsidR="00DE4115" w:rsidRPr="00A34F8A" w:rsidRDefault="00DE4115" w:rsidP="00DE4115">
      <w:pPr>
        <w:pStyle w:val="BlueLineTop"/>
        <w:rPr>
          <w:rFonts w:asciiTheme="minorHAnsi" w:hAnsiTheme="minorHAnsi" w:cstheme="minorHAnsi"/>
          <w:sz w:val="22"/>
          <w:szCs w:val="22"/>
        </w:rPr>
      </w:pPr>
    </w:p>
    <w:p w14:paraId="3701FE78" w14:textId="42574283" w:rsidR="00DE4115" w:rsidRPr="00A34F8A" w:rsidRDefault="00DE4115" w:rsidP="00DE4115">
      <w:pPr>
        <w:pStyle w:val="Caption"/>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13</w:t>
      </w:r>
      <w:r w:rsidRPr="00A34F8A">
        <w:rPr>
          <w:rFonts w:asciiTheme="minorHAnsi" w:hAnsiTheme="minorHAnsi" w:cstheme="minorHAnsi"/>
          <w:sz w:val="22"/>
          <w:szCs w:val="22"/>
        </w:rPr>
        <w:fldChar w:fldCharType="end"/>
      </w:r>
      <w:r w:rsidRPr="00A34F8A">
        <w:rPr>
          <w:rFonts w:asciiTheme="minorHAnsi" w:hAnsiTheme="minorHAnsi" w:cstheme="minorHAnsi"/>
          <w:sz w:val="22"/>
          <w:szCs w:val="22"/>
        </w:rPr>
        <w:t>: Annual costs</w:t>
      </w:r>
      <w:r w:rsidR="00F17097">
        <w:rPr>
          <w:rFonts w:asciiTheme="minorHAnsi" w:hAnsiTheme="minorHAnsi" w:cstheme="minorHAnsi"/>
          <w:sz w:val="22"/>
          <w:szCs w:val="22"/>
        </w:rPr>
        <w:t xml:space="preserve"> (in AUD, 2023 pricing)</w:t>
      </w:r>
      <w:r w:rsidRPr="00A34F8A">
        <w:rPr>
          <w:rFonts w:asciiTheme="minorHAnsi" w:hAnsiTheme="minorHAnsi" w:cstheme="minorHAnsi"/>
          <w:sz w:val="22"/>
          <w:szCs w:val="22"/>
        </w:rPr>
        <w:t xml:space="preserve"> to business for expanded scope regulation (Scenario 4 and 5)</w:t>
      </w:r>
    </w:p>
    <w:tbl>
      <w:tblPr>
        <w:tblStyle w:val="ComCap4-nested"/>
        <w:tblW w:w="9072" w:type="dxa"/>
        <w:tblInd w:w="-567" w:type="dxa"/>
        <w:tblBorders>
          <w:insideV w:val="single" w:sz="4" w:space="0" w:color="auto"/>
        </w:tblBorders>
        <w:tblLook w:val="04A0" w:firstRow="1" w:lastRow="0" w:firstColumn="1" w:lastColumn="0" w:noHBand="0" w:noVBand="1"/>
      </w:tblPr>
      <w:tblGrid>
        <w:gridCol w:w="3024"/>
        <w:gridCol w:w="3024"/>
        <w:gridCol w:w="3024"/>
      </w:tblGrid>
      <w:tr w:rsidR="00DA1EBB" w:rsidRPr="00A34F8A" w14:paraId="3E3AB7EC" w14:textId="77777777" w:rsidTr="006421C0">
        <w:trPr>
          <w:cnfStyle w:val="100000000000" w:firstRow="1" w:lastRow="0" w:firstColumn="0" w:lastColumn="0" w:oddVBand="0" w:evenVBand="0" w:oddHBand="0" w:evenHBand="0" w:firstRowFirstColumn="0" w:firstRowLastColumn="0" w:lastRowFirstColumn="0" w:lastRowLastColumn="0"/>
        </w:trPr>
        <w:tc>
          <w:tcPr>
            <w:tcW w:w="3024" w:type="dxa"/>
            <w:tcBorders>
              <w:right w:val="single" w:sz="4" w:space="0" w:color="C4BC96" w:themeColor="background2" w:themeShade="BF"/>
            </w:tcBorders>
          </w:tcPr>
          <w:p w14:paraId="628C1F8D" w14:textId="77777777" w:rsidR="00DE4115" w:rsidRPr="00A34F8A" w:rsidRDefault="00DE411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administrative cost</w:t>
            </w:r>
          </w:p>
        </w:tc>
        <w:tc>
          <w:tcPr>
            <w:tcW w:w="3024" w:type="dxa"/>
            <w:tcBorders>
              <w:left w:val="single" w:sz="4" w:space="0" w:color="C4BC96" w:themeColor="background2" w:themeShade="BF"/>
            </w:tcBorders>
          </w:tcPr>
          <w:p w14:paraId="34A35BE2" w14:textId="77777777" w:rsidR="00DE4115" w:rsidRPr="00A34F8A" w:rsidRDefault="00DE411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 xml:space="preserve">Annual registration fees </w:t>
            </w:r>
          </w:p>
        </w:tc>
        <w:tc>
          <w:tcPr>
            <w:tcW w:w="3024" w:type="dxa"/>
            <w:tcBorders>
              <w:left w:val="single" w:sz="4" w:space="0" w:color="C4BC96" w:themeColor="background2" w:themeShade="BF"/>
            </w:tcBorders>
          </w:tcPr>
          <w:p w14:paraId="7A08CA02" w14:textId="77777777" w:rsidR="00DE4115" w:rsidRPr="00A34F8A" w:rsidRDefault="00DE411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testing cost</w:t>
            </w:r>
          </w:p>
        </w:tc>
      </w:tr>
      <w:tr w:rsidR="00045634" w:rsidRPr="00A34F8A" w14:paraId="4E15E53A" w14:textId="77777777" w:rsidTr="006421C0">
        <w:tc>
          <w:tcPr>
            <w:tcW w:w="3024" w:type="dxa"/>
            <w:tcBorders>
              <w:right w:val="single" w:sz="4" w:space="0" w:color="C4BC96" w:themeColor="background2" w:themeShade="BF"/>
            </w:tcBorders>
          </w:tcPr>
          <w:p w14:paraId="6DAEA2B0" w14:textId="77777777" w:rsidR="00DE4115" w:rsidRPr="00A34F8A" w:rsidRDefault="00DE411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$464,257</w:t>
            </w:r>
          </w:p>
        </w:tc>
        <w:tc>
          <w:tcPr>
            <w:tcW w:w="3024" w:type="dxa"/>
            <w:tcBorders>
              <w:left w:val="single" w:sz="4" w:space="0" w:color="C4BC96" w:themeColor="background2" w:themeShade="BF"/>
              <w:right w:val="single" w:sz="4" w:space="0" w:color="AEAAAA"/>
            </w:tcBorders>
          </w:tcPr>
          <w:p w14:paraId="5FA41E7D" w14:textId="77777777" w:rsidR="00DE4115" w:rsidRPr="00A34F8A" w:rsidRDefault="00DE411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$373,103</w:t>
            </w:r>
          </w:p>
        </w:tc>
        <w:tc>
          <w:tcPr>
            <w:tcW w:w="3024" w:type="dxa"/>
            <w:tcBorders>
              <w:left w:val="single" w:sz="4" w:space="0" w:color="AEAAAA"/>
            </w:tcBorders>
          </w:tcPr>
          <w:p w14:paraId="3632989F" w14:textId="77777777" w:rsidR="00DE4115" w:rsidRPr="00A34F8A" w:rsidRDefault="00DE4115"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w:t>
            </w:r>
          </w:p>
        </w:tc>
      </w:tr>
    </w:tbl>
    <w:p w14:paraId="3907B744" w14:textId="77777777" w:rsidR="00DE4115" w:rsidRPr="00A34F8A" w:rsidRDefault="00DE4115" w:rsidP="00DE4115">
      <w:pPr>
        <w:pStyle w:val="BlueLineBottom"/>
        <w:rPr>
          <w:rFonts w:asciiTheme="minorHAnsi" w:hAnsiTheme="minorHAnsi" w:cstheme="minorHAnsi"/>
          <w:sz w:val="22"/>
          <w:szCs w:val="22"/>
        </w:rPr>
      </w:pPr>
    </w:p>
    <w:p w14:paraId="780E7355" w14:textId="77777777" w:rsidR="00DE4115" w:rsidRPr="00A34F8A" w:rsidRDefault="00DE4115" w:rsidP="00DE4115">
      <w:pPr>
        <w:rPr>
          <w:rFonts w:asciiTheme="minorHAnsi" w:hAnsiTheme="minorHAnsi" w:cstheme="minorHAnsi"/>
          <w:szCs w:val="22"/>
        </w:rPr>
      </w:pPr>
      <w:r w:rsidRPr="00A34F8A">
        <w:rPr>
          <w:rFonts w:asciiTheme="minorHAnsi" w:hAnsiTheme="minorHAnsi" w:cstheme="minorHAnsi"/>
          <w:szCs w:val="22"/>
        </w:rPr>
        <w:t>The administrative cost was based on the formula below:</w:t>
      </w:r>
    </w:p>
    <w:p w14:paraId="5D6B7698" w14:textId="77777777" w:rsidR="00DE4115" w:rsidRPr="00A34F8A" w:rsidRDefault="00DE4115" w:rsidP="00DE4115">
      <w:pPr>
        <w:pStyle w:val="Table3-Normaldata-centred"/>
        <w:rPr>
          <w:rFonts w:asciiTheme="minorHAnsi" w:hAnsiTheme="minorHAnsi" w:cstheme="minorHAnsi"/>
          <w:i/>
          <w:iCs/>
          <w:color w:val="auto"/>
          <w:sz w:val="22"/>
          <w:szCs w:val="22"/>
        </w:rPr>
      </w:pPr>
      <w:r w:rsidRPr="00A34F8A">
        <w:rPr>
          <w:rFonts w:asciiTheme="minorHAnsi" w:hAnsiTheme="minorHAnsi" w:cstheme="minorHAnsi"/>
          <w:i/>
          <w:iCs/>
          <w:color w:val="auto"/>
          <w:sz w:val="22"/>
          <w:szCs w:val="22"/>
        </w:rPr>
        <w:t>Administrative cost = input cost * time * population</w:t>
      </w:r>
    </w:p>
    <w:p w14:paraId="7EB182A7" w14:textId="77777777" w:rsidR="00DE4115" w:rsidRPr="00A34F8A" w:rsidRDefault="00DE4115" w:rsidP="00DE4115">
      <w:pPr>
        <w:rPr>
          <w:rFonts w:asciiTheme="minorHAnsi" w:hAnsiTheme="minorHAnsi" w:cstheme="minorHAnsi"/>
          <w:szCs w:val="22"/>
        </w:rPr>
      </w:pPr>
      <w:r w:rsidRPr="00A34F8A">
        <w:rPr>
          <w:rFonts w:asciiTheme="minorHAnsi" w:hAnsiTheme="minorHAnsi" w:cstheme="minorHAnsi"/>
          <w:szCs w:val="22"/>
        </w:rPr>
        <w:t>Where:</w:t>
      </w:r>
    </w:p>
    <w:p w14:paraId="7AEE2DE9" w14:textId="77777777" w:rsidR="00DE4115" w:rsidRPr="00A34F8A" w:rsidRDefault="00DE4115" w:rsidP="00DE4115">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Inputs = $70 hourly cost (wages, overhead and non-wage costs)</w:t>
      </w:r>
    </w:p>
    <w:p w14:paraId="1E643D8E" w14:textId="77777777" w:rsidR="00DE4115" w:rsidRPr="00A34F8A" w:rsidRDefault="00DE4115" w:rsidP="00DE4115">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Time = 1 hour to complete the registration</w:t>
      </w:r>
    </w:p>
    <w:p w14:paraId="069A3872" w14:textId="77777777" w:rsidR="00DE4115" w:rsidRPr="00A34F8A" w:rsidRDefault="00DE4115" w:rsidP="00DE4115">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Population (current scope) = 1,109 registrations per year</w:t>
      </w:r>
    </w:p>
    <w:p w14:paraId="6574284E" w14:textId="77777777" w:rsidR="00DE4115" w:rsidRPr="00A34F8A" w:rsidRDefault="00DE4115" w:rsidP="00DE4115">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Population (expanded scope) = 6,632 registrations per year</w:t>
      </w:r>
    </w:p>
    <w:p w14:paraId="343B2FB3" w14:textId="77777777" w:rsidR="00DE4115" w:rsidRPr="00A34F8A" w:rsidRDefault="00DE4115" w:rsidP="00DE4115">
      <w:pPr>
        <w:rPr>
          <w:rFonts w:asciiTheme="minorHAnsi" w:hAnsiTheme="minorHAnsi" w:cstheme="minorHAnsi"/>
          <w:szCs w:val="22"/>
        </w:rPr>
      </w:pPr>
      <w:r w:rsidRPr="00A34F8A">
        <w:rPr>
          <w:rFonts w:asciiTheme="minorHAnsi" w:hAnsiTheme="minorHAnsi" w:cstheme="minorHAnsi"/>
          <w:szCs w:val="22"/>
        </w:rPr>
        <w:t xml:space="preserve">The average cost of testing an EPS is assumed to be $888 AUD ($600 USD quoted by a supplier in interviews) and all registered products are assumed to require testing. Registration fees are $440 per registration. Note that registrations last for five years. For Scenario 4 and 5 we have assumed that the regulation has been amended to adopt international testing standards so that additional testing is not required to register a product in Australia or New Zealand. </w:t>
      </w:r>
    </w:p>
    <w:p w14:paraId="5DA1A710" w14:textId="0DB982D0" w:rsidR="00DE4115" w:rsidRPr="00A34F8A" w:rsidRDefault="00DE4115" w:rsidP="00DE4115">
      <w:pPr>
        <w:rPr>
          <w:rFonts w:asciiTheme="minorHAnsi" w:hAnsiTheme="minorHAnsi" w:cstheme="minorHAnsi"/>
          <w:szCs w:val="22"/>
        </w:rPr>
      </w:pPr>
      <w:r w:rsidRPr="00A34F8A">
        <w:rPr>
          <w:rFonts w:asciiTheme="minorHAnsi" w:hAnsiTheme="minorHAnsi" w:cstheme="minorHAnsi"/>
          <w:szCs w:val="22"/>
        </w:rPr>
        <w:t xml:space="preserve">Note that approximately 2% of products are registered in New Zealand. The above costs have been applied to 2% of registrations to calculate the New Zealand industry costs. </w:t>
      </w:r>
      <w:r w:rsidR="005B3861">
        <w:rPr>
          <w:rFonts w:asciiTheme="minorHAnsi" w:hAnsiTheme="minorHAnsi" w:cstheme="minorHAnsi"/>
          <w:szCs w:val="22"/>
        </w:rPr>
        <w:t>But the registration fees have not been included for New Zealand, as there are none for importers/manufacturers.</w:t>
      </w:r>
    </w:p>
    <w:p w14:paraId="638D1581" w14:textId="3C7547E3" w:rsidR="00DE4115" w:rsidRPr="00E7062A" w:rsidRDefault="00DE4115" w:rsidP="00E7062A">
      <w:pPr>
        <w:pStyle w:val="Heading3"/>
      </w:pPr>
      <w:bookmarkStart w:id="112" w:name="_Toc168660654"/>
      <w:bookmarkStart w:id="113" w:name="_Toc183163264"/>
      <w:r w:rsidRPr="00E7062A">
        <w:t>Incremental product cost for increased efficiency</w:t>
      </w:r>
      <w:bookmarkEnd w:id="112"/>
      <w:bookmarkEnd w:id="113"/>
    </w:p>
    <w:p w14:paraId="1F809DE3" w14:textId="1F8C67EE" w:rsidR="00DE49F8" w:rsidRPr="00A34F8A" w:rsidRDefault="00DE49F8" w:rsidP="00DE49F8">
      <w:pPr>
        <w:rPr>
          <w:rFonts w:asciiTheme="minorHAnsi" w:hAnsiTheme="minorHAnsi" w:cstheme="minorHAnsi"/>
          <w:szCs w:val="22"/>
        </w:rPr>
      </w:pPr>
      <w:r w:rsidRPr="00A34F8A">
        <w:rPr>
          <w:rFonts w:asciiTheme="minorHAnsi" w:hAnsiTheme="minorHAnsi" w:cstheme="minorHAnsi"/>
          <w:szCs w:val="22"/>
        </w:rPr>
        <w:t xml:space="preserve">We have extrapolated the cost efficiency curves that were developed for the different product categories in the US DOE analysis. Mark VI was the baseline scenario in the US analysis; hence we have had to readjust our cost baseline to mark III for this analysis (see example for SV AC-DC Basic Voltage (24W) devices in </w:t>
      </w:r>
      <w:r w:rsidRPr="00A34F8A">
        <w:rPr>
          <w:rFonts w:asciiTheme="minorHAnsi" w:hAnsiTheme="minorHAnsi" w:cstheme="minorHAnsi"/>
          <w:i/>
          <w:iCs/>
          <w:szCs w:val="22"/>
        </w:rPr>
        <w:fldChar w:fldCharType="begin" w:fldLock="1"/>
      </w:r>
      <w:r w:rsidRPr="00A34F8A">
        <w:rPr>
          <w:rFonts w:asciiTheme="minorHAnsi" w:hAnsiTheme="minorHAnsi" w:cstheme="minorHAnsi"/>
          <w:szCs w:val="22"/>
        </w:rPr>
        <w:instrText xml:space="preserve"> REF _Ref132893329 \h </w:instrText>
      </w:r>
      <w:r w:rsidR="00A34F8A" w:rsidRPr="00A34F8A">
        <w:rPr>
          <w:rFonts w:asciiTheme="minorHAnsi" w:hAnsiTheme="minorHAnsi" w:cstheme="minorHAnsi"/>
          <w:i/>
          <w:iCs/>
          <w:szCs w:val="22"/>
        </w:rPr>
        <w:instrText xml:space="preserve"> \* MERGEFORMAT </w:instrText>
      </w:r>
      <w:r w:rsidRPr="00A34F8A">
        <w:rPr>
          <w:rFonts w:asciiTheme="minorHAnsi" w:hAnsiTheme="minorHAnsi" w:cstheme="minorHAnsi"/>
          <w:i/>
          <w:iCs/>
          <w:szCs w:val="22"/>
        </w:rPr>
      </w:r>
      <w:r w:rsidRPr="00A34F8A">
        <w:rPr>
          <w:rFonts w:asciiTheme="minorHAnsi" w:hAnsiTheme="minorHAnsi" w:cstheme="minorHAnsi"/>
          <w:i/>
          <w:iCs/>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7</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This process has been followed for each of the product classes.</w:t>
      </w:r>
    </w:p>
    <w:p w14:paraId="2435C5F6" w14:textId="77777777" w:rsidR="00DE49F8" w:rsidRPr="00A34F8A" w:rsidRDefault="00DE49F8" w:rsidP="00DE49F8">
      <w:pPr>
        <w:pStyle w:val="Caption"/>
        <w:rPr>
          <w:rFonts w:asciiTheme="minorHAnsi" w:hAnsiTheme="minorHAnsi" w:cstheme="minorHAnsi"/>
          <w:sz w:val="22"/>
          <w:szCs w:val="22"/>
        </w:rPr>
      </w:pPr>
      <w:r w:rsidRPr="00A34F8A">
        <w:rPr>
          <w:rFonts w:asciiTheme="minorHAnsi" w:hAnsiTheme="minorHAnsi" w:cstheme="minorHAnsi"/>
          <w:noProof/>
          <w:sz w:val="22"/>
          <w:szCs w:val="22"/>
        </w:rPr>
        <w:lastRenderedPageBreak/>
        <w:drawing>
          <wp:inline distT="0" distB="0" distL="0" distR="0" wp14:anchorId="4FC06405" wp14:editId="44F81A2E">
            <wp:extent cx="5371464" cy="3628390"/>
            <wp:effectExtent l="0" t="0" r="635" b="3810"/>
            <wp:docPr id="554347195" name="Picture 554347195" descr="A graph depicting the cost efficiency curve extrapolated from US DOE analysis for SV AC-DC Basic Voltage 24W EPS (US Department of Energy, 2022).  The chart shows the increasing cost of higher efficiency external power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47195" name="Picture 554347195" descr="A graph depicting the cost efficiency curve extrapolated from US DOE analysis for SV AC-DC Basic Voltage 24W EPS (US Department of Energy, 2022).  The chart shows the increasing cost of higher efficiency external power supplies."/>
                    <pic:cNvPicPr/>
                  </pic:nvPicPr>
                  <pic:blipFill>
                    <a:blip r:embed="rId26">
                      <a:extLst>
                        <a:ext uri="{28A0092B-C50C-407E-A947-70E740481C1C}">
                          <a14:useLocalDpi xmlns:a14="http://schemas.microsoft.com/office/drawing/2010/main" val="0"/>
                        </a:ext>
                      </a:extLst>
                    </a:blip>
                    <a:stretch>
                      <a:fillRect/>
                    </a:stretch>
                  </pic:blipFill>
                  <pic:spPr>
                    <a:xfrm>
                      <a:off x="0" y="0"/>
                      <a:ext cx="5371464" cy="3628390"/>
                    </a:xfrm>
                    <a:prstGeom prst="rect">
                      <a:avLst/>
                    </a:prstGeom>
                  </pic:spPr>
                </pic:pic>
              </a:graphicData>
            </a:graphic>
          </wp:inline>
        </w:drawing>
      </w:r>
    </w:p>
    <w:p w14:paraId="3DF8468F" w14:textId="77777777" w:rsidR="00DE49F8" w:rsidRPr="00A34F8A" w:rsidRDefault="00DE49F8" w:rsidP="00DE49F8">
      <w:pPr>
        <w:pStyle w:val="Caption"/>
        <w:rPr>
          <w:rFonts w:asciiTheme="minorHAnsi" w:hAnsiTheme="minorHAnsi" w:cstheme="minorHAnsi"/>
          <w:sz w:val="22"/>
          <w:szCs w:val="22"/>
        </w:rPr>
      </w:pPr>
      <w:bookmarkStart w:id="114" w:name="_Ref132893329"/>
    </w:p>
    <w:p w14:paraId="78B7ADC5" w14:textId="655C6A99" w:rsidR="00DE49F8" w:rsidRPr="00A34F8A" w:rsidRDefault="00DE49F8" w:rsidP="00DE49F8">
      <w:pPr>
        <w:pStyle w:val="Caption"/>
        <w:rPr>
          <w:rFonts w:asciiTheme="minorHAnsi" w:hAnsiTheme="minorHAnsi" w:cstheme="minorHAnsi"/>
          <w:color w:val="auto"/>
          <w:sz w:val="22"/>
          <w:szCs w:val="22"/>
        </w:rPr>
      </w:pPr>
      <w:r w:rsidRPr="00A34F8A">
        <w:rPr>
          <w:rFonts w:asciiTheme="minorHAnsi" w:hAnsiTheme="minorHAnsi" w:cstheme="minorHAnsi"/>
          <w:color w:val="auto"/>
          <w:sz w:val="22"/>
          <w:szCs w:val="22"/>
        </w:rPr>
        <w:t xml:space="preserve">Figure </w:t>
      </w:r>
      <w:r w:rsidRPr="00A34F8A">
        <w:rPr>
          <w:rFonts w:asciiTheme="minorHAnsi" w:hAnsiTheme="minorHAnsi" w:cstheme="minorHAnsi"/>
          <w:color w:val="auto"/>
          <w:sz w:val="22"/>
          <w:szCs w:val="22"/>
        </w:rPr>
        <w:fldChar w:fldCharType="begin"/>
      </w:r>
      <w:r w:rsidRPr="00A34F8A">
        <w:rPr>
          <w:rFonts w:asciiTheme="minorHAnsi" w:hAnsiTheme="minorHAnsi" w:cstheme="minorHAnsi"/>
          <w:color w:val="auto"/>
          <w:sz w:val="22"/>
          <w:szCs w:val="22"/>
        </w:rPr>
        <w:instrText>SEQ Figure \* ARABIC</w:instrText>
      </w:r>
      <w:r w:rsidRPr="00A34F8A">
        <w:rPr>
          <w:rFonts w:asciiTheme="minorHAnsi" w:hAnsiTheme="minorHAnsi" w:cstheme="minorHAnsi"/>
          <w:color w:val="auto"/>
          <w:sz w:val="22"/>
          <w:szCs w:val="22"/>
        </w:rPr>
        <w:fldChar w:fldCharType="separate"/>
      </w:r>
      <w:r w:rsidR="00C6363F">
        <w:rPr>
          <w:rFonts w:asciiTheme="minorHAnsi" w:hAnsiTheme="minorHAnsi" w:cstheme="minorHAnsi"/>
          <w:noProof/>
          <w:color w:val="auto"/>
          <w:sz w:val="22"/>
          <w:szCs w:val="22"/>
        </w:rPr>
        <w:t>7</w:t>
      </w:r>
      <w:r w:rsidRPr="00A34F8A">
        <w:rPr>
          <w:rFonts w:asciiTheme="minorHAnsi" w:hAnsiTheme="minorHAnsi" w:cstheme="minorHAnsi"/>
          <w:color w:val="auto"/>
          <w:sz w:val="22"/>
          <w:szCs w:val="22"/>
        </w:rPr>
        <w:fldChar w:fldCharType="end"/>
      </w:r>
      <w:bookmarkEnd w:id="114"/>
      <w:r w:rsidRPr="00A34F8A">
        <w:rPr>
          <w:rFonts w:asciiTheme="minorHAnsi" w:hAnsiTheme="minorHAnsi" w:cstheme="minorHAnsi"/>
          <w:color w:val="auto"/>
          <w:sz w:val="22"/>
          <w:szCs w:val="22"/>
        </w:rPr>
        <w:t xml:space="preserve">: Cost-efficiency curve extrapolated from US DOE analysis for SV AC-DC Basic Voltage 24W EPS </w:t>
      </w:r>
      <w:sdt>
        <w:sdtPr>
          <w:rPr>
            <w:rFonts w:asciiTheme="minorHAnsi" w:hAnsiTheme="minorHAnsi" w:cstheme="minorHAnsi"/>
            <w:color w:val="auto"/>
            <w:sz w:val="22"/>
            <w:szCs w:val="22"/>
          </w:rPr>
          <w:id w:val="1890463713"/>
          <w:citation/>
        </w:sdtPr>
        <w:sdtContent>
          <w:r w:rsidRPr="00A34F8A">
            <w:rPr>
              <w:rFonts w:asciiTheme="minorHAnsi" w:hAnsiTheme="minorHAnsi" w:cstheme="minorHAnsi"/>
              <w:color w:val="auto"/>
              <w:sz w:val="22"/>
              <w:szCs w:val="22"/>
            </w:rPr>
            <w:fldChar w:fldCharType="begin"/>
          </w:r>
          <w:r w:rsidRPr="00A34F8A">
            <w:rPr>
              <w:rFonts w:asciiTheme="minorHAnsi" w:hAnsiTheme="minorHAnsi" w:cstheme="minorHAnsi"/>
              <w:color w:val="auto"/>
              <w:sz w:val="22"/>
              <w:szCs w:val="22"/>
            </w:rPr>
            <w:instrText xml:space="preserve">CITATION Placeholder1 \l 3081 </w:instrText>
          </w:r>
          <w:r w:rsidRPr="00A34F8A">
            <w:rPr>
              <w:rFonts w:asciiTheme="minorHAnsi" w:hAnsiTheme="minorHAnsi" w:cstheme="minorHAnsi"/>
              <w:color w:val="auto"/>
              <w:sz w:val="22"/>
              <w:szCs w:val="22"/>
            </w:rPr>
            <w:fldChar w:fldCharType="separate"/>
          </w:r>
          <w:r w:rsidR="002E2541" w:rsidRPr="002E2541">
            <w:rPr>
              <w:rFonts w:asciiTheme="minorHAnsi" w:hAnsiTheme="minorHAnsi" w:cstheme="minorHAnsi"/>
              <w:noProof/>
              <w:color w:val="auto"/>
              <w:sz w:val="22"/>
              <w:szCs w:val="22"/>
            </w:rPr>
            <w:t>(US Department of Energy, 2022)</w:t>
          </w:r>
          <w:r w:rsidRPr="00A34F8A">
            <w:rPr>
              <w:rFonts w:asciiTheme="minorHAnsi" w:hAnsiTheme="minorHAnsi" w:cstheme="minorHAnsi"/>
              <w:color w:val="auto"/>
              <w:sz w:val="22"/>
              <w:szCs w:val="22"/>
            </w:rPr>
            <w:fldChar w:fldCharType="end"/>
          </w:r>
        </w:sdtContent>
      </w:sdt>
      <w:r w:rsidRPr="00A34F8A">
        <w:rPr>
          <w:rFonts w:asciiTheme="minorHAnsi" w:hAnsiTheme="minorHAnsi" w:cstheme="minorHAnsi"/>
          <w:color w:val="auto"/>
          <w:sz w:val="22"/>
          <w:szCs w:val="22"/>
        </w:rPr>
        <w:t>. Blue crosses represent mark III, mark IV and mark V efficiency levels, red dots represent the US efficiency scenarios tested (including mark VI and the proposed 2027 updated regulation)</w:t>
      </w:r>
    </w:p>
    <w:p w14:paraId="70F249DE" w14:textId="77777777" w:rsidR="0007188A" w:rsidRPr="00A34F8A" w:rsidRDefault="0007188A" w:rsidP="00DE49F8">
      <w:pPr>
        <w:rPr>
          <w:rFonts w:asciiTheme="minorHAnsi" w:hAnsiTheme="minorHAnsi" w:cstheme="minorHAnsi"/>
          <w:szCs w:val="22"/>
        </w:rPr>
      </w:pPr>
    </w:p>
    <w:p w14:paraId="3B902840" w14:textId="6D304C76" w:rsidR="00DE49F8" w:rsidRPr="00A34F8A" w:rsidRDefault="00DE49F8" w:rsidP="00DE49F8">
      <w:pPr>
        <w:rPr>
          <w:rFonts w:asciiTheme="minorHAnsi" w:hAnsiTheme="minorHAnsi" w:cstheme="minorHAnsi"/>
          <w:szCs w:val="22"/>
        </w:rPr>
      </w:pPr>
      <w:r w:rsidRPr="00A34F8A">
        <w:rPr>
          <w:rFonts w:asciiTheme="minorHAnsi" w:hAnsiTheme="minorHAnsi" w:cstheme="minorHAnsi"/>
          <w:szCs w:val="22"/>
        </w:rPr>
        <w:t>We have also included an industry learning factor to account for reduced product manufacturing costs to achieve mark VI since the original implementation of the mark III MEPS level. This reflects stakeholder feedback that the current additional cost to manufacture a mark VI efficiency level is low for most products.</w:t>
      </w:r>
    </w:p>
    <w:p w14:paraId="2464F2B9" w14:textId="77777777" w:rsidR="00DE49F8" w:rsidRPr="00A34F8A" w:rsidRDefault="00DE49F8" w:rsidP="00DE49F8">
      <w:pPr>
        <w:rPr>
          <w:rFonts w:asciiTheme="minorHAnsi" w:hAnsiTheme="minorHAnsi" w:cstheme="minorHAnsi"/>
          <w:szCs w:val="22"/>
        </w:rPr>
      </w:pPr>
      <w:r w:rsidRPr="00A34F8A">
        <w:rPr>
          <w:rFonts w:asciiTheme="minorHAnsi" w:hAnsiTheme="minorHAnsi" w:cstheme="minorHAnsi"/>
          <w:szCs w:val="22"/>
        </w:rPr>
        <w:t xml:space="preserve">These costs are included as a private industry cost in the Australian analysis. For New Zealand, 50% of the incremental manufacturing costs for compliant products are included as a societal cost to reflect the avoidable economic burden to the community. </w:t>
      </w:r>
    </w:p>
    <w:p w14:paraId="32F2D3FC" w14:textId="53473B22" w:rsidR="00DE49F8" w:rsidRPr="00E7062A" w:rsidRDefault="00DE49F8" w:rsidP="00E7062A">
      <w:pPr>
        <w:pStyle w:val="Heading3"/>
      </w:pPr>
      <w:bookmarkStart w:id="115" w:name="_Toc168660655"/>
      <w:bookmarkStart w:id="116" w:name="_Toc183163265"/>
      <w:r w:rsidRPr="00E7062A">
        <w:t>Electricity prices</w:t>
      </w:r>
      <w:bookmarkEnd w:id="115"/>
      <w:bookmarkEnd w:id="116"/>
    </w:p>
    <w:p w14:paraId="3319C87C" w14:textId="488DE71F" w:rsidR="00A64BE5" w:rsidRPr="00A34F8A" w:rsidRDefault="00A64BE5" w:rsidP="00A64BE5">
      <w:pPr>
        <w:rPr>
          <w:rFonts w:asciiTheme="minorHAnsi" w:hAnsiTheme="minorHAnsi" w:cstheme="minorHAnsi"/>
          <w:szCs w:val="22"/>
        </w:rPr>
      </w:pPr>
      <w:r w:rsidRPr="00A34F8A">
        <w:rPr>
          <w:rFonts w:asciiTheme="minorHAnsi" w:hAnsiTheme="minorHAnsi" w:cstheme="minorHAnsi"/>
          <w:szCs w:val="22"/>
        </w:rPr>
        <w:t xml:space="preserve">We have assumed the same retail electricity price projections for Australian jurisdictions as those used in the DRIS for the NCC 2022 update (see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_Ref141101036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8</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w:t>
      </w:r>
      <w:sdt>
        <w:sdtPr>
          <w:rPr>
            <w:rFonts w:asciiTheme="minorHAnsi" w:hAnsiTheme="minorHAnsi" w:cstheme="minorHAnsi"/>
            <w:szCs w:val="22"/>
          </w:rPr>
          <w:id w:val="-93871057"/>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ACI22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(ACIL Allen,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As EPS sales are unlikely to differ by state, apart from by population, we used a population weighted average national electricity price. In New Zealand as the cost benefit is calculated at a societal level, the Long Run Marginal Cost (LRMC) of electricity is used. </w:t>
      </w:r>
    </w:p>
    <w:p w14:paraId="7F2D0067" w14:textId="77777777" w:rsidR="00A64BE5" w:rsidRPr="00A34F8A" w:rsidRDefault="00A64BE5" w:rsidP="00A64BE5">
      <w:pPr>
        <w:rPr>
          <w:rFonts w:asciiTheme="minorHAnsi" w:hAnsiTheme="minorHAnsi" w:cstheme="minorHAnsi"/>
          <w:szCs w:val="22"/>
        </w:rPr>
      </w:pPr>
      <w:r w:rsidRPr="00A34F8A">
        <w:rPr>
          <w:rFonts w:asciiTheme="minorHAnsi" w:hAnsiTheme="minorHAnsi" w:cstheme="minorHAnsi"/>
          <w:noProof/>
          <w:szCs w:val="22"/>
        </w:rPr>
        <w:lastRenderedPageBreak/>
        <w:drawing>
          <wp:inline distT="0" distB="0" distL="0" distR="0" wp14:anchorId="65D1DCB8" wp14:editId="21F0EE35">
            <wp:extent cx="5249171" cy="3241068"/>
            <wp:effectExtent l="0" t="0" r="8890" b="0"/>
            <wp:docPr id="884796906" name="Picture 884796906" descr="A line graph showing the retail electricity price projections to 2040 by State and Territory and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96906" name="Picture 884796906" descr="A line graph showing the retail electricity price projections to 2040 by State and Territory and for New Zeal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8454" cy="3252974"/>
                    </a:xfrm>
                    <a:prstGeom prst="rect">
                      <a:avLst/>
                    </a:prstGeom>
                    <a:noFill/>
                  </pic:spPr>
                </pic:pic>
              </a:graphicData>
            </a:graphic>
          </wp:inline>
        </w:drawing>
      </w:r>
    </w:p>
    <w:p w14:paraId="7C757AEE" w14:textId="7B8DB8C1" w:rsidR="00A64BE5" w:rsidRPr="00A34F8A" w:rsidRDefault="00A64BE5" w:rsidP="00A64BE5">
      <w:pPr>
        <w:pStyle w:val="Caption"/>
        <w:rPr>
          <w:rFonts w:asciiTheme="minorHAnsi" w:hAnsiTheme="minorHAnsi" w:cstheme="minorHAnsi"/>
          <w:sz w:val="22"/>
          <w:szCs w:val="22"/>
        </w:rPr>
      </w:pPr>
      <w:bookmarkStart w:id="117" w:name="_Ref141101036"/>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Figure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8</w:t>
      </w:r>
      <w:r w:rsidRPr="00A34F8A">
        <w:rPr>
          <w:rFonts w:asciiTheme="minorHAnsi" w:hAnsiTheme="minorHAnsi" w:cstheme="minorHAnsi"/>
          <w:sz w:val="22"/>
          <w:szCs w:val="22"/>
        </w:rPr>
        <w:fldChar w:fldCharType="end"/>
      </w:r>
      <w:bookmarkEnd w:id="117"/>
      <w:r w:rsidRPr="00A34F8A">
        <w:rPr>
          <w:rFonts w:asciiTheme="minorHAnsi" w:hAnsiTheme="minorHAnsi" w:cstheme="minorHAnsi"/>
          <w:sz w:val="22"/>
          <w:szCs w:val="22"/>
        </w:rPr>
        <w:t xml:space="preserve">: Retail electricity price projections by jurisdiction (NCC DRIS, ACIL Allen </w:t>
      </w:r>
      <w:sdt>
        <w:sdtPr>
          <w:rPr>
            <w:rFonts w:asciiTheme="minorHAnsi" w:hAnsiTheme="minorHAnsi" w:cstheme="minorHAnsi"/>
            <w:sz w:val="22"/>
            <w:szCs w:val="22"/>
          </w:rPr>
          <w:id w:val="-2074500464"/>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ACI22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(ACIL Allen, 2022)</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 xml:space="preserve"> – adjusted to 2022 pricing, added NZ). Note LRMC is the long run marginal cost of electricity</w:t>
      </w:r>
    </w:p>
    <w:p w14:paraId="41FA050E" w14:textId="77777777" w:rsidR="00A64BE5" w:rsidRPr="00A34F8A" w:rsidRDefault="00A64BE5" w:rsidP="00A64BE5">
      <w:pPr>
        <w:rPr>
          <w:rFonts w:asciiTheme="minorHAnsi" w:hAnsiTheme="minorHAnsi" w:cstheme="minorHAnsi"/>
          <w:szCs w:val="22"/>
        </w:rPr>
      </w:pPr>
    </w:p>
    <w:p w14:paraId="2FA0C905" w14:textId="10067D35" w:rsidR="00A64BE5" w:rsidRPr="00A34F8A" w:rsidRDefault="00A64BE5" w:rsidP="00A64BE5">
      <w:pPr>
        <w:rPr>
          <w:rFonts w:asciiTheme="minorHAnsi" w:hAnsiTheme="minorHAnsi" w:cstheme="minorHAnsi"/>
          <w:szCs w:val="22"/>
        </w:rPr>
      </w:pPr>
      <w:r w:rsidRPr="00A34F8A">
        <w:rPr>
          <w:rFonts w:asciiTheme="minorHAnsi" w:hAnsiTheme="minorHAnsi" w:cstheme="minorHAnsi"/>
          <w:szCs w:val="22"/>
        </w:rPr>
        <w:t xml:space="preserve">We have used the same commercial/residential electricity pricing ratios developed for the Electronic </w:t>
      </w:r>
      <w:r w:rsidR="005B3861">
        <w:rPr>
          <w:rFonts w:asciiTheme="minorHAnsi" w:hAnsiTheme="minorHAnsi" w:cstheme="minorHAnsi"/>
          <w:szCs w:val="22"/>
        </w:rPr>
        <w:t>Displays</w:t>
      </w:r>
      <w:r w:rsidRPr="00A34F8A">
        <w:rPr>
          <w:rFonts w:asciiTheme="minorHAnsi" w:hAnsiTheme="minorHAnsi" w:cstheme="minorHAnsi"/>
          <w:szCs w:val="22"/>
        </w:rPr>
        <w:t xml:space="preserve"> C-RIS. These were developed based on a review of commercial electricity tariffs offered by larger electricity retailers. The assumptions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_Ref132971536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14</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w:t>
      </w:r>
    </w:p>
    <w:p w14:paraId="464CA3FA" w14:textId="77777777" w:rsidR="00A64BE5" w:rsidRPr="00A34F8A" w:rsidRDefault="00A64BE5" w:rsidP="00A64BE5">
      <w:pPr>
        <w:pStyle w:val="BlueLineTop"/>
        <w:rPr>
          <w:rFonts w:asciiTheme="minorHAnsi" w:hAnsiTheme="minorHAnsi" w:cstheme="minorHAnsi"/>
          <w:sz w:val="22"/>
          <w:szCs w:val="22"/>
        </w:rPr>
      </w:pPr>
    </w:p>
    <w:p w14:paraId="053B7B86" w14:textId="721F2D25" w:rsidR="00A64BE5" w:rsidRPr="00A34F8A" w:rsidRDefault="00A64BE5" w:rsidP="00A64BE5">
      <w:pPr>
        <w:pStyle w:val="Caption"/>
        <w:rPr>
          <w:rFonts w:asciiTheme="minorHAnsi" w:hAnsiTheme="minorHAnsi" w:cstheme="minorHAnsi"/>
          <w:sz w:val="22"/>
          <w:szCs w:val="22"/>
        </w:rPr>
      </w:pPr>
      <w:bookmarkStart w:id="118" w:name="_Ref132971536"/>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14</w:t>
      </w:r>
      <w:r w:rsidRPr="00A34F8A">
        <w:rPr>
          <w:rFonts w:asciiTheme="minorHAnsi" w:hAnsiTheme="minorHAnsi" w:cstheme="minorHAnsi"/>
          <w:sz w:val="22"/>
          <w:szCs w:val="22"/>
        </w:rPr>
        <w:fldChar w:fldCharType="end"/>
      </w:r>
      <w:bookmarkEnd w:id="118"/>
      <w:r w:rsidRPr="00A34F8A">
        <w:rPr>
          <w:rFonts w:asciiTheme="minorHAnsi" w:hAnsiTheme="minorHAnsi" w:cstheme="minorHAnsi"/>
          <w:sz w:val="22"/>
          <w:szCs w:val="22"/>
        </w:rPr>
        <w:t>: Commercial/Residential electricity price ratio by jurisdiction. Electronic Screens CRIS assumptions provided by DCCEEW.</w:t>
      </w:r>
    </w:p>
    <w:tbl>
      <w:tblPr>
        <w:tblStyle w:val="ComCap4-nested"/>
        <w:tblW w:w="5335" w:type="pct"/>
        <w:tblInd w:w="-567" w:type="dxa"/>
        <w:tblBorders>
          <w:insideV w:val="single" w:sz="4" w:space="0" w:color="auto"/>
        </w:tblBorders>
        <w:tblLook w:val="04A0" w:firstRow="1" w:lastRow="0" w:firstColumn="1" w:lastColumn="0" w:noHBand="0" w:noVBand="1"/>
      </w:tblPr>
      <w:tblGrid>
        <w:gridCol w:w="3933"/>
        <w:gridCol w:w="5093"/>
      </w:tblGrid>
      <w:tr w:rsidR="00DA1EBB" w:rsidRPr="00A34F8A" w14:paraId="1853290E" w14:textId="77777777" w:rsidTr="00D5406A">
        <w:trPr>
          <w:cnfStyle w:val="100000000000" w:firstRow="1" w:lastRow="0" w:firstColumn="0" w:lastColumn="0" w:oddVBand="0" w:evenVBand="0" w:oddHBand="0" w:evenHBand="0" w:firstRowFirstColumn="0" w:firstRowLastColumn="0" w:lastRowFirstColumn="0" w:lastRowLastColumn="0"/>
          <w:tblHeader/>
        </w:trPr>
        <w:tc>
          <w:tcPr>
            <w:tcW w:w="0" w:type="pct"/>
            <w:tcBorders>
              <w:right w:val="single" w:sz="4" w:space="0" w:color="C4BC96" w:themeColor="background2" w:themeShade="BF"/>
            </w:tcBorders>
            <w:tcMar>
              <w:top w:w="57" w:type="dxa"/>
              <w:left w:w="57" w:type="dxa"/>
              <w:bottom w:w="57" w:type="dxa"/>
              <w:right w:w="57" w:type="dxa"/>
            </w:tcMar>
          </w:tcPr>
          <w:p w14:paraId="55FE8504" w14:textId="77777777" w:rsidR="00A64BE5" w:rsidRPr="00A34F8A" w:rsidRDefault="00A64BE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Jurisdiction</w:t>
            </w:r>
          </w:p>
        </w:tc>
        <w:tc>
          <w:tcPr>
            <w:tcW w:w="0" w:type="pct"/>
            <w:tcBorders>
              <w:left w:val="single" w:sz="4" w:space="0" w:color="C4BC96" w:themeColor="background2" w:themeShade="BF"/>
            </w:tcBorders>
            <w:tcMar>
              <w:top w:w="57" w:type="dxa"/>
              <w:left w:w="57" w:type="dxa"/>
              <w:bottom w:w="57" w:type="dxa"/>
              <w:right w:w="57" w:type="dxa"/>
            </w:tcMar>
          </w:tcPr>
          <w:p w14:paraId="2041D348" w14:textId="77777777" w:rsidR="00A64BE5" w:rsidRPr="00A34F8A" w:rsidRDefault="00A64BE5"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Commercial/Residential ratio</w:t>
            </w:r>
          </w:p>
        </w:tc>
      </w:tr>
      <w:tr w:rsidR="00735506" w:rsidRPr="00A34F8A" w14:paraId="5087FEBA" w14:textId="77777777" w:rsidTr="00D5406A">
        <w:trPr>
          <w:trHeight w:val="26"/>
        </w:trPr>
        <w:tc>
          <w:tcPr>
            <w:tcW w:w="0" w:type="pct"/>
            <w:tcBorders>
              <w:right w:val="single" w:sz="4" w:space="0" w:color="C4BC96" w:themeColor="background2" w:themeShade="BF"/>
            </w:tcBorders>
            <w:tcMar>
              <w:top w:w="57" w:type="dxa"/>
              <w:left w:w="57" w:type="dxa"/>
              <w:bottom w:w="57" w:type="dxa"/>
              <w:right w:w="57" w:type="dxa"/>
            </w:tcMar>
          </w:tcPr>
          <w:p w14:paraId="495AC4E5"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NSW</w:t>
            </w:r>
          </w:p>
        </w:tc>
        <w:tc>
          <w:tcPr>
            <w:tcW w:w="0" w:type="pct"/>
            <w:tcBorders>
              <w:left w:val="single" w:sz="4" w:space="0" w:color="AEAAAA"/>
            </w:tcBorders>
            <w:tcMar>
              <w:top w:w="57" w:type="dxa"/>
              <w:left w:w="57" w:type="dxa"/>
              <w:bottom w:w="57" w:type="dxa"/>
              <w:right w:w="57" w:type="dxa"/>
            </w:tcMar>
          </w:tcPr>
          <w:p w14:paraId="3A40519E"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1.296</w:t>
            </w:r>
          </w:p>
        </w:tc>
      </w:tr>
      <w:tr w:rsidR="00735506" w:rsidRPr="00A34F8A" w14:paraId="17A7852E"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0C4407BB"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VIC</w:t>
            </w:r>
          </w:p>
        </w:tc>
        <w:tc>
          <w:tcPr>
            <w:tcW w:w="0" w:type="pct"/>
            <w:tcBorders>
              <w:left w:val="single" w:sz="4" w:space="0" w:color="AEAAAA"/>
            </w:tcBorders>
            <w:tcMar>
              <w:top w:w="57" w:type="dxa"/>
              <w:left w:w="57" w:type="dxa"/>
              <w:bottom w:w="57" w:type="dxa"/>
              <w:right w:w="57" w:type="dxa"/>
            </w:tcMar>
          </w:tcPr>
          <w:p w14:paraId="28E94277"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1.129</w:t>
            </w:r>
          </w:p>
        </w:tc>
      </w:tr>
      <w:tr w:rsidR="00735506" w:rsidRPr="00A34F8A" w14:paraId="4E9587D3"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10AD0729"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QLD</w:t>
            </w:r>
          </w:p>
        </w:tc>
        <w:tc>
          <w:tcPr>
            <w:tcW w:w="0" w:type="pct"/>
            <w:tcBorders>
              <w:left w:val="single" w:sz="4" w:space="0" w:color="AEAAAA"/>
            </w:tcBorders>
            <w:tcMar>
              <w:top w:w="57" w:type="dxa"/>
              <w:left w:w="57" w:type="dxa"/>
              <w:bottom w:w="57" w:type="dxa"/>
              <w:right w:w="57" w:type="dxa"/>
            </w:tcMar>
          </w:tcPr>
          <w:p w14:paraId="58F87461"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1.303</w:t>
            </w:r>
          </w:p>
        </w:tc>
      </w:tr>
      <w:tr w:rsidR="00735506" w:rsidRPr="00A34F8A" w14:paraId="1717A105"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59889AA5"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SA</w:t>
            </w:r>
          </w:p>
        </w:tc>
        <w:tc>
          <w:tcPr>
            <w:tcW w:w="0" w:type="pct"/>
            <w:tcBorders>
              <w:left w:val="single" w:sz="4" w:space="0" w:color="AEAAAA"/>
            </w:tcBorders>
            <w:tcMar>
              <w:top w:w="57" w:type="dxa"/>
              <w:left w:w="57" w:type="dxa"/>
              <w:bottom w:w="57" w:type="dxa"/>
              <w:right w:w="57" w:type="dxa"/>
            </w:tcMar>
          </w:tcPr>
          <w:p w14:paraId="68A1827B"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1.206</w:t>
            </w:r>
          </w:p>
        </w:tc>
      </w:tr>
      <w:tr w:rsidR="00735506" w:rsidRPr="00A34F8A" w14:paraId="4260FABF"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00890BB8"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WA</w:t>
            </w:r>
          </w:p>
        </w:tc>
        <w:tc>
          <w:tcPr>
            <w:tcW w:w="0" w:type="pct"/>
            <w:tcBorders>
              <w:left w:val="single" w:sz="4" w:space="0" w:color="AEAAAA"/>
            </w:tcBorders>
            <w:tcMar>
              <w:top w:w="57" w:type="dxa"/>
              <w:left w:w="57" w:type="dxa"/>
              <w:bottom w:w="57" w:type="dxa"/>
              <w:right w:w="57" w:type="dxa"/>
            </w:tcMar>
          </w:tcPr>
          <w:p w14:paraId="24934F96"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1.107</w:t>
            </w:r>
          </w:p>
        </w:tc>
      </w:tr>
      <w:tr w:rsidR="00735506" w:rsidRPr="00A34F8A" w14:paraId="6BFE347A"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1D803AC8"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TAS</w:t>
            </w:r>
          </w:p>
        </w:tc>
        <w:tc>
          <w:tcPr>
            <w:tcW w:w="0" w:type="pct"/>
            <w:tcBorders>
              <w:left w:val="single" w:sz="4" w:space="0" w:color="AEAAAA"/>
            </w:tcBorders>
            <w:tcMar>
              <w:top w:w="57" w:type="dxa"/>
              <w:left w:w="57" w:type="dxa"/>
              <w:bottom w:w="57" w:type="dxa"/>
              <w:right w:w="57" w:type="dxa"/>
            </w:tcMar>
          </w:tcPr>
          <w:p w14:paraId="5B5BCE17"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0.908</w:t>
            </w:r>
          </w:p>
        </w:tc>
      </w:tr>
      <w:tr w:rsidR="00735506" w:rsidRPr="00A34F8A" w14:paraId="28D327CB"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12300A49"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NT</w:t>
            </w:r>
          </w:p>
        </w:tc>
        <w:tc>
          <w:tcPr>
            <w:tcW w:w="0" w:type="pct"/>
            <w:tcBorders>
              <w:left w:val="single" w:sz="4" w:space="0" w:color="AEAAAA"/>
            </w:tcBorders>
            <w:tcMar>
              <w:top w:w="57" w:type="dxa"/>
              <w:left w:w="57" w:type="dxa"/>
              <w:bottom w:w="57" w:type="dxa"/>
              <w:right w:w="57" w:type="dxa"/>
            </w:tcMar>
          </w:tcPr>
          <w:p w14:paraId="58073D9A"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1.164</w:t>
            </w:r>
          </w:p>
        </w:tc>
      </w:tr>
      <w:tr w:rsidR="00735506" w:rsidRPr="00A34F8A" w14:paraId="2C6FD38E"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47AA7156" w14:textId="77777777" w:rsidR="00A64BE5" w:rsidRPr="00A34F8A" w:rsidRDefault="00A64BE5"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ACT</w:t>
            </w:r>
          </w:p>
        </w:tc>
        <w:tc>
          <w:tcPr>
            <w:tcW w:w="0" w:type="pct"/>
            <w:tcBorders>
              <w:left w:val="single" w:sz="4" w:space="0" w:color="AEAAAA"/>
            </w:tcBorders>
            <w:tcMar>
              <w:top w:w="57" w:type="dxa"/>
              <w:left w:w="57" w:type="dxa"/>
              <w:bottom w:w="57" w:type="dxa"/>
              <w:right w:w="57" w:type="dxa"/>
            </w:tcMar>
          </w:tcPr>
          <w:p w14:paraId="70CABADE" w14:textId="77777777" w:rsidR="00A64BE5" w:rsidRPr="00A34F8A" w:rsidRDefault="00A64BE5"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1.214</w:t>
            </w:r>
          </w:p>
        </w:tc>
      </w:tr>
    </w:tbl>
    <w:p w14:paraId="5913C0A2" w14:textId="77777777" w:rsidR="00A64BE5" w:rsidRPr="00A34F8A" w:rsidRDefault="00A64BE5" w:rsidP="00A64BE5">
      <w:pPr>
        <w:pStyle w:val="BlueLineBottom"/>
        <w:rPr>
          <w:rFonts w:asciiTheme="minorHAnsi" w:hAnsiTheme="minorHAnsi" w:cstheme="minorHAnsi"/>
          <w:sz w:val="22"/>
          <w:szCs w:val="22"/>
        </w:rPr>
      </w:pPr>
    </w:p>
    <w:p w14:paraId="16C9F058" w14:textId="52309D94" w:rsidR="00A64BE5" w:rsidRPr="00E7062A" w:rsidRDefault="00A64BE5" w:rsidP="00E7062A">
      <w:pPr>
        <w:pStyle w:val="Heading3"/>
      </w:pPr>
      <w:bookmarkStart w:id="119" w:name="_Toc168660656"/>
      <w:bookmarkStart w:id="120" w:name="_Toc183163266"/>
      <w:r w:rsidRPr="00E7062A">
        <w:lastRenderedPageBreak/>
        <w:t>Government costs</w:t>
      </w:r>
      <w:bookmarkEnd w:id="119"/>
      <w:bookmarkEnd w:id="120"/>
    </w:p>
    <w:p w14:paraId="5D8BA7F9" w14:textId="2DD74E12" w:rsidR="009D7029" w:rsidRPr="00A34F8A" w:rsidRDefault="009D7029" w:rsidP="009D7029">
      <w:pPr>
        <w:rPr>
          <w:rFonts w:asciiTheme="minorHAnsi" w:hAnsiTheme="minorHAnsi" w:cstheme="minorHAnsi"/>
          <w:szCs w:val="22"/>
        </w:rPr>
      </w:pPr>
      <w:r w:rsidRPr="00A34F8A">
        <w:rPr>
          <w:rFonts w:asciiTheme="minorHAnsi" w:hAnsiTheme="minorHAnsi" w:cstheme="minorHAnsi"/>
          <w:szCs w:val="22"/>
        </w:rPr>
        <w:t>We have made the following assumptions for the costs to government of administering and enforcing the EPS regulation in Australia and New Zealand (</w:t>
      </w:r>
      <w:r w:rsidRPr="00A34F8A">
        <w:rPr>
          <w:rFonts w:asciiTheme="minorHAnsi" w:hAnsiTheme="minorHAnsi" w:cstheme="minorHAnsi"/>
          <w:szCs w:val="22"/>
          <w:highlight w:val="yellow"/>
        </w:rPr>
        <w:fldChar w:fldCharType="begin" w:fldLock="1"/>
      </w:r>
      <w:r w:rsidRPr="00A34F8A">
        <w:rPr>
          <w:rFonts w:asciiTheme="minorHAnsi" w:hAnsiTheme="minorHAnsi" w:cstheme="minorHAnsi"/>
          <w:szCs w:val="22"/>
        </w:rPr>
        <w:instrText xml:space="preserve"> REF _Ref141878363 \h </w:instrText>
      </w:r>
      <w:r w:rsidR="00A34F8A" w:rsidRPr="00A34F8A">
        <w:rPr>
          <w:rFonts w:asciiTheme="minorHAnsi" w:hAnsiTheme="minorHAnsi" w:cstheme="minorHAnsi"/>
          <w:szCs w:val="22"/>
          <w:highlight w:val="yellow"/>
        </w:rPr>
        <w:instrText xml:space="preserve"> \* MERGEFORMAT </w:instrText>
      </w:r>
      <w:r w:rsidRPr="00A34F8A">
        <w:rPr>
          <w:rFonts w:asciiTheme="minorHAnsi" w:hAnsiTheme="minorHAnsi" w:cstheme="minorHAnsi"/>
          <w:szCs w:val="22"/>
          <w:highlight w:val="yellow"/>
        </w:rPr>
      </w:r>
      <w:r w:rsidRPr="00A34F8A">
        <w:rPr>
          <w:rFonts w:asciiTheme="minorHAnsi" w:hAnsiTheme="minorHAnsi" w:cstheme="minorHAnsi"/>
          <w:szCs w:val="22"/>
          <w:highlight w:val="yellow"/>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15</w:t>
      </w:r>
      <w:r w:rsidRPr="00A34F8A">
        <w:rPr>
          <w:rFonts w:asciiTheme="minorHAnsi" w:hAnsiTheme="minorHAnsi" w:cstheme="minorHAnsi"/>
          <w:szCs w:val="22"/>
          <w:highlight w:val="yellow"/>
        </w:rPr>
        <w:fldChar w:fldCharType="end"/>
      </w:r>
      <w:r w:rsidRPr="00A34F8A">
        <w:rPr>
          <w:rFonts w:asciiTheme="minorHAnsi" w:hAnsiTheme="minorHAnsi" w:cstheme="minorHAnsi"/>
          <w:szCs w:val="22"/>
        </w:rPr>
        <w:t xml:space="preserve">). These costs are currently recovered from industry in Australia through product registration fees. </w:t>
      </w:r>
    </w:p>
    <w:p w14:paraId="51B7D79E" w14:textId="77777777" w:rsidR="009D7029" w:rsidRPr="00A34F8A" w:rsidRDefault="009D7029" w:rsidP="009D7029">
      <w:pPr>
        <w:pStyle w:val="BlueLineTop"/>
        <w:rPr>
          <w:rFonts w:asciiTheme="minorHAnsi" w:hAnsiTheme="minorHAnsi" w:cstheme="minorHAnsi"/>
          <w:sz w:val="22"/>
          <w:szCs w:val="22"/>
        </w:rPr>
      </w:pPr>
    </w:p>
    <w:p w14:paraId="14D7B246" w14:textId="0285744A" w:rsidR="009D7029" w:rsidRPr="00A34F8A" w:rsidRDefault="009D7029" w:rsidP="009D7029">
      <w:pPr>
        <w:pStyle w:val="Caption"/>
        <w:rPr>
          <w:rFonts w:asciiTheme="minorHAnsi" w:hAnsiTheme="minorHAnsi" w:cstheme="minorHAnsi"/>
          <w:sz w:val="22"/>
          <w:szCs w:val="22"/>
        </w:rPr>
      </w:pPr>
      <w:bookmarkStart w:id="121" w:name="_Ref141878363"/>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15</w:t>
      </w:r>
      <w:r w:rsidRPr="00A34F8A">
        <w:rPr>
          <w:rFonts w:asciiTheme="minorHAnsi" w:hAnsiTheme="minorHAnsi" w:cstheme="minorHAnsi"/>
          <w:sz w:val="22"/>
          <w:szCs w:val="22"/>
        </w:rPr>
        <w:fldChar w:fldCharType="end"/>
      </w:r>
      <w:bookmarkEnd w:id="121"/>
      <w:r w:rsidRPr="00A34F8A">
        <w:rPr>
          <w:rFonts w:asciiTheme="minorHAnsi" w:hAnsiTheme="minorHAnsi" w:cstheme="minorHAnsi"/>
          <w:sz w:val="22"/>
          <w:szCs w:val="22"/>
        </w:rPr>
        <w:t>: Government administration and enforcement costs</w:t>
      </w:r>
    </w:p>
    <w:tbl>
      <w:tblPr>
        <w:tblStyle w:val="ComCap4-nested"/>
        <w:tblW w:w="5335" w:type="pct"/>
        <w:tblInd w:w="-567" w:type="dxa"/>
        <w:tblBorders>
          <w:insideV w:val="single" w:sz="4" w:space="0" w:color="auto"/>
        </w:tblBorders>
        <w:tblLook w:val="04A0" w:firstRow="1" w:lastRow="0" w:firstColumn="1" w:lastColumn="0" w:noHBand="0" w:noVBand="1"/>
      </w:tblPr>
      <w:tblGrid>
        <w:gridCol w:w="4611"/>
        <w:gridCol w:w="4415"/>
      </w:tblGrid>
      <w:tr w:rsidR="00DA1EBB" w:rsidRPr="00A34F8A" w14:paraId="0B351A30" w14:textId="77777777" w:rsidTr="00D5406A">
        <w:trPr>
          <w:cnfStyle w:val="100000000000" w:firstRow="1" w:lastRow="0" w:firstColumn="0" w:lastColumn="0" w:oddVBand="0" w:evenVBand="0" w:oddHBand="0" w:evenHBand="0" w:firstRowFirstColumn="0" w:firstRowLastColumn="0" w:lastRowFirstColumn="0" w:lastRowLastColumn="0"/>
          <w:tblHeader/>
        </w:trPr>
        <w:tc>
          <w:tcPr>
            <w:tcW w:w="0" w:type="pct"/>
            <w:tcBorders>
              <w:right w:val="single" w:sz="4" w:space="0" w:color="C4BC96" w:themeColor="background2" w:themeShade="BF"/>
            </w:tcBorders>
            <w:tcMar>
              <w:top w:w="57" w:type="dxa"/>
              <w:left w:w="57" w:type="dxa"/>
              <w:bottom w:w="57" w:type="dxa"/>
              <w:right w:w="57" w:type="dxa"/>
            </w:tcMar>
          </w:tcPr>
          <w:p w14:paraId="31DEF428" w14:textId="77777777" w:rsidR="009D7029" w:rsidRPr="00A34F8A" w:rsidRDefault="009D702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Administration and enforcement cost category</w:t>
            </w:r>
          </w:p>
        </w:tc>
        <w:tc>
          <w:tcPr>
            <w:tcW w:w="0" w:type="pct"/>
            <w:tcBorders>
              <w:left w:val="single" w:sz="4" w:space="0" w:color="C4BC96" w:themeColor="background2" w:themeShade="BF"/>
            </w:tcBorders>
            <w:tcMar>
              <w:top w:w="57" w:type="dxa"/>
              <w:left w:w="57" w:type="dxa"/>
              <w:bottom w:w="57" w:type="dxa"/>
              <w:right w:w="57" w:type="dxa"/>
            </w:tcMar>
          </w:tcPr>
          <w:p w14:paraId="51497C5F" w14:textId="77777777" w:rsidR="009D7029" w:rsidRPr="00A34F8A" w:rsidRDefault="009D702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Assumption ($ AUD)</w:t>
            </w:r>
          </w:p>
        </w:tc>
      </w:tr>
      <w:tr w:rsidR="00735506" w:rsidRPr="00A34F8A" w14:paraId="31BD1142" w14:textId="77777777" w:rsidTr="00D5406A">
        <w:trPr>
          <w:trHeight w:val="26"/>
        </w:trPr>
        <w:tc>
          <w:tcPr>
            <w:tcW w:w="0" w:type="pct"/>
            <w:tcBorders>
              <w:right w:val="single" w:sz="4" w:space="0" w:color="C4BC96" w:themeColor="background2" w:themeShade="BF"/>
            </w:tcBorders>
            <w:tcMar>
              <w:top w:w="57" w:type="dxa"/>
              <w:left w:w="57" w:type="dxa"/>
              <w:bottom w:w="57" w:type="dxa"/>
              <w:right w:w="57" w:type="dxa"/>
            </w:tcMar>
          </w:tcPr>
          <w:p w14:paraId="0F3A5678" w14:textId="77777777" w:rsidR="009D7029" w:rsidRPr="00A34F8A" w:rsidRDefault="009D702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Input cost (wages, overheads and non-wage costs)</w:t>
            </w:r>
          </w:p>
        </w:tc>
        <w:tc>
          <w:tcPr>
            <w:tcW w:w="0" w:type="pct"/>
            <w:tcBorders>
              <w:left w:val="single" w:sz="4" w:space="0" w:color="AEAAAA"/>
            </w:tcBorders>
            <w:tcMar>
              <w:top w:w="57" w:type="dxa"/>
              <w:left w:w="57" w:type="dxa"/>
              <w:bottom w:w="57" w:type="dxa"/>
              <w:right w:w="57" w:type="dxa"/>
            </w:tcMar>
          </w:tcPr>
          <w:p w14:paraId="4C13E175" w14:textId="77777777" w:rsidR="009D7029" w:rsidRPr="00A34F8A" w:rsidRDefault="009D702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$72 per hour*</w:t>
            </w:r>
          </w:p>
        </w:tc>
      </w:tr>
      <w:tr w:rsidR="00735506" w:rsidRPr="00A34F8A" w14:paraId="18D8B234"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3D4BDCF4" w14:textId="77777777" w:rsidR="009D7029" w:rsidRPr="00A34F8A" w:rsidRDefault="009D702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Time per registration</w:t>
            </w:r>
          </w:p>
        </w:tc>
        <w:tc>
          <w:tcPr>
            <w:tcW w:w="0" w:type="pct"/>
            <w:tcBorders>
              <w:left w:val="single" w:sz="4" w:space="0" w:color="AEAAAA"/>
            </w:tcBorders>
            <w:tcMar>
              <w:top w:w="57" w:type="dxa"/>
              <w:left w:w="57" w:type="dxa"/>
              <w:bottom w:w="57" w:type="dxa"/>
              <w:right w:w="57" w:type="dxa"/>
            </w:tcMar>
          </w:tcPr>
          <w:p w14:paraId="22685D86" w14:textId="77777777" w:rsidR="009D7029" w:rsidRPr="00A34F8A" w:rsidRDefault="009D702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30 min</w:t>
            </w:r>
          </w:p>
        </w:tc>
      </w:tr>
      <w:tr w:rsidR="00735506" w:rsidRPr="00A34F8A" w14:paraId="363D7ACD"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4C39242C" w14:textId="77777777" w:rsidR="009D7029" w:rsidRPr="00A34F8A" w:rsidRDefault="009D702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Market screening (non-compliance)</w:t>
            </w:r>
          </w:p>
        </w:tc>
        <w:tc>
          <w:tcPr>
            <w:tcW w:w="0" w:type="pct"/>
            <w:tcBorders>
              <w:left w:val="single" w:sz="4" w:space="0" w:color="AEAAAA"/>
            </w:tcBorders>
            <w:tcMar>
              <w:top w:w="57" w:type="dxa"/>
              <w:left w:w="57" w:type="dxa"/>
              <w:bottom w:w="57" w:type="dxa"/>
              <w:right w:w="57" w:type="dxa"/>
            </w:tcMar>
          </w:tcPr>
          <w:p w14:paraId="472D7710" w14:textId="77777777" w:rsidR="009D7029" w:rsidRPr="00A34F8A" w:rsidRDefault="009D702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 days per year</w:t>
            </w:r>
          </w:p>
        </w:tc>
      </w:tr>
      <w:tr w:rsidR="00735506" w:rsidRPr="00A34F8A" w14:paraId="5F70B957"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6F9CEA14" w14:textId="77777777" w:rsidR="009D7029" w:rsidRPr="00A34F8A" w:rsidRDefault="009D702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Enquiries</w:t>
            </w:r>
          </w:p>
        </w:tc>
        <w:tc>
          <w:tcPr>
            <w:tcW w:w="0" w:type="pct"/>
            <w:tcBorders>
              <w:left w:val="single" w:sz="4" w:space="0" w:color="AEAAAA"/>
            </w:tcBorders>
            <w:tcMar>
              <w:top w:w="57" w:type="dxa"/>
              <w:left w:w="57" w:type="dxa"/>
              <w:bottom w:w="57" w:type="dxa"/>
              <w:right w:w="57" w:type="dxa"/>
            </w:tcMar>
          </w:tcPr>
          <w:p w14:paraId="71CCF8C6" w14:textId="77777777" w:rsidR="009D7029" w:rsidRPr="00A34F8A" w:rsidRDefault="009D702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 of registrations, 30 min per enquiry</w:t>
            </w:r>
          </w:p>
        </w:tc>
      </w:tr>
      <w:tr w:rsidR="00735506" w:rsidRPr="00A34F8A" w14:paraId="1FFAECF6"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028330BA" w14:textId="48C58561" w:rsidR="009D7029" w:rsidRPr="00A34F8A" w:rsidRDefault="009D702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Regulatory reviews and other administrative costs (Australia only)</w:t>
            </w:r>
          </w:p>
        </w:tc>
        <w:tc>
          <w:tcPr>
            <w:tcW w:w="0" w:type="pct"/>
            <w:tcBorders>
              <w:left w:val="single" w:sz="4" w:space="0" w:color="AEAAAA"/>
            </w:tcBorders>
            <w:tcMar>
              <w:top w:w="57" w:type="dxa"/>
              <w:left w:w="57" w:type="dxa"/>
              <w:bottom w:w="57" w:type="dxa"/>
              <w:right w:w="57" w:type="dxa"/>
            </w:tcMar>
          </w:tcPr>
          <w:p w14:paraId="7DF0F52E" w14:textId="77777777" w:rsidR="009D7029" w:rsidRPr="00A34F8A" w:rsidRDefault="009D702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$200,000 every 5 years</w:t>
            </w:r>
          </w:p>
        </w:tc>
      </w:tr>
      <w:tr w:rsidR="00735506" w:rsidRPr="00A34F8A" w14:paraId="6606F8D0" w14:textId="77777777" w:rsidTr="00D5406A">
        <w:tc>
          <w:tcPr>
            <w:tcW w:w="0" w:type="pct"/>
            <w:tcBorders>
              <w:right w:val="single" w:sz="4" w:space="0" w:color="C4BC96" w:themeColor="background2" w:themeShade="BF"/>
            </w:tcBorders>
            <w:tcMar>
              <w:top w:w="57" w:type="dxa"/>
              <w:left w:w="57" w:type="dxa"/>
              <w:bottom w:w="57" w:type="dxa"/>
              <w:right w:w="57" w:type="dxa"/>
            </w:tcMar>
          </w:tcPr>
          <w:p w14:paraId="78615E86" w14:textId="77777777" w:rsidR="009D7029" w:rsidRPr="00A34F8A" w:rsidRDefault="009D702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Product check-testing</w:t>
            </w:r>
          </w:p>
        </w:tc>
        <w:tc>
          <w:tcPr>
            <w:tcW w:w="0" w:type="pct"/>
            <w:tcBorders>
              <w:left w:val="single" w:sz="4" w:space="0" w:color="AEAAAA"/>
            </w:tcBorders>
            <w:tcMar>
              <w:top w:w="57" w:type="dxa"/>
              <w:left w:w="57" w:type="dxa"/>
              <w:bottom w:w="57" w:type="dxa"/>
              <w:right w:w="57" w:type="dxa"/>
            </w:tcMar>
          </w:tcPr>
          <w:p w14:paraId="4A742D9F" w14:textId="77777777" w:rsidR="009D7029" w:rsidRPr="00A34F8A" w:rsidRDefault="009D702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($850 per test + $100 product cost) * 1% of registered products</w:t>
            </w:r>
          </w:p>
        </w:tc>
      </w:tr>
    </w:tbl>
    <w:p w14:paraId="34842B6A" w14:textId="77777777" w:rsidR="009D7029" w:rsidRPr="00A34F8A" w:rsidRDefault="009D7029" w:rsidP="009D7029">
      <w:pPr>
        <w:pStyle w:val="BlueLineBottom"/>
        <w:rPr>
          <w:rFonts w:asciiTheme="minorHAnsi" w:hAnsiTheme="minorHAnsi" w:cstheme="minorHAnsi"/>
          <w:sz w:val="22"/>
          <w:szCs w:val="22"/>
        </w:rPr>
      </w:pPr>
      <w:r w:rsidRPr="00A34F8A">
        <w:rPr>
          <w:rFonts w:asciiTheme="minorHAnsi" w:hAnsiTheme="minorHAnsi" w:cstheme="minorHAnsi"/>
          <w:sz w:val="22"/>
          <w:szCs w:val="22"/>
        </w:rPr>
        <w:t>*Based on APS5 at central rate and 1.75 overhead scaling</w:t>
      </w:r>
    </w:p>
    <w:p w14:paraId="2502BFD4" w14:textId="7D54C379" w:rsidR="009D7029" w:rsidRPr="00E7062A" w:rsidRDefault="009D7029" w:rsidP="00E7062A">
      <w:pPr>
        <w:pStyle w:val="Heading3"/>
      </w:pPr>
      <w:bookmarkStart w:id="122" w:name="_Toc168660657"/>
      <w:bookmarkStart w:id="123" w:name="_Toc183163267"/>
      <w:r w:rsidRPr="00E7062A">
        <w:t>Avoided energy network costs</w:t>
      </w:r>
      <w:bookmarkEnd w:id="122"/>
      <w:bookmarkEnd w:id="123"/>
    </w:p>
    <w:p w14:paraId="57098153" w14:textId="12BCDDEF" w:rsidR="00D87FD5" w:rsidRPr="00A34F8A" w:rsidRDefault="00D87FD5" w:rsidP="00D87FD5">
      <w:pPr>
        <w:rPr>
          <w:rFonts w:asciiTheme="minorHAnsi" w:hAnsiTheme="minorHAnsi" w:cstheme="minorHAnsi"/>
          <w:szCs w:val="22"/>
        </w:rPr>
      </w:pPr>
      <w:r w:rsidRPr="00A34F8A">
        <w:rPr>
          <w:rFonts w:asciiTheme="minorHAnsi" w:hAnsiTheme="minorHAnsi" w:cstheme="minorHAnsi"/>
          <w:szCs w:val="22"/>
        </w:rPr>
        <w:t xml:space="preserve">The reduction in peak demand is based on an assumed conservation load factor (CLF) of 1.0 for EPS (residential and commercial applications). This factor was included in the Energy Efficiency Forecasts: 2019-2041 report prepared for the Australian Energy Market Operator (AEMO) </w:t>
      </w:r>
      <w:sdt>
        <w:sdtPr>
          <w:rPr>
            <w:rFonts w:asciiTheme="minorHAnsi" w:hAnsiTheme="minorHAnsi" w:cstheme="minorHAnsi"/>
            <w:szCs w:val="22"/>
          </w:rPr>
          <w:id w:val="1191883116"/>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Str19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(Strategy. Policy. Research.,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Peak demand reduction is calculated using the following formula:</w:t>
      </w:r>
    </w:p>
    <w:p w14:paraId="22B32E43" w14:textId="77777777" w:rsidR="00D87FD5" w:rsidRPr="00A34F8A" w:rsidRDefault="00D87FD5" w:rsidP="00D87FD5">
      <w:pPr>
        <w:rPr>
          <w:rFonts w:asciiTheme="minorHAnsi" w:hAnsiTheme="minorHAnsi" w:cstheme="minorHAnsi"/>
          <w:szCs w:val="22"/>
        </w:rPr>
      </w:pPr>
      <m:oMathPara>
        <m:oMath>
          <m:r>
            <w:rPr>
              <w:rFonts w:ascii="Cambria Math" w:hAnsi="Cambria Math" w:cstheme="minorHAnsi"/>
              <w:szCs w:val="22"/>
            </w:rPr>
            <m:t xml:space="preserve">Peak demand reduction= </m:t>
          </m:r>
          <m:f>
            <m:fPr>
              <m:ctrlPr>
                <w:rPr>
                  <w:rFonts w:ascii="Cambria Math" w:hAnsi="Cambria Math" w:cstheme="minorHAnsi"/>
                  <w:i/>
                  <w:szCs w:val="22"/>
                </w:rPr>
              </m:ctrlPr>
            </m:fPr>
            <m:num>
              <m:f>
                <m:fPr>
                  <m:ctrlPr>
                    <w:rPr>
                      <w:rFonts w:ascii="Cambria Math" w:hAnsi="Cambria Math" w:cstheme="minorHAnsi"/>
                      <w:i/>
                      <w:szCs w:val="22"/>
                    </w:rPr>
                  </m:ctrlPr>
                </m:fPr>
                <m:num>
                  <m:r>
                    <w:rPr>
                      <w:rFonts w:ascii="Cambria Math" w:hAnsi="Cambria Math" w:cstheme="minorHAnsi"/>
                      <w:szCs w:val="22"/>
                    </w:rPr>
                    <m:t>Annual energy use reduction</m:t>
                  </m:r>
                </m:num>
                <m:den>
                  <m:r>
                    <w:rPr>
                      <w:rFonts w:ascii="Cambria Math" w:hAnsi="Cambria Math" w:cstheme="minorHAnsi"/>
                      <w:szCs w:val="22"/>
                    </w:rPr>
                    <m:t xml:space="preserve">8760 </m:t>
                  </m:r>
                  <m:r>
                    <w:rPr>
                      <w:rFonts w:ascii="Cambria Math" w:hAnsi="Cambria Math" w:cstheme="minorHAnsi"/>
                      <w:szCs w:val="22"/>
                    </w:rPr>
                    <m:t>hours</m:t>
                  </m:r>
                </m:den>
              </m:f>
            </m:num>
            <m:den>
              <m:r>
                <w:rPr>
                  <w:rFonts w:ascii="Cambria Math" w:hAnsi="Cambria Math" w:cstheme="minorHAnsi"/>
                  <w:szCs w:val="22"/>
                </w:rPr>
                <m:t>CLF</m:t>
              </m:r>
            </m:den>
          </m:f>
        </m:oMath>
      </m:oMathPara>
    </w:p>
    <w:p w14:paraId="4F028366" w14:textId="58E0B390" w:rsidR="00D87FD5" w:rsidRPr="00A34F8A" w:rsidRDefault="00D87FD5" w:rsidP="00D87FD5">
      <w:pPr>
        <w:rPr>
          <w:rFonts w:asciiTheme="minorHAnsi" w:hAnsiTheme="minorHAnsi" w:cstheme="minorHAnsi"/>
          <w:szCs w:val="22"/>
        </w:rPr>
      </w:pPr>
      <w:r w:rsidRPr="00A34F8A">
        <w:rPr>
          <w:rFonts w:asciiTheme="minorHAnsi" w:hAnsiTheme="minorHAnsi" w:cstheme="minorHAnsi"/>
          <w:szCs w:val="22"/>
        </w:rPr>
        <w:t xml:space="preserve">We have assumed a cost-benefit of $500/kW (2019 dollars) peak reduction in Australia (as used in the 2019 Jacobs report for the VEU program energy market modelling </w:t>
      </w:r>
      <w:sdt>
        <w:sdtPr>
          <w:rPr>
            <w:rFonts w:asciiTheme="minorHAnsi" w:hAnsiTheme="minorHAnsi" w:cstheme="minorHAnsi"/>
            <w:szCs w:val="22"/>
          </w:rPr>
          <w:id w:val="-540673053"/>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JAC19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(JACOBS,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and an equivalent value of NZD</w:t>
      </w:r>
      <w:r w:rsidR="00A97E89">
        <w:rPr>
          <w:rFonts w:asciiTheme="minorHAnsi" w:hAnsiTheme="minorHAnsi" w:cstheme="minorHAnsi"/>
          <w:szCs w:val="22"/>
        </w:rPr>
        <w:t xml:space="preserve"> $</w:t>
      </w:r>
      <w:r w:rsidRPr="00A34F8A">
        <w:rPr>
          <w:rFonts w:asciiTheme="minorHAnsi" w:hAnsiTheme="minorHAnsi" w:cstheme="minorHAnsi"/>
          <w:szCs w:val="22"/>
        </w:rPr>
        <w:t>230/kW in New Zealand (used in the Electronic Screens CRIS).</w:t>
      </w:r>
    </w:p>
    <w:p w14:paraId="5D99FE30" w14:textId="670137A2" w:rsidR="00D87FD5" w:rsidRPr="00E7062A" w:rsidRDefault="00D87FD5" w:rsidP="00E7062A">
      <w:pPr>
        <w:pStyle w:val="Heading3"/>
      </w:pPr>
      <w:bookmarkStart w:id="124" w:name="_Toc168660658"/>
      <w:bookmarkStart w:id="125" w:name="_Toc183163268"/>
      <w:r w:rsidRPr="00E7062A">
        <w:t>H</w:t>
      </w:r>
      <w:r w:rsidR="009B4EC7" w:rsidRPr="00E7062A">
        <w:t>ealth benefits associated with improved air quality</w:t>
      </w:r>
      <w:bookmarkEnd w:id="124"/>
      <w:bookmarkEnd w:id="125"/>
    </w:p>
    <w:p w14:paraId="039AEFD6" w14:textId="77777777" w:rsidR="00D03878" w:rsidRPr="00A34F8A" w:rsidRDefault="00D03878" w:rsidP="00D03878">
      <w:pPr>
        <w:rPr>
          <w:rFonts w:asciiTheme="minorHAnsi" w:hAnsiTheme="minorHAnsi" w:cstheme="minorHAnsi"/>
          <w:szCs w:val="22"/>
        </w:rPr>
      </w:pPr>
      <w:r w:rsidRPr="00A34F8A">
        <w:rPr>
          <w:rFonts w:asciiTheme="minorHAnsi" w:hAnsiTheme="minorHAnsi" w:cstheme="minorHAnsi"/>
          <w:szCs w:val="22"/>
        </w:rPr>
        <w:t>There are health benefits associated with improved air quality resulting from electricity savings in Australia. Reduced pollution resulting from reduced coal or gas generated electricity result in health benefits associated with respiratory and cardiac diseases. We will assume the same benefits used in the NCC DRIS, which are as follows:</w:t>
      </w:r>
    </w:p>
    <w:p w14:paraId="69EFA7F3" w14:textId="7009AD82" w:rsidR="00D03878" w:rsidRPr="00A34F8A" w:rsidRDefault="00D03878" w:rsidP="00D03878">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 xml:space="preserve">Coal-generated electricity - $2.75/MWh (2022 pricing) </w:t>
      </w:r>
      <w:sdt>
        <w:sdtPr>
          <w:rPr>
            <w:rFonts w:asciiTheme="minorHAnsi" w:hAnsiTheme="minorHAnsi" w:cstheme="minorHAnsi"/>
            <w:color w:val="auto"/>
            <w:sz w:val="22"/>
            <w:szCs w:val="22"/>
          </w:rPr>
          <w:id w:val="1726872062"/>
          <w:citation/>
        </w:sdtPr>
        <w:sdtContent>
          <w:r w:rsidRPr="00A34F8A">
            <w:rPr>
              <w:rFonts w:asciiTheme="minorHAnsi" w:hAnsiTheme="minorHAnsi" w:cstheme="minorHAnsi"/>
              <w:color w:val="auto"/>
              <w:sz w:val="22"/>
              <w:szCs w:val="22"/>
            </w:rPr>
            <w:fldChar w:fldCharType="begin"/>
          </w:r>
          <w:r w:rsidRPr="00A34F8A">
            <w:rPr>
              <w:rFonts w:asciiTheme="minorHAnsi" w:hAnsiTheme="minorHAnsi" w:cstheme="minorHAnsi"/>
              <w:color w:val="auto"/>
              <w:sz w:val="22"/>
              <w:szCs w:val="22"/>
            </w:rPr>
            <w:instrText xml:space="preserve"> CITATION Maz21 \l 3081 </w:instrText>
          </w:r>
          <w:r w:rsidRPr="00A34F8A">
            <w:rPr>
              <w:rFonts w:asciiTheme="minorHAnsi" w:hAnsiTheme="minorHAnsi" w:cstheme="minorHAnsi"/>
              <w:color w:val="auto"/>
              <w:sz w:val="22"/>
              <w:szCs w:val="22"/>
            </w:rPr>
            <w:fldChar w:fldCharType="separate"/>
          </w:r>
          <w:r w:rsidR="002E2541" w:rsidRPr="002E2541">
            <w:rPr>
              <w:rFonts w:asciiTheme="minorHAnsi" w:hAnsiTheme="minorHAnsi" w:cstheme="minorHAnsi"/>
              <w:noProof/>
              <w:color w:val="auto"/>
              <w:sz w:val="22"/>
              <w:szCs w:val="22"/>
            </w:rPr>
            <w:t>(Mazaheri, et al., 2021)</w:t>
          </w:r>
          <w:r w:rsidRPr="00A34F8A">
            <w:rPr>
              <w:rFonts w:asciiTheme="minorHAnsi" w:hAnsiTheme="minorHAnsi" w:cstheme="minorHAnsi"/>
              <w:color w:val="auto"/>
              <w:sz w:val="22"/>
              <w:szCs w:val="22"/>
            </w:rPr>
            <w:fldChar w:fldCharType="end"/>
          </w:r>
        </w:sdtContent>
      </w:sdt>
    </w:p>
    <w:p w14:paraId="2A0B12DC" w14:textId="304CA60C" w:rsidR="00D03878" w:rsidRPr="00A34F8A" w:rsidRDefault="00D03878" w:rsidP="00D03878">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 xml:space="preserve">Gas-generated electricity - $0.99/MWh (2022 pricing) </w:t>
      </w:r>
      <w:sdt>
        <w:sdtPr>
          <w:rPr>
            <w:rFonts w:asciiTheme="minorHAnsi" w:hAnsiTheme="minorHAnsi" w:cstheme="minorHAnsi"/>
            <w:color w:val="auto"/>
            <w:sz w:val="22"/>
            <w:szCs w:val="22"/>
          </w:rPr>
          <w:id w:val="-1470277145"/>
          <w:citation/>
        </w:sdtPr>
        <w:sdtContent>
          <w:r w:rsidRPr="00A34F8A">
            <w:rPr>
              <w:rFonts w:asciiTheme="minorHAnsi" w:hAnsiTheme="minorHAnsi" w:cstheme="minorHAnsi"/>
              <w:color w:val="auto"/>
              <w:sz w:val="22"/>
              <w:szCs w:val="22"/>
            </w:rPr>
            <w:fldChar w:fldCharType="begin"/>
          </w:r>
          <w:r w:rsidRPr="00A34F8A">
            <w:rPr>
              <w:rFonts w:asciiTheme="minorHAnsi" w:hAnsiTheme="minorHAnsi" w:cstheme="minorHAnsi"/>
              <w:color w:val="auto"/>
              <w:sz w:val="22"/>
              <w:szCs w:val="22"/>
            </w:rPr>
            <w:instrText xml:space="preserve"> CITATION Aus09 \l 3081 </w:instrText>
          </w:r>
          <w:r w:rsidRPr="00A34F8A">
            <w:rPr>
              <w:rFonts w:asciiTheme="minorHAnsi" w:hAnsiTheme="minorHAnsi" w:cstheme="minorHAnsi"/>
              <w:color w:val="auto"/>
              <w:sz w:val="22"/>
              <w:szCs w:val="22"/>
            </w:rPr>
            <w:fldChar w:fldCharType="separate"/>
          </w:r>
          <w:r w:rsidR="002E2541" w:rsidRPr="002E2541">
            <w:rPr>
              <w:rFonts w:asciiTheme="minorHAnsi" w:hAnsiTheme="minorHAnsi" w:cstheme="minorHAnsi"/>
              <w:noProof/>
              <w:color w:val="auto"/>
              <w:sz w:val="22"/>
              <w:szCs w:val="22"/>
            </w:rPr>
            <w:t>(Australian Academy of Technological Sciences and Engineering, 2009)</w:t>
          </w:r>
          <w:r w:rsidRPr="00A34F8A">
            <w:rPr>
              <w:rFonts w:asciiTheme="minorHAnsi" w:hAnsiTheme="minorHAnsi" w:cstheme="minorHAnsi"/>
              <w:color w:val="auto"/>
              <w:sz w:val="22"/>
              <w:szCs w:val="22"/>
            </w:rPr>
            <w:fldChar w:fldCharType="end"/>
          </w:r>
        </w:sdtContent>
      </w:sdt>
    </w:p>
    <w:p w14:paraId="742BC2AE" w14:textId="05DF45E3" w:rsidR="00DE4115" w:rsidRPr="00A34F8A" w:rsidRDefault="00D03878" w:rsidP="00D03878">
      <w:pPr>
        <w:rPr>
          <w:rFonts w:asciiTheme="minorHAnsi" w:hAnsiTheme="minorHAnsi" w:cstheme="minorHAnsi"/>
          <w:szCs w:val="22"/>
        </w:rPr>
      </w:pPr>
      <w:r w:rsidRPr="00A34F8A">
        <w:rPr>
          <w:rFonts w:asciiTheme="minorHAnsi" w:hAnsiTheme="minorHAnsi" w:cstheme="minorHAnsi"/>
          <w:szCs w:val="22"/>
        </w:rPr>
        <w:lastRenderedPageBreak/>
        <w:t>We have assumed health benefits to be negligible in New Zealand based on the high percentage of renewables in the electricity supply</w:t>
      </w:r>
    </w:p>
    <w:p w14:paraId="55A1B69C" w14:textId="5129ACB9" w:rsidR="00D03878" w:rsidRPr="00E7062A" w:rsidRDefault="00D03878" w:rsidP="00E7062A">
      <w:pPr>
        <w:pStyle w:val="Heading3"/>
      </w:pPr>
      <w:bookmarkStart w:id="126" w:name="_Toc168660659"/>
      <w:bookmarkStart w:id="127" w:name="_Toc183163269"/>
      <w:r w:rsidRPr="00E7062A">
        <w:t>Reduced greenhouse gas emissions</w:t>
      </w:r>
      <w:bookmarkEnd w:id="126"/>
      <w:bookmarkEnd w:id="127"/>
    </w:p>
    <w:p w14:paraId="1584EF1B" w14:textId="552C0BC9" w:rsidR="00D8170C" w:rsidRPr="00A34F8A" w:rsidRDefault="000F4518" w:rsidP="00D8170C">
      <w:pPr>
        <w:rPr>
          <w:rFonts w:asciiTheme="minorHAnsi" w:hAnsiTheme="minorHAnsi" w:cstheme="minorHAnsi"/>
          <w:szCs w:val="22"/>
        </w:rPr>
      </w:pPr>
      <w:r>
        <w:rPr>
          <w:rFonts w:asciiTheme="minorHAnsi" w:hAnsiTheme="minorHAnsi" w:cstheme="minorHAnsi"/>
          <w:szCs w:val="22"/>
        </w:rPr>
        <w:t>T</w:t>
      </w:r>
      <w:r w:rsidR="00D8170C" w:rsidRPr="00A34F8A">
        <w:rPr>
          <w:rFonts w:asciiTheme="minorHAnsi" w:hAnsiTheme="minorHAnsi" w:cstheme="minorHAnsi"/>
          <w:szCs w:val="22"/>
        </w:rPr>
        <w:t xml:space="preserve">he </w:t>
      </w:r>
      <w:r w:rsidR="00A82E83">
        <w:rPr>
          <w:rFonts w:asciiTheme="minorHAnsi" w:hAnsiTheme="minorHAnsi" w:cstheme="minorHAnsi"/>
          <w:szCs w:val="22"/>
        </w:rPr>
        <w:t xml:space="preserve">indirect scope 2 and 3 </w:t>
      </w:r>
      <w:r w:rsidR="008E1C7E">
        <w:rPr>
          <w:rFonts w:asciiTheme="minorHAnsi" w:hAnsiTheme="minorHAnsi" w:cstheme="minorHAnsi"/>
          <w:szCs w:val="22"/>
        </w:rPr>
        <w:t>combined emissions factors</w:t>
      </w:r>
      <w:r w:rsidR="008A7C97">
        <w:rPr>
          <w:rFonts w:asciiTheme="minorHAnsi" w:hAnsiTheme="minorHAnsi" w:cstheme="minorHAnsi"/>
          <w:szCs w:val="22"/>
        </w:rPr>
        <w:t xml:space="preserve"> </w:t>
      </w:r>
      <w:r w:rsidR="00345913">
        <w:rPr>
          <w:rFonts w:asciiTheme="minorHAnsi" w:hAnsiTheme="minorHAnsi" w:cstheme="minorHAnsi"/>
          <w:szCs w:val="22"/>
        </w:rPr>
        <w:t xml:space="preserve">from </w:t>
      </w:r>
      <w:r w:rsidR="006A17C3">
        <w:rPr>
          <w:rFonts w:asciiTheme="minorHAnsi" w:hAnsiTheme="minorHAnsi" w:cstheme="minorHAnsi"/>
          <w:szCs w:val="22"/>
        </w:rPr>
        <w:t xml:space="preserve">the </w:t>
      </w:r>
      <w:r w:rsidR="00EB20A6">
        <w:rPr>
          <w:rFonts w:asciiTheme="minorHAnsi" w:hAnsiTheme="minorHAnsi" w:cstheme="minorHAnsi"/>
          <w:szCs w:val="22"/>
        </w:rPr>
        <w:t>Australia’s emissions projections 2023 report</w:t>
      </w:r>
      <w:r w:rsidR="006A17C3">
        <w:rPr>
          <w:rFonts w:asciiTheme="minorHAnsi" w:hAnsiTheme="minorHAnsi" w:cstheme="minorHAnsi"/>
          <w:szCs w:val="22"/>
        </w:rPr>
        <w:t>,</w:t>
      </w:r>
      <w:r w:rsidR="00EB20A6">
        <w:rPr>
          <w:rFonts w:asciiTheme="minorHAnsi" w:hAnsiTheme="minorHAnsi" w:cstheme="minorHAnsi"/>
          <w:szCs w:val="22"/>
        </w:rPr>
        <w:t xml:space="preserve"> published by </w:t>
      </w:r>
      <w:r w:rsidR="00345913">
        <w:rPr>
          <w:rFonts w:asciiTheme="minorHAnsi" w:hAnsiTheme="minorHAnsi" w:cstheme="minorHAnsi"/>
          <w:szCs w:val="22"/>
        </w:rPr>
        <w:t>the Department of Climate Change, Energy, the Environment and Water</w:t>
      </w:r>
      <w:r w:rsidR="00C4087B">
        <w:rPr>
          <w:rFonts w:asciiTheme="minorHAnsi" w:hAnsiTheme="minorHAnsi" w:cstheme="minorHAnsi"/>
          <w:szCs w:val="22"/>
        </w:rPr>
        <w:t xml:space="preserve"> </w:t>
      </w:r>
      <w:sdt>
        <w:sdtPr>
          <w:rPr>
            <w:rFonts w:asciiTheme="minorHAnsi" w:hAnsiTheme="minorHAnsi" w:cstheme="minorHAnsi"/>
            <w:szCs w:val="22"/>
          </w:rPr>
          <w:id w:val="-1905979805"/>
          <w:citation/>
        </w:sdtPr>
        <w:sdtContent>
          <w:r w:rsidR="00C4087B">
            <w:rPr>
              <w:rFonts w:asciiTheme="minorHAnsi" w:hAnsiTheme="minorHAnsi" w:cstheme="minorHAnsi"/>
              <w:szCs w:val="22"/>
            </w:rPr>
            <w:fldChar w:fldCharType="begin"/>
          </w:r>
          <w:r w:rsidR="00C4087B">
            <w:rPr>
              <w:rFonts w:asciiTheme="minorHAnsi" w:hAnsiTheme="minorHAnsi" w:cstheme="minorHAnsi"/>
              <w:szCs w:val="22"/>
            </w:rPr>
            <w:instrText xml:space="preserve"> CITATION Aus237 \l 3081 </w:instrText>
          </w:r>
          <w:r w:rsidR="00C4087B">
            <w:rPr>
              <w:rFonts w:asciiTheme="minorHAnsi" w:hAnsiTheme="minorHAnsi" w:cstheme="minorHAnsi"/>
              <w:szCs w:val="22"/>
            </w:rPr>
            <w:fldChar w:fldCharType="separate"/>
          </w:r>
          <w:r w:rsidR="00C4087B" w:rsidRPr="00D5406A">
            <w:rPr>
              <w:rFonts w:asciiTheme="minorHAnsi" w:hAnsiTheme="minorHAnsi" w:cstheme="minorHAnsi"/>
              <w:noProof/>
              <w:szCs w:val="22"/>
            </w:rPr>
            <w:t>(Australian Government Department of Climate Change, Energy, the Environment and Water, 2023)</w:t>
          </w:r>
          <w:r w:rsidR="00C4087B">
            <w:rPr>
              <w:rFonts w:asciiTheme="minorHAnsi" w:hAnsiTheme="minorHAnsi" w:cstheme="minorHAnsi"/>
              <w:szCs w:val="22"/>
            </w:rPr>
            <w:fldChar w:fldCharType="end"/>
          </w:r>
        </w:sdtContent>
      </w:sdt>
      <w:r>
        <w:rPr>
          <w:rFonts w:asciiTheme="minorHAnsi" w:hAnsiTheme="minorHAnsi" w:cstheme="minorHAnsi"/>
          <w:szCs w:val="22"/>
        </w:rPr>
        <w:t xml:space="preserve"> have been used for the Australian analysis</w:t>
      </w:r>
      <w:r w:rsidR="00A747B6">
        <w:rPr>
          <w:rFonts w:asciiTheme="minorHAnsi" w:hAnsiTheme="minorHAnsi" w:cstheme="minorHAnsi"/>
          <w:szCs w:val="22"/>
        </w:rPr>
        <w:t>.</w:t>
      </w:r>
      <w:r w:rsidR="00345913">
        <w:rPr>
          <w:rFonts w:asciiTheme="minorHAnsi" w:hAnsiTheme="minorHAnsi" w:cstheme="minorHAnsi"/>
          <w:szCs w:val="22"/>
        </w:rPr>
        <w:t xml:space="preserve"> </w:t>
      </w:r>
      <w:r w:rsidR="00D8170C" w:rsidRPr="00A34F8A">
        <w:rPr>
          <w:rFonts w:asciiTheme="minorHAnsi" w:hAnsiTheme="minorHAnsi" w:cstheme="minorHAnsi"/>
          <w:szCs w:val="22"/>
        </w:rPr>
        <w:t xml:space="preserve">For New Zealand, emissions projections were sourced from the He Pou a Rangi Climate Change Commission </w:t>
      </w:r>
      <w:sdt>
        <w:sdtPr>
          <w:rPr>
            <w:rFonts w:asciiTheme="minorHAnsi" w:hAnsiTheme="minorHAnsi" w:cstheme="minorHAnsi"/>
            <w:szCs w:val="22"/>
          </w:rPr>
          <w:id w:val="-1033194669"/>
          <w:placeholder>
            <w:docPart w:val="E3418F11CC6248C2A48E000654C0A512"/>
          </w:placeholder>
          <w:citation/>
        </w:sdtPr>
        <w:sdtContent>
          <w:r w:rsidR="00D8170C" w:rsidRPr="00A34F8A">
            <w:rPr>
              <w:rFonts w:asciiTheme="minorHAnsi" w:hAnsiTheme="minorHAnsi" w:cstheme="minorHAnsi"/>
              <w:szCs w:val="22"/>
            </w:rPr>
            <w:fldChar w:fldCharType="begin"/>
          </w:r>
          <w:r w:rsidR="00D8170C" w:rsidRPr="00A34F8A">
            <w:rPr>
              <w:rFonts w:asciiTheme="minorHAnsi" w:hAnsiTheme="minorHAnsi" w:cstheme="minorHAnsi"/>
              <w:szCs w:val="22"/>
            </w:rPr>
            <w:instrText xml:space="preserve"> CITATION New22 \l 3081 </w:instrText>
          </w:r>
          <w:r w:rsidR="00D8170C"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(New Zealand Government, 2022)</w:t>
          </w:r>
          <w:r w:rsidR="00D8170C" w:rsidRPr="00A34F8A">
            <w:rPr>
              <w:rFonts w:asciiTheme="minorHAnsi" w:hAnsiTheme="minorHAnsi" w:cstheme="minorHAnsi"/>
              <w:szCs w:val="22"/>
            </w:rPr>
            <w:fldChar w:fldCharType="end"/>
          </w:r>
        </w:sdtContent>
      </w:sdt>
      <w:r w:rsidR="00D8170C" w:rsidRPr="00A34F8A">
        <w:rPr>
          <w:rFonts w:asciiTheme="minorHAnsi" w:hAnsiTheme="minorHAnsi" w:cstheme="minorHAnsi"/>
          <w:szCs w:val="22"/>
        </w:rPr>
        <w:t xml:space="preserve">. See Appendix </w:t>
      </w:r>
      <w:r w:rsidR="00C849DC">
        <w:rPr>
          <w:rFonts w:asciiTheme="minorHAnsi" w:hAnsiTheme="minorHAnsi" w:cstheme="minorHAnsi"/>
          <w:szCs w:val="22"/>
        </w:rPr>
        <w:t>O</w:t>
      </w:r>
      <w:r w:rsidR="00D8170C" w:rsidRPr="00A34F8A">
        <w:rPr>
          <w:rFonts w:asciiTheme="minorHAnsi" w:hAnsiTheme="minorHAnsi" w:cstheme="minorHAnsi"/>
          <w:szCs w:val="22"/>
        </w:rPr>
        <w:t>ne for full details.</w:t>
      </w:r>
    </w:p>
    <w:p w14:paraId="12C5FCEA" w14:textId="486CCF0B" w:rsidR="00D8170C" w:rsidRPr="00E7062A" w:rsidRDefault="00FE2C98" w:rsidP="00E7062A">
      <w:pPr>
        <w:pStyle w:val="Heading3"/>
      </w:pPr>
      <w:bookmarkStart w:id="128" w:name="_Toc183163270"/>
      <w:r>
        <w:t>Cost of carbon</w:t>
      </w:r>
      <w:bookmarkEnd w:id="128"/>
    </w:p>
    <w:p w14:paraId="6C083A19" w14:textId="68D11366" w:rsidR="00CA0C59" w:rsidRPr="00D5406A" w:rsidRDefault="008817D7" w:rsidP="00D5406A">
      <w:r w:rsidRPr="00D5406A">
        <w:t xml:space="preserve">The </w:t>
      </w:r>
      <w:r w:rsidR="00295E95">
        <w:t xml:space="preserve">central </w:t>
      </w:r>
      <w:r w:rsidRPr="00D5406A">
        <w:t>cost of carbon</w:t>
      </w:r>
      <w:r w:rsidR="00B4324D" w:rsidRPr="00D5406A">
        <w:t xml:space="preserve"> </w:t>
      </w:r>
      <w:r w:rsidR="002E2541">
        <w:t xml:space="preserve">used </w:t>
      </w:r>
      <w:r w:rsidR="00B4324D" w:rsidRPr="00D5406A">
        <w:t>for the Australian analysis</w:t>
      </w:r>
      <w:r w:rsidRPr="00D5406A">
        <w:t xml:space="preserve"> is based on the </w:t>
      </w:r>
      <w:r w:rsidR="00B4324D" w:rsidRPr="00D5406A">
        <w:t xml:space="preserve">Ministerial Council on Energy’s </w:t>
      </w:r>
      <w:r w:rsidR="00BF3CB8" w:rsidRPr="00D5406A">
        <w:t>statement on the interim value of greenhouse gas emissions reduction</w:t>
      </w:r>
      <w:r w:rsidR="00376DC6" w:rsidRPr="00D5406A">
        <w:t xml:space="preserve"> (VER)</w:t>
      </w:r>
      <w:r w:rsidR="002E2541" w:rsidRPr="00D5406A">
        <w:t xml:space="preserve"> </w:t>
      </w:r>
      <w:sdt>
        <w:sdtPr>
          <w:id w:val="864714579"/>
          <w:citation/>
        </w:sdtPr>
        <w:sdtContent>
          <w:r w:rsidR="002E2541" w:rsidRPr="00D5406A">
            <w:fldChar w:fldCharType="begin"/>
          </w:r>
          <w:r w:rsidR="002E2541" w:rsidRPr="00D5406A">
            <w:instrText xml:space="preserve"> CITATION Aus241 \l 3081 </w:instrText>
          </w:r>
          <w:r w:rsidR="002E2541" w:rsidRPr="00D5406A">
            <w:fldChar w:fldCharType="separate"/>
          </w:r>
          <w:r w:rsidR="002E2541" w:rsidRPr="002E2541">
            <w:t>(Australian Energy Market Commission, 2024)</w:t>
          </w:r>
          <w:r w:rsidR="002E2541" w:rsidRPr="00D5406A">
            <w:fldChar w:fldCharType="end"/>
          </w:r>
        </w:sdtContent>
      </w:sdt>
      <w:r w:rsidR="00C87529" w:rsidRPr="00D5406A">
        <w:t xml:space="preserve">. </w:t>
      </w:r>
      <w:r w:rsidR="00376DC6" w:rsidRPr="00D5406A">
        <w:t xml:space="preserve">The VER </w:t>
      </w:r>
      <w:r w:rsidR="00B76066" w:rsidRPr="00D5406A">
        <w:t xml:space="preserve">measures the dollar value per tonne of avoided greenhouse gas emissions resulting from </w:t>
      </w:r>
      <w:r w:rsidR="002E2541" w:rsidRPr="00D5406A">
        <w:t xml:space="preserve">changes in regulations. </w:t>
      </w:r>
      <w:r w:rsidR="00295E95">
        <w:t xml:space="preserve">A </w:t>
      </w:r>
      <w:r w:rsidR="00656193">
        <w:t xml:space="preserve">lower sensitivity setting was also tested for Australia </w:t>
      </w:r>
      <w:r w:rsidR="00A92B05">
        <w:t>using a carbon price forecast taken from the 2022 Decision RIS for a proposal to increase residential building energy efficiency improvements in the National Construction Code</w:t>
      </w:r>
      <w:r w:rsidR="00CA0C59">
        <w:t xml:space="preserve"> </w:t>
      </w:r>
      <w:sdt>
        <w:sdtPr>
          <w:id w:val="1323394448"/>
          <w:citation/>
        </w:sdtPr>
        <w:sdtContent>
          <w:r w:rsidR="00CA0C59">
            <w:fldChar w:fldCharType="begin"/>
          </w:r>
          <w:r w:rsidR="00CA0C59">
            <w:instrText xml:space="preserve"> CITATION ACI22 \l 3081 </w:instrText>
          </w:r>
          <w:r w:rsidR="00CA0C59">
            <w:fldChar w:fldCharType="separate"/>
          </w:r>
          <w:r w:rsidR="00CA0C59">
            <w:rPr>
              <w:noProof/>
            </w:rPr>
            <w:t>(ACIL Allen, 2022)</w:t>
          </w:r>
          <w:r w:rsidR="00CA0C59">
            <w:fldChar w:fldCharType="end"/>
          </w:r>
        </w:sdtContent>
      </w:sdt>
      <w:r w:rsidR="00CA0C59">
        <w:t xml:space="preserve">. </w:t>
      </w:r>
    </w:p>
    <w:p w14:paraId="62358363" w14:textId="37E22445" w:rsidR="00F16582" w:rsidRPr="00A34F8A" w:rsidRDefault="00F16582" w:rsidP="00F16582">
      <w:pPr>
        <w:rPr>
          <w:rFonts w:asciiTheme="minorHAnsi" w:hAnsiTheme="minorHAnsi" w:cstheme="minorHAnsi"/>
          <w:szCs w:val="22"/>
        </w:rPr>
      </w:pPr>
      <w:r w:rsidRPr="00A34F8A">
        <w:rPr>
          <w:rFonts w:asciiTheme="minorHAnsi" w:hAnsiTheme="minorHAnsi" w:cstheme="minorHAnsi"/>
          <w:szCs w:val="22"/>
        </w:rPr>
        <w:t xml:space="preserve">The New Zealand Government provided different social cost of carbon scenarios (low, central, high) to be used in their analysis. See Appendix </w:t>
      </w:r>
      <w:r w:rsidR="00892876">
        <w:rPr>
          <w:rFonts w:asciiTheme="minorHAnsi" w:hAnsiTheme="minorHAnsi" w:cstheme="minorHAnsi"/>
          <w:szCs w:val="22"/>
        </w:rPr>
        <w:t>O</w:t>
      </w:r>
      <w:r w:rsidRPr="00A34F8A">
        <w:rPr>
          <w:rFonts w:asciiTheme="minorHAnsi" w:hAnsiTheme="minorHAnsi" w:cstheme="minorHAnsi"/>
          <w:szCs w:val="22"/>
        </w:rPr>
        <w:t>ne for full details.</w:t>
      </w:r>
    </w:p>
    <w:p w14:paraId="1CA54B48" w14:textId="27FB664D" w:rsidR="00AC77F9" w:rsidRPr="00A34F8A" w:rsidRDefault="00AC77F9" w:rsidP="00E7062A">
      <w:pPr>
        <w:pStyle w:val="Heading2"/>
      </w:pPr>
      <w:bookmarkStart w:id="129" w:name="_Toc168660731"/>
      <w:bookmarkStart w:id="130" w:name="_Toc183163271"/>
      <w:r w:rsidRPr="00A34F8A">
        <w:t>4.2 Benefit cost ratios</w:t>
      </w:r>
      <w:bookmarkEnd w:id="129"/>
      <w:bookmarkEnd w:id="130"/>
    </w:p>
    <w:p w14:paraId="75D7FB26" w14:textId="18DDAF23" w:rsidR="001A200E" w:rsidRPr="00A34F8A" w:rsidRDefault="001A200E" w:rsidP="001A200E">
      <w:pPr>
        <w:rPr>
          <w:rFonts w:asciiTheme="minorHAnsi" w:hAnsiTheme="minorHAnsi" w:cstheme="minorHAnsi"/>
          <w:szCs w:val="22"/>
        </w:rPr>
      </w:pPr>
      <w:r w:rsidRPr="00A34F8A">
        <w:rPr>
          <w:rFonts w:asciiTheme="minorHAnsi" w:hAnsiTheme="minorHAnsi" w:cstheme="minorHAnsi"/>
          <w:szCs w:val="22"/>
        </w:rPr>
        <w:t xml:space="preserve">In this section we present the results of the central scenario. We have also run a sensitivity analysis to understand the best and worst cases. The settings for the three scenarios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_Ref158126148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16</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The results for the low and high scenarios are included in Appendix </w:t>
      </w:r>
      <w:r w:rsidR="00A50358">
        <w:rPr>
          <w:rFonts w:asciiTheme="minorHAnsi" w:hAnsiTheme="minorHAnsi" w:cstheme="minorHAnsi"/>
          <w:szCs w:val="22"/>
        </w:rPr>
        <w:t>T</w:t>
      </w:r>
      <w:r w:rsidRPr="00A34F8A">
        <w:rPr>
          <w:rFonts w:asciiTheme="minorHAnsi" w:hAnsiTheme="minorHAnsi" w:cstheme="minorHAnsi"/>
          <w:szCs w:val="22"/>
        </w:rPr>
        <w:t>wo.</w:t>
      </w:r>
    </w:p>
    <w:p w14:paraId="017CFDA1" w14:textId="77777777" w:rsidR="002A6440" w:rsidRPr="00A34F8A" w:rsidRDefault="002A6440" w:rsidP="002A6440">
      <w:pPr>
        <w:pStyle w:val="BlueLineTop"/>
        <w:rPr>
          <w:rFonts w:asciiTheme="minorHAnsi" w:hAnsiTheme="minorHAnsi" w:cstheme="minorHAnsi"/>
          <w:sz w:val="22"/>
          <w:szCs w:val="22"/>
        </w:rPr>
      </w:pPr>
      <w:bookmarkStart w:id="131" w:name="_Ref158126148"/>
    </w:p>
    <w:p w14:paraId="783ACF0E" w14:textId="7AF8F916" w:rsidR="001A200E" w:rsidRPr="00A34F8A" w:rsidRDefault="001A200E" w:rsidP="001A200E">
      <w:pPr>
        <w:pStyle w:val="Caption"/>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16</w:t>
      </w:r>
      <w:r w:rsidRPr="00A34F8A">
        <w:rPr>
          <w:rFonts w:asciiTheme="minorHAnsi" w:hAnsiTheme="minorHAnsi" w:cstheme="minorHAnsi"/>
          <w:sz w:val="22"/>
          <w:szCs w:val="22"/>
        </w:rPr>
        <w:fldChar w:fldCharType="end"/>
      </w:r>
      <w:bookmarkEnd w:id="131"/>
      <w:r w:rsidRPr="00A34F8A">
        <w:rPr>
          <w:rFonts w:asciiTheme="minorHAnsi" w:hAnsiTheme="minorHAnsi" w:cstheme="minorHAnsi"/>
          <w:sz w:val="22"/>
          <w:szCs w:val="22"/>
        </w:rPr>
        <w:t>: Sensitivity analysis settings</w:t>
      </w:r>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2268"/>
        <w:gridCol w:w="2268"/>
        <w:gridCol w:w="2268"/>
        <w:gridCol w:w="2268"/>
      </w:tblGrid>
      <w:tr w:rsidR="003F7266" w:rsidRPr="00A34F8A" w14:paraId="630F72FD" w14:textId="77777777" w:rsidTr="00D5406A">
        <w:trPr>
          <w:cnfStyle w:val="100000000000" w:firstRow="1" w:lastRow="0" w:firstColumn="0" w:lastColumn="0" w:oddVBand="0" w:evenVBand="0" w:oddHBand="0" w:evenHBand="0" w:firstRowFirstColumn="0" w:firstRowLastColumn="0" w:lastRowFirstColumn="0" w:lastRowLastColumn="0"/>
          <w:tblHeader/>
        </w:trPr>
        <w:tc>
          <w:tcPr>
            <w:tcW w:w="2268" w:type="dxa"/>
            <w:tcBorders>
              <w:right w:val="single" w:sz="4" w:space="0" w:color="C4BC96" w:themeColor="background2" w:themeShade="BF"/>
            </w:tcBorders>
            <w:tcMar>
              <w:top w:w="57" w:type="dxa"/>
              <w:left w:w="57" w:type="dxa"/>
              <w:bottom w:w="57" w:type="dxa"/>
              <w:right w:w="57" w:type="dxa"/>
            </w:tcMar>
          </w:tcPr>
          <w:p w14:paraId="032646E6" w14:textId="77777777" w:rsidR="001A200E" w:rsidRPr="00A34F8A" w:rsidRDefault="001A200E" w:rsidP="005D3977">
            <w:pPr>
              <w:pStyle w:val="Table1-columnheadingdata"/>
              <w:rPr>
                <w:rFonts w:asciiTheme="minorHAnsi" w:hAnsiTheme="minorHAnsi" w:cstheme="minorHAnsi"/>
                <w:sz w:val="22"/>
                <w:szCs w:val="22"/>
              </w:rPr>
            </w:pPr>
          </w:p>
        </w:tc>
        <w:tc>
          <w:tcPr>
            <w:tcW w:w="2268" w:type="dxa"/>
            <w:tcBorders>
              <w:left w:val="single" w:sz="4" w:space="0" w:color="C4BC96" w:themeColor="background2" w:themeShade="BF"/>
            </w:tcBorders>
            <w:tcMar>
              <w:top w:w="57" w:type="dxa"/>
              <w:left w:w="57" w:type="dxa"/>
              <w:bottom w:w="57" w:type="dxa"/>
              <w:right w:w="57" w:type="dxa"/>
            </w:tcMar>
          </w:tcPr>
          <w:p w14:paraId="6E7A8DF0"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Central</w:t>
            </w:r>
          </w:p>
        </w:tc>
        <w:tc>
          <w:tcPr>
            <w:tcW w:w="2268" w:type="dxa"/>
            <w:tcBorders>
              <w:left w:val="single" w:sz="4" w:space="0" w:color="C4BC96" w:themeColor="background2" w:themeShade="BF"/>
            </w:tcBorders>
            <w:tcMar>
              <w:top w:w="57" w:type="dxa"/>
              <w:left w:w="57" w:type="dxa"/>
              <w:bottom w:w="57" w:type="dxa"/>
              <w:right w:w="57" w:type="dxa"/>
            </w:tcMar>
          </w:tcPr>
          <w:p w14:paraId="6EA42CB8"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High</w:t>
            </w:r>
          </w:p>
        </w:tc>
        <w:tc>
          <w:tcPr>
            <w:tcW w:w="2268" w:type="dxa"/>
            <w:tcBorders>
              <w:left w:val="single" w:sz="4" w:space="0" w:color="C4BC96" w:themeColor="background2" w:themeShade="BF"/>
            </w:tcBorders>
            <w:tcMar>
              <w:top w:w="57" w:type="dxa"/>
              <w:left w:w="57" w:type="dxa"/>
              <w:bottom w:w="57" w:type="dxa"/>
              <w:right w:w="57" w:type="dxa"/>
            </w:tcMar>
          </w:tcPr>
          <w:p w14:paraId="2B547B6B"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Low</w:t>
            </w:r>
          </w:p>
        </w:tc>
      </w:tr>
      <w:tr w:rsidR="00BB2CEE" w:rsidRPr="00A34F8A" w14:paraId="4DB45ADB" w14:textId="77777777" w:rsidTr="00D5406A">
        <w:trPr>
          <w:trHeight w:val="91"/>
        </w:trPr>
        <w:tc>
          <w:tcPr>
            <w:tcW w:w="2268" w:type="dxa"/>
            <w:tcBorders>
              <w:right w:val="single" w:sz="4" w:space="0" w:color="C4BC96" w:themeColor="background2" w:themeShade="BF"/>
            </w:tcBorders>
            <w:tcMar>
              <w:top w:w="57" w:type="dxa"/>
              <w:left w:w="57" w:type="dxa"/>
              <w:bottom w:w="57" w:type="dxa"/>
              <w:right w:w="57" w:type="dxa"/>
            </w:tcMar>
          </w:tcPr>
          <w:p w14:paraId="62BB39D0" w14:textId="433FEA6A" w:rsidR="001A200E" w:rsidRPr="00A34F8A" w:rsidRDefault="005F7190" w:rsidP="005D3977">
            <w:pPr>
              <w:pStyle w:val="Table2-Rowheadingdata"/>
              <w:rPr>
                <w:rFonts w:asciiTheme="minorHAnsi" w:hAnsiTheme="minorHAnsi" w:cstheme="minorHAnsi"/>
                <w:sz w:val="22"/>
                <w:szCs w:val="22"/>
              </w:rPr>
            </w:pPr>
            <w:r w:rsidRPr="00A34F8A">
              <w:rPr>
                <w:rFonts w:asciiTheme="minorHAnsi" w:hAnsiTheme="minorHAnsi" w:cstheme="minorHAnsi"/>
                <w:b w:val="0"/>
                <w:bCs w:val="0"/>
                <w:color w:val="auto"/>
                <w:sz w:val="22"/>
                <w:szCs w:val="22"/>
              </w:rPr>
              <w:br w:type="page"/>
            </w:r>
            <w:r w:rsidR="001A200E" w:rsidRPr="00A34F8A">
              <w:rPr>
                <w:rFonts w:asciiTheme="minorHAnsi" w:hAnsiTheme="minorHAnsi" w:cstheme="minorHAnsi"/>
                <w:sz w:val="22"/>
                <w:szCs w:val="22"/>
              </w:rPr>
              <w:t>Discount rate (AUS)</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43A5BB9A" w14:textId="77777777" w:rsidR="001A200E" w:rsidRPr="00A34F8A" w:rsidRDefault="001A200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w:t>
            </w:r>
          </w:p>
        </w:tc>
        <w:tc>
          <w:tcPr>
            <w:tcW w:w="2268" w:type="dxa"/>
            <w:tcBorders>
              <w:left w:val="single" w:sz="4" w:space="0" w:color="C4BC96" w:themeColor="background2" w:themeShade="BF"/>
            </w:tcBorders>
            <w:tcMar>
              <w:top w:w="57" w:type="dxa"/>
              <w:left w:w="57" w:type="dxa"/>
              <w:bottom w:w="57" w:type="dxa"/>
              <w:right w:w="57" w:type="dxa"/>
            </w:tcMar>
          </w:tcPr>
          <w:p w14:paraId="481AD105" w14:textId="77777777" w:rsidR="001A200E" w:rsidRPr="00A34F8A" w:rsidRDefault="001A200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w:t>
            </w:r>
          </w:p>
        </w:tc>
        <w:tc>
          <w:tcPr>
            <w:tcW w:w="2268" w:type="dxa"/>
            <w:tcBorders>
              <w:left w:val="single" w:sz="4" w:space="0" w:color="C4BC96" w:themeColor="background2" w:themeShade="BF"/>
            </w:tcBorders>
            <w:tcMar>
              <w:top w:w="57" w:type="dxa"/>
              <w:left w:w="57" w:type="dxa"/>
              <w:bottom w:w="57" w:type="dxa"/>
              <w:right w:w="57" w:type="dxa"/>
            </w:tcMar>
          </w:tcPr>
          <w:p w14:paraId="47D190FF" w14:textId="77777777" w:rsidR="001A200E" w:rsidRPr="00A34F8A" w:rsidRDefault="001A200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w:t>
            </w:r>
          </w:p>
        </w:tc>
      </w:tr>
      <w:tr w:rsidR="00BB2CEE" w:rsidRPr="00A34F8A" w14:paraId="1B2943F8" w14:textId="77777777" w:rsidTr="00D5406A">
        <w:tc>
          <w:tcPr>
            <w:tcW w:w="2268" w:type="dxa"/>
            <w:tcBorders>
              <w:right w:val="single" w:sz="4" w:space="0" w:color="C4BC96" w:themeColor="background2" w:themeShade="BF"/>
            </w:tcBorders>
            <w:tcMar>
              <w:top w:w="57" w:type="dxa"/>
              <w:left w:w="57" w:type="dxa"/>
              <w:bottom w:w="57" w:type="dxa"/>
              <w:right w:w="57" w:type="dxa"/>
            </w:tcMar>
          </w:tcPr>
          <w:p w14:paraId="1B0E63B2" w14:textId="77777777" w:rsidR="001A200E" w:rsidRPr="00A34F8A" w:rsidRDefault="001A200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Discount rate (NZ)</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121358DE" w14:textId="77777777" w:rsidR="001A200E" w:rsidRPr="00A34F8A" w:rsidRDefault="001A200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5%</w:t>
            </w:r>
          </w:p>
        </w:tc>
        <w:tc>
          <w:tcPr>
            <w:tcW w:w="2268" w:type="dxa"/>
            <w:tcBorders>
              <w:left w:val="single" w:sz="4" w:space="0" w:color="C4BC96" w:themeColor="background2" w:themeShade="BF"/>
            </w:tcBorders>
            <w:tcMar>
              <w:top w:w="57" w:type="dxa"/>
              <w:left w:w="57" w:type="dxa"/>
              <w:bottom w:w="57" w:type="dxa"/>
              <w:right w:w="57" w:type="dxa"/>
            </w:tcMar>
          </w:tcPr>
          <w:p w14:paraId="0B44EEC7" w14:textId="77777777" w:rsidR="001A200E" w:rsidRPr="00A34F8A" w:rsidRDefault="001A200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w:t>
            </w:r>
          </w:p>
        </w:tc>
        <w:tc>
          <w:tcPr>
            <w:tcW w:w="2268" w:type="dxa"/>
            <w:tcBorders>
              <w:left w:val="single" w:sz="4" w:space="0" w:color="C4BC96" w:themeColor="background2" w:themeShade="BF"/>
            </w:tcBorders>
            <w:tcMar>
              <w:top w:w="57" w:type="dxa"/>
              <w:left w:w="57" w:type="dxa"/>
              <w:bottom w:w="57" w:type="dxa"/>
              <w:right w:w="57" w:type="dxa"/>
            </w:tcMar>
          </w:tcPr>
          <w:p w14:paraId="6E890F9F" w14:textId="77777777" w:rsidR="001A200E" w:rsidRPr="00A34F8A" w:rsidRDefault="001A200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w:t>
            </w:r>
          </w:p>
        </w:tc>
      </w:tr>
      <w:tr w:rsidR="00987806" w:rsidRPr="00A34F8A" w14:paraId="7C386EC8" w14:textId="77777777" w:rsidTr="00D5406A">
        <w:tc>
          <w:tcPr>
            <w:tcW w:w="2268" w:type="dxa"/>
            <w:tcBorders>
              <w:right w:val="single" w:sz="4" w:space="0" w:color="C4BC96" w:themeColor="background2" w:themeShade="BF"/>
            </w:tcBorders>
            <w:tcMar>
              <w:top w:w="57" w:type="dxa"/>
              <w:left w:w="57" w:type="dxa"/>
              <w:bottom w:w="57" w:type="dxa"/>
              <w:right w:w="57" w:type="dxa"/>
            </w:tcMar>
          </w:tcPr>
          <w:p w14:paraId="192148A7" w14:textId="43DF097D" w:rsidR="00987806" w:rsidRPr="00A34F8A" w:rsidRDefault="00987806" w:rsidP="00987806">
            <w:pPr>
              <w:pStyle w:val="Table2-Rowheadingdata"/>
              <w:rPr>
                <w:rFonts w:asciiTheme="minorHAnsi" w:hAnsiTheme="minorHAnsi" w:cstheme="minorHAnsi"/>
                <w:sz w:val="22"/>
                <w:szCs w:val="22"/>
              </w:rPr>
            </w:pPr>
            <w:r>
              <w:rPr>
                <w:rFonts w:asciiTheme="minorHAnsi" w:hAnsiTheme="minorHAnsi" w:cstheme="minorHAnsi"/>
                <w:sz w:val="22"/>
                <w:szCs w:val="22"/>
              </w:rPr>
              <w:t>C</w:t>
            </w:r>
            <w:r>
              <w:t>ost of carbon (AUS)</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2CECF40E" w14:textId="5E7BE2A4" w:rsidR="00987806" w:rsidRPr="00A34F8A" w:rsidRDefault="00987806" w:rsidP="00987806">
            <w:pPr>
              <w:pStyle w:val="Table3-Normaldata"/>
              <w:rPr>
                <w:rFonts w:asciiTheme="minorHAnsi" w:hAnsiTheme="minorHAnsi" w:cstheme="minorHAnsi"/>
                <w:sz w:val="22"/>
                <w:szCs w:val="22"/>
              </w:rPr>
            </w:pPr>
            <w:r>
              <w:rPr>
                <w:rFonts w:asciiTheme="minorHAnsi" w:hAnsiTheme="minorHAnsi" w:cstheme="minorHAnsi"/>
                <w:sz w:val="22"/>
                <w:szCs w:val="22"/>
              </w:rPr>
              <w:t>V</w:t>
            </w:r>
            <w:r>
              <w:t>ER (AEMC)</w:t>
            </w:r>
          </w:p>
        </w:tc>
        <w:tc>
          <w:tcPr>
            <w:tcW w:w="2268" w:type="dxa"/>
            <w:tcBorders>
              <w:left w:val="single" w:sz="4" w:space="0" w:color="C4BC96" w:themeColor="background2" w:themeShade="BF"/>
            </w:tcBorders>
            <w:tcMar>
              <w:top w:w="57" w:type="dxa"/>
              <w:left w:w="57" w:type="dxa"/>
              <w:bottom w:w="57" w:type="dxa"/>
              <w:right w:w="57" w:type="dxa"/>
            </w:tcMar>
          </w:tcPr>
          <w:p w14:paraId="195B7835" w14:textId="51B28C70" w:rsidR="00987806" w:rsidRPr="00A34F8A" w:rsidRDefault="00987806" w:rsidP="00987806">
            <w:pPr>
              <w:pStyle w:val="Table3-Normaldata"/>
              <w:rPr>
                <w:rFonts w:asciiTheme="minorHAnsi" w:hAnsiTheme="minorHAnsi" w:cstheme="minorHAnsi"/>
                <w:sz w:val="22"/>
                <w:szCs w:val="22"/>
              </w:rPr>
            </w:pPr>
            <w:r>
              <w:rPr>
                <w:rFonts w:asciiTheme="minorHAnsi" w:hAnsiTheme="minorHAnsi" w:cstheme="minorHAnsi"/>
                <w:sz w:val="22"/>
                <w:szCs w:val="22"/>
              </w:rPr>
              <w:t>Social cost of carbon high scenario (ACIL Allen, 2022)</w:t>
            </w:r>
          </w:p>
        </w:tc>
        <w:tc>
          <w:tcPr>
            <w:tcW w:w="2268" w:type="dxa"/>
            <w:tcBorders>
              <w:left w:val="single" w:sz="4" w:space="0" w:color="C4BC96" w:themeColor="background2" w:themeShade="BF"/>
            </w:tcBorders>
            <w:tcMar>
              <w:top w:w="57" w:type="dxa"/>
              <w:left w:w="57" w:type="dxa"/>
              <w:bottom w:w="57" w:type="dxa"/>
              <w:right w:w="57" w:type="dxa"/>
            </w:tcMar>
          </w:tcPr>
          <w:p w14:paraId="651F48CB" w14:textId="669F7646" w:rsidR="00987806" w:rsidRPr="00A34F8A" w:rsidRDefault="00987806" w:rsidP="00987806">
            <w:pPr>
              <w:pStyle w:val="Table3-Normaldata"/>
              <w:rPr>
                <w:rFonts w:asciiTheme="minorHAnsi" w:hAnsiTheme="minorHAnsi" w:cstheme="minorHAnsi"/>
                <w:sz w:val="22"/>
                <w:szCs w:val="22"/>
              </w:rPr>
            </w:pPr>
            <w:r>
              <w:rPr>
                <w:rFonts w:asciiTheme="minorHAnsi" w:hAnsiTheme="minorHAnsi" w:cstheme="minorHAnsi"/>
                <w:sz w:val="22"/>
                <w:szCs w:val="22"/>
              </w:rPr>
              <w:t xml:space="preserve">Social cost of carbon </w:t>
            </w:r>
            <w:r w:rsidR="00EE6469">
              <w:rPr>
                <w:rFonts w:asciiTheme="minorHAnsi" w:hAnsiTheme="minorHAnsi" w:cstheme="minorHAnsi"/>
                <w:sz w:val="22"/>
                <w:szCs w:val="22"/>
              </w:rPr>
              <w:t>medium</w:t>
            </w:r>
            <w:r>
              <w:rPr>
                <w:rFonts w:asciiTheme="minorHAnsi" w:hAnsiTheme="minorHAnsi" w:cstheme="minorHAnsi"/>
                <w:sz w:val="22"/>
                <w:szCs w:val="22"/>
              </w:rPr>
              <w:t xml:space="preserve"> scenario(ACIL Allen, 2022)</w:t>
            </w:r>
          </w:p>
        </w:tc>
      </w:tr>
      <w:tr w:rsidR="00987806" w:rsidRPr="00A34F8A" w14:paraId="6D045FC7" w14:textId="77777777" w:rsidTr="00D5406A">
        <w:tc>
          <w:tcPr>
            <w:tcW w:w="2268" w:type="dxa"/>
            <w:tcBorders>
              <w:right w:val="single" w:sz="4" w:space="0" w:color="C4BC96" w:themeColor="background2" w:themeShade="BF"/>
            </w:tcBorders>
            <w:tcMar>
              <w:top w:w="57" w:type="dxa"/>
              <w:left w:w="57" w:type="dxa"/>
              <w:bottom w:w="57" w:type="dxa"/>
              <w:right w:w="57" w:type="dxa"/>
            </w:tcMar>
          </w:tcPr>
          <w:p w14:paraId="1BFEE319" w14:textId="77777777" w:rsidR="00987806" w:rsidRPr="00A34F8A" w:rsidRDefault="00987806" w:rsidP="00987806">
            <w:pPr>
              <w:pStyle w:val="Table2-Rowheadingdata"/>
              <w:rPr>
                <w:rFonts w:asciiTheme="minorHAnsi" w:hAnsiTheme="minorHAnsi" w:cstheme="minorHAnsi"/>
                <w:sz w:val="22"/>
                <w:szCs w:val="22"/>
              </w:rPr>
            </w:pPr>
            <w:r w:rsidRPr="00A34F8A">
              <w:rPr>
                <w:rFonts w:asciiTheme="minorHAnsi" w:hAnsiTheme="minorHAnsi" w:cstheme="minorHAnsi"/>
                <w:sz w:val="22"/>
                <w:szCs w:val="22"/>
              </w:rPr>
              <w:t>Social cost of carbon (NZ)</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1C5AF40D" w14:textId="77777777" w:rsidR="00987806" w:rsidRPr="00A34F8A" w:rsidRDefault="00987806" w:rsidP="00987806">
            <w:pPr>
              <w:pStyle w:val="Table3-Normaldata"/>
              <w:rPr>
                <w:rFonts w:asciiTheme="minorHAnsi" w:hAnsiTheme="minorHAnsi" w:cstheme="minorHAnsi"/>
                <w:sz w:val="22"/>
                <w:szCs w:val="22"/>
              </w:rPr>
            </w:pPr>
            <w:r w:rsidRPr="00A34F8A">
              <w:rPr>
                <w:rFonts w:asciiTheme="minorHAnsi" w:hAnsiTheme="minorHAnsi" w:cstheme="minorHAnsi"/>
                <w:sz w:val="22"/>
                <w:szCs w:val="22"/>
              </w:rPr>
              <w:t>Central</w:t>
            </w:r>
          </w:p>
        </w:tc>
        <w:tc>
          <w:tcPr>
            <w:tcW w:w="2268" w:type="dxa"/>
            <w:tcBorders>
              <w:left w:val="single" w:sz="4" w:space="0" w:color="C4BC96" w:themeColor="background2" w:themeShade="BF"/>
            </w:tcBorders>
            <w:tcMar>
              <w:top w:w="57" w:type="dxa"/>
              <w:left w:w="57" w:type="dxa"/>
              <w:bottom w:w="57" w:type="dxa"/>
              <w:right w:w="57" w:type="dxa"/>
            </w:tcMar>
          </w:tcPr>
          <w:p w14:paraId="68515283" w14:textId="77777777" w:rsidR="00987806" w:rsidRPr="00A34F8A" w:rsidRDefault="00987806" w:rsidP="00987806">
            <w:pPr>
              <w:pStyle w:val="Table3-Normaldata"/>
              <w:rPr>
                <w:rFonts w:asciiTheme="minorHAnsi" w:hAnsiTheme="minorHAnsi" w:cstheme="minorHAnsi"/>
                <w:sz w:val="22"/>
                <w:szCs w:val="22"/>
              </w:rPr>
            </w:pPr>
            <w:r w:rsidRPr="00A34F8A">
              <w:rPr>
                <w:rFonts w:asciiTheme="minorHAnsi" w:hAnsiTheme="minorHAnsi" w:cstheme="minorHAnsi"/>
                <w:sz w:val="22"/>
                <w:szCs w:val="22"/>
              </w:rPr>
              <w:t>High</w:t>
            </w:r>
          </w:p>
        </w:tc>
        <w:tc>
          <w:tcPr>
            <w:tcW w:w="2268" w:type="dxa"/>
            <w:tcBorders>
              <w:left w:val="single" w:sz="4" w:space="0" w:color="C4BC96" w:themeColor="background2" w:themeShade="BF"/>
            </w:tcBorders>
            <w:tcMar>
              <w:top w:w="57" w:type="dxa"/>
              <w:left w:w="57" w:type="dxa"/>
              <w:bottom w:w="57" w:type="dxa"/>
              <w:right w:w="57" w:type="dxa"/>
            </w:tcMar>
          </w:tcPr>
          <w:p w14:paraId="12D769D9" w14:textId="77777777" w:rsidR="00987806" w:rsidRPr="00A34F8A" w:rsidRDefault="00987806" w:rsidP="00987806">
            <w:pPr>
              <w:pStyle w:val="Table3-Normaldata"/>
              <w:rPr>
                <w:rFonts w:asciiTheme="minorHAnsi" w:hAnsiTheme="minorHAnsi" w:cstheme="minorHAnsi"/>
                <w:sz w:val="22"/>
                <w:szCs w:val="22"/>
              </w:rPr>
            </w:pPr>
            <w:r w:rsidRPr="00A34F8A">
              <w:rPr>
                <w:rFonts w:asciiTheme="minorHAnsi" w:hAnsiTheme="minorHAnsi" w:cstheme="minorHAnsi"/>
                <w:sz w:val="22"/>
                <w:szCs w:val="22"/>
              </w:rPr>
              <w:t>Low</w:t>
            </w:r>
          </w:p>
        </w:tc>
      </w:tr>
    </w:tbl>
    <w:p w14:paraId="5BDB4D1A" w14:textId="77777777" w:rsidR="001A200E" w:rsidRPr="00A34F8A" w:rsidRDefault="001A200E" w:rsidP="001A200E">
      <w:pPr>
        <w:pStyle w:val="BlueLineBottom"/>
        <w:rPr>
          <w:rFonts w:asciiTheme="minorHAnsi" w:hAnsiTheme="minorHAnsi" w:cstheme="minorHAnsi"/>
          <w:sz w:val="22"/>
          <w:szCs w:val="22"/>
        </w:rPr>
      </w:pPr>
    </w:p>
    <w:p w14:paraId="0729C95F" w14:textId="5FD2DB73" w:rsidR="001A200E" w:rsidRPr="00A34F8A" w:rsidRDefault="001A200E" w:rsidP="001A200E">
      <w:pPr>
        <w:rPr>
          <w:rFonts w:asciiTheme="minorHAnsi" w:hAnsiTheme="minorHAnsi" w:cstheme="minorHAnsi"/>
          <w:szCs w:val="22"/>
        </w:rPr>
      </w:pPr>
      <w:r w:rsidRPr="00A34F8A">
        <w:rPr>
          <w:rFonts w:asciiTheme="minorHAnsi" w:hAnsiTheme="minorHAnsi" w:cstheme="minorHAnsi"/>
          <w:szCs w:val="22"/>
        </w:rPr>
        <w:t xml:space="preserve">The results for the central case in Australia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_Ref142060130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17</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(compared to a business-as-usual baseline). For scenarios 4 and 5, which involved increases to the existing regulation (scope and stringency), a positive net benefit was achieved. While the costs </w:t>
      </w:r>
      <w:r w:rsidRPr="00A34F8A">
        <w:rPr>
          <w:rFonts w:asciiTheme="minorHAnsi" w:hAnsiTheme="minorHAnsi" w:cstheme="minorHAnsi"/>
          <w:szCs w:val="22"/>
        </w:rPr>
        <w:lastRenderedPageBreak/>
        <w:t>increased considerably under scenario 5, there was an additional net benefit of $5m AUD (above scenario 4) for increasing to “mark VII” in 2029. This positive net benefit held true under each of the sensitivity settings. While scenario 5 increased private costs to industry, the combined public and private benefits exceeded any cost increase (total benefit to cost ratio of 1.16).</w:t>
      </w:r>
    </w:p>
    <w:p w14:paraId="7CD8A748" w14:textId="77777777" w:rsidR="001A200E" w:rsidRPr="00A34F8A" w:rsidRDefault="001A200E" w:rsidP="00C6008C">
      <w:pPr>
        <w:pStyle w:val="BlueLineTop"/>
        <w:keepNext/>
        <w:rPr>
          <w:rFonts w:asciiTheme="minorHAnsi" w:hAnsiTheme="minorHAnsi" w:cstheme="minorHAnsi"/>
          <w:sz w:val="22"/>
          <w:szCs w:val="22"/>
        </w:rPr>
      </w:pPr>
    </w:p>
    <w:p w14:paraId="64D17242" w14:textId="1C7CC6F0" w:rsidR="001A200E" w:rsidRPr="00A34F8A" w:rsidRDefault="001A200E" w:rsidP="00C6008C">
      <w:pPr>
        <w:pStyle w:val="Caption"/>
        <w:keepNext/>
        <w:rPr>
          <w:rFonts w:asciiTheme="minorHAnsi" w:hAnsiTheme="minorHAnsi" w:cstheme="minorHAnsi"/>
          <w:sz w:val="22"/>
          <w:szCs w:val="22"/>
        </w:rPr>
      </w:pPr>
      <w:bookmarkStart w:id="132" w:name="_Ref142060130"/>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17</w:t>
      </w:r>
      <w:r w:rsidRPr="00A34F8A">
        <w:rPr>
          <w:rFonts w:asciiTheme="minorHAnsi" w:hAnsiTheme="minorHAnsi" w:cstheme="minorHAnsi"/>
          <w:sz w:val="22"/>
          <w:szCs w:val="22"/>
        </w:rPr>
        <w:fldChar w:fldCharType="end"/>
      </w:r>
      <w:bookmarkEnd w:id="132"/>
      <w:r w:rsidRPr="00A34F8A">
        <w:rPr>
          <w:rFonts w:asciiTheme="minorHAnsi" w:hAnsiTheme="minorHAnsi" w:cstheme="minorHAnsi"/>
          <w:sz w:val="22"/>
          <w:szCs w:val="22"/>
        </w:rPr>
        <w:t>: Cost-</w:t>
      </w:r>
      <w:r w:rsidRPr="006D3BB9">
        <w:rPr>
          <w:rFonts w:asciiTheme="minorHAnsi" w:hAnsiTheme="minorHAnsi" w:cstheme="minorHAnsi"/>
          <w:sz w:val="22"/>
          <w:szCs w:val="22"/>
        </w:rPr>
        <w:t>benefit analysis results summary by scenario (compared to business-as-usual) for Australia, modelled</w:t>
      </w:r>
      <w:r w:rsidRPr="00A34F8A">
        <w:rPr>
          <w:rFonts w:asciiTheme="minorHAnsi" w:hAnsiTheme="minorHAnsi" w:cstheme="minorHAnsi"/>
          <w:sz w:val="22"/>
          <w:szCs w:val="22"/>
        </w:rPr>
        <w:t xml:space="preserve"> to 2040</w:t>
      </w:r>
    </w:p>
    <w:tbl>
      <w:tblPr>
        <w:tblStyle w:val="ComCap4-nested"/>
        <w:tblW w:w="0" w:type="auto"/>
        <w:tblInd w:w="-567" w:type="dxa"/>
        <w:tblBorders>
          <w:insideV w:val="single" w:sz="4" w:space="0" w:color="auto"/>
        </w:tblBorders>
        <w:tblLayout w:type="fixed"/>
        <w:tblCellMar>
          <w:top w:w="142" w:type="dxa"/>
        </w:tblCellMar>
        <w:tblLook w:val="04A0" w:firstRow="1" w:lastRow="0" w:firstColumn="1" w:lastColumn="0" w:noHBand="0" w:noVBand="1"/>
      </w:tblPr>
      <w:tblGrid>
        <w:gridCol w:w="2694"/>
        <w:gridCol w:w="1583"/>
        <w:gridCol w:w="1583"/>
        <w:gridCol w:w="1583"/>
        <w:gridCol w:w="1583"/>
      </w:tblGrid>
      <w:tr w:rsidR="00894392" w:rsidRPr="00A34F8A" w14:paraId="3DE2EC3D" w14:textId="77777777" w:rsidTr="00894392">
        <w:trPr>
          <w:cnfStyle w:val="100000000000" w:firstRow="1" w:lastRow="0" w:firstColumn="0" w:lastColumn="0" w:oddVBand="0" w:evenVBand="0" w:oddHBand="0" w:evenHBand="0" w:firstRowFirstColumn="0" w:firstRowLastColumn="0" w:lastRowFirstColumn="0" w:lastRowLastColumn="0"/>
          <w:trHeight w:val="565"/>
          <w:tblHeader/>
        </w:trPr>
        <w:tc>
          <w:tcPr>
            <w:tcW w:w="2694" w:type="dxa"/>
            <w:tcBorders>
              <w:right w:val="single" w:sz="4" w:space="0" w:color="C4BC96" w:themeColor="background2" w:themeShade="BF"/>
            </w:tcBorders>
            <w:tcMar>
              <w:top w:w="57" w:type="dxa"/>
              <w:left w:w="57" w:type="dxa"/>
              <w:bottom w:w="57" w:type="dxa"/>
              <w:right w:w="57" w:type="dxa"/>
            </w:tcMar>
            <w:vAlign w:val="top"/>
          </w:tcPr>
          <w:p w14:paraId="52194B42" w14:textId="77777777" w:rsidR="001A200E" w:rsidRPr="00A34F8A" w:rsidRDefault="001A200E" w:rsidP="005D3977">
            <w:pPr>
              <w:pStyle w:val="Table1-columnheadingdata"/>
              <w:rPr>
                <w:rFonts w:asciiTheme="minorHAnsi" w:hAnsiTheme="minorHAnsi" w:cstheme="minorHAnsi"/>
                <w:sz w:val="22"/>
                <w:szCs w:val="22"/>
              </w:rPr>
            </w:pPr>
          </w:p>
        </w:tc>
        <w:tc>
          <w:tcPr>
            <w:tcW w:w="1583" w:type="dxa"/>
            <w:tcBorders>
              <w:left w:val="single" w:sz="4" w:space="0" w:color="C4BC96" w:themeColor="background2" w:themeShade="BF"/>
            </w:tcBorders>
            <w:tcMar>
              <w:top w:w="57" w:type="dxa"/>
              <w:left w:w="57" w:type="dxa"/>
              <w:bottom w:w="57" w:type="dxa"/>
              <w:right w:w="57" w:type="dxa"/>
            </w:tcMar>
            <w:vAlign w:val="top"/>
          </w:tcPr>
          <w:p w14:paraId="2F68F16E"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2: No regulation from 2025</w:t>
            </w:r>
          </w:p>
        </w:tc>
        <w:tc>
          <w:tcPr>
            <w:tcW w:w="1583" w:type="dxa"/>
            <w:tcBorders>
              <w:left w:val="single" w:sz="4" w:space="0" w:color="C4BC96" w:themeColor="background2" w:themeShade="BF"/>
            </w:tcBorders>
            <w:tcMar>
              <w:top w:w="57" w:type="dxa"/>
              <w:left w:w="57" w:type="dxa"/>
              <w:bottom w:w="57" w:type="dxa"/>
              <w:right w:w="57" w:type="dxa"/>
            </w:tcMar>
            <w:vAlign w:val="top"/>
          </w:tcPr>
          <w:p w14:paraId="6802C341"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3: Mark VI from 2025</w:t>
            </w:r>
          </w:p>
        </w:tc>
        <w:tc>
          <w:tcPr>
            <w:tcW w:w="1583" w:type="dxa"/>
            <w:tcBorders>
              <w:left w:val="single" w:sz="4" w:space="0" w:color="C4BC96" w:themeColor="background2" w:themeShade="BF"/>
            </w:tcBorders>
            <w:tcMar>
              <w:top w:w="57" w:type="dxa"/>
              <w:left w:w="57" w:type="dxa"/>
              <w:bottom w:w="57" w:type="dxa"/>
              <w:right w:w="57" w:type="dxa"/>
            </w:tcMar>
            <w:vAlign w:val="top"/>
          </w:tcPr>
          <w:p w14:paraId="4D097A97"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4: Mark VI from 2025 (expanded scope)</w:t>
            </w:r>
          </w:p>
        </w:tc>
        <w:tc>
          <w:tcPr>
            <w:tcW w:w="1583" w:type="dxa"/>
            <w:tcBorders>
              <w:left w:val="single" w:sz="4" w:space="0" w:color="C4BC96" w:themeColor="background2" w:themeShade="BF"/>
            </w:tcBorders>
            <w:tcMar>
              <w:top w:w="57" w:type="dxa"/>
              <w:left w:w="57" w:type="dxa"/>
              <w:bottom w:w="57" w:type="dxa"/>
              <w:right w:w="57" w:type="dxa"/>
            </w:tcMar>
            <w:vAlign w:val="top"/>
          </w:tcPr>
          <w:p w14:paraId="7FB0D4DC"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5: Mark VI from 2025, Mark VII from 2029 (expanded scope)</w:t>
            </w:r>
          </w:p>
        </w:tc>
      </w:tr>
      <w:tr w:rsidR="00894392" w:rsidRPr="00A34F8A" w14:paraId="7BAEC987" w14:textId="77777777" w:rsidTr="00894392">
        <w:trPr>
          <w:trHeight w:val="91"/>
        </w:trPr>
        <w:tc>
          <w:tcPr>
            <w:tcW w:w="2694" w:type="dxa"/>
            <w:tcBorders>
              <w:right w:val="single" w:sz="4" w:space="0" w:color="C4BC96" w:themeColor="background2" w:themeShade="BF"/>
            </w:tcBorders>
            <w:tcMar>
              <w:top w:w="57" w:type="dxa"/>
              <w:left w:w="57" w:type="dxa"/>
              <w:bottom w:w="57" w:type="dxa"/>
              <w:right w:w="57" w:type="dxa"/>
            </w:tcMar>
            <w:vAlign w:val="top"/>
          </w:tcPr>
          <w:p w14:paraId="458DC4CA" w14:textId="77777777" w:rsidR="00E360F9" w:rsidRPr="00A34F8A" w:rsidRDefault="00E360F9" w:rsidP="00E360F9">
            <w:pPr>
              <w:pStyle w:val="Table2-Rowheadingdata"/>
              <w:rPr>
                <w:rFonts w:asciiTheme="minorHAnsi" w:hAnsiTheme="minorHAnsi" w:cstheme="minorHAnsi"/>
                <w:sz w:val="22"/>
                <w:szCs w:val="22"/>
              </w:rPr>
            </w:pPr>
            <w:r w:rsidRPr="00A34F8A">
              <w:rPr>
                <w:rFonts w:asciiTheme="minorHAnsi" w:hAnsiTheme="minorHAnsi" w:cstheme="minorHAnsi"/>
                <w:sz w:val="22"/>
                <w:szCs w:val="22"/>
              </w:rPr>
              <w:t>Energy savings (GWh)</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6AC3510C" w14:textId="7FE7B4A6"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w:t>
            </w:r>
            <w:r>
              <w:rPr>
                <w:rFonts w:asciiTheme="minorHAnsi" w:hAnsiTheme="minorHAnsi" w:cstheme="minorHAnsi"/>
                <w:sz w:val="22"/>
                <w:szCs w:val="22"/>
              </w:rPr>
              <w:t>1</w:t>
            </w:r>
          </w:p>
        </w:tc>
        <w:tc>
          <w:tcPr>
            <w:tcW w:w="1583" w:type="dxa"/>
            <w:tcBorders>
              <w:left w:val="single" w:sz="4" w:space="0" w:color="AEAAAA"/>
            </w:tcBorders>
            <w:tcMar>
              <w:top w:w="57" w:type="dxa"/>
              <w:left w:w="57" w:type="dxa"/>
              <w:bottom w:w="57" w:type="dxa"/>
              <w:right w:w="57" w:type="dxa"/>
            </w:tcMar>
            <w:vAlign w:val="top"/>
          </w:tcPr>
          <w:p w14:paraId="62092721" w14:textId="770A37FE"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w:t>
            </w:r>
          </w:p>
        </w:tc>
        <w:tc>
          <w:tcPr>
            <w:tcW w:w="1583" w:type="dxa"/>
            <w:tcBorders>
              <w:left w:val="single" w:sz="4" w:space="0" w:color="AEAAAA"/>
            </w:tcBorders>
            <w:tcMar>
              <w:top w:w="57" w:type="dxa"/>
              <w:left w:w="57" w:type="dxa"/>
              <w:bottom w:w="57" w:type="dxa"/>
              <w:right w:w="57" w:type="dxa"/>
            </w:tcMar>
            <w:vAlign w:val="top"/>
          </w:tcPr>
          <w:p w14:paraId="142EFACD" w14:textId="5E12F67F"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219</w:t>
            </w:r>
          </w:p>
        </w:tc>
        <w:tc>
          <w:tcPr>
            <w:tcW w:w="1583" w:type="dxa"/>
            <w:tcBorders>
              <w:left w:val="single" w:sz="4" w:space="0" w:color="AEAAAA"/>
            </w:tcBorders>
            <w:tcMar>
              <w:top w:w="57" w:type="dxa"/>
              <w:left w:w="57" w:type="dxa"/>
              <w:bottom w:w="57" w:type="dxa"/>
              <w:right w:w="57" w:type="dxa"/>
            </w:tcMar>
            <w:vAlign w:val="top"/>
          </w:tcPr>
          <w:p w14:paraId="69584DD5" w14:textId="18873D48"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733</w:t>
            </w:r>
          </w:p>
        </w:tc>
      </w:tr>
      <w:tr w:rsidR="00894392" w:rsidRPr="00A34F8A" w14:paraId="153F29AB" w14:textId="77777777" w:rsidTr="00894392">
        <w:tc>
          <w:tcPr>
            <w:tcW w:w="2694" w:type="dxa"/>
            <w:tcBorders>
              <w:right w:val="single" w:sz="4" w:space="0" w:color="C4BC96" w:themeColor="background2" w:themeShade="BF"/>
            </w:tcBorders>
            <w:tcMar>
              <w:top w:w="57" w:type="dxa"/>
              <w:left w:w="57" w:type="dxa"/>
              <w:bottom w:w="57" w:type="dxa"/>
              <w:right w:w="57" w:type="dxa"/>
            </w:tcMar>
            <w:vAlign w:val="top"/>
          </w:tcPr>
          <w:p w14:paraId="03C7B469" w14:textId="771F842E" w:rsidR="00E360F9" w:rsidRPr="00A34F8A" w:rsidRDefault="00E360F9" w:rsidP="00E360F9">
            <w:pPr>
              <w:pStyle w:val="Table2-Rowheadingdata"/>
              <w:rPr>
                <w:rFonts w:asciiTheme="minorHAnsi" w:hAnsiTheme="minorHAnsi" w:cstheme="minorHAnsi"/>
                <w:sz w:val="22"/>
                <w:szCs w:val="22"/>
              </w:rPr>
            </w:pPr>
            <w:r w:rsidRPr="00A34F8A">
              <w:rPr>
                <w:rFonts w:asciiTheme="minorHAnsi" w:hAnsiTheme="minorHAnsi" w:cstheme="minorHAnsi"/>
                <w:sz w:val="22"/>
                <w:szCs w:val="22"/>
              </w:rPr>
              <w:t>Emissions reduction</w:t>
            </w:r>
            <w:r>
              <w:rPr>
                <w:rFonts w:asciiTheme="minorHAnsi" w:hAnsiTheme="minorHAnsi" w:cstheme="minorHAnsi"/>
                <w:sz w:val="22"/>
                <w:szCs w:val="22"/>
              </w:rPr>
              <w:t xml:space="preserve"> </w:t>
            </w:r>
            <w:r w:rsidRPr="00A34F8A">
              <w:rPr>
                <w:rFonts w:asciiTheme="minorHAnsi" w:hAnsiTheme="minorHAnsi" w:cstheme="minorHAnsi"/>
                <w:sz w:val="22"/>
                <w:szCs w:val="22"/>
              </w:rPr>
              <w:t>(tCO</w:t>
            </w:r>
            <w:r w:rsidRPr="00A34F8A">
              <w:rPr>
                <w:rFonts w:asciiTheme="minorHAnsi" w:hAnsiTheme="minorHAnsi" w:cstheme="minorHAnsi"/>
                <w:sz w:val="22"/>
                <w:szCs w:val="22"/>
                <w:vertAlign w:val="subscript"/>
              </w:rPr>
              <w:t>2-e</w:t>
            </w:r>
            <w:r w:rsidRPr="00A34F8A">
              <w:rPr>
                <w:rFonts w:asciiTheme="minorHAnsi" w:hAnsiTheme="minorHAnsi" w:cstheme="minorHAnsi"/>
                <w:sz w:val="22"/>
                <w:szCs w:val="22"/>
              </w:rPr>
              <w:t>)</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1F60E142" w14:textId="0F1ED685"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w:t>
            </w:r>
            <w:r>
              <w:rPr>
                <w:rFonts w:asciiTheme="minorHAnsi" w:hAnsiTheme="minorHAnsi" w:cstheme="minorHAnsi"/>
                <w:sz w:val="22"/>
                <w:szCs w:val="22"/>
              </w:rPr>
              <w:t>3</w:t>
            </w:r>
            <w:r w:rsidRPr="00A34F8A">
              <w:rPr>
                <w:rFonts w:asciiTheme="minorHAnsi" w:hAnsiTheme="minorHAnsi" w:cstheme="minorHAnsi"/>
                <w:sz w:val="22"/>
                <w:szCs w:val="22"/>
              </w:rPr>
              <w:t>,</w:t>
            </w:r>
            <w:r>
              <w:rPr>
                <w:rFonts w:asciiTheme="minorHAnsi" w:hAnsiTheme="minorHAnsi" w:cstheme="minorHAnsi"/>
                <w:sz w:val="22"/>
                <w:szCs w:val="22"/>
              </w:rPr>
              <w:t>264</w:t>
            </w:r>
          </w:p>
        </w:tc>
        <w:tc>
          <w:tcPr>
            <w:tcW w:w="1583" w:type="dxa"/>
            <w:tcBorders>
              <w:left w:val="single" w:sz="4" w:space="0" w:color="AEAAAA"/>
            </w:tcBorders>
            <w:tcMar>
              <w:top w:w="57" w:type="dxa"/>
              <w:left w:w="57" w:type="dxa"/>
              <w:bottom w:w="57" w:type="dxa"/>
              <w:right w:w="57" w:type="dxa"/>
            </w:tcMar>
            <w:vAlign w:val="top"/>
          </w:tcPr>
          <w:p w14:paraId="62AE74E5" w14:textId="2D185EE5"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w:t>
            </w:r>
            <w:r>
              <w:rPr>
                <w:rFonts w:asciiTheme="minorHAnsi" w:hAnsiTheme="minorHAnsi" w:cstheme="minorHAnsi"/>
                <w:sz w:val="22"/>
                <w:szCs w:val="22"/>
              </w:rPr>
              <w:t>143</w:t>
            </w:r>
          </w:p>
        </w:tc>
        <w:tc>
          <w:tcPr>
            <w:tcW w:w="1583" w:type="dxa"/>
            <w:tcBorders>
              <w:left w:val="single" w:sz="4" w:space="0" w:color="AEAAAA"/>
            </w:tcBorders>
            <w:tcMar>
              <w:top w:w="57" w:type="dxa"/>
              <w:left w:w="57" w:type="dxa"/>
              <w:bottom w:w="57" w:type="dxa"/>
              <w:right w:w="57" w:type="dxa"/>
            </w:tcMar>
            <w:vAlign w:val="top"/>
          </w:tcPr>
          <w:p w14:paraId="59C75FD0" w14:textId="1AFD41F9"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r>
              <w:rPr>
                <w:rFonts w:asciiTheme="minorHAnsi" w:hAnsiTheme="minorHAnsi" w:cstheme="minorHAnsi"/>
                <w:sz w:val="22"/>
                <w:szCs w:val="22"/>
              </w:rPr>
              <w:t>4</w:t>
            </w:r>
            <w:r w:rsidRPr="00A34F8A">
              <w:rPr>
                <w:rFonts w:asciiTheme="minorHAnsi" w:hAnsiTheme="minorHAnsi" w:cstheme="minorHAnsi"/>
                <w:sz w:val="22"/>
                <w:szCs w:val="22"/>
              </w:rPr>
              <w:t>,</w:t>
            </w:r>
            <w:r>
              <w:rPr>
                <w:rFonts w:asciiTheme="minorHAnsi" w:hAnsiTheme="minorHAnsi" w:cstheme="minorHAnsi"/>
                <w:sz w:val="22"/>
                <w:szCs w:val="22"/>
              </w:rPr>
              <w:t>654</w:t>
            </w:r>
          </w:p>
        </w:tc>
        <w:tc>
          <w:tcPr>
            <w:tcW w:w="1583" w:type="dxa"/>
            <w:tcBorders>
              <w:left w:val="single" w:sz="4" w:space="0" w:color="AEAAAA"/>
            </w:tcBorders>
            <w:tcMar>
              <w:top w:w="57" w:type="dxa"/>
              <w:left w:w="57" w:type="dxa"/>
              <w:bottom w:w="57" w:type="dxa"/>
              <w:right w:w="57" w:type="dxa"/>
            </w:tcMar>
            <w:vAlign w:val="top"/>
          </w:tcPr>
          <w:p w14:paraId="50B39A9C" w14:textId="00D8AB94"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w:t>
            </w:r>
            <w:r>
              <w:rPr>
                <w:rFonts w:asciiTheme="minorHAnsi" w:hAnsiTheme="minorHAnsi" w:cstheme="minorHAnsi"/>
                <w:sz w:val="22"/>
                <w:szCs w:val="22"/>
              </w:rPr>
              <w:t>08</w:t>
            </w:r>
            <w:r w:rsidRPr="00A34F8A">
              <w:rPr>
                <w:rFonts w:asciiTheme="minorHAnsi" w:hAnsiTheme="minorHAnsi" w:cstheme="minorHAnsi"/>
                <w:sz w:val="22"/>
                <w:szCs w:val="22"/>
              </w:rPr>
              <w:t>,</w:t>
            </w:r>
            <w:r>
              <w:rPr>
                <w:rFonts w:asciiTheme="minorHAnsi" w:hAnsiTheme="minorHAnsi" w:cstheme="minorHAnsi"/>
                <w:sz w:val="22"/>
                <w:szCs w:val="22"/>
              </w:rPr>
              <w:t>860</w:t>
            </w:r>
          </w:p>
        </w:tc>
      </w:tr>
      <w:tr w:rsidR="00894392" w:rsidRPr="00A34F8A" w14:paraId="52262B0B" w14:textId="77777777" w:rsidTr="00894392">
        <w:tc>
          <w:tcPr>
            <w:tcW w:w="2694" w:type="dxa"/>
            <w:tcBorders>
              <w:right w:val="single" w:sz="4" w:space="0" w:color="C4BC96" w:themeColor="background2" w:themeShade="BF"/>
            </w:tcBorders>
            <w:tcMar>
              <w:top w:w="57" w:type="dxa"/>
              <w:left w:w="57" w:type="dxa"/>
              <w:bottom w:w="57" w:type="dxa"/>
              <w:right w:w="57" w:type="dxa"/>
            </w:tcMar>
            <w:vAlign w:val="top"/>
          </w:tcPr>
          <w:p w14:paraId="332E342D" w14:textId="77777777" w:rsidR="00E360F9" w:rsidRPr="00A34F8A" w:rsidRDefault="00E360F9" w:rsidP="00E360F9">
            <w:pPr>
              <w:pStyle w:val="Table2-Rowheadingdata"/>
              <w:rPr>
                <w:rFonts w:asciiTheme="minorHAnsi" w:hAnsiTheme="minorHAnsi" w:cstheme="minorHAnsi"/>
                <w:sz w:val="22"/>
                <w:szCs w:val="22"/>
              </w:rPr>
            </w:pPr>
            <w:r w:rsidRPr="00A34F8A">
              <w:rPr>
                <w:rFonts w:asciiTheme="minorHAnsi" w:hAnsiTheme="minorHAnsi" w:cstheme="minorHAnsi"/>
                <w:sz w:val="22"/>
                <w:szCs w:val="22"/>
              </w:rPr>
              <w:t>Peak demand saving (MW)</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0E947EE3" w14:textId="133AF023"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-0.7</w:t>
            </w:r>
          </w:p>
        </w:tc>
        <w:tc>
          <w:tcPr>
            <w:tcW w:w="1583" w:type="dxa"/>
            <w:tcBorders>
              <w:left w:val="single" w:sz="4" w:space="0" w:color="AEAAAA"/>
            </w:tcBorders>
            <w:tcMar>
              <w:top w:w="57" w:type="dxa"/>
              <w:left w:w="57" w:type="dxa"/>
              <w:bottom w:w="57" w:type="dxa"/>
              <w:right w:w="57" w:type="dxa"/>
            </w:tcMar>
            <w:vAlign w:val="top"/>
          </w:tcPr>
          <w:p w14:paraId="71D48A73" w14:textId="571B1800"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0.3</w:t>
            </w:r>
          </w:p>
        </w:tc>
        <w:tc>
          <w:tcPr>
            <w:tcW w:w="1583" w:type="dxa"/>
            <w:tcBorders>
              <w:left w:val="single" w:sz="4" w:space="0" w:color="AEAAAA"/>
            </w:tcBorders>
            <w:tcMar>
              <w:top w:w="57" w:type="dxa"/>
              <w:left w:w="57" w:type="dxa"/>
              <w:bottom w:w="57" w:type="dxa"/>
              <w:right w:w="57" w:type="dxa"/>
            </w:tcMar>
            <w:vAlign w:val="top"/>
          </w:tcPr>
          <w:p w14:paraId="01D062A1" w14:textId="4574A090"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w:t>
            </w:r>
          </w:p>
        </w:tc>
        <w:tc>
          <w:tcPr>
            <w:tcW w:w="1583" w:type="dxa"/>
            <w:tcBorders>
              <w:left w:val="single" w:sz="4" w:space="0" w:color="AEAAAA"/>
            </w:tcBorders>
            <w:tcMar>
              <w:top w:w="57" w:type="dxa"/>
              <w:left w:w="57" w:type="dxa"/>
              <w:bottom w:w="57" w:type="dxa"/>
              <w:right w:w="57" w:type="dxa"/>
            </w:tcMar>
            <w:vAlign w:val="top"/>
          </w:tcPr>
          <w:p w14:paraId="32646FEA" w14:textId="26408D54" w:rsidR="00E360F9" w:rsidRPr="00A34F8A" w:rsidRDefault="00E360F9" w:rsidP="00E360F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w:t>
            </w:r>
          </w:p>
        </w:tc>
      </w:tr>
      <w:tr w:rsidR="00894392" w:rsidRPr="00A34F8A" w14:paraId="76D917D0" w14:textId="77777777" w:rsidTr="00894392">
        <w:tc>
          <w:tcPr>
            <w:tcW w:w="2694" w:type="dxa"/>
            <w:tcBorders>
              <w:right w:val="single" w:sz="4" w:space="0" w:color="C4BC96" w:themeColor="background2" w:themeShade="BF"/>
            </w:tcBorders>
            <w:tcMar>
              <w:top w:w="57" w:type="dxa"/>
              <w:left w:w="57" w:type="dxa"/>
              <w:bottom w:w="57" w:type="dxa"/>
              <w:right w:w="57" w:type="dxa"/>
            </w:tcMar>
            <w:vAlign w:val="top"/>
          </w:tcPr>
          <w:p w14:paraId="1D4E16F8" w14:textId="77777777" w:rsidR="00E360F9" w:rsidRPr="00A34F8A" w:rsidRDefault="00E360F9" w:rsidP="00E360F9">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costs (NPV $ AUD)</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57D3F6FE" w14:textId="157AA144" w:rsidR="00E360F9" w:rsidRPr="00A34F8A" w:rsidRDefault="00E360F9" w:rsidP="00E360F9">
            <w:pPr>
              <w:pStyle w:val="Table3-Normaldata-centred"/>
              <w:rPr>
                <w:rFonts w:asciiTheme="minorHAnsi" w:hAnsiTheme="minorHAnsi" w:cstheme="minorHAnsi"/>
                <w:sz w:val="22"/>
                <w:szCs w:val="22"/>
              </w:rPr>
            </w:pPr>
            <w:r w:rsidRPr="000E4D66">
              <w:t>-$9.9M</w:t>
            </w:r>
          </w:p>
        </w:tc>
        <w:tc>
          <w:tcPr>
            <w:tcW w:w="1583" w:type="dxa"/>
            <w:tcBorders>
              <w:left w:val="single" w:sz="4" w:space="0" w:color="AEAAAA"/>
            </w:tcBorders>
            <w:tcMar>
              <w:top w:w="57" w:type="dxa"/>
              <w:left w:w="57" w:type="dxa"/>
              <w:bottom w:w="57" w:type="dxa"/>
              <w:right w:w="57" w:type="dxa"/>
            </w:tcMar>
            <w:vAlign w:val="top"/>
          </w:tcPr>
          <w:p w14:paraId="79B75260" w14:textId="1C8967B3" w:rsidR="00E360F9" w:rsidRPr="00A34F8A" w:rsidRDefault="00E360F9" w:rsidP="00E360F9">
            <w:pPr>
              <w:pStyle w:val="Table3-Normaldata-centred"/>
              <w:rPr>
                <w:rFonts w:asciiTheme="minorHAnsi" w:hAnsiTheme="minorHAnsi" w:cstheme="minorHAnsi"/>
                <w:sz w:val="22"/>
                <w:szCs w:val="22"/>
              </w:rPr>
            </w:pPr>
            <w:r w:rsidRPr="000E4D66">
              <w:t>$2.6M</w:t>
            </w:r>
          </w:p>
        </w:tc>
        <w:tc>
          <w:tcPr>
            <w:tcW w:w="1583" w:type="dxa"/>
            <w:tcBorders>
              <w:left w:val="single" w:sz="4" w:space="0" w:color="AEAAAA"/>
            </w:tcBorders>
            <w:tcMar>
              <w:top w:w="57" w:type="dxa"/>
              <w:left w:w="57" w:type="dxa"/>
              <w:bottom w:w="57" w:type="dxa"/>
              <w:right w:w="57" w:type="dxa"/>
            </w:tcMar>
            <w:vAlign w:val="top"/>
          </w:tcPr>
          <w:p w14:paraId="08E0207E" w14:textId="5E5C0821" w:rsidR="00E360F9" w:rsidRPr="00A34F8A" w:rsidRDefault="00E360F9" w:rsidP="00E360F9">
            <w:pPr>
              <w:pStyle w:val="Table3-Normaldata-centred"/>
              <w:rPr>
                <w:rFonts w:asciiTheme="minorHAnsi" w:hAnsiTheme="minorHAnsi" w:cstheme="minorHAnsi"/>
                <w:sz w:val="22"/>
                <w:szCs w:val="22"/>
              </w:rPr>
            </w:pPr>
            <w:r w:rsidRPr="000E4D66">
              <w:t>$12.7M</w:t>
            </w:r>
          </w:p>
        </w:tc>
        <w:tc>
          <w:tcPr>
            <w:tcW w:w="1583" w:type="dxa"/>
            <w:tcBorders>
              <w:left w:val="single" w:sz="4" w:space="0" w:color="AEAAAA"/>
            </w:tcBorders>
            <w:tcMar>
              <w:top w:w="57" w:type="dxa"/>
              <w:left w:w="57" w:type="dxa"/>
              <w:bottom w:w="57" w:type="dxa"/>
              <w:right w:w="57" w:type="dxa"/>
            </w:tcMar>
            <w:vAlign w:val="top"/>
          </w:tcPr>
          <w:p w14:paraId="194B3FBE" w14:textId="0BB0CC7B" w:rsidR="00E360F9" w:rsidRPr="00A34F8A" w:rsidRDefault="00E360F9" w:rsidP="00E360F9">
            <w:pPr>
              <w:pStyle w:val="Table3-Normaldata-centred"/>
              <w:rPr>
                <w:rFonts w:asciiTheme="minorHAnsi" w:hAnsiTheme="minorHAnsi" w:cstheme="minorHAnsi"/>
                <w:sz w:val="22"/>
                <w:szCs w:val="22"/>
              </w:rPr>
            </w:pPr>
            <w:r w:rsidRPr="000E4D66">
              <w:t>$47.9M</w:t>
            </w:r>
          </w:p>
        </w:tc>
      </w:tr>
      <w:tr w:rsidR="00894392" w:rsidRPr="00A34F8A" w14:paraId="7DD2FD9A" w14:textId="77777777" w:rsidTr="00894392">
        <w:tc>
          <w:tcPr>
            <w:tcW w:w="2694" w:type="dxa"/>
            <w:tcBorders>
              <w:right w:val="single" w:sz="4" w:space="0" w:color="C4BC96" w:themeColor="background2" w:themeShade="BF"/>
            </w:tcBorders>
            <w:tcMar>
              <w:top w:w="57" w:type="dxa"/>
              <w:left w:w="57" w:type="dxa"/>
              <w:bottom w:w="57" w:type="dxa"/>
              <w:right w:w="57" w:type="dxa"/>
            </w:tcMar>
            <w:vAlign w:val="top"/>
          </w:tcPr>
          <w:p w14:paraId="017384D2" w14:textId="77777777" w:rsidR="00E360F9" w:rsidRPr="00A34F8A" w:rsidRDefault="00E360F9" w:rsidP="00E360F9">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benefits (NPV $ AUD)</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47BB2250" w14:textId="18A15324" w:rsidR="00E360F9" w:rsidRPr="00A34F8A" w:rsidRDefault="00E360F9" w:rsidP="00E360F9">
            <w:pPr>
              <w:pStyle w:val="Table3-Normaldata-centred"/>
              <w:rPr>
                <w:rFonts w:asciiTheme="minorHAnsi" w:hAnsiTheme="minorHAnsi" w:cstheme="minorHAnsi"/>
                <w:sz w:val="22"/>
                <w:szCs w:val="22"/>
              </w:rPr>
            </w:pPr>
            <w:r w:rsidRPr="000E4D66">
              <w:t>-$13.4M</w:t>
            </w:r>
          </w:p>
        </w:tc>
        <w:tc>
          <w:tcPr>
            <w:tcW w:w="1583" w:type="dxa"/>
            <w:tcBorders>
              <w:left w:val="single" w:sz="4" w:space="0" w:color="AEAAAA"/>
            </w:tcBorders>
            <w:tcMar>
              <w:top w:w="57" w:type="dxa"/>
              <w:left w:w="57" w:type="dxa"/>
              <w:bottom w:w="57" w:type="dxa"/>
              <w:right w:w="57" w:type="dxa"/>
            </w:tcMar>
            <w:vAlign w:val="top"/>
          </w:tcPr>
          <w:p w14:paraId="71202F7A" w14:textId="7FFF585A" w:rsidR="00E360F9" w:rsidRPr="00A34F8A" w:rsidRDefault="00E360F9" w:rsidP="00E360F9">
            <w:pPr>
              <w:pStyle w:val="Table3-Normaldata-centred"/>
              <w:rPr>
                <w:rFonts w:asciiTheme="minorHAnsi" w:hAnsiTheme="minorHAnsi" w:cstheme="minorHAnsi"/>
                <w:sz w:val="22"/>
                <w:szCs w:val="22"/>
              </w:rPr>
            </w:pPr>
            <w:r w:rsidRPr="000E4D66">
              <w:t>$5.3M</w:t>
            </w:r>
          </w:p>
        </w:tc>
        <w:tc>
          <w:tcPr>
            <w:tcW w:w="1583" w:type="dxa"/>
            <w:tcBorders>
              <w:left w:val="single" w:sz="4" w:space="0" w:color="AEAAAA"/>
            </w:tcBorders>
            <w:tcMar>
              <w:top w:w="57" w:type="dxa"/>
              <w:left w:w="57" w:type="dxa"/>
              <w:bottom w:w="57" w:type="dxa"/>
              <w:right w:w="57" w:type="dxa"/>
            </w:tcMar>
            <w:vAlign w:val="top"/>
          </w:tcPr>
          <w:p w14:paraId="7ACA4D82" w14:textId="01ED7174" w:rsidR="00E360F9" w:rsidRPr="00A34F8A" w:rsidRDefault="00E360F9" w:rsidP="00E360F9">
            <w:pPr>
              <w:pStyle w:val="Table3-Normaldata-centred"/>
              <w:rPr>
                <w:rFonts w:asciiTheme="minorHAnsi" w:hAnsiTheme="minorHAnsi" w:cstheme="minorHAnsi"/>
                <w:sz w:val="22"/>
                <w:szCs w:val="22"/>
              </w:rPr>
            </w:pPr>
            <w:r w:rsidRPr="000E4D66">
              <w:t>$41.5M</w:t>
            </w:r>
          </w:p>
        </w:tc>
        <w:tc>
          <w:tcPr>
            <w:tcW w:w="1583" w:type="dxa"/>
            <w:tcBorders>
              <w:left w:val="single" w:sz="4" w:space="0" w:color="AEAAAA"/>
            </w:tcBorders>
            <w:tcMar>
              <w:top w:w="57" w:type="dxa"/>
              <w:left w:w="57" w:type="dxa"/>
              <w:bottom w:w="57" w:type="dxa"/>
              <w:right w:w="57" w:type="dxa"/>
            </w:tcMar>
            <w:vAlign w:val="top"/>
          </w:tcPr>
          <w:p w14:paraId="3E0C6D89" w14:textId="0D263341" w:rsidR="00E360F9" w:rsidRPr="00A34F8A" w:rsidRDefault="00E360F9" w:rsidP="00E360F9">
            <w:pPr>
              <w:pStyle w:val="Table3-Normaldata-centred"/>
              <w:rPr>
                <w:rFonts w:asciiTheme="minorHAnsi" w:hAnsiTheme="minorHAnsi" w:cstheme="minorHAnsi"/>
                <w:sz w:val="22"/>
                <w:szCs w:val="22"/>
              </w:rPr>
            </w:pPr>
            <w:r w:rsidRPr="000E4D66">
              <w:t>$118.3M</w:t>
            </w:r>
          </w:p>
        </w:tc>
      </w:tr>
      <w:tr w:rsidR="00894392" w:rsidRPr="00A34F8A" w14:paraId="2C9801DD" w14:textId="77777777" w:rsidTr="00894392">
        <w:tc>
          <w:tcPr>
            <w:tcW w:w="2694" w:type="dxa"/>
            <w:tcBorders>
              <w:right w:val="single" w:sz="4" w:space="0" w:color="C4BC96" w:themeColor="background2" w:themeShade="BF"/>
            </w:tcBorders>
            <w:tcMar>
              <w:top w:w="57" w:type="dxa"/>
              <w:left w:w="57" w:type="dxa"/>
              <w:bottom w:w="57" w:type="dxa"/>
              <w:right w:w="57" w:type="dxa"/>
            </w:tcMar>
            <w:vAlign w:val="top"/>
          </w:tcPr>
          <w:p w14:paraId="2257FF2C" w14:textId="77777777" w:rsidR="00E360F9" w:rsidRPr="00A34F8A" w:rsidRDefault="00E360F9" w:rsidP="00E360F9">
            <w:pPr>
              <w:pStyle w:val="Table2-Rowheadingdata"/>
              <w:rPr>
                <w:rFonts w:asciiTheme="minorHAnsi" w:hAnsiTheme="minorHAnsi" w:cstheme="minorHAnsi"/>
                <w:sz w:val="22"/>
                <w:szCs w:val="22"/>
              </w:rPr>
            </w:pPr>
            <w:r w:rsidRPr="00A34F8A">
              <w:rPr>
                <w:rFonts w:asciiTheme="minorHAnsi" w:hAnsiTheme="minorHAnsi" w:cstheme="minorHAnsi"/>
                <w:sz w:val="22"/>
                <w:szCs w:val="22"/>
              </w:rPr>
              <w:t>Net benefit (NPV $ AUD)</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24E50923" w14:textId="0D88FC5E" w:rsidR="00E360F9" w:rsidRPr="00A34F8A" w:rsidRDefault="00E360F9" w:rsidP="00E360F9">
            <w:pPr>
              <w:pStyle w:val="Table3-Normaldata-centred"/>
              <w:rPr>
                <w:rFonts w:asciiTheme="minorHAnsi" w:hAnsiTheme="minorHAnsi" w:cstheme="minorHAnsi"/>
                <w:b/>
                <w:bCs/>
                <w:sz w:val="22"/>
                <w:szCs w:val="22"/>
              </w:rPr>
            </w:pPr>
            <w:r w:rsidRPr="00E815C5">
              <w:t>-$3.4M</w:t>
            </w:r>
          </w:p>
        </w:tc>
        <w:tc>
          <w:tcPr>
            <w:tcW w:w="1583" w:type="dxa"/>
            <w:tcBorders>
              <w:left w:val="single" w:sz="4" w:space="0" w:color="AEAAAA"/>
            </w:tcBorders>
            <w:tcMar>
              <w:top w:w="57" w:type="dxa"/>
              <w:left w:w="57" w:type="dxa"/>
              <w:bottom w:w="57" w:type="dxa"/>
              <w:right w:w="57" w:type="dxa"/>
            </w:tcMar>
            <w:vAlign w:val="top"/>
          </w:tcPr>
          <w:p w14:paraId="019C4881" w14:textId="5B464BA6" w:rsidR="00E360F9" w:rsidRPr="00A34F8A" w:rsidRDefault="00E360F9" w:rsidP="00E360F9">
            <w:pPr>
              <w:pStyle w:val="Table3-Normaldata-centred"/>
              <w:rPr>
                <w:rFonts w:asciiTheme="minorHAnsi" w:hAnsiTheme="minorHAnsi" w:cstheme="minorHAnsi"/>
                <w:b/>
                <w:bCs/>
                <w:sz w:val="22"/>
                <w:szCs w:val="22"/>
              </w:rPr>
            </w:pPr>
            <w:r w:rsidRPr="00E815C5">
              <w:t>$2.8M</w:t>
            </w:r>
          </w:p>
        </w:tc>
        <w:tc>
          <w:tcPr>
            <w:tcW w:w="1583" w:type="dxa"/>
            <w:tcBorders>
              <w:left w:val="single" w:sz="4" w:space="0" w:color="AEAAAA"/>
            </w:tcBorders>
            <w:tcMar>
              <w:top w:w="57" w:type="dxa"/>
              <w:left w:w="57" w:type="dxa"/>
              <w:bottom w:w="57" w:type="dxa"/>
              <w:right w:w="57" w:type="dxa"/>
            </w:tcMar>
            <w:vAlign w:val="top"/>
          </w:tcPr>
          <w:p w14:paraId="63962699" w14:textId="32D10206" w:rsidR="00E360F9" w:rsidRPr="00A34F8A" w:rsidRDefault="00E360F9" w:rsidP="00E360F9">
            <w:pPr>
              <w:pStyle w:val="Table3-Normaldata-centred"/>
              <w:rPr>
                <w:rFonts w:asciiTheme="minorHAnsi" w:hAnsiTheme="minorHAnsi" w:cstheme="minorHAnsi"/>
                <w:b/>
                <w:bCs/>
                <w:sz w:val="22"/>
                <w:szCs w:val="22"/>
              </w:rPr>
            </w:pPr>
            <w:r w:rsidRPr="00E815C5">
              <w:t>$28.8M</w:t>
            </w:r>
          </w:p>
        </w:tc>
        <w:tc>
          <w:tcPr>
            <w:tcW w:w="1583" w:type="dxa"/>
            <w:tcBorders>
              <w:left w:val="single" w:sz="4" w:space="0" w:color="AEAAAA"/>
            </w:tcBorders>
            <w:tcMar>
              <w:top w:w="57" w:type="dxa"/>
              <w:left w:w="57" w:type="dxa"/>
              <w:bottom w:w="57" w:type="dxa"/>
              <w:right w:w="57" w:type="dxa"/>
            </w:tcMar>
            <w:vAlign w:val="top"/>
          </w:tcPr>
          <w:p w14:paraId="12539C18" w14:textId="174772C1" w:rsidR="00E360F9" w:rsidRPr="00A34F8A" w:rsidRDefault="00E360F9" w:rsidP="00E360F9">
            <w:pPr>
              <w:pStyle w:val="Table3-Normaldata-centred"/>
              <w:rPr>
                <w:rFonts w:asciiTheme="minorHAnsi" w:hAnsiTheme="minorHAnsi" w:cstheme="minorHAnsi"/>
                <w:b/>
                <w:bCs/>
                <w:sz w:val="22"/>
                <w:szCs w:val="22"/>
              </w:rPr>
            </w:pPr>
            <w:r w:rsidRPr="00E815C5">
              <w:t>$70.4M</w:t>
            </w:r>
          </w:p>
        </w:tc>
      </w:tr>
      <w:tr w:rsidR="00894392" w:rsidRPr="00A34F8A" w14:paraId="4FC1D00E" w14:textId="77777777" w:rsidTr="00894392">
        <w:tc>
          <w:tcPr>
            <w:tcW w:w="2694" w:type="dxa"/>
            <w:tcBorders>
              <w:right w:val="single" w:sz="4" w:space="0" w:color="C4BC96" w:themeColor="background2" w:themeShade="BF"/>
            </w:tcBorders>
            <w:tcMar>
              <w:top w:w="57" w:type="dxa"/>
              <w:left w:w="57" w:type="dxa"/>
              <w:bottom w:w="57" w:type="dxa"/>
              <w:right w:w="57" w:type="dxa"/>
            </w:tcMar>
            <w:vAlign w:val="top"/>
          </w:tcPr>
          <w:p w14:paraId="5E8C3727" w14:textId="77777777" w:rsidR="00E360F9" w:rsidRPr="00A34F8A" w:rsidRDefault="00E360F9" w:rsidP="00E360F9">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benefit cost ratio</w:t>
            </w:r>
          </w:p>
        </w:tc>
        <w:tc>
          <w:tcPr>
            <w:tcW w:w="1583"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442CB207" w14:textId="3C15EC68" w:rsidR="00E360F9" w:rsidRPr="00A34F8A" w:rsidRDefault="00E360F9" w:rsidP="00E360F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0.74</w:t>
            </w:r>
          </w:p>
        </w:tc>
        <w:tc>
          <w:tcPr>
            <w:tcW w:w="1583" w:type="dxa"/>
            <w:tcBorders>
              <w:left w:val="single" w:sz="4" w:space="0" w:color="AEAAAA"/>
            </w:tcBorders>
            <w:tcMar>
              <w:top w:w="57" w:type="dxa"/>
              <w:left w:w="57" w:type="dxa"/>
              <w:bottom w:w="57" w:type="dxa"/>
              <w:right w:w="57" w:type="dxa"/>
            </w:tcMar>
            <w:vAlign w:val="top"/>
          </w:tcPr>
          <w:p w14:paraId="01B68EBD" w14:textId="301B2208" w:rsidR="00E360F9" w:rsidRPr="00A34F8A" w:rsidRDefault="00E360F9" w:rsidP="00E360F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2.07</w:t>
            </w:r>
          </w:p>
        </w:tc>
        <w:tc>
          <w:tcPr>
            <w:tcW w:w="1583" w:type="dxa"/>
            <w:tcBorders>
              <w:left w:val="single" w:sz="4" w:space="0" w:color="AEAAAA"/>
            </w:tcBorders>
            <w:tcMar>
              <w:top w:w="57" w:type="dxa"/>
              <w:left w:w="57" w:type="dxa"/>
              <w:bottom w:w="57" w:type="dxa"/>
              <w:right w:w="57" w:type="dxa"/>
            </w:tcMar>
            <w:vAlign w:val="top"/>
          </w:tcPr>
          <w:p w14:paraId="538E941E" w14:textId="1BF554FD" w:rsidR="00E360F9" w:rsidRPr="00A34F8A" w:rsidRDefault="00E360F9" w:rsidP="00E360F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3.28</w:t>
            </w:r>
          </w:p>
        </w:tc>
        <w:tc>
          <w:tcPr>
            <w:tcW w:w="1583" w:type="dxa"/>
            <w:tcBorders>
              <w:left w:val="single" w:sz="4" w:space="0" w:color="AEAAAA"/>
            </w:tcBorders>
            <w:tcMar>
              <w:top w:w="57" w:type="dxa"/>
              <w:left w:w="57" w:type="dxa"/>
              <w:bottom w:w="57" w:type="dxa"/>
              <w:right w:w="57" w:type="dxa"/>
            </w:tcMar>
            <w:vAlign w:val="top"/>
          </w:tcPr>
          <w:p w14:paraId="1FD52A3B" w14:textId="2DCA3DB6" w:rsidR="00E360F9" w:rsidRPr="00A34F8A" w:rsidRDefault="00E360F9" w:rsidP="00E360F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2.4</w:t>
            </w:r>
            <w:r>
              <w:rPr>
                <w:rFonts w:asciiTheme="minorHAnsi" w:hAnsiTheme="minorHAnsi" w:cstheme="minorHAnsi"/>
                <w:b/>
                <w:bCs/>
                <w:sz w:val="22"/>
                <w:szCs w:val="22"/>
              </w:rPr>
              <w:t>7</w:t>
            </w:r>
          </w:p>
        </w:tc>
      </w:tr>
    </w:tbl>
    <w:p w14:paraId="595792E2" w14:textId="77777777" w:rsidR="001A200E" w:rsidRPr="00A34F8A" w:rsidRDefault="001A200E" w:rsidP="001A200E">
      <w:pPr>
        <w:pStyle w:val="BlueLineBottom"/>
        <w:rPr>
          <w:rFonts w:asciiTheme="minorHAnsi" w:hAnsiTheme="minorHAnsi" w:cstheme="minorHAnsi"/>
          <w:sz w:val="22"/>
          <w:szCs w:val="22"/>
        </w:rPr>
      </w:pPr>
    </w:p>
    <w:p w14:paraId="0FAAD43A" w14:textId="22CF9E38" w:rsidR="001A200E" w:rsidRPr="00A34F8A" w:rsidRDefault="001A200E" w:rsidP="001A200E">
      <w:pPr>
        <w:rPr>
          <w:rFonts w:asciiTheme="minorHAnsi" w:hAnsiTheme="minorHAnsi" w:cstheme="minorHAnsi"/>
          <w:szCs w:val="22"/>
        </w:rPr>
      </w:pPr>
      <w:r w:rsidRPr="00A34F8A">
        <w:rPr>
          <w:rFonts w:asciiTheme="minorHAnsi" w:hAnsiTheme="minorHAnsi" w:cstheme="minorHAnsi"/>
          <w:szCs w:val="22"/>
        </w:rPr>
        <w:t xml:space="preserve">Energy bill savings for consumers were by far the greatest benefit delivered under each scenario (see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_Ref148689477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9</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The expansion in scope would deliver eight times the energy savings benefits in Australia, compared to the scope of the current regulation. These benefits are further tripled with the increase to “mark VII” in scenario 5.</w:t>
      </w:r>
    </w:p>
    <w:p w14:paraId="279C6CAB" w14:textId="77777777" w:rsidR="001A200E" w:rsidRPr="00A34F8A" w:rsidRDefault="001A200E" w:rsidP="001A200E">
      <w:pPr>
        <w:rPr>
          <w:rFonts w:asciiTheme="minorHAnsi" w:hAnsiTheme="minorHAnsi" w:cstheme="minorHAnsi"/>
          <w:szCs w:val="22"/>
        </w:rPr>
      </w:pPr>
    </w:p>
    <w:p w14:paraId="3701AD6B" w14:textId="61502F2C" w:rsidR="001A200E" w:rsidRPr="00A34F8A" w:rsidRDefault="005F275B" w:rsidP="00894392">
      <w:pPr>
        <w:pStyle w:val="Caption"/>
        <w:jc w:val="center"/>
        <w:rPr>
          <w:rFonts w:asciiTheme="minorHAnsi" w:hAnsiTheme="minorHAnsi" w:cstheme="minorHAnsi"/>
          <w:sz w:val="22"/>
          <w:szCs w:val="22"/>
        </w:rPr>
      </w:pPr>
      <w:bookmarkStart w:id="133" w:name="_Ref141978970"/>
      <w:r>
        <w:rPr>
          <w:noProof/>
        </w:rPr>
        <w:lastRenderedPageBreak/>
        <w:drawing>
          <wp:inline distT="0" distB="0" distL="0" distR="0" wp14:anchorId="692A711B" wp14:editId="6CE334B5">
            <wp:extent cx="4905786" cy="3373120"/>
            <wp:effectExtent l="0" t="0" r="0" b="5080"/>
            <wp:docPr id="706175158" name="Picture 1" descr="A bar chart showing the benefits estimated by modelling of each of scenarios 2, 3, 4 and 5.  Energy bill savings and energy network benefits are the major benefits, followed by the benefits of reduced greenhouse gas emissions.  Health benefits are minimal to non-exi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75158" name="Picture 1" descr="A bar chart showing the benefits estimated by modelling of each of scenarios 2, 3, 4 and 5.  Energy bill savings and energy network benefits are the major benefits, followed by the benefits of reduced greenhouse gas emissions.  Health benefits are minimal to non-existent."/>
                    <pic:cNvPicPr/>
                  </pic:nvPicPr>
                  <pic:blipFill rotWithShape="1">
                    <a:blip r:embed="rId28"/>
                    <a:srcRect l="629" t="911" r="868" b="1121"/>
                    <a:stretch/>
                  </pic:blipFill>
                  <pic:spPr bwMode="auto">
                    <a:xfrm>
                      <a:off x="0" y="0"/>
                      <a:ext cx="4913769" cy="3378609"/>
                    </a:xfrm>
                    <a:prstGeom prst="rect">
                      <a:avLst/>
                    </a:prstGeom>
                    <a:ln>
                      <a:noFill/>
                    </a:ln>
                    <a:extLst>
                      <a:ext uri="{53640926-AAD7-44D8-BBD7-CCE9431645EC}">
                        <a14:shadowObscured xmlns:a14="http://schemas.microsoft.com/office/drawing/2010/main"/>
                      </a:ext>
                    </a:extLst>
                  </pic:spPr>
                </pic:pic>
              </a:graphicData>
            </a:graphic>
          </wp:inline>
        </w:drawing>
      </w:r>
    </w:p>
    <w:p w14:paraId="5666BEC8" w14:textId="2D4C4DD5" w:rsidR="001A200E" w:rsidRPr="00A34F8A" w:rsidRDefault="001A200E" w:rsidP="001A200E">
      <w:pPr>
        <w:pStyle w:val="Caption"/>
        <w:rPr>
          <w:rFonts w:asciiTheme="minorHAnsi" w:hAnsiTheme="minorHAnsi" w:cstheme="minorHAnsi"/>
          <w:sz w:val="22"/>
          <w:szCs w:val="22"/>
        </w:rPr>
      </w:pPr>
      <w:bookmarkStart w:id="134" w:name="_Ref148689477"/>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Figure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9</w:t>
      </w:r>
      <w:r w:rsidRPr="00A34F8A">
        <w:rPr>
          <w:rFonts w:asciiTheme="minorHAnsi" w:hAnsiTheme="minorHAnsi" w:cstheme="minorHAnsi"/>
          <w:sz w:val="22"/>
          <w:szCs w:val="22"/>
        </w:rPr>
        <w:fldChar w:fldCharType="end"/>
      </w:r>
      <w:bookmarkEnd w:id="133"/>
      <w:bookmarkEnd w:id="134"/>
      <w:r w:rsidRPr="00A34F8A">
        <w:rPr>
          <w:rFonts w:asciiTheme="minorHAnsi" w:hAnsiTheme="minorHAnsi" w:cstheme="minorHAnsi"/>
          <w:sz w:val="22"/>
          <w:szCs w:val="22"/>
        </w:rPr>
        <w:t xml:space="preserve">: Stacked benefits (public and private) </w:t>
      </w:r>
      <w:r w:rsidRPr="00582FF2">
        <w:rPr>
          <w:rFonts w:asciiTheme="minorHAnsi" w:hAnsiTheme="minorHAnsi" w:cstheme="minorHAnsi"/>
          <w:sz w:val="22"/>
          <w:szCs w:val="22"/>
        </w:rPr>
        <w:t>under each scenario, compared</w:t>
      </w:r>
      <w:r w:rsidRPr="00A34F8A">
        <w:rPr>
          <w:rFonts w:asciiTheme="minorHAnsi" w:hAnsiTheme="minorHAnsi" w:cstheme="minorHAnsi"/>
          <w:sz w:val="22"/>
          <w:szCs w:val="22"/>
        </w:rPr>
        <w:t xml:space="preserve"> to BAU, in Australia</w:t>
      </w:r>
    </w:p>
    <w:p w14:paraId="3EB1E17D" w14:textId="77777777" w:rsidR="001A200E" w:rsidRPr="00A34F8A" w:rsidRDefault="001A200E" w:rsidP="001A200E">
      <w:pPr>
        <w:rPr>
          <w:rFonts w:asciiTheme="minorHAnsi" w:hAnsiTheme="minorHAnsi" w:cstheme="minorHAnsi"/>
          <w:szCs w:val="22"/>
        </w:rPr>
      </w:pPr>
    </w:p>
    <w:p w14:paraId="4924424A" w14:textId="396D1312" w:rsidR="001A200E" w:rsidRDefault="001A200E" w:rsidP="001A200E">
      <w:pPr>
        <w:rPr>
          <w:rFonts w:asciiTheme="minorHAnsi" w:hAnsiTheme="minorHAnsi" w:cstheme="minorHAnsi"/>
          <w:szCs w:val="22"/>
        </w:rPr>
      </w:pPr>
      <w:r w:rsidRPr="00A34F8A">
        <w:rPr>
          <w:rFonts w:asciiTheme="minorHAnsi" w:hAnsiTheme="minorHAnsi" w:cstheme="minorHAnsi"/>
          <w:szCs w:val="22"/>
        </w:rPr>
        <w:t xml:space="preserve">The results for the central case in New Zealand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_Ref141260354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18</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(compared to a business-as-usual baseline). The New Zealand summary data includes an assessment of societal costs. For this analysis, 50% of the incremental manufacturing costs for compliant products are included as a societal cost to reflect the avoidable economic burden to the community, and a long run marginal cost for electricity is included to estimate the societal benefit associated with avoided electricity generation. A positive net societal benefit is achieved in scenarios 3, 4 and 5.</w:t>
      </w:r>
    </w:p>
    <w:p w14:paraId="0F0FEE79" w14:textId="77777777" w:rsidR="001A200E" w:rsidRPr="00A34F8A" w:rsidRDefault="001A200E" w:rsidP="00894392">
      <w:pPr>
        <w:pStyle w:val="BlueLineTop"/>
      </w:pPr>
    </w:p>
    <w:p w14:paraId="30661BAA" w14:textId="26E4ABAA" w:rsidR="001A200E" w:rsidRPr="00A34F8A" w:rsidRDefault="001A200E" w:rsidP="005F7190">
      <w:pPr>
        <w:pStyle w:val="Caption"/>
        <w:keepNext/>
        <w:rPr>
          <w:rFonts w:asciiTheme="minorHAnsi" w:hAnsiTheme="minorHAnsi" w:cstheme="minorHAnsi"/>
          <w:sz w:val="22"/>
          <w:szCs w:val="22"/>
        </w:rPr>
      </w:pPr>
      <w:bookmarkStart w:id="135" w:name="_Ref141260354"/>
      <w:r w:rsidRPr="00A34F8A">
        <w:rPr>
          <w:rFonts w:asciiTheme="minorHAnsi" w:hAnsiTheme="minorHAnsi" w:cstheme="minorHAnsi"/>
          <w:sz w:val="22"/>
          <w:szCs w:val="22"/>
        </w:rPr>
        <w:t>T</w:t>
      </w:r>
      <w:r w:rsidR="00147C0E" w:rsidRPr="00A34F8A">
        <w:rPr>
          <w:rFonts w:asciiTheme="minorHAnsi" w:hAnsiTheme="minorHAnsi" w:cstheme="minorHAnsi"/>
          <w:sz w:val="22"/>
          <w:szCs w:val="22"/>
        </w:rPr>
        <w:t>a</w:t>
      </w:r>
      <w:r w:rsidRPr="00A34F8A">
        <w:rPr>
          <w:rFonts w:asciiTheme="minorHAnsi" w:hAnsiTheme="minorHAnsi" w:cstheme="minorHAnsi"/>
          <w:sz w:val="22"/>
          <w:szCs w:val="22"/>
        </w:rPr>
        <w:t xml:space="preserve">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SEQ Table \* ARABIC</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18</w:t>
      </w:r>
      <w:r w:rsidRPr="00A34F8A">
        <w:rPr>
          <w:rFonts w:asciiTheme="minorHAnsi" w:hAnsiTheme="minorHAnsi" w:cstheme="minorHAnsi"/>
          <w:sz w:val="22"/>
          <w:szCs w:val="22"/>
        </w:rPr>
        <w:fldChar w:fldCharType="end"/>
      </w:r>
      <w:bookmarkEnd w:id="135"/>
      <w:r w:rsidRPr="00A34F8A">
        <w:rPr>
          <w:rFonts w:asciiTheme="minorHAnsi" w:hAnsiTheme="minorHAnsi" w:cstheme="minorHAnsi"/>
          <w:sz w:val="22"/>
          <w:szCs w:val="22"/>
        </w:rPr>
        <w:t>: Cost-benefit analysis results summary by scenario (compared to business-as-usual) for New Zealand, modelled to 2040</w:t>
      </w:r>
    </w:p>
    <w:tbl>
      <w:tblPr>
        <w:tblStyle w:val="ComCap4-nested"/>
        <w:tblW w:w="9072" w:type="dxa"/>
        <w:tblInd w:w="-567" w:type="dxa"/>
        <w:tblBorders>
          <w:insideV w:val="single" w:sz="4" w:space="0" w:color="auto"/>
        </w:tblBorders>
        <w:tblLayout w:type="fixed"/>
        <w:tblCellMar>
          <w:top w:w="142" w:type="dxa"/>
        </w:tblCellMar>
        <w:tblLook w:val="04A0" w:firstRow="1" w:lastRow="0" w:firstColumn="1" w:lastColumn="0" w:noHBand="0" w:noVBand="1"/>
      </w:tblPr>
      <w:tblGrid>
        <w:gridCol w:w="1701"/>
        <w:gridCol w:w="1560"/>
        <w:gridCol w:w="1701"/>
        <w:gridCol w:w="1984"/>
        <w:gridCol w:w="2126"/>
      </w:tblGrid>
      <w:tr w:rsidR="00894392" w:rsidRPr="00A34F8A" w14:paraId="60F59FA5" w14:textId="77777777" w:rsidTr="00894392">
        <w:trPr>
          <w:cnfStyle w:val="100000000000" w:firstRow="1" w:lastRow="0" w:firstColumn="0" w:lastColumn="0" w:oddVBand="0" w:evenVBand="0" w:oddHBand="0" w:evenHBand="0" w:firstRowFirstColumn="0" w:firstRowLastColumn="0" w:lastRowFirstColumn="0" w:lastRowLastColumn="0"/>
          <w:tblHeader/>
        </w:trPr>
        <w:tc>
          <w:tcPr>
            <w:tcW w:w="1701" w:type="dxa"/>
            <w:tcBorders>
              <w:right w:val="single" w:sz="4" w:space="0" w:color="C4BC96" w:themeColor="background2" w:themeShade="BF"/>
            </w:tcBorders>
            <w:tcMar>
              <w:top w:w="57" w:type="dxa"/>
              <w:left w:w="57" w:type="dxa"/>
              <w:bottom w:w="57" w:type="dxa"/>
              <w:right w:w="57" w:type="dxa"/>
            </w:tcMar>
            <w:vAlign w:val="top"/>
          </w:tcPr>
          <w:p w14:paraId="5840036D" w14:textId="77777777" w:rsidR="001A200E" w:rsidRPr="00A34F8A" w:rsidRDefault="001A200E" w:rsidP="005D3977">
            <w:pPr>
              <w:pStyle w:val="Table1-columnheadingdata"/>
              <w:rPr>
                <w:rFonts w:asciiTheme="minorHAnsi" w:hAnsiTheme="minorHAnsi" w:cstheme="minorHAnsi"/>
                <w:sz w:val="22"/>
                <w:szCs w:val="22"/>
              </w:rPr>
            </w:pPr>
          </w:p>
        </w:tc>
        <w:tc>
          <w:tcPr>
            <w:tcW w:w="1560" w:type="dxa"/>
            <w:tcBorders>
              <w:left w:val="single" w:sz="4" w:space="0" w:color="C4BC96" w:themeColor="background2" w:themeShade="BF"/>
            </w:tcBorders>
            <w:tcMar>
              <w:top w:w="57" w:type="dxa"/>
              <w:left w:w="57" w:type="dxa"/>
              <w:bottom w:w="57" w:type="dxa"/>
              <w:right w:w="57" w:type="dxa"/>
            </w:tcMar>
            <w:vAlign w:val="top"/>
          </w:tcPr>
          <w:p w14:paraId="2AD04F0E"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2: No regulation from 2025</w:t>
            </w:r>
          </w:p>
        </w:tc>
        <w:tc>
          <w:tcPr>
            <w:tcW w:w="1701" w:type="dxa"/>
            <w:tcBorders>
              <w:left w:val="single" w:sz="4" w:space="0" w:color="C4BC96" w:themeColor="background2" w:themeShade="BF"/>
            </w:tcBorders>
            <w:tcMar>
              <w:top w:w="57" w:type="dxa"/>
              <w:left w:w="57" w:type="dxa"/>
              <w:bottom w:w="57" w:type="dxa"/>
              <w:right w:w="57" w:type="dxa"/>
            </w:tcMar>
            <w:vAlign w:val="top"/>
          </w:tcPr>
          <w:p w14:paraId="1475997D"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3: Mark VI from 2025</w:t>
            </w:r>
          </w:p>
        </w:tc>
        <w:tc>
          <w:tcPr>
            <w:tcW w:w="1984" w:type="dxa"/>
            <w:tcBorders>
              <w:left w:val="single" w:sz="4" w:space="0" w:color="C4BC96" w:themeColor="background2" w:themeShade="BF"/>
            </w:tcBorders>
            <w:tcMar>
              <w:top w:w="57" w:type="dxa"/>
              <w:left w:w="57" w:type="dxa"/>
              <w:bottom w:w="57" w:type="dxa"/>
              <w:right w:w="57" w:type="dxa"/>
            </w:tcMar>
            <w:vAlign w:val="top"/>
          </w:tcPr>
          <w:p w14:paraId="7E8E1C3C"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4: Mark VI from 2025 (expanded scope)</w:t>
            </w:r>
          </w:p>
        </w:tc>
        <w:tc>
          <w:tcPr>
            <w:tcW w:w="2126" w:type="dxa"/>
            <w:tcBorders>
              <w:left w:val="single" w:sz="4" w:space="0" w:color="C4BC96" w:themeColor="background2" w:themeShade="BF"/>
            </w:tcBorders>
            <w:tcMar>
              <w:top w:w="57" w:type="dxa"/>
              <w:left w:w="57" w:type="dxa"/>
              <w:bottom w:w="57" w:type="dxa"/>
              <w:right w:w="57" w:type="dxa"/>
            </w:tcMar>
            <w:vAlign w:val="top"/>
          </w:tcPr>
          <w:p w14:paraId="2CDE231B" w14:textId="77777777" w:rsidR="001A200E" w:rsidRPr="00A34F8A" w:rsidRDefault="001A200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Scenario 5: Mark VI from 2025, Mark VII from 2029 (expanded scope)</w:t>
            </w:r>
          </w:p>
        </w:tc>
      </w:tr>
      <w:tr w:rsidR="00894392" w:rsidRPr="00A34F8A" w14:paraId="18923AA3" w14:textId="77777777" w:rsidTr="00894392">
        <w:trPr>
          <w:trHeight w:val="91"/>
        </w:trPr>
        <w:tc>
          <w:tcPr>
            <w:tcW w:w="1701" w:type="dxa"/>
            <w:tcBorders>
              <w:right w:val="single" w:sz="4" w:space="0" w:color="C4BC96" w:themeColor="background2" w:themeShade="BF"/>
            </w:tcBorders>
            <w:tcMar>
              <w:top w:w="57" w:type="dxa"/>
              <w:left w:w="57" w:type="dxa"/>
              <w:bottom w:w="57" w:type="dxa"/>
              <w:right w:w="57" w:type="dxa"/>
            </w:tcMar>
            <w:vAlign w:val="top"/>
          </w:tcPr>
          <w:p w14:paraId="49FA58CE" w14:textId="77777777" w:rsidR="006D3BB9" w:rsidRPr="00A34F8A" w:rsidRDefault="006D3BB9" w:rsidP="006D3BB9">
            <w:pPr>
              <w:pStyle w:val="Table2-Rowheadingdata"/>
              <w:rPr>
                <w:rFonts w:asciiTheme="minorHAnsi" w:hAnsiTheme="minorHAnsi" w:cstheme="minorHAnsi"/>
                <w:sz w:val="22"/>
                <w:szCs w:val="22"/>
              </w:rPr>
            </w:pPr>
            <w:r w:rsidRPr="00A34F8A">
              <w:rPr>
                <w:rFonts w:asciiTheme="minorHAnsi" w:hAnsiTheme="minorHAnsi" w:cstheme="minorHAnsi"/>
                <w:sz w:val="22"/>
                <w:szCs w:val="22"/>
              </w:rPr>
              <w:t>Energy savings (GWh)</w:t>
            </w:r>
          </w:p>
        </w:tc>
        <w:tc>
          <w:tcPr>
            <w:tcW w:w="156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242DA4D7" w14:textId="05DDA01F"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-15</w:t>
            </w:r>
          </w:p>
        </w:tc>
        <w:tc>
          <w:tcPr>
            <w:tcW w:w="1701" w:type="dxa"/>
            <w:tcBorders>
              <w:left w:val="single" w:sz="4" w:space="0" w:color="C4BC96" w:themeColor="background2" w:themeShade="BF"/>
            </w:tcBorders>
            <w:tcMar>
              <w:top w:w="57" w:type="dxa"/>
              <w:left w:w="57" w:type="dxa"/>
              <w:bottom w:w="57" w:type="dxa"/>
              <w:right w:w="57" w:type="dxa"/>
            </w:tcMar>
            <w:vAlign w:val="top"/>
          </w:tcPr>
          <w:p w14:paraId="061982F5" w14:textId="22547D29"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p>
        </w:tc>
        <w:tc>
          <w:tcPr>
            <w:tcW w:w="1984" w:type="dxa"/>
            <w:tcBorders>
              <w:left w:val="single" w:sz="4" w:space="0" w:color="C4BC96" w:themeColor="background2" w:themeShade="BF"/>
            </w:tcBorders>
            <w:tcMar>
              <w:top w:w="57" w:type="dxa"/>
              <w:left w:w="57" w:type="dxa"/>
              <w:bottom w:w="57" w:type="dxa"/>
              <w:right w:w="57" w:type="dxa"/>
            </w:tcMar>
            <w:vAlign w:val="top"/>
          </w:tcPr>
          <w:p w14:paraId="1BC1A2FC" w14:textId="1E5254B4"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40</w:t>
            </w:r>
          </w:p>
        </w:tc>
        <w:tc>
          <w:tcPr>
            <w:tcW w:w="2126" w:type="dxa"/>
            <w:tcBorders>
              <w:left w:val="single" w:sz="4" w:space="0" w:color="C4BC96" w:themeColor="background2" w:themeShade="BF"/>
            </w:tcBorders>
            <w:tcMar>
              <w:top w:w="57" w:type="dxa"/>
              <w:left w:w="57" w:type="dxa"/>
              <w:bottom w:w="57" w:type="dxa"/>
              <w:right w:w="57" w:type="dxa"/>
            </w:tcMar>
            <w:vAlign w:val="top"/>
          </w:tcPr>
          <w:p w14:paraId="6E9656F0" w14:textId="578849D1"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134</w:t>
            </w:r>
          </w:p>
        </w:tc>
      </w:tr>
      <w:tr w:rsidR="00894392" w:rsidRPr="00A34F8A" w14:paraId="72376FE3" w14:textId="77777777" w:rsidTr="00894392">
        <w:tc>
          <w:tcPr>
            <w:tcW w:w="1701" w:type="dxa"/>
            <w:tcBorders>
              <w:right w:val="single" w:sz="4" w:space="0" w:color="C4BC96" w:themeColor="background2" w:themeShade="BF"/>
            </w:tcBorders>
            <w:tcMar>
              <w:top w:w="57" w:type="dxa"/>
              <w:left w:w="57" w:type="dxa"/>
              <w:bottom w:w="57" w:type="dxa"/>
              <w:right w:w="57" w:type="dxa"/>
            </w:tcMar>
            <w:vAlign w:val="top"/>
          </w:tcPr>
          <w:p w14:paraId="02EB209C" w14:textId="6B41F374" w:rsidR="006D3BB9" w:rsidRPr="00A34F8A" w:rsidRDefault="006D3BB9" w:rsidP="006D3BB9">
            <w:pPr>
              <w:pStyle w:val="Table2-Rowheadingdata"/>
              <w:rPr>
                <w:rFonts w:asciiTheme="minorHAnsi" w:hAnsiTheme="minorHAnsi" w:cstheme="minorHAnsi"/>
                <w:sz w:val="22"/>
                <w:szCs w:val="22"/>
              </w:rPr>
            </w:pPr>
            <w:r w:rsidRPr="00A34F8A">
              <w:rPr>
                <w:rFonts w:asciiTheme="minorHAnsi" w:hAnsiTheme="minorHAnsi" w:cstheme="minorHAnsi"/>
                <w:sz w:val="22"/>
                <w:szCs w:val="22"/>
              </w:rPr>
              <w:t>Emissions reduction</w:t>
            </w:r>
            <w:r>
              <w:rPr>
                <w:rFonts w:asciiTheme="minorHAnsi" w:hAnsiTheme="minorHAnsi" w:cstheme="minorHAnsi"/>
                <w:sz w:val="22"/>
                <w:szCs w:val="22"/>
              </w:rPr>
              <w:t xml:space="preserve"> </w:t>
            </w:r>
            <w:r w:rsidRPr="00A34F8A">
              <w:rPr>
                <w:rFonts w:asciiTheme="minorHAnsi" w:hAnsiTheme="minorHAnsi" w:cstheme="minorHAnsi"/>
                <w:sz w:val="22"/>
                <w:szCs w:val="22"/>
              </w:rPr>
              <w:t>(tCO</w:t>
            </w:r>
            <w:r w:rsidRPr="00A34F8A">
              <w:rPr>
                <w:rFonts w:asciiTheme="minorHAnsi" w:hAnsiTheme="minorHAnsi" w:cstheme="minorHAnsi"/>
                <w:sz w:val="22"/>
                <w:szCs w:val="22"/>
                <w:vertAlign w:val="subscript"/>
              </w:rPr>
              <w:t>2-e</w:t>
            </w:r>
            <w:r w:rsidRPr="00A34F8A">
              <w:rPr>
                <w:rFonts w:asciiTheme="minorHAnsi" w:hAnsiTheme="minorHAnsi" w:cstheme="minorHAnsi"/>
                <w:sz w:val="22"/>
                <w:szCs w:val="22"/>
              </w:rPr>
              <w:t>)</w:t>
            </w:r>
          </w:p>
        </w:tc>
        <w:tc>
          <w:tcPr>
            <w:tcW w:w="156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14EBEA4" w14:textId="5C25ABD0"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-798</w:t>
            </w:r>
          </w:p>
        </w:tc>
        <w:tc>
          <w:tcPr>
            <w:tcW w:w="1701" w:type="dxa"/>
            <w:tcBorders>
              <w:left w:val="single" w:sz="4" w:space="0" w:color="C4BC96" w:themeColor="background2" w:themeShade="BF"/>
            </w:tcBorders>
            <w:tcMar>
              <w:top w:w="57" w:type="dxa"/>
              <w:left w:w="57" w:type="dxa"/>
              <w:bottom w:w="57" w:type="dxa"/>
              <w:right w:w="57" w:type="dxa"/>
            </w:tcMar>
            <w:vAlign w:val="top"/>
          </w:tcPr>
          <w:p w14:paraId="14F45560" w14:textId="2C3D4260"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266</w:t>
            </w:r>
          </w:p>
        </w:tc>
        <w:tc>
          <w:tcPr>
            <w:tcW w:w="1984" w:type="dxa"/>
            <w:tcBorders>
              <w:left w:val="single" w:sz="4" w:space="0" w:color="C4BC96" w:themeColor="background2" w:themeShade="BF"/>
            </w:tcBorders>
            <w:tcMar>
              <w:top w:w="57" w:type="dxa"/>
              <w:left w:w="57" w:type="dxa"/>
              <w:bottom w:w="57" w:type="dxa"/>
              <w:right w:w="57" w:type="dxa"/>
            </w:tcMar>
            <w:vAlign w:val="top"/>
          </w:tcPr>
          <w:p w14:paraId="7C7C0C67" w14:textId="4528215C"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2,063</w:t>
            </w:r>
          </w:p>
        </w:tc>
        <w:tc>
          <w:tcPr>
            <w:tcW w:w="2126" w:type="dxa"/>
            <w:tcBorders>
              <w:left w:val="single" w:sz="4" w:space="0" w:color="C4BC96" w:themeColor="background2" w:themeShade="BF"/>
            </w:tcBorders>
            <w:tcMar>
              <w:top w:w="57" w:type="dxa"/>
              <w:left w:w="57" w:type="dxa"/>
              <w:bottom w:w="57" w:type="dxa"/>
              <w:right w:w="57" w:type="dxa"/>
            </w:tcMar>
            <w:vAlign w:val="top"/>
          </w:tcPr>
          <w:p w14:paraId="3DF4C507" w14:textId="2F94A103"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7,176</w:t>
            </w:r>
          </w:p>
        </w:tc>
      </w:tr>
      <w:tr w:rsidR="00894392" w:rsidRPr="00A34F8A" w14:paraId="7B4DF01B" w14:textId="77777777" w:rsidTr="00894392">
        <w:tc>
          <w:tcPr>
            <w:tcW w:w="1701" w:type="dxa"/>
            <w:tcBorders>
              <w:right w:val="single" w:sz="4" w:space="0" w:color="C4BC96" w:themeColor="background2" w:themeShade="BF"/>
            </w:tcBorders>
            <w:tcMar>
              <w:top w:w="57" w:type="dxa"/>
              <w:left w:w="57" w:type="dxa"/>
              <w:bottom w:w="57" w:type="dxa"/>
              <w:right w:w="57" w:type="dxa"/>
            </w:tcMar>
            <w:vAlign w:val="top"/>
          </w:tcPr>
          <w:p w14:paraId="53CC4935" w14:textId="77777777" w:rsidR="006D3BB9" w:rsidRPr="00A34F8A" w:rsidRDefault="006D3BB9" w:rsidP="006D3BB9">
            <w:pPr>
              <w:pStyle w:val="Table2-Rowheadingdata"/>
              <w:rPr>
                <w:rFonts w:asciiTheme="minorHAnsi" w:hAnsiTheme="minorHAnsi" w:cstheme="minorHAnsi"/>
                <w:sz w:val="22"/>
                <w:szCs w:val="22"/>
              </w:rPr>
            </w:pPr>
            <w:r w:rsidRPr="00A34F8A">
              <w:rPr>
                <w:rFonts w:asciiTheme="minorHAnsi" w:hAnsiTheme="minorHAnsi" w:cstheme="minorHAnsi"/>
                <w:sz w:val="22"/>
                <w:szCs w:val="22"/>
              </w:rPr>
              <w:t>Peak demand saving (MW)</w:t>
            </w:r>
          </w:p>
        </w:tc>
        <w:tc>
          <w:tcPr>
            <w:tcW w:w="156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5F2145E7" w14:textId="73F1BAB7"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701" w:type="dxa"/>
            <w:tcBorders>
              <w:left w:val="single" w:sz="4" w:space="0" w:color="C4BC96" w:themeColor="background2" w:themeShade="BF"/>
            </w:tcBorders>
            <w:tcMar>
              <w:top w:w="57" w:type="dxa"/>
              <w:left w:w="57" w:type="dxa"/>
              <w:bottom w:w="57" w:type="dxa"/>
              <w:right w:w="57" w:type="dxa"/>
            </w:tcMar>
            <w:vAlign w:val="top"/>
          </w:tcPr>
          <w:p w14:paraId="1A838BFB" w14:textId="1B94FB63"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0.1</w:t>
            </w:r>
          </w:p>
        </w:tc>
        <w:tc>
          <w:tcPr>
            <w:tcW w:w="1984" w:type="dxa"/>
            <w:tcBorders>
              <w:left w:val="single" w:sz="4" w:space="0" w:color="C4BC96" w:themeColor="background2" w:themeShade="BF"/>
            </w:tcBorders>
            <w:tcMar>
              <w:top w:w="57" w:type="dxa"/>
              <w:left w:w="57" w:type="dxa"/>
              <w:bottom w:w="57" w:type="dxa"/>
              <w:right w:w="57" w:type="dxa"/>
            </w:tcMar>
            <w:vAlign w:val="top"/>
          </w:tcPr>
          <w:p w14:paraId="439DE696" w14:textId="3D7CD703"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0.5</w:t>
            </w:r>
          </w:p>
        </w:tc>
        <w:tc>
          <w:tcPr>
            <w:tcW w:w="2126" w:type="dxa"/>
            <w:tcBorders>
              <w:left w:val="single" w:sz="4" w:space="0" w:color="C4BC96" w:themeColor="background2" w:themeShade="BF"/>
            </w:tcBorders>
            <w:tcMar>
              <w:top w:w="57" w:type="dxa"/>
              <w:left w:w="57" w:type="dxa"/>
              <w:bottom w:w="57" w:type="dxa"/>
              <w:right w:w="57" w:type="dxa"/>
            </w:tcMar>
            <w:vAlign w:val="top"/>
          </w:tcPr>
          <w:p w14:paraId="1BA3F07F" w14:textId="795163F4"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w:t>
            </w:r>
          </w:p>
        </w:tc>
      </w:tr>
      <w:tr w:rsidR="00894392" w:rsidRPr="00A34F8A" w14:paraId="73E06286" w14:textId="77777777" w:rsidTr="00894392">
        <w:tc>
          <w:tcPr>
            <w:tcW w:w="1701" w:type="dxa"/>
            <w:tcBorders>
              <w:right w:val="single" w:sz="4" w:space="0" w:color="C4BC96" w:themeColor="background2" w:themeShade="BF"/>
            </w:tcBorders>
            <w:tcMar>
              <w:top w:w="57" w:type="dxa"/>
              <w:left w:w="57" w:type="dxa"/>
              <w:bottom w:w="57" w:type="dxa"/>
              <w:right w:w="57" w:type="dxa"/>
            </w:tcMar>
            <w:vAlign w:val="top"/>
          </w:tcPr>
          <w:p w14:paraId="78012FF2" w14:textId="77777777" w:rsidR="006D3BB9" w:rsidRPr="00A34F8A" w:rsidRDefault="006D3BB9" w:rsidP="006D3BB9">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costs (NPV $ NZD)</w:t>
            </w:r>
          </w:p>
        </w:tc>
        <w:tc>
          <w:tcPr>
            <w:tcW w:w="156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609945BB" w14:textId="42748DFD"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w:t>
            </w:r>
            <w:r>
              <w:rPr>
                <w:rFonts w:asciiTheme="minorHAnsi" w:hAnsiTheme="minorHAnsi" w:cstheme="minorHAnsi"/>
                <w:sz w:val="22"/>
                <w:szCs w:val="22"/>
              </w:rPr>
              <w:t>0.</w:t>
            </w:r>
            <w:r w:rsidRPr="00A34F8A">
              <w:rPr>
                <w:rFonts w:asciiTheme="minorHAnsi" w:hAnsiTheme="minorHAnsi" w:cstheme="minorHAnsi"/>
                <w:sz w:val="22"/>
                <w:szCs w:val="22"/>
              </w:rPr>
              <w:t>5</w:t>
            </w:r>
            <w:r>
              <w:rPr>
                <w:rFonts w:asciiTheme="minorHAnsi" w:hAnsiTheme="minorHAnsi" w:cstheme="minorHAnsi"/>
                <w:sz w:val="22"/>
                <w:szCs w:val="22"/>
              </w:rPr>
              <w:t>M*</w:t>
            </w:r>
          </w:p>
        </w:tc>
        <w:tc>
          <w:tcPr>
            <w:tcW w:w="1701" w:type="dxa"/>
            <w:tcBorders>
              <w:left w:val="single" w:sz="4" w:space="0" w:color="C4BC96" w:themeColor="background2" w:themeShade="BF"/>
            </w:tcBorders>
            <w:tcMar>
              <w:top w:w="57" w:type="dxa"/>
              <w:left w:w="57" w:type="dxa"/>
              <w:bottom w:w="57" w:type="dxa"/>
              <w:right w:w="57" w:type="dxa"/>
            </w:tcMar>
            <w:vAlign w:val="top"/>
          </w:tcPr>
          <w:p w14:paraId="731509A5" w14:textId="0C77F09D"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w:t>
            </w:r>
            <w:r>
              <w:rPr>
                <w:rFonts w:asciiTheme="minorHAnsi" w:hAnsiTheme="minorHAnsi" w:cstheme="minorHAnsi"/>
                <w:sz w:val="22"/>
                <w:szCs w:val="22"/>
              </w:rPr>
              <w:t>0.3M</w:t>
            </w:r>
          </w:p>
        </w:tc>
        <w:tc>
          <w:tcPr>
            <w:tcW w:w="1984" w:type="dxa"/>
            <w:tcBorders>
              <w:left w:val="single" w:sz="4" w:space="0" w:color="C4BC96" w:themeColor="background2" w:themeShade="BF"/>
            </w:tcBorders>
            <w:tcMar>
              <w:top w:w="57" w:type="dxa"/>
              <w:left w:w="57" w:type="dxa"/>
              <w:bottom w:w="57" w:type="dxa"/>
              <w:right w:w="57" w:type="dxa"/>
            </w:tcMar>
            <w:vAlign w:val="top"/>
          </w:tcPr>
          <w:p w14:paraId="092002AB" w14:textId="7056785F"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w:t>
            </w:r>
            <w:r>
              <w:rPr>
                <w:rFonts w:asciiTheme="minorHAnsi" w:hAnsiTheme="minorHAnsi" w:cstheme="minorHAnsi"/>
                <w:sz w:val="22"/>
                <w:szCs w:val="22"/>
              </w:rPr>
              <w:t>.</w:t>
            </w:r>
            <w:r w:rsidRPr="00A34F8A">
              <w:rPr>
                <w:rFonts w:asciiTheme="minorHAnsi" w:hAnsiTheme="minorHAnsi" w:cstheme="minorHAnsi"/>
                <w:sz w:val="22"/>
                <w:szCs w:val="22"/>
              </w:rPr>
              <w:t>3</w:t>
            </w:r>
          </w:p>
        </w:tc>
        <w:tc>
          <w:tcPr>
            <w:tcW w:w="2126" w:type="dxa"/>
            <w:tcBorders>
              <w:left w:val="single" w:sz="4" w:space="0" w:color="C4BC96" w:themeColor="background2" w:themeShade="BF"/>
            </w:tcBorders>
            <w:tcMar>
              <w:top w:w="57" w:type="dxa"/>
              <w:left w:w="57" w:type="dxa"/>
              <w:bottom w:w="57" w:type="dxa"/>
              <w:right w:w="57" w:type="dxa"/>
            </w:tcMar>
            <w:vAlign w:val="top"/>
          </w:tcPr>
          <w:p w14:paraId="2C131A30" w14:textId="4054BD56"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w:t>
            </w:r>
            <w:r>
              <w:rPr>
                <w:rFonts w:asciiTheme="minorHAnsi" w:hAnsiTheme="minorHAnsi" w:cstheme="minorHAnsi"/>
                <w:sz w:val="22"/>
                <w:szCs w:val="22"/>
              </w:rPr>
              <w:t>.</w:t>
            </w:r>
            <w:r w:rsidRPr="00A34F8A">
              <w:rPr>
                <w:rFonts w:asciiTheme="minorHAnsi" w:hAnsiTheme="minorHAnsi" w:cstheme="minorHAnsi"/>
                <w:sz w:val="22"/>
                <w:szCs w:val="22"/>
              </w:rPr>
              <w:t>6</w:t>
            </w:r>
          </w:p>
        </w:tc>
      </w:tr>
      <w:tr w:rsidR="00894392" w:rsidRPr="00A34F8A" w14:paraId="2D939095" w14:textId="77777777" w:rsidTr="00894392">
        <w:tc>
          <w:tcPr>
            <w:tcW w:w="1701" w:type="dxa"/>
            <w:tcBorders>
              <w:right w:val="single" w:sz="4" w:space="0" w:color="C4BC96" w:themeColor="background2" w:themeShade="BF"/>
            </w:tcBorders>
            <w:tcMar>
              <w:top w:w="57" w:type="dxa"/>
              <w:left w:w="57" w:type="dxa"/>
              <w:bottom w:w="57" w:type="dxa"/>
              <w:right w:w="57" w:type="dxa"/>
            </w:tcMar>
            <w:vAlign w:val="top"/>
          </w:tcPr>
          <w:p w14:paraId="0230ACA3" w14:textId="77777777" w:rsidR="006D3BB9" w:rsidRPr="00A34F8A" w:rsidRDefault="006D3BB9" w:rsidP="006D3BB9">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Total benefits (NPV $ NZD)</w:t>
            </w:r>
          </w:p>
        </w:tc>
        <w:tc>
          <w:tcPr>
            <w:tcW w:w="156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205BA9BB" w14:textId="0DF06A95"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w:t>
            </w:r>
            <w:r>
              <w:rPr>
                <w:rFonts w:asciiTheme="minorHAnsi" w:hAnsiTheme="minorHAnsi" w:cstheme="minorHAnsi"/>
                <w:sz w:val="22"/>
                <w:szCs w:val="22"/>
              </w:rPr>
              <w:t>.1M*</w:t>
            </w:r>
          </w:p>
        </w:tc>
        <w:tc>
          <w:tcPr>
            <w:tcW w:w="1701" w:type="dxa"/>
            <w:tcBorders>
              <w:left w:val="single" w:sz="4" w:space="0" w:color="C4BC96" w:themeColor="background2" w:themeShade="BF"/>
            </w:tcBorders>
            <w:tcMar>
              <w:top w:w="57" w:type="dxa"/>
              <w:left w:w="57" w:type="dxa"/>
              <w:bottom w:w="57" w:type="dxa"/>
              <w:right w:w="57" w:type="dxa"/>
            </w:tcMar>
            <w:vAlign w:val="top"/>
          </w:tcPr>
          <w:p w14:paraId="778B2D78" w14:textId="5B357D8A"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w:t>
            </w:r>
            <w:r>
              <w:rPr>
                <w:rFonts w:asciiTheme="minorHAnsi" w:hAnsiTheme="minorHAnsi" w:cstheme="minorHAnsi"/>
                <w:sz w:val="22"/>
                <w:szCs w:val="22"/>
              </w:rPr>
              <w:t>0.4M</w:t>
            </w:r>
          </w:p>
        </w:tc>
        <w:tc>
          <w:tcPr>
            <w:tcW w:w="1984" w:type="dxa"/>
            <w:tcBorders>
              <w:left w:val="single" w:sz="4" w:space="0" w:color="C4BC96" w:themeColor="background2" w:themeShade="BF"/>
            </w:tcBorders>
            <w:tcMar>
              <w:top w:w="57" w:type="dxa"/>
              <w:left w:w="57" w:type="dxa"/>
              <w:bottom w:w="57" w:type="dxa"/>
              <w:right w:w="57" w:type="dxa"/>
            </w:tcMar>
            <w:vAlign w:val="top"/>
          </w:tcPr>
          <w:p w14:paraId="315C50D3" w14:textId="2E1E05CE"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w:t>
            </w:r>
            <w:r>
              <w:rPr>
                <w:rFonts w:asciiTheme="minorHAnsi" w:hAnsiTheme="minorHAnsi" w:cstheme="minorHAnsi"/>
                <w:sz w:val="22"/>
                <w:szCs w:val="22"/>
              </w:rPr>
              <w:t>.3M</w:t>
            </w:r>
          </w:p>
        </w:tc>
        <w:tc>
          <w:tcPr>
            <w:tcW w:w="2126" w:type="dxa"/>
            <w:tcBorders>
              <w:left w:val="single" w:sz="4" w:space="0" w:color="C4BC96" w:themeColor="background2" w:themeShade="BF"/>
            </w:tcBorders>
            <w:tcMar>
              <w:top w:w="57" w:type="dxa"/>
              <w:left w:w="57" w:type="dxa"/>
              <w:bottom w:w="57" w:type="dxa"/>
              <w:right w:w="57" w:type="dxa"/>
            </w:tcMar>
            <w:vAlign w:val="top"/>
          </w:tcPr>
          <w:p w14:paraId="3D958EC9" w14:textId="50D16E2D" w:rsidR="006D3BB9" w:rsidRPr="00A34F8A" w:rsidRDefault="006D3BB9" w:rsidP="006D3BB9">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w:t>
            </w:r>
            <w:r>
              <w:rPr>
                <w:rFonts w:asciiTheme="minorHAnsi" w:hAnsiTheme="minorHAnsi" w:cstheme="minorHAnsi"/>
                <w:sz w:val="22"/>
                <w:szCs w:val="22"/>
              </w:rPr>
              <w:t>.7M</w:t>
            </w:r>
          </w:p>
        </w:tc>
      </w:tr>
      <w:tr w:rsidR="00894392" w:rsidRPr="00A34F8A" w14:paraId="1A77FF49" w14:textId="77777777" w:rsidTr="00894392">
        <w:tc>
          <w:tcPr>
            <w:tcW w:w="1701" w:type="dxa"/>
            <w:tcBorders>
              <w:right w:val="single" w:sz="4" w:space="0" w:color="C4BC96" w:themeColor="background2" w:themeShade="BF"/>
            </w:tcBorders>
            <w:tcMar>
              <w:top w:w="57" w:type="dxa"/>
              <w:left w:w="57" w:type="dxa"/>
              <w:bottom w:w="57" w:type="dxa"/>
              <w:right w:w="57" w:type="dxa"/>
            </w:tcMar>
            <w:vAlign w:val="top"/>
          </w:tcPr>
          <w:p w14:paraId="111E7C9F" w14:textId="77777777" w:rsidR="006D3BB9" w:rsidRPr="00A34F8A" w:rsidRDefault="006D3BB9" w:rsidP="006D3BB9">
            <w:pPr>
              <w:pStyle w:val="Table2-Rowheadingdata"/>
              <w:rPr>
                <w:rFonts w:asciiTheme="minorHAnsi" w:hAnsiTheme="minorHAnsi" w:cstheme="minorHAnsi"/>
                <w:sz w:val="22"/>
                <w:szCs w:val="22"/>
              </w:rPr>
            </w:pPr>
            <w:r w:rsidRPr="00A34F8A">
              <w:rPr>
                <w:rFonts w:asciiTheme="minorHAnsi" w:hAnsiTheme="minorHAnsi" w:cstheme="minorHAnsi"/>
                <w:sz w:val="22"/>
                <w:szCs w:val="22"/>
              </w:rPr>
              <w:t>Net benefit (NPV $ NZD)</w:t>
            </w:r>
          </w:p>
        </w:tc>
        <w:tc>
          <w:tcPr>
            <w:tcW w:w="156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599FA718" w14:textId="0D7C92FC"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w:t>
            </w:r>
            <w:r>
              <w:rPr>
                <w:rFonts w:asciiTheme="minorHAnsi" w:hAnsiTheme="minorHAnsi" w:cstheme="minorHAnsi"/>
                <w:b/>
                <w:bCs/>
                <w:sz w:val="22"/>
                <w:szCs w:val="22"/>
              </w:rPr>
              <w:t>0.6M*</w:t>
            </w:r>
          </w:p>
        </w:tc>
        <w:tc>
          <w:tcPr>
            <w:tcW w:w="1701" w:type="dxa"/>
            <w:tcBorders>
              <w:left w:val="single" w:sz="4" w:space="0" w:color="C4BC96" w:themeColor="background2" w:themeShade="BF"/>
            </w:tcBorders>
            <w:tcMar>
              <w:top w:w="57" w:type="dxa"/>
              <w:left w:w="57" w:type="dxa"/>
              <w:bottom w:w="57" w:type="dxa"/>
              <w:right w:w="57" w:type="dxa"/>
            </w:tcMar>
            <w:vAlign w:val="top"/>
          </w:tcPr>
          <w:p w14:paraId="5CDA1A8F" w14:textId="7F1F90D4"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w:t>
            </w:r>
            <w:r>
              <w:rPr>
                <w:rFonts w:asciiTheme="minorHAnsi" w:hAnsiTheme="minorHAnsi" w:cstheme="minorHAnsi"/>
                <w:b/>
                <w:bCs/>
                <w:sz w:val="22"/>
                <w:szCs w:val="22"/>
              </w:rPr>
              <w:t>0.1M</w:t>
            </w:r>
          </w:p>
        </w:tc>
        <w:tc>
          <w:tcPr>
            <w:tcW w:w="1984" w:type="dxa"/>
            <w:tcBorders>
              <w:left w:val="single" w:sz="4" w:space="0" w:color="C4BC96" w:themeColor="background2" w:themeShade="BF"/>
            </w:tcBorders>
            <w:tcMar>
              <w:top w:w="57" w:type="dxa"/>
              <w:left w:w="57" w:type="dxa"/>
              <w:bottom w:w="57" w:type="dxa"/>
              <w:right w:w="57" w:type="dxa"/>
            </w:tcMar>
            <w:vAlign w:val="top"/>
          </w:tcPr>
          <w:p w14:paraId="3639CDCC" w14:textId="79041990"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w:t>
            </w:r>
            <w:r>
              <w:rPr>
                <w:rFonts w:asciiTheme="minorHAnsi" w:hAnsiTheme="minorHAnsi" w:cstheme="minorHAnsi"/>
                <w:b/>
                <w:bCs/>
                <w:sz w:val="22"/>
                <w:szCs w:val="22"/>
              </w:rPr>
              <w:t>0.</w:t>
            </w:r>
            <w:r w:rsidRPr="00A34F8A">
              <w:rPr>
                <w:rFonts w:asciiTheme="minorHAnsi" w:hAnsiTheme="minorHAnsi" w:cstheme="minorHAnsi"/>
                <w:b/>
                <w:bCs/>
                <w:sz w:val="22"/>
                <w:szCs w:val="22"/>
              </w:rPr>
              <w:t>9</w:t>
            </w:r>
            <w:r>
              <w:rPr>
                <w:rFonts w:asciiTheme="minorHAnsi" w:hAnsiTheme="minorHAnsi" w:cstheme="minorHAnsi"/>
                <w:b/>
                <w:bCs/>
                <w:sz w:val="22"/>
                <w:szCs w:val="22"/>
              </w:rPr>
              <w:t>M</w:t>
            </w:r>
          </w:p>
        </w:tc>
        <w:tc>
          <w:tcPr>
            <w:tcW w:w="2126" w:type="dxa"/>
            <w:tcBorders>
              <w:left w:val="single" w:sz="4" w:space="0" w:color="C4BC96" w:themeColor="background2" w:themeShade="BF"/>
            </w:tcBorders>
            <w:tcMar>
              <w:top w:w="57" w:type="dxa"/>
              <w:left w:w="57" w:type="dxa"/>
              <w:bottom w:w="57" w:type="dxa"/>
              <w:right w:w="57" w:type="dxa"/>
            </w:tcMar>
            <w:vAlign w:val="top"/>
          </w:tcPr>
          <w:p w14:paraId="6298C986" w14:textId="2D558F97"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$3</w:t>
            </w:r>
            <w:r>
              <w:rPr>
                <w:rFonts w:asciiTheme="minorHAnsi" w:hAnsiTheme="minorHAnsi" w:cstheme="minorHAnsi"/>
                <w:b/>
                <w:bCs/>
                <w:sz w:val="22"/>
                <w:szCs w:val="22"/>
              </w:rPr>
              <w:t>.</w:t>
            </w:r>
            <w:r w:rsidRPr="00A34F8A">
              <w:rPr>
                <w:rFonts w:asciiTheme="minorHAnsi" w:hAnsiTheme="minorHAnsi" w:cstheme="minorHAnsi"/>
                <w:b/>
                <w:bCs/>
                <w:sz w:val="22"/>
                <w:szCs w:val="22"/>
              </w:rPr>
              <w:t>0</w:t>
            </w:r>
            <w:r>
              <w:rPr>
                <w:rFonts w:asciiTheme="minorHAnsi" w:hAnsiTheme="minorHAnsi" w:cstheme="minorHAnsi"/>
                <w:b/>
                <w:bCs/>
                <w:sz w:val="22"/>
                <w:szCs w:val="22"/>
              </w:rPr>
              <w:t>M</w:t>
            </w:r>
          </w:p>
        </w:tc>
      </w:tr>
      <w:tr w:rsidR="00894392" w:rsidRPr="00A34F8A" w14:paraId="3338B87C" w14:textId="77777777" w:rsidTr="00894392">
        <w:tc>
          <w:tcPr>
            <w:tcW w:w="1701" w:type="dxa"/>
            <w:tcBorders>
              <w:right w:val="single" w:sz="4" w:space="0" w:color="C4BC96" w:themeColor="background2" w:themeShade="BF"/>
            </w:tcBorders>
            <w:tcMar>
              <w:top w:w="57" w:type="dxa"/>
              <w:left w:w="57" w:type="dxa"/>
              <w:bottom w:w="57" w:type="dxa"/>
              <w:right w:w="57" w:type="dxa"/>
            </w:tcMar>
            <w:vAlign w:val="top"/>
          </w:tcPr>
          <w:p w14:paraId="088952B0" w14:textId="77777777" w:rsidR="006D3BB9" w:rsidRPr="00A34F8A" w:rsidRDefault="006D3BB9" w:rsidP="006D3BB9">
            <w:pPr>
              <w:pStyle w:val="Table2-Rowheadingdata"/>
              <w:rPr>
                <w:rFonts w:asciiTheme="minorHAnsi" w:hAnsiTheme="minorHAnsi" w:cstheme="minorHAnsi"/>
                <w:sz w:val="22"/>
                <w:szCs w:val="22"/>
              </w:rPr>
            </w:pPr>
            <w:r w:rsidRPr="00A34F8A">
              <w:rPr>
                <w:rFonts w:asciiTheme="minorHAnsi" w:hAnsiTheme="minorHAnsi" w:cstheme="minorHAnsi"/>
                <w:sz w:val="22"/>
                <w:szCs w:val="22"/>
              </w:rPr>
              <w:t>Total benefit cost ratio</w:t>
            </w:r>
          </w:p>
        </w:tc>
        <w:tc>
          <w:tcPr>
            <w:tcW w:w="156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735E223" w14:textId="2E90DB38"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0.45</w:t>
            </w:r>
          </w:p>
        </w:tc>
        <w:tc>
          <w:tcPr>
            <w:tcW w:w="1701" w:type="dxa"/>
            <w:tcBorders>
              <w:left w:val="single" w:sz="4" w:space="0" w:color="C4BC96" w:themeColor="background2" w:themeShade="BF"/>
            </w:tcBorders>
            <w:tcMar>
              <w:top w:w="57" w:type="dxa"/>
              <w:left w:w="57" w:type="dxa"/>
              <w:bottom w:w="57" w:type="dxa"/>
              <w:right w:w="57" w:type="dxa"/>
            </w:tcMar>
            <w:vAlign w:val="top"/>
          </w:tcPr>
          <w:p w14:paraId="09311509" w14:textId="0636AEEA"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1.45</w:t>
            </w:r>
          </w:p>
        </w:tc>
        <w:tc>
          <w:tcPr>
            <w:tcW w:w="1984" w:type="dxa"/>
            <w:tcBorders>
              <w:left w:val="single" w:sz="4" w:space="0" w:color="C4BC96" w:themeColor="background2" w:themeShade="BF"/>
            </w:tcBorders>
            <w:tcMar>
              <w:top w:w="57" w:type="dxa"/>
              <w:left w:w="57" w:type="dxa"/>
              <w:bottom w:w="57" w:type="dxa"/>
              <w:right w:w="57" w:type="dxa"/>
            </w:tcMar>
            <w:vAlign w:val="top"/>
          </w:tcPr>
          <w:p w14:paraId="3B00B636" w14:textId="7AE109FE"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1.40</w:t>
            </w:r>
          </w:p>
        </w:tc>
        <w:tc>
          <w:tcPr>
            <w:tcW w:w="2126" w:type="dxa"/>
            <w:tcBorders>
              <w:left w:val="single" w:sz="4" w:space="0" w:color="C4BC96" w:themeColor="background2" w:themeShade="BF"/>
            </w:tcBorders>
            <w:tcMar>
              <w:top w:w="57" w:type="dxa"/>
              <w:left w:w="57" w:type="dxa"/>
              <w:bottom w:w="57" w:type="dxa"/>
              <w:right w:w="57" w:type="dxa"/>
            </w:tcMar>
            <w:vAlign w:val="top"/>
          </w:tcPr>
          <w:p w14:paraId="255B1B72" w14:textId="26493DF3" w:rsidR="006D3BB9" w:rsidRPr="00A34F8A" w:rsidRDefault="006D3BB9" w:rsidP="006D3BB9">
            <w:pPr>
              <w:pStyle w:val="Table3-Normaldata-centred"/>
              <w:rPr>
                <w:rFonts w:asciiTheme="minorHAnsi" w:hAnsiTheme="minorHAnsi" w:cstheme="minorHAnsi"/>
                <w:b/>
                <w:bCs/>
                <w:sz w:val="22"/>
                <w:szCs w:val="22"/>
              </w:rPr>
            </w:pPr>
            <w:r w:rsidRPr="00A34F8A">
              <w:rPr>
                <w:rFonts w:asciiTheme="minorHAnsi" w:hAnsiTheme="minorHAnsi" w:cstheme="minorHAnsi"/>
                <w:b/>
                <w:bCs/>
                <w:sz w:val="22"/>
                <w:szCs w:val="22"/>
              </w:rPr>
              <w:t>1.45</w:t>
            </w:r>
          </w:p>
        </w:tc>
      </w:tr>
    </w:tbl>
    <w:p w14:paraId="220A3F3F" w14:textId="77777777" w:rsidR="001A200E" w:rsidRPr="00894392" w:rsidRDefault="001A200E" w:rsidP="006D3BB9">
      <w:pPr>
        <w:pStyle w:val="BlueLineBottom"/>
      </w:pPr>
      <w:r w:rsidRPr="00894392">
        <w:t>*For consistency the same set of costs and benefits have been reported for each scenario, for scenario 2, this results in negative costs (nominally benefits) and negative benefits (nominally costs) hence the formula for BCR for this scenario is actually costs/benefits</w:t>
      </w:r>
    </w:p>
    <w:p w14:paraId="4C0D6F49" w14:textId="1B9FCC9B" w:rsidR="001A200E" w:rsidRPr="00A34F8A" w:rsidRDefault="001A200E" w:rsidP="00E7062A">
      <w:pPr>
        <w:pStyle w:val="Heading3"/>
      </w:pPr>
      <w:bookmarkStart w:id="136" w:name="_Toc168660661"/>
      <w:bookmarkStart w:id="137" w:name="_Toc183163272"/>
      <w:r w:rsidRPr="00A34F8A">
        <w:t>Incremental product costs assumptions</w:t>
      </w:r>
      <w:bookmarkEnd w:id="136"/>
      <w:bookmarkEnd w:id="137"/>
    </w:p>
    <w:p w14:paraId="06FDE1EA" w14:textId="77777777" w:rsidR="00ED017D" w:rsidRPr="00A34F8A" w:rsidRDefault="00ED017D" w:rsidP="00ED017D">
      <w:pPr>
        <w:rPr>
          <w:rFonts w:asciiTheme="minorHAnsi" w:hAnsiTheme="minorHAnsi" w:cstheme="minorHAnsi"/>
          <w:szCs w:val="22"/>
        </w:rPr>
      </w:pPr>
      <w:r w:rsidRPr="00A34F8A">
        <w:rPr>
          <w:rFonts w:asciiTheme="minorHAnsi" w:hAnsiTheme="minorHAnsi" w:cstheme="minorHAnsi"/>
          <w:szCs w:val="22"/>
        </w:rPr>
        <w:t xml:space="preserve">Incremental mark-up costs are an important assumption in the modelling, particularly for New Zealand where the electricity supply is made up of over 80% renewable generation and hence emissions and health benefits are considerably lower or negligible. As discussed in Section 4.1, the mark-up costs used in our analysis were extrapolated from the recent US DOE impact assessment. We understand, from our conversations with the DOE, that their numbers were based on a combination of interviews with manufacturers and their own product tear downs and pricing of individual components. The DOE analysis used mark VI as the baseline and calculated incremental mark-ups for the anticipated mark VII and even higher efficiency scenarios tested. As a small percentage of the Australian and New Zealand markets only meet mark III, IV or V, we have extrapolated the US cost-efficiency curves and re-baselined at mark III. We have also included an industry learning factor to account for reduced product manufacturing costs to achieve mark VI since the original implementation of the mark III MEPS level. This reflects stakeholder feedback that the current additional cost to manufacture a mark VI efficiency level is low for most products. We consider that this still results in a conservative estimate of cost impacts.  </w:t>
      </w:r>
    </w:p>
    <w:p w14:paraId="1F8E0129" w14:textId="2848B4BE" w:rsidR="00ED017D" w:rsidRPr="00A34F8A" w:rsidRDefault="00ED017D" w:rsidP="00E7062A">
      <w:pPr>
        <w:pStyle w:val="Heading3"/>
      </w:pPr>
      <w:bookmarkStart w:id="138" w:name="_Toc168660662"/>
      <w:bookmarkStart w:id="139" w:name="_Toc183163273"/>
      <w:r w:rsidRPr="00A34F8A">
        <w:t>Administrative efficiency improvements</w:t>
      </w:r>
      <w:bookmarkEnd w:id="138"/>
      <w:bookmarkEnd w:id="139"/>
    </w:p>
    <w:p w14:paraId="55CEC8DD" w14:textId="40D86FC0" w:rsidR="00C359C6" w:rsidRPr="00A34F8A" w:rsidRDefault="00C359C6" w:rsidP="00C359C6">
      <w:pPr>
        <w:rPr>
          <w:rFonts w:asciiTheme="minorHAnsi" w:hAnsiTheme="minorHAnsi" w:cstheme="minorHAnsi"/>
          <w:szCs w:val="22"/>
        </w:rPr>
      </w:pPr>
      <w:r w:rsidRPr="00A34F8A">
        <w:rPr>
          <w:rFonts w:asciiTheme="minorHAnsi" w:hAnsiTheme="minorHAnsi" w:cstheme="minorHAnsi"/>
          <w:szCs w:val="22"/>
        </w:rPr>
        <w:t xml:space="preserve">Throughout this RIS process, several opportunities have been identified to improve the administrative efficiency of the regulation, which will further reduce costs to both industry and </w:t>
      </w:r>
      <w:r w:rsidR="002C38F0" w:rsidRPr="00A34F8A">
        <w:rPr>
          <w:rFonts w:asciiTheme="minorHAnsi" w:hAnsiTheme="minorHAnsi" w:cstheme="minorHAnsi"/>
          <w:szCs w:val="22"/>
        </w:rPr>
        <w:t>governments and</w:t>
      </w:r>
      <w:r w:rsidRPr="00A34F8A">
        <w:rPr>
          <w:rFonts w:asciiTheme="minorHAnsi" w:hAnsiTheme="minorHAnsi" w:cstheme="minorHAnsi"/>
          <w:szCs w:val="22"/>
        </w:rPr>
        <w:t xml:space="preserve"> align with good regulatory practice. Some of these have been integrated into the modelling at the request of government, others were not pertinent to the modelling, but are listed here for government to explore further as required.</w:t>
      </w:r>
    </w:p>
    <w:p w14:paraId="78FCB999" w14:textId="77777777" w:rsidR="00C359C6" w:rsidRPr="00A34F8A" w:rsidRDefault="00C359C6" w:rsidP="00C359C6">
      <w:pPr>
        <w:rPr>
          <w:rFonts w:asciiTheme="minorHAnsi" w:hAnsiTheme="minorHAnsi" w:cstheme="minorHAnsi"/>
          <w:szCs w:val="22"/>
        </w:rPr>
      </w:pPr>
      <w:r w:rsidRPr="00A34F8A">
        <w:rPr>
          <w:rFonts w:asciiTheme="minorHAnsi" w:hAnsiTheme="minorHAnsi" w:cstheme="minorHAnsi"/>
          <w:szCs w:val="22"/>
        </w:rPr>
        <w:t>Administrative efficiencies that were incorporated into the model were as follows:</w:t>
      </w:r>
    </w:p>
    <w:p w14:paraId="12691154" w14:textId="6214C598" w:rsidR="00C359C6" w:rsidRPr="00A34F8A" w:rsidRDefault="00C359C6" w:rsidP="00C359C6">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Engaging with international regulators prior to commencing the RIS process to ensure that future anticipated increases to international standards (e.g., “mark VII”) can be considered at the same time. This may avoid the need for a future RIS and ensures Australia and New Zealand can remain aligned with international standards.</w:t>
      </w:r>
    </w:p>
    <w:p w14:paraId="63CA88F9" w14:textId="77777777" w:rsidR="00C359C6" w:rsidRPr="00A34F8A" w:rsidRDefault="00C359C6" w:rsidP="00C359C6">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lastRenderedPageBreak/>
        <w:t>Amending the regulation to allow for manufacturers/suppliers to register products using test certificates that reference international testing standards that are technically consistent with AS/NZS.4665.1 and 4665.2. Consultation with industry suggested that suppliers were having to ask manufacturers to re-test or re-certify products to the AS/NZS standard, despite them having already been tested to comply with consistent international standards. This cost saving for industry was included in scenario 4 and 5.</w:t>
      </w:r>
    </w:p>
    <w:p w14:paraId="6BF5A0E8" w14:textId="77777777" w:rsidR="00C359C6" w:rsidRPr="00A34F8A" w:rsidRDefault="00C359C6" w:rsidP="00C359C6">
      <w:pPr>
        <w:rPr>
          <w:rFonts w:asciiTheme="minorHAnsi" w:hAnsiTheme="minorHAnsi" w:cstheme="minorHAnsi"/>
          <w:szCs w:val="22"/>
        </w:rPr>
      </w:pPr>
      <w:r w:rsidRPr="00A34F8A">
        <w:rPr>
          <w:rFonts w:asciiTheme="minorHAnsi" w:hAnsiTheme="minorHAnsi" w:cstheme="minorHAnsi"/>
          <w:szCs w:val="22"/>
        </w:rPr>
        <w:t>Additional efficiencies that were not included in the modelling, but could be explored further by government as needed, are:</w:t>
      </w:r>
    </w:p>
    <w:p w14:paraId="578B01AA" w14:textId="0EAFC465" w:rsidR="00C359C6" w:rsidRPr="00A34F8A" w:rsidRDefault="00C359C6" w:rsidP="00C359C6">
      <w:pPr>
        <w:pStyle w:val="Bullet-Level1"/>
        <w:rPr>
          <w:rFonts w:asciiTheme="minorHAnsi" w:hAnsiTheme="minorHAnsi" w:cstheme="minorHAnsi"/>
          <w:color w:val="auto"/>
          <w:sz w:val="22"/>
          <w:szCs w:val="22"/>
        </w:rPr>
      </w:pPr>
      <w:r w:rsidRPr="00A34F8A">
        <w:rPr>
          <w:rFonts w:asciiTheme="minorHAnsi" w:hAnsiTheme="minorHAnsi" w:cstheme="minorHAnsi"/>
          <w:color w:val="auto"/>
          <w:sz w:val="22"/>
          <w:szCs w:val="22"/>
        </w:rPr>
        <w:t xml:space="preserve">Reviewing and increasing </w:t>
      </w:r>
      <w:r w:rsidR="00E01F56">
        <w:rPr>
          <w:rFonts w:asciiTheme="minorHAnsi" w:hAnsiTheme="minorHAnsi" w:cstheme="minorHAnsi"/>
          <w:color w:val="auto"/>
          <w:sz w:val="22"/>
          <w:szCs w:val="22"/>
        </w:rPr>
        <w:t xml:space="preserve"> the range of products that would fit under a family of models</w:t>
      </w:r>
      <w:r w:rsidRPr="00A34F8A">
        <w:rPr>
          <w:rFonts w:asciiTheme="minorHAnsi" w:hAnsiTheme="minorHAnsi" w:cstheme="minorHAnsi"/>
          <w:color w:val="auto"/>
          <w:sz w:val="22"/>
          <w:szCs w:val="22"/>
        </w:rPr>
        <w:t>. This is currently possible for a range of non-user selectable models (with different output voltages) or multi -switch single output models that are based on common technically equivalent components. They can be sold under different brand names or model numbers, they just need to be included on a single test report and have the same performance mark to qualify. A draft definition of product families for the expanded scope scenarios (4 and 5) is proposed in Section 5 below. We seek industry feedback on appropriate family definitions for the expanded scope.</w:t>
      </w:r>
    </w:p>
    <w:p w14:paraId="47A0DCF2" w14:textId="77777777" w:rsidR="00C359C6" w:rsidRPr="00A34F8A" w:rsidRDefault="00C359C6" w:rsidP="00C359C6">
      <w:pPr>
        <w:rPr>
          <w:rFonts w:asciiTheme="minorHAnsi" w:hAnsiTheme="minorHAnsi" w:cstheme="minorHAnsi"/>
          <w:szCs w:val="22"/>
        </w:rPr>
      </w:pPr>
    </w:p>
    <w:p w14:paraId="669832F5" w14:textId="360C103E" w:rsidR="003B6015" w:rsidRPr="00A34F8A" w:rsidRDefault="003B6015" w:rsidP="00C359C6">
      <w:pPr>
        <w:rPr>
          <w:rFonts w:asciiTheme="minorHAnsi" w:hAnsiTheme="minorHAnsi" w:cstheme="minorHAnsi"/>
          <w:szCs w:val="22"/>
        </w:rPr>
      </w:pPr>
      <w:r>
        <w:rPr>
          <w:rFonts w:asciiTheme="minorHAnsi" w:hAnsiTheme="minorHAnsi" w:cstheme="minorHAnsi"/>
          <w:szCs w:val="22"/>
        </w:rPr>
        <w:br w:type="page"/>
      </w:r>
    </w:p>
    <w:p w14:paraId="78838B03" w14:textId="6E39EFB7" w:rsidR="00C359C6" w:rsidRPr="00E7062A" w:rsidRDefault="00C359C6" w:rsidP="00C359C6">
      <w:pPr>
        <w:pStyle w:val="ChapterTitle"/>
        <w:rPr>
          <w:rFonts w:asciiTheme="minorHAnsi" w:hAnsiTheme="minorHAnsi" w:cstheme="minorHAnsi"/>
          <w:sz w:val="32"/>
          <w:szCs w:val="32"/>
        </w:rPr>
      </w:pPr>
      <w:bookmarkStart w:id="140" w:name="_Toc168660732"/>
      <w:bookmarkStart w:id="141" w:name="_Toc183163274"/>
      <w:r w:rsidRPr="00E7062A">
        <w:rPr>
          <w:rFonts w:asciiTheme="minorHAnsi" w:hAnsiTheme="minorHAnsi" w:cstheme="minorHAnsi"/>
          <w:sz w:val="32"/>
          <w:szCs w:val="32"/>
        </w:rPr>
        <w:lastRenderedPageBreak/>
        <w:t>Section 5: Proposed changes</w:t>
      </w:r>
      <w:bookmarkEnd w:id="140"/>
      <w:bookmarkEnd w:id="141"/>
    </w:p>
    <w:p w14:paraId="6B301576" w14:textId="2E1099AD" w:rsidR="00C359C6" w:rsidRPr="00A34F8A" w:rsidRDefault="008E3C8D" w:rsidP="00C359C6">
      <w:pPr>
        <w:rPr>
          <w:rFonts w:asciiTheme="minorHAnsi" w:hAnsiTheme="minorHAnsi" w:cstheme="minorHAnsi"/>
          <w:szCs w:val="22"/>
        </w:rPr>
      </w:pPr>
      <w:r w:rsidRPr="00A34F8A">
        <w:rPr>
          <w:rFonts w:asciiTheme="minorHAnsi" w:hAnsiTheme="minorHAnsi" w:cstheme="minorHAnsi"/>
          <w:szCs w:val="22"/>
        </w:rPr>
        <w:t>This section provides additional technical details of the proposed changes under scenario 4 and 5.</w:t>
      </w:r>
    </w:p>
    <w:p w14:paraId="74199C3B" w14:textId="78B7ACE1" w:rsidR="00971628" w:rsidRPr="00A34F8A" w:rsidRDefault="00971628" w:rsidP="00C359C6">
      <w:pPr>
        <w:rPr>
          <w:rFonts w:asciiTheme="minorHAnsi" w:hAnsiTheme="minorHAnsi" w:cstheme="minorHAnsi"/>
          <w:szCs w:val="22"/>
        </w:rPr>
      </w:pPr>
      <w:r w:rsidRPr="00A34F8A">
        <w:rPr>
          <w:rFonts w:asciiTheme="minorHAnsi" w:hAnsiTheme="minorHAnsi" w:cstheme="minorHAnsi"/>
          <w:szCs w:val="22"/>
        </w:rPr>
        <w:t>The information below is to help stake</w:t>
      </w:r>
      <w:r w:rsidR="00946495" w:rsidRPr="00A34F8A">
        <w:rPr>
          <w:rFonts w:asciiTheme="minorHAnsi" w:hAnsiTheme="minorHAnsi" w:cstheme="minorHAnsi"/>
          <w:szCs w:val="22"/>
        </w:rPr>
        <w:t>holders understand the proposed changes at a technical level. The final wording in any new regulation may differ.</w:t>
      </w:r>
    </w:p>
    <w:p w14:paraId="7D4F70EC" w14:textId="77777777" w:rsidR="00691AC7" w:rsidRPr="00A34F8A" w:rsidRDefault="00691AC7" w:rsidP="00946495">
      <w:pPr>
        <w:pStyle w:val="Bullet-Level1"/>
        <w:numPr>
          <w:ilvl w:val="0"/>
          <w:numId w:val="0"/>
        </w:numPr>
        <w:ind w:left="360" w:hanging="360"/>
        <w:rPr>
          <w:rFonts w:asciiTheme="minorHAnsi" w:hAnsiTheme="minorHAnsi" w:cstheme="minorHAnsi"/>
          <w:sz w:val="22"/>
          <w:szCs w:val="22"/>
        </w:rPr>
      </w:pPr>
      <w:r w:rsidRPr="00A34F8A">
        <w:rPr>
          <w:rFonts w:asciiTheme="minorHAnsi" w:hAnsiTheme="minorHAnsi" w:cstheme="minorHAnsi"/>
          <w:sz w:val="22"/>
          <w:szCs w:val="22"/>
        </w:rPr>
        <w:t>Scope</w:t>
      </w:r>
    </w:p>
    <w:tbl>
      <w:tblPr>
        <w:tblStyle w:val="TableGrid"/>
        <w:tblW w:w="0" w:type="auto"/>
        <w:tblInd w:w="567" w:type="dxa"/>
        <w:tblLook w:val="04A0" w:firstRow="1" w:lastRow="0" w:firstColumn="1" w:lastColumn="0" w:noHBand="0" w:noVBand="1"/>
      </w:tblPr>
      <w:tblGrid>
        <w:gridCol w:w="3840"/>
        <w:gridCol w:w="3950"/>
        <w:gridCol w:w="92"/>
      </w:tblGrid>
      <w:tr w:rsidR="00691AC7" w:rsidRPr="00A34F8A" w14:paraId="6921A8A3" w14:textId="77777777" w:rsidTr="005D3977">
        <w:tc>
          <w:tcPr>
            <w:tcW w:w="4224" w:type="dxa"/>
          </w:tcPr>
          <w:p w14:paraId="6BABF7D5"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Current regulations</w:t>
            </w:r>
          </w:p>
        </w:tc>
        <w:tc>
          <w:tcPr>
            <w:tcW w:w="4225" w:type="dxa"/>
            <w:gridSpan w:val="2"/>
          </w:tcPr>
          <w:p w14:paraId="3F4F8803"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Proposed</w:t>
            </w:r>
          </w:p>
        </w:tc>
      </w:tr>
      <w:tr w:rsidR="00691AC7" w:rsidRPr="00A34F8A" w14:paraId="7FD4DAD9" w14:textId="77777777" w:rsidTr="005D3977">
        <w:trPr>
          <w:gridAfter w:val="1"/>
          <w:wAfter w:w="106" w:type="dxa"/>
        </w:trPr>
        <w:tc>
          <w:tcPr>
            <w:tcW w:w="4224" w:type="dxa"/>
          </w:tcPr>
          <w:p w14:paraId="4B4F7558"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MEPS covers power supplies (including power supplies sold (packaged) with products, such as laptops and mobile phones) which,</w:t>
            </w:r>
          </w:p>
          <w:p w14:paraId="42557BAC"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Are designed for mains input power (normally 230V AC), and</w:t>
            </w:r>
          </w:p>
          <w:p w14:paraId="647652FE"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have a maximum output power of less than or equal to 250W, and</w:t>
            </w:r>
          </w:p>
          <w:p w14:paraId="2A5ACE7D"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have a single output voltage (either AC or DC), or</w:t>
            </w:r>
          </w:p>
          <w:p w14:paraId="78B060AE"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multiple outputs that are user selectable (multiple output but only one is active at a time, and is selectable through a selector switch).</w:t>
            </w:r>
          </w:p>
          <w:p w14:paraId="2179FA29" w14:textId="77777777" w:rsidR="00691AC7" w:rsidRPr="00A34F8A" w:rsidRDefault="00691AC7" w:rsidP="005D3977">
            <w:pPr>
              <w:pStyle w:val="Bullet-Level1"/>
              <w:numPr>
                <w:ilvl w:val="0"/>
                <w:numId w:val="0"/>
              </w:numPr>
              <w:rPr>
                <w:rFonts w:asciiTheme="minorHAnsi" w:hAnsiTheme="minorHAnsi" w:cstheme="minorHAnsi"/>
                <w:b/>
                <w:sz w:val="22"/>
                <w:szCs w:val="22"/>
              </w:rPr>
            </w:pPr>
            <w:r w:rsidRPr="00A34F8A">
              <w:rPr>
                <w:rFonts w:asciiTheme="minorHAnsi" w:hAnsiTheme="minorHAnsi" w:cstheme="minorHAnsi"/>
                <w:b/>
                <w:sz w:val="22"/>
                <w:szCs w:val="22"/>
              </w:rPr>
              <w:t xml:space="preserve">Excluded: </w:t>
            </w:r>
          </w:p>
          <w:p w14:paraId="5F7EAF9D"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MEPS does not apply to,</w:t>
            </w:r>
          </w:p>
          <w:p w14:paraId="1A240722"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DC input power or battery powered equipment, or</w:t>
            </w:r>
          </w:p>
          <w:p w14:paraId="733268CF"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DC to DC converters, or</w:t>
            </w:r>
          </w:p>
          <w:p w14:paraId="6FEBB5A6"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power supplies within the scope of AS/NZS 4879 or IEC 61347.1.13, or</w:t>
            </w:r>
          </w:p>
          <w:p w14:paraId="40A4833C"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internal power supplies, or</w:t>
            </w:r>
          </w:p>
          <w:p w14:paraId="024B7E3A"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external power supplies with multiple simultaneous output voltages, or</w:t>
            </w:r>
          </w:p>
          <w:p w14:paraId="253619FD"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lastRenderedPageBreak/>
              <w:t>if it is designed to charge more than one type of battery, or</w:t>
            </w:r>
          </w:p>
          <w:p w14:paraId="278FCB1E"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a transformer or converter for an extra low voltage lamp, or</w:t>
            </w:r>
          </w:p>
          <w:p w14:paraId="526FFDF6"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electronic control-gear for an LED module, or</w:t>
            </w:r>
          </w:p>
          <w:p w14:paraId="2D6EABD2" w14:textId="77777777" w:rsidR="00691AC7" w:rsidRPr="00A34F8A" w:rsidRDefault="00691AC7"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medical equipment, provided it is listed in the Australian Register of Therapeutic Goods.</w:t>
            </w:r>
          </w:p>
          <w:p w14:paraId="09C26EE2" w14:textId="77777777" w:rsidR="00691AC7" w:rsidRPr="00A34F8A" w:rsidRDefault="00691AC7" w:rsidP="005D3977">
            <w:pPr>
              <w:pStyle w:val="Bullet-Level1"/>
              <w:numPr>
                <w:ilvl w:val="0"/>
                <w:numId w:val="0"/>
              </w:numPr>
              <w:rPr>
                <w:rFonts w:asciiTheme="minorHAnsi" w:hAnsiTheme="minorHAnsi" w:cstheme="minorHAnsi"/>
                <w:sz w:val="22"/>
                <w:szCs w:val="22"/>
              </w:rPr>
            </w:pPr>
          </w:p>
        </w:tc>
        <w:tc>
          <w:tcPr>
            <w:tcW w:w="4225" w:type="dxa"/>
          </w:tcPr>
          <w:p w14:paraId="0324948B" w14:textId="77777777" w:rsidR="00691AC7" w:rsidRPr="00A34F8A" w:rsidRDefault="00691AC7" w:rsidP="005D3977">
            <w:pPr>
              <w:rPr>
                <w:rFonts w:asciiTheme="minorHAnsi" w:hAnsiTheme="minorHAnsi" w:cstheme="minorHAnsi"/>
                <w:szCs w:val="22"/>
              </w:rPr>
            </w:pPr>
            <w:r w:rsidRPr="00A34F8A">
              <w:rPr>
                <w:rFonts w:asciiTheme="minorHAnsi" w:hAnsiTheme="minorHAnsi" w:cstheme="minorHAnsi"/>
                <w:szCs w:val="22"/>
              </w:rPr>
              <w:lastRenderedPageBreak/>
              <w:t>The MEPS will continue to cover external power supplies, but the definition of external power supply is changed to align with Regulation (EU) 2019/1782 Article 2. The definition is below.</w:t>
            </w:r>
          </w:p>
          <w:p w14:paraId="2D635411" w14:textId="77777777" w:rsidR="00691AC7" w:rsidRPr="00A34F8A" w:rsidRDefault="00691AC7" w:rsidP="005D3977">
            <w:pPr>
              <w:rPr>
                <w:rFonts w:asciiTheme="minorHAnsi" w:hAnsiTheme="minorHAnsi" w:cstheme="minorHAnsi"/>
                <w:szCs w:val="22"/>
              </w:rPr>
            </w:pPr>
            <w:r w:rsidRPr="00A34F8A">
              <w:rPr>
                <w:rFonts w:asciiTheme="minorHAnsi" w:hAnsiTheme="minorHAnsi" w:cstheme="minorHAnsi"/>
                <w:b/>
                <w:bCs/>
                <w:szCs w:val="22"/>
              </w:rPr>
              <w:t>External power supply</w:t>
            </w:r>
            <w:r w:rsidRPr="00A34F8A">
              <w:rPr>
                <w:rFonts w:asciiTheme="minorHAnsi" w:hAnsiTheme="minorHAnsi" w:cstheme="minorHAnsi"/>
                <w:szCs w:val="22"/>
              </w:rPr>
              <w:t xml:space="preserve"> means a device which meets all of the following criteria:</w:t>
            </w:r>
          </w:p>
          <w:p w14:paraId="24CF27A8" w14:textId="137F0DDC" w:rsidR="00D22D8D" w:rsidRPr="00A34F8A" w:rsidRDefault="00D22D8D" w:rsidP="00D22D8D">
            <w:pPr>
              <w:pStyle w:val="ListParagraph"/>
              <w:numPr>
                <w:ilvl w:val="0"/>
                <w:numId w:val="30"/>
              </w:numPr>
              <w:rPr>
                <w:rFonts w:asciiTheme="minorHAnsi" w:hAnsiTheme="minorHAnsi" w:cstheme="minorHAnsi"/>
                <w:sz w:val="22"/>
                <w:szCs w:val="22"/>
              </w:rPr>
            </w:pPr>
            <w:r w:rsidRPr="00A34F8A">
              <w:rPr>
                <w:rFonts w:asciiTheme="minorHAnsi" w:hAnsiTheme="minorHAnsi" w:cstheme="minorHAnsi"/>
                <w:sz w:val="22"/>
                <w:szCs w:val="22"/>
              </w:rPr>
              <w:t>It is designed to convert alternating current (AC) power input from the mains power</w:t>
            </w:r>
            <w:r w:rsidR="004239E6" w:rsidRPr="00A34F8A">
              <w:rPr>
                <w:rFonts w:asciiTheme="minorHAnsi" w:hAnsiTheme="minorHAnsi" w:cstheme="minorHAnsi"/>
                <w:sz w:val="22"/>
                <w:szCs w:val="22"/>
              </w:rPr>
              <w:t xml:space="preserve"> source input into one or more lower voltage direct current (DC) or AC outputs</w:t>
            </w:r>
          </w:p>
          <w:p w14:paraId="5D223D70" w14:textId="35A33C61" w:rsidR="00420573" w:rsidRPr="00A34F8A" w:rsidRDefault="00AA5D99" w:rsidP="00AA5D99">
            <w:pPr>
              <w:pStyle w:val="ListParagraph"/>
              <w:numPr>
                <w:ilvl w:val="0"/>
                <w:numId w:val="30"/>
              </w:numPr>
              <w:rPr>
                <w:rFonts w:asciiTheme="minorHAnsi" w:hAnsiTheme="minorHAnsi" w:cstheme="minorHAnsi"/>
                <w:sz w:val="22"/>
                <w:szCs w:val="22"/>
              </w:rPr>
            </w:pPr>
            <w:r w:rsidRPr="00A34F8A">
              <w:rPr>
                <w:rFonts w:asciiTheme="minorHAnsi" w:hAnsiTheme="minorHAnsi" w:cstheme="minorHAnsi"/>
                <w:sz w:val="22"/>
                <w:szCs w:val="22"/>
              </w:rPr>
              <w:t>It is used with one or more separate devices</w:t>
            </w:r>
            <w:r w:rsidR="00297C34" w:rsidRPr="00A34F8A">
              <w:rPr>
                <w:rFonts w:asciiTheme="minorHAnsi" w:hAnsiTheme="minorHAnsi" w:cstheme="minorHAnsi"/>
                <w:sz w:val="22"/>
                <w:szCs w:val="22"/>
              </w:rPr>
              <w:t xml:space="preserve"> that constitute the primary load;</w:t>
            </w:r>
            <w:r w:rsidR="00297C34" w:rsidRPr="00A34F8A">
              <w:rPr>
                <w:rFonts w:asciiTheme="minorHAnsi" w:hAnsiTheme="minorHAnsi" w:cstheme="minorHAnsi"/>
                <w:sz w:val="22"/>
                <w:szCs w:val="22"/>
              </w:rPr>
              <w:br/>
            </w:r>
            <w:r w:rsidR="00040A4E" w:rsidRPr="00A34F8A">
              <w:rPr>
                <w:rFonts w:asciiTheme="minorHAnsi" w:hAnsiTheme="minorHAnsi" w:cstheme="minorHAnsi"/>
                <w:sz w:val="22"/>
                <w:szCs w:val="22"/>
              </w:rPr>
              <w:t>it is contained in a physical enclosure separate from the device or devices that constitute the primary load;</w:t>
            </w:r>
            <w:r w:rsidR="00040A4E" w:rsidRPr="00A34F8A">
              <w:rPr>
                <w:rFonts w:asciiTheme="minorHAnsi" w:hAnsiTheme="minorHAnsi" w:cstheme="minorHAnsi"/>
                <w:sz w:val="22"/>
                <w:szCs w:val="22"/>
              </w:rPr>
              <w:br/>
            </w:r>
            <w:r w:rsidR="00843C46" w:rsidRPr="00A34F8A">
              <w:rPr>
                <w:rFonts w:asciiTheme="minorHAnsi" w:hAnsiTheme="minorHAnsi" w:cstheme="minorHAnsi"/>
                <w:sz w:val="22"/>
                <w:szCs w:val="22"/>
              </w:rPr>
              <w:t>it is connected to the device or devices that constitute the primary load with removable or hard-wired male/female electrical connections, cables, cords or other wirings;</w:t>
            </w:r>
            <w:r w:rsidR="00843C46" w:rsidRPr="00A34F8A">
              <w:rPr>
                <w:rFonts w:asciiTheme="minorHAnsi" w:hAnsiTheme="minorHAnsi" w:cstheme="minorHAnsi"/>
                <w:sz w:val="22"/>
                <w:szCs w:val="22"/>
              </w:rPr>
              <w:br/>
              <w:t>it has nameplate output power not exceeding 250 watts</w:t>
            </w:r>
          </w:p>
          <w:p w14:paraId="398614DA" w14:textId="1D68F329" w:rsidR="00843C46" w:rsidRPr="00A34F8A" w:rsidRDefault="00843C46" w:rsidP="00AA5D99">
            <w:pPr>
              <w:pStyle w:val="ListParagraph"/>
              <w:numPr>
                <w:ilvl w:val="0"/>
                <w:numId w:val="30"/>
              </w:numPr>
              <w:rPr>
                <w:rFonts w:asciiTheme="minorHAnsi" w:hAnsiTheme="minorHAnsi" w:cstheme="minorHAnsi"/>
                <w:sz w:val="22"/>
                <w:szCs w:val="22"/>
              </w:rPr>
            </w:pPr>
            <w:r w:rsidRPr="00A34F8A">
              <w:rPr>
                <w:rFonts w:asciiTheme="minorHAnsi" w:hAnsiTheme="minorHAnsi" w:cstheme="minorHAnsi"/>
                <w:sz w:val="22"/>
                <w:szCs w:val="22"/>
              </w:rPr>
              <w:lastRenderedPageBreak/>
              <w:t>Excluded:</w:t>
            </w:r>
            <w:r w:rsidR="00F42580" w:rsidRPr="00A34F8A">
              <w:rPr>
                <w:rFonts w:asciiTheme="minorHAnsi" w:hAnsiTheme="minorHAnsi" w:cstheme="minorHAnsi"/>
                <w:sz w:val="22"/>
                <w:szCs w:val="22"/>
              </w:rPr>
              <w:br/>
              <w:t>The exclusions are mostly similar to Regulation</w:t>
            </w:r>
            <w:r w:rsidR="009B52A6" w:rsidRPr="00A34F8A">
              <w:rPr>
                <w:rFonts w:asciiTheme="minorHAnsi" w:hAnsiTheme="minorHAnsi" w:cstheme="minorHAnsi"/>
                <w:sz w:val="22"/>
                <w:szCs w:val="22"/>
              </w:rPr>
              <w:t xml:space="preserve"> (EU) 2019/</w:t>
            </w:r>
            <w:r w:rsidR="006045AC" w:rsidRPr="00A34F8A">
              <w:rPr>
                <w:rFonts w:asciiTheme="minorHAnsi" w:hAnsiTheme="minorHAnsi" w:cstheme="minorHAnsi"/>
                <w:sz w:val="22"/>
                <w:szCs w:val="22"/>
              </w:rPr>
              <w:t xml:space="preserve">1782 </w:t>
            </w:r>
            <w:r w:rsidR="001F20BD" w:rsidRPr="00A34F8A">
              <w:rPr>
                <w:rFonts w:asciiTheme="minorHAnsi" w:hAnsiTheme="minorHAnsi" w:cstheme="minorHAnsi"/>
                <w:sz w:val="22"/>
                <w:szCs w:val="22"/>
              </w:rPr>
              <w:t>Article 1,</w:t>
            </w:r>
            <w:r w:rsidR="00DA5E5A" w:rsidRPr="00A34F8A">
              <w:rPr>
                <w:rFonts w:asciiTheme="minorHAnsi" w:hAnsiTheme="minorHAnsi" w:cstheme="minorHAnsi"/>
                <w:sz w:val="22"/>
                <w:szCs w:val="22"/>
              </w:rPr>
              <w:t xml:space="preserve"> with the following changes:</w:t>
            </w:r>
            <w:r w:rsidR="00DA5E5A" w:rsidRPr="00A34F8A">
              <w:rPr>
                <w:rFonts w:asciiTheme="minorHAnsi" w:hAnsiTheme="minorHAnsi" w:cstheme="minorHAnsi"/>
                <w:sz w:val="22"/>
                <w:szCs w:val="22"/>
              </w:rPr>
              <w:br/>
              <w:t xml:space="preserve">i) </w:t>
            </w:r>
            <w:r w:rsidR="009A364C" w:rsidRPr="00A34F8A">
              <w:rPr>
                <w:rFonts w:asciiTheme="minorHAnsi" w:hAnsiTheme="minorHAnsi" w:cstheme="minorHAnsi"/>
                <w:sz w:val="22"/>
                <w:szCs w:val="22"/>
              </w:rPr>
              <w:t xml:space="preserve">Exclusion h in Regulation (EU) </w:t>
            </w:r>
            <w:r w:rsidR="00EA4E08" w:rsidRPr="00A34F8A">
              <w:rPr>
                <w:rFonts w:asciiTheme="minorHAnsi" w:hAnsiTheme="minorHAnsi" w:cstheme="minorHAnsi"/>
                <w:sz w:val="22"/>
                <w:szCs w:val="22"/>
              </w:rPr>
              <w:t xml:space="preserve">2019/1782 Article 1 </w:t>
            </w:r>
            <w:r w:rsidR="008F63A1" w:rsidRPr="00A34F8A">
              <w:rPr>
                <w:rFonts w:asciiTheme="minorHAnsi" w:hAnsiTheme="minorHAnsi" w:cstheme="minorHAnsi"/>
                <w:sz w:val="22"/>
                <w:szCs w:val="22"/>
              </w:rPr>
              <w:t>(“spare parts” exception) is removed.</w:t>
            </w:r>
            <w:r w:rsidR="008F63A1" w:rsidRPr="00A34F8A">
              <w:rPr>
                <w:rFonts w:asciiTheme="minorHAnsi" w:hAnsiTheme="minorHAnsi" w:cstheme="minorHAnsi"/>
                <w:sz w:val="22"/>
                <w:szCs w:val="22"/>
              </w:rPr>
              <w:br/>
              <w:t>ii) Addition of Australia/New Zealand-specific exclusions regarding Therapeutic goods</w:t>
            </w:r>
            <w:r w:rsidR="008F63A1" w:rsidRPr="00A34F8A">
              <w:rPr>
                <w:rFonts w:asciiTheme="minorHAnsi" w:hAnsiTheme="minorHAnsi" w:cstheme="minorHAnsi"/>
                <w:sz w:val="22"/>
                <w:szCs w:val="22"/>
              </w:rPr>
              <w:br/>
              <w:t xml:space="preserve">iii) Addition of Australia/New Zealand-specific exclusion for power supplies that fall in scope of AS/NZS 4879 or IEC </w:t>
            </w:r>
            <w:r w:rsidR="008F63A1" w:rsidRPr="00A34F8A">
              <w:rPr>
                <w:rFonts w:asciiTheme="minorHAnsi" w:hAnsiTheme="minorHAnsi" w:cstheme="minorHAnsi"/>
                <w:color w:val="auto"/>
                <w:sz w:val="22"/>
                <w:szCs w:val="22"/>
              </w:rPr>
              <w:t>61347.1.13. This is an extension of the general exclusion d for lighting converters</w:t>
            </w:r>
            <w:r w:rsidR="008F63A1" w:rsidRPr="00A34F8A">
              <w:rPr>
                <w:rFonts w:asciiTheme="minorHAnsi" w:hAnsiTheme="minorHAnsi" w:cstheme="minorHAnsi"/>
                <w:sz w:val="22"/>
                <w:szCs w:val="22"/>
              </w:rPr>
              <w:t xml:space="preserve">. </w:t>
            </w:r>
          </w:p>
          <w:p w14:paraId="13F66A65" w14:textId="77777777" w:rsidR="00691AC7" w:rsidRPr="00A34F8A" w:rsidRDefault="00691AC7" w:rsidP="005D3977">
            <w:pPr>
              <w:rPr>
                <w:rFonts w:asciiTheme="minorHAnsi" w:hAnsiTheme="minorHAnsi" w:cstheme="minorHAnsi"/>
                <w:szCs w:val="22"/>
              </w:rPr>
            </w:pPr>
            <w:r w:rsidRPr="00A34F8A">
              <w:rPr>
                <w:rFonts w:asciiTheme="minorHAnsi" w:hAnsiTheme="minorHAnsi" w:cstheme="minorHAnsi"/>
                <w:szCs w:val="22"/>
              </w:rPr>
              <w:t xml:space="preserve">The exclusions (with proposed Australia/New Zealand-specific extensions in </w:t>
            </w:r>
            <w:r w:rsidRPr="00A34F8A">
              <w:rPr>
                <w:rFonts w:asciiTheme="minorHAnsi" w:hAnsiTheme="minorHAnsi" w:cstheme="minorHAnsi"/>
                <w:i/>
                <w:iCs/>
                <w:szCs w:val="22"/>
              </w:rPr>
              <w:t>italics</w:t>
            </w:r>
            <w:r w:rsidRPr="00A34F8A">
              <w:rPr>
                <w:rFonts w:asciiTheme="minorHAnsi" w:hAnsiTheme="minorHAnsi" w:cstheme="minorHAnsi"/>
                <w:szCs w:val="22"/>
              </w:rPr>
              <w:t>) are shown below.</w:t>
            </w:r>
          </w:p>
          <w:p w14:paraId="6F5C6E6B" w14:textId="62641264" w:rsidR="00691AC7" w:rsidRPr="00A34F8A" w:rsidRDefault="00691AC7" w:rsidP="00691AC7">
            <w:pPr>
              <w:pStyle w:val="ListParagraph"/>
              <w:numPr>
                <w:ilvl w:val="0"/>
                <w:numId w:val="9"/>
              </w:numPr>
              <w:rPr>
                <w:rFonts w:asciiTheme="minorHAnsi" w:hAnsiTheme="minorHAnsi" w:cstheme="minorHAnsi"/>
                <w:sz w:val="22"/>
                <w:szCs w:val="22"/>
              </w:rPr>
            </w:pPr>
            <w:r w:rsidRPr="00A34F8A">
              <w:rPr>
                <w:rFonts w:asciiTheme="minorHAnsi" w:hAnsiTheme="minorHAnsi" w:cstheme="minorHAnsi"/>
                <w:sz w:val="22"/>
                <w:szCs w:val="22"/>
              </w:rPr>
              <w:t>voltage converters</w:t>
            </w:r>
          </w:p>
          <w:p w14:paraId="4804F4E2" w14:textId="34227573" w:rsidR="00691AC7" w:rsidRPr="00A34F8A" w:rsidRDefault="00691AC7" w:rsidP="00691AC7">
            <w:pPr>
              <w:pStyle w:val="ListParagraph"/>
              <w:numPr>
                <w:ilvl w:val="0"/>
                <w:numId w:val="9"/>
              </w:numPr>
              <w:rPr>
                <w:rFonts w:asciiTheme="minorHAnsi" w:hAnsiTheme="minorHAnsi" w:cstheme="minorHAnsi"/>
                <w:sz w:val="22"/>
                <w:szCs w:val="22"/>
              </w:rPr>
            </w:pPr>
            <w:r w:rsidRPr="00A34F8A">
              <w:rPr>
                <w:rFonts w:asciiTheme="minorHAnsi" w:hAnsiTheme="minorHAnsi" w:cstheme="minorHAnsi"/>
                <w:sz w:val="22"/>
                <w:szCs w:val="22"/>
              </w:rPr>
              <w:t>uninterruptible power supplies</w:t>
            </w:r>
          </w:p>
          <w:p w14:paraId="01335F3E" w14:textId="29007E91" w:rsidR="00691AC7" w:rsidRPr="00A34F8A" w:rsidRDefault="00691AC7" w:rsidP="00691AC7">
            <w:pPr>
              <w:pStyle w:val="ListParagraph"/>
              <w:numPr>
                <w:ilvl w:val="0"/>
                <w:numId w:val="9"/>
              </w:numPr>
              <w:rPr>
                <w:rFonts w:asciiTheme="minorHAnsi" w:hAnsiTheme="minorHAnsi" w:cstheme="minorHAnsi"/>
                <w:sz w:val="22"/>
                <w:szCs w:val="22"/>
              </w:rPr>
            </w:pPr>
            <w:r w:rsidRPr="00A34F8A">
              <w:rPr>
                <w:rFonts w:asciiTheme="minorHAnsi" w:hAnsiTheme="minorHAnsi" w:cstheme="minorHAnsi"/>
                <w:sz w:val="22"/>
                <w:szCs w:val="22"/>
              </w:rPr>
              <w:t>battery chargers without power supply function</w:t>
            </w:r>
          </w:p>
          <w:p w14:paraId="2AD97889" w14:textId="13044696" w:rsidR="00691AC7" w:rsidRPr="00A34F8A" w:rsidRDefault="00691AC7" w:rsidP="00691AC7">
            <w:pPr>
              <w:pStyle w:val="ListParagraph"/>
              <w:numPr>
                <w:ilvl w:val="0"/>
                <w:numId w:val="9"/>
              </w:numPr>
              <w:rPr>
                <w:rFonts w:asciiTheme="minorHAnsi" w:hAnsiTheme="minorHAnsi" w:cstheme="minorHAnsi"/>
                <w:sz w:val="22"/>
                <w:szCs w:val="22"/>
              </w:rPr>
            </w:pPr>
            <w:r w:rsidRPr="00A34F8A">
              <w:rPr>
                <w:rFonts w:asciiTheme="minorHAnsi" w:hAnsiTheme="minorHAnsi" w:cstheme="minorHAnsi"/>
                <w:sz w:val="22"/>
                <w:szCs w:val="22"/>
              </w:rPr>
              <w:t>lighting converters</w:t>
            </w:r>
          </w:p>
          <w:p w14:paraId="73F1DD49" w14:textId="2614AE07" w:rsidR="00691AC7" w:rsidRPr="00A34F8A" w:rsidRDefault="00691AC7" w:rsidP="00691AC7">
            <w:pPr>
              <w:pStyle w:val="ListParagraph"/>
              <w:numPr>
                <w:ilvl w:val="0"/>
                <w:numId w:val="9"/>
              </w:numPr>
              <w:rPr>
                <w:rFonts w:asciiTheme="minorHAnsi" w:hAnsiTheme="minorHAnsi" w:cstheme="minorHAnsi"/>
                <w:sz w:val="22"/>
                <w:szCs w:val="22"/>
              </w:rPr>
            </w:pPr>
            <w:r w:rsidRPr="00A34F8A">
              <w:rPr>
                <w:rFonts w:asciiTheme="minorHAnsi" w:hAnsiTheme="minorHAnsi" w:cstheme="minorHAnsi"/>
                <w:sz w:val="22"/>
                <w:szCs w:val="22"/>
              </w:rPr>
              <w:t>external power supplies for medical devices</w:t>
            </w:r>
          </w:p>
          <w:p w14:paraId="20C323BC" w14:textId="02650B9A" w:rsidR="00691AC7" w:rsidRPr="00A34F8A" w:rsidRDefault="00691AC7" w:rsidP="00691AC7">
            <w:pPr>
              <w:pStyle w:val="ListParagraph"/>
              <w:numPr>
                <w:ilvl w:val="0"/>
                <w:numId w:val="9"/>
              </w:numPr>
              <w:rPr>
                <w:rFonts w:asciiTheme="minorHAnsi" w:hAnsiTheme="minorHAnsi" w:cstheme="minorHAnsi"/>
                <w:sz w:val="22"/>
                <w:szCs w:val="22"/>
              </w:rPr>
            </w:pPr>
            <w:r w:rsidRPr="00A34F8A">
              <w:rPr>
                <w:rFonts w:asciiTheme="minorHAnsi" w:hAnsiTheme="minorHAnsi" w:cstheme="minorHAnsi"/>
                <w:sz w:val="22"/>
                <w:szCs w:val="22"/>
              </w:rPr>
              <w:t>active power over Ethernet injectors</w:t>
            </w:r>
          </w:p>
          <w:p w14:paraId="793E95DF" w14:textId="797ACA3D" w:rsidR="00691AC7" w:rsidRPr="00A34F8A" w:rsidRDefault="00691AC7" w:rsidP="00691AC7">
            <w:pPr>
              <w:pStyle w:val="ListParagraph"/>
              <w:numPr>
                <w:ilvl w:val="0"/>
                <w:numId w:val="9"/>
              </w:numPr>
              <w:rPr>
                <w:rFonts w:asciiTheme="minorHAnsi" w:hAnsiTheme="minorHAnsi" w:cstheme="minorHAnsi"/>
                <w:sz w:val="22"/>
                <w:szCs w:val="22"/>
              </w:rPr>
            </w:pPr>
            <w:r w:rsidRPr="00A34F8A">
              <w:rPr>
                <w:rFonts w:asciiTheme="minorHAnsi" w:hAnsiTheme="minorHAnsi" w:cstheme="minorHAnsi"/>
                <w:sz w:val="22"/>
                <w:szCs w:val="22"/>
              </w:rPr>
              <w:t>docking stations for autonomous appliances</w:t>
            </w:r>
          </w:p>
          <w:p w14:paraId="71087D27" w14:textId="77777777" w:rsidR="00691AC7" w:rsidRPr="00A34F8A" w:rsidRDefault="00691AC7" w:rsidP="00691AC7">
            <w:pPr>
              <w:pStyle w:val="ListParagraph"/>
              <w:numPr>
                <w:ilvl w:val="0"/>
                <w:numId w:val="9"/>
              </w:numPr>
              <w:rPr>
                <w:rFonts w:asciiTheme="minorHAnsi" w:hAnsiTheme="minorHAnsi" w:cstheme="minorHAnsi"/>
                <w:i/>
                <w:sz w:val="22"/>
                <w:szCs w:val="22"/>
              </w:rPr>
            </w:pPr>
            <w:r w:rsidRPr="00A34F8A">
              <w:rPr>
                <w:rFonts w:asciiTheme="minorHAnsi" w:hAnsiTheme="minorHAnsi" w:cstheme="minorHAnsi"/>
                <w:i/>
                <w:sz w:val="22"/>
                <w:szCs w:val="22"/>
              </w:rPr>
              <w:t>medical equipment, provided it is listed in the Australian Register of Therapeutic Goods</w:t>
            </w:r>
          </w:p>
          <w:p w14:paraId="6DB625CB" w14:textId="0E57FC19" w:rsidR="00691AC7" w:rsidRPr="00A34F8A" w:rsidRDefault="00691AC7" w:rsidP="00691AC7">
            <w:pPr>
              <w:pStyle w:val="ListParagraph"/>
              <w:numPr>
                <w:ilvl w:val="0"/>
                <w:numId w:val="9"/>
              </w:numPr>
              <w:rPr>
                <w:rFonts w:asciiTheme="minorHAnsi" w:hAnsiTheme="minorHAnsi" w:cstheme="minorHAnsi"/>
                <w:i/>
                <w:sz w:val="22"/>
                <w:szCs w:val="22"/>
              </w:rPr>
            </w:pPr>
            <w:r w:rsidRPr="00A34F8A">
              <w:rPr>
                <w:rFonts w:asciiTheme="minorHAnsi" w:hAnsiTheme="minorHAnsi" w:cstheme="minorHAnsi"/>
                <w:i/>
                <w:sz w:val="22"/>
                <w:szCs w:val="22"/>
              </w:rPr>
              <w:t>power supplies within the scope of AS/NZS 4879 or IEC 61347.1.13</w:t>
            </w:r>
            <w:r w:rsidR="00A54ABA">
              <w:rPr>
                <w:rFonts w:asciiTheme="minorHAnsi" w:hAnsiTheme="minorHAnsi" w:cstheme="minorHAnsi"/>
                <w:i/>
                <w:sz w:val="22"/>
                <w:szCs w:val="22"/>
              </w:rPr>
              <w:t>.</w:t>
            </w:r>
          </w:p>
        </w:tc>
      </w:tr>
    </w:tbl>
    <w:p w14:paraId="23DCABA6" w14:textId="77777777" w:rsidR="00691AC7" w:rsidRPr="00A34F8A" w:rsidRDefault="00691AC7" w:rsidP="00691AC7">
      <w:pPr>
        <w:pStyle w:val="Bullet-Level1"/>
        <w:numPr>
          <w:ilvl w:val="0"/>
          <w:numId w:val="0"/>
        </w:numPr>
        <w:ind w:left="567"/>
        <w:rPr>
          <w:rFonts w:asciiTheme="minorHAnsi" w:hAnsiTheme="minorHAnsi" w:cstheme="minorHAnsi"/>
          <w:sz w:val="22"/>
          <w:szCs w:val="22"/>
        </w:rPr>
      </w:pPr>
    </w:p>
    <w:p w14:paraId="63B1B9AC" w14:textId="77777777" w:rsidR="00691AC7" w:rsidRPr="00A34F8A" w:rsidRDefault="00691AC7" w:rsidP="00E7062A">
      <w:pPr>
        <w:pStyle w:val="Heading3"/>
      </w:pPr>
      <w:bookmarkStart w:id="142" w:name="_Toc183163275"/>
      <w:r w:rsidRPr="00A34F8A">
        <w:lastRenderedPageBreak/>
        <w:t>Family of models</w:t>
      </w:r>
      <w:bookmarkEnd w:id="142"/>
    </w:p>
    <w:p w14:paraId="342CE86E" w14:textId="77777777" w:rsidR="00691AC7" w:rsidRPr="00A34F8A" w:rsidRDefault="00691AC7" w:rsidP="00691AC7">
      <w:pPr>
        <w:pStyle w:val="Bullet-Level1"/>
        <w:numPr>
          <w:ilvl w:val="0"/>
          <w:numId w:val="0"/>
        </w:numPr>
        <w:ind w:left="567"/>
        <w:rPr>
          <w:rFonts w:asciiTheme="minorHAnsi" w:hAnsiTheme="minorHAnsi" w:cstheme="minorHAnsi"/>
          <w:sz w:val="22"/>
          <w:szCs w:val="22"/>
        </w:rPr>
      </w:pPr>
      <w:r w:rsidRPr="00A34F8A">
        <w:rPr>
          <w:rFonts w:asciiTheme="minorHAnsi" w:hAnsiTheme="minorHAnsi" w:cstheme="minorHAnsi"/>
          <w:sz w:val="22"/>
          <w:szCs w:val="22"/>
        </w:rPr>
        <w:t>The family of models is currently defined in AS/NZS 4665.1 Clause 1.3.8 (non-user-selectable output voltage) and Clause 1.3.9 (user-selectable output voltage).</w:t>
      </w:r>
    </w:p>
    <w:p w14:paraId="4A9D92AF" w14:textId="26533052" w:rsidR="008013AA" w:rsidRPr="00A34F8A" w:rsidRDefault="008013AA" w:rsidP="00691AC7">
      <w:pPr>
        <w:pStyle w:val="Bullet-Level1"/>
        <w:numPr>
          <w:ilvl w:val="0"/>
          <w:numId w:val="0"/>
        </w:numPr>
        <w:ind w:left="567"/>
        <w:rPr>
          <w:rStyle w:val="eop"/>
          <w:rFonts w:asciiTheme="minorHAnsi" w:hAnsiTheme="minorHAnsi" w:cstheme="minorHAnsi"/>
          <w:sz w:val="22"/>
          <w:szCs w:val="22"/>
          <w:shd w:val="clear" w:color="auto" w:fill="FFFFFF"/>
        </w:rPr>
      </w:pPr>
      <w:r w:rsidRPr="00A34F8A">
        <w:rPr>
          <w:rStyle w:val="normaltextrun"/>
          <w:rFonts w:asciiTheme="minorHAnsi" w:hAnsiTheme="minorHAnsi" w:cstheme="minorHAnsi"/>
          <w:sz w:val="22"/>
          <w:szCs w:val="22"/>
          <w:shd w:val="clear" w:color="auto" w:fill="FFFFFF"/>
        </w:rPr>
        <w:t xml:space="preserve">The EU does not have a definition of </w:t>
      </w:r>
      <w:r w:rsidRPr="00A34F8A">
        <w:rPr>
          <w:rStyle w:val="normaltextrun"/>
          <w:rFonts w:asciiTheme="minorHAnsi" w:hAnsiTheme="minorHAnsi" w:cstheme="minorHAnsi"/>
          <w:i/>
          <w:iCs/>
          <w:sz w:val="22"/>
          <w:szCs w:val="22"/>
          <w:shd w:val="clear" w:color="auto" w:fill="FFFFFF"/>
        </w:rPr>
        <w:t>family of models</w:t>
      </w:r>
      <w:r w:rsidRPr="00A34F8A">
        <w:rPr>
          <w:rStyle w:val="normaltextrun"/>
          <w:rFonts w:asciiTheme="minorHAnsi" w:hAnsiTheme="minorHAnsi" w:cstheme="minorHAnsi"/>
          <w:sz w:val="22"/>
          <w:szCs w:val="22"/>
          <w:shd w:val="clear" w:color="auto" w:fill="FFFFFF"/>
        </w:rPr>
        <w:t xml:space="preserve"> in the sense that it is used in Australia and New Zealand. The definition from 10 CFR 430.2 “External power supply design family”, along with the parts of the definition 10 CFR 430.2 “Basic model” as they apply to external power supplies is proposed instead.</w:t>
      </w:r>
      <w:r w:rsidRPr="00A34F8A">
        <w:rPr>
          <w:rStyle w:val="eop"/>
          <w:rFonts w:asciiTheme="minorHAnsi" w:hAnsiTheme="minorHAnsi" w:cstheme="minorHAnsi"/>
          <w:sz w:val="22"/>
          <w:szCs w:val="22"/>
          <w:shd w:val="clear" w:color="auto" w:fill="FFFFFF"/>
        </w:rPr>
        <w:t> </w:t>
      </w:r>
    </w:p>
    <w:tbl>
      <w:tblPr>
        <w:tblW w:w="0"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gridCol w:w="4050"/>
      </w:tblGrid>
      <w:tr w:rsidR="006A63E9" w:rsidRPr="006A63E9" w14:paraId="580DE58A" w14:textId="77777777" w:rsidTr="006A63E9">
        <w:trPr>
          <w:trHeight w:val="30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0DB76EA7"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Current regulations </w:t>
            </w:r>
          </w:p>
        </w:tc>
        <w:tc>
          <w:tcPr>
            <w:tcW w:w="4050" w:type="dxa"/>
            <w:tcBorders>
              <w:top w:val="single" w:sz="6" w:space="0" w:color="auto"/>
              <w:left w:val="single" w:sz="6" w:space="0" w:color="auto"/>
              <w:bottom w:val="single" w:sz="6" w:space="0" w:color="auto"/>
              <w:right w:val="single" w:sz="6" w:space="0" w:color="auto"/>
            </w:tcBorders>
            <w:shd w:val="clear" w:color="auto" w:fill="auto"/>
            <w:hideMark/>
          </w:tcPr>
          <w:p w14:paraId="511CC712"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Proposed </w:t>
            </w:r>
          </w:p>
        </w:tc>
      </w:tr>
      <w:tr w:rsidR="006A63E9" w:rsidRPr="006A63E9" w14:paraId="61F44FAE" w14:textId="77777777" w:rsidTr="006A63E9">
        <w:trPr>
          <w:trHeight w:val="30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282BBD78"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Non-user selectable </w:t>
            </w:r>
          </w:p>
          <w:p w14:paraId="3110725F" w14:textId="1707D87C" w:rsidR="006A63E9" w:rsidRPr="00A34F8A"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A range of non</w:t>
            </w:r>
            <w:r w:rsidR="00436853" w:rsidRPr="00A34F8A">
              <w:rPr>
                <w:rFonts w:asciiTheme="minorHAnsi" w:eastAsia="Times New Roman" w:hAnsiTheme="minorHAnsi" w:cstheme="minorHAnsi"/>
                <w:color w:val="363838"/>
                <w:szCs w:val="22"/>
                <w:lang w:eastAsia="en-AU"/>
              </w:rPr>
              <w:t>-</w:t>
            </w:r>
            <w:r w:rsidRPr="006A63E9">
              <w:rPr>
                <w:rFonts w:asciiTheme="minorHAnsi" w:eastAsia="Times New Roman" w:hAnsiTheme="minorHAnsi" w:cstheme="minorHAnsi"/>
                <w:color w:val="363838"/>
                <w:szCs w:val="22"/>
                <w:lang w:eastAsia="en-AU"/>
              </w:rPr>
              <w:t>user selectable single output models based on common technically equivalent component, but may each have a different output voltage. They must have the same energy performance mark.  </w:t>
            </w:r>
          </w:p>
          <w:p w14:paraId="4A5317CF" w14:textId="77777777" w:rsidR="00436853" w:rsidRPr="006A63E9" w:rsidRDefault="00436853" w:rsidP="006A63E9">
            <w:pPr>
              <w:spacing w:after="0" w:line="240" w:lineRule="auto"/>
              <w:textAlignment w:val="baseline"/>
              <w:rPr>
                <w:rFonts w:asciiTheme="minorHAnsi" w:eastAsia="Times New Roman" w:hAnsiTheme="minorHAnsi" w:cstheme="minorHAnsi"/>
                <w:color w:val="363838"/>
                <w:szCs w:val="22"/>
                <w:lang w:eastAsia="en-AU"/>
              </w:rPr>
            </w:pPr>
          </w:p>
          <w:p w14:paraId="5F006ED1"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User selectable </w:t>
            </w:r>
          </w:p>
          <w:p w14:paraId="2EA82CA1"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A user selectable single output model based on common technically equivalent component voltage. They must have the same energy performance mark.  </w:t>
            </w:r>
          </w:p>
          <w:p w14:paraId="04C4FB20"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 </w:t>
            </w:r>
          </w:p>
        </w:tc>
        <w:tc>
          <w:tcPr>
            <w:tcW w:w="4050" w:type="dxa"/>
            <w:tcBorders>
              <w:top w:val="single" w:sz="6" w:space="0" w:color="auto"/>
              <w:left w:val="single" w:sz="6" w:space="0" w:color="auto"/>
              <w:bottom w:val="single" w:sz="6" w:space="0" w:color="auto"/>
              <w:right w:val="single" w:sz="6" w:space="0" w:color="auto"/>
            </w:tcBorders>
            <w:shd w:val="clear" w:color="auto" w:fill="auto"/>
            <w:hideMark/>
          </w:tcPr>
          <w:p w14:paraId="13E2BDEA" w14:textId="260495DB"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b/>
                <w:bCs/>
                <w:color w:val="363838"/>
                <w:szCs w:val="22"/>
                <w:lang w:eastAsia="en-AU"/>
              </w:rPr>
              <w:t>Family of models</w:t>
            </w:r>
            <w:r w:rsidRPr="006A63E9">
              <w:rPr>
                <w:rFonts w:asciiTheme="minorHAnsi" w:eastAsia="Times New Roman" w:hAnsiTheme="minorHAnsi" w:cstheme="minorHAnsi"/>
                <w:color w:val="363838"/>
                <w:szCs w:val="22"/>
                <w:lang w:eastAsia="en-AU"/>
              </w:rPr>
              <w:t xml:space="preserve"> means a set of external power supply </w:t>
            </w:r>
            <w:r w:rsidRPr="006A63E9">
              <w:rPr>
                <w:rFonts w:asciiTheme="minorHAnsi" w:eastAsia="Times New Roman" w:hAnsiTheme="minorHAnsi" w:cstheme="minorHAnsi"/>
                <w:b/>
                <w:bCs/>
                <w:color w:val="363838"/>
                <w:szCs w:val="22"/>
                <w:lang w:eastAsia="en-AU"/>
              </w:rPr>
              <w:t>basic models</w:t>
            </w:r>
            <w:r w:rsidRPr="006A63E9">
              <w:rPr>
                <w:rFonts w:asciiTheme="minorHAnsi" w:eastAsia="Times New Roman" w:hAnsiTheme="minorHAnsi" w:cstheme="minorHAnsi"/>
                <w:color w:val="363838"/>
                <w:szCs w:val="22"/>
                <w:lang w:eastAsia="en-AU"/>
              </w:rPr>
              <w:t>, which share the same circuit layout, output power, and output cord resistance, but differ in output voltage. </w:t>
            </w:r>
          </w:p>
          <w:p w14:paraId="7C9C71D3"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They must have </w:t>
            </w:r>
          </w:p>
          <w:p w14:paraId="18C7B838" w14:textId="77777777" w:rsidR="006A63E9" w:rsidRPr="006A63E9" w:rsidRDefault="006A63E9" w:rsidP="006A63E9">
            <w:pPr>
              <w:numPr>
                <w:ilvl w:val="0"/>
                <w:numId w:val="31"/>
              </w:numPr>
              <w:spacing w:after="0" w:line="240" w:lineRule="auto"/>
              <w:ind w:left="1080" w:firstLine="0"/>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Technically equivalent components </w:t>
            </w:r>
          </w:p>
          <w:p w14:paraId="40F30CE4" w14:textId="77777777" w:rsidR="006A63E9" w:rsidRPr="006A63E9" w:rsidRDefault="006A63E9" w:rsidP="006A63E9">
            <w:pPr>
              <w:numPr>
                <w:ilvl w:val="0"/>
                <w:numId w:val="31"/>
              </w:numPr>
              <w:spacing w:after="0" w:line="240" w:lineRule="auto"/>
              <w:ind w:left="1080" w:firstLine="0"/>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The same output power </w:t>
            </w:r>
          </w:p>
          <w:p w14:paraId="47426AC8" w14:textId="77777777" w:rsidR="006A63E9" w:rsidRPr="006A63E9" w:rsidRDefault="006A63E9" w:rsidP="006A63E9">
            <w:pPr>
              <w:numPr>
                <w:ilvl w:val="0"/>
                <w:numId w:val="31"/>
              </w:numPr>
              <w:spacing w:after="0" w:line="240" w:lineRule="auto"/>
              <w:ind w:left="1080" w:firstLine="0"/>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The same product class </w:t>
            </w:r>
          </w:p>
          <w:p w14:paraId="5A076055" w14:textId="77777777" w:rsidR="006A63E9" w:rsidRPr="006A63E9" w:rsidRDefault="006A63E9" w:rsidP="006A63E9">
            <w:pPr>
              <w:numPr>
                <w:ilvl w:val="0"/>
                <w:numId w:val="31"/>
              </w:numPr>
              <w:spacing w:after="0" w:line="240" w:lineRule="auto"/>
              <w:ind w:left="1080" w:firstLine="0"/>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The same performance mark </w:t>
            </w:r>
          </w:p>
          <w:p w14:paraId="6807895F" w14:textId="65A53051" w:rsidR="006A63E9" w:rsidRPr="006A63E9" w:rsidRDefault="006A63E9" w:rsidP="006A63E9">
            <w:pPr>
              <w:numPr>
                <w:ilvl w:val="0"/>
                <w:numId w:val="31"/>
              </w:numPr>
              <w:spacing w:after="0" w:line="240" w:lineRule="auto"/>
              <w:ind w:left="1080" w:firstLine="0"/>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 xml:space="preserve">Listed on a single test report where the </w:t>
            </w:r>
            <w:r w:rsidR="00C6550D" w:rsidRPr="00A34F8A">
              <w:rPr>
                <w:rFonts w:asciiTheme="minorHAnsi" w:eastAsia="Times New Roman" w:hAnsiTheme="minorHAnsi" w:cstheme="minorHAnsi"/>
                <w:color w:val="363838"/>
                <w:szCs w:val="22"/>
                <w:lang w:eastAsia="en-AU"/>
              </w:rPr>
              <w:t>least</w:t>
            </w:r>
            <w:r w:rsidRPr="006A63E9">
              <w:rPr>
                <w:rFonts w:asciiTheme="minorHAnsi" w:eastAsia="Times New Roman" w:hAnsiTheme="minorHAnsi" w:cstheme="minorHAnsi"/>
                <w:color w:val="363838"/>
                <w:szCs w:val="22"/>
                <w:lang w:eastAsia="en-AU"/>
              </w:rPr>
              <w:t xml:space="preserve"> efficient model has been tested (active power, standby power). </w:t>
            </w:r>
          </w:p>
          <w:p w14:paraId="042E0251"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D13438"/>
                <w:szCs w:val="22"/>
                <w:lang w:eastAsia="en-AU"/>
              </w:rPr>
              <w:t> </w:t>
            </w:r>
          </w:p>
          <w:p w14:paraId="741B9A1D" w14:textId="77777777" w:rsidR="006A63E9" w:rsidRPr="006A63E9" w:rsidRDefault="006A63E9" w:rsidP="006A63E9">
            <w:pPr>
              <w:spacing w:after="0" w:line="240" w:lineRule="auto"/>
              <w:textAlignment w:val="baseline"/>
              <w:rPr>
                <w:rFonts w:asciiTheme="minorHAnsi" w:eastAsia="Times New Roman" w:hAnsiTheme="minorHAnsi" w:cstheme="minorHAnsi"/>
                <w:color w:val="363838"/>
                <w:szCs w:val="22"/>
                <w:lang w:eastAsia="en-AU"/>
              </w:rPr>
            </w:pPr>
            <w:r w:rsidRPr="006A63E9">
              <w:rPr>
                <w:rFonts w:asciiTheme="minorHAnsi" w:eastAsia="Times New Roman" w:hAnsiTheme="minorHAnsi" w:cstheme="minorHAnsi"/>
                <w:color w:val="363838"/>
                <w:szCs w:val="22"/>
                <w:lang w:eastAsia="en-AU"/>
              </w:rPr>
              <w:t> </w:t>
            </w:r>
          </w:p>
        </w:tc>
      </w:tr>
    </w:tbl>
    <w:p w14:paraId="2F85508B" w14:textId="77777777" w:rsidR="008E3C8D" w:rsidRPr="00A34F8A" w:rsidRDefault="008E3C8D" w:rsidP="00C359C6">
      <w:pPr>
        <w:rPr>
          <w:rFonts w:asciiTheme="minorHAnsi" w:hAnsiTheme="minorHAnsi" w:cstheme="minorHAnsi"/>
          <w:color w:val="363838"/>
          <w:szCs w:val="22"/>
        </w:rPr>
      </w:pPr>
    </w:p>
    <w:p w14:paraId="77A5921E" w14:textId="11346800" w:rsidR="00691AC7" w:rsidRPr="00A34F8A" w:rsidRDefault="00691AC7" w:rsidP="00691AC7">
      <w:pPr>
        <w:pStyle w:val="Heading3"/>
        <w:rPr>
          <w:rFonts w:asciiTheme="minorHAnsi" w:hAnsiTheme="minorHAnsi" w:cstheme="minorHAnsi"/>
          <w:sz w:val="22"/>
          <w:szCs w:val="22"/>
        </w:rPr>
      </w:pPr>
      <w:bookmarkStart w:id="143" w:name="_Toc183163276"/>
      <w:r w:rsidRPr="00A34F8A">
        <w:rPr>
          <w:rFonts w:asciiTheme="minorHAnsi" w:hAnsiTheme="minorHAnsi" w:cstheme="minorHAnsi"/>
          <w:sz w:val="22"/>
          <w:szCs w:val="22"/>
        </w:rPr>
        <w:t>Product classes</w:t>
      </w:r>
      <w:bookmarkEnd w:id="143"/>
    </w:p>
    <w:p w14:paraId="43B5C6CB" w14:textId="490D3F51" w:rsidR="00B63B68" w:rsidRPr="00A34F8A" w:rsidRDefault="00B63B68" w:rsidP="00B63B68">
      <w:pPr>
        <w:pStyle w:val="Bullet-Level1"/>
        <w:numPr>
          <w:ilvl w:val="0"/>
          <w:numId w:val="0"/>
        </w:numPr>
        <w:ind w:left="567"/>
        <w:rPr>
          <w:rFonts w:asciiTheme="minorHAnsi" w:hAnsiTheme="minorHAnsi" w:cstheme="minorHAnsi"/>
          <w:sz w:val="22"/>
          <w:szCs w:val="22"/>
        </w:rPr>
      </w:pPr>
      <w:r w:rsidRPr="00A34F8A">
        <w:rPr>
          <w:rFonts w:asciiTheme="minorHAnsi" w:hAnsiTheme="minorHAnsi" w:cstheme="minorHAnsi"/>
          <w:sz w:val="22"/>
          <w:szCs w:val="22"/>
        </w:rPr>
        <w:t>The proposed product classes are mapped directly to the efficiency requirements. It is important to note that attempting to classify products by combinations of output voltage, number of outputs, voltage output range and such can have a “multiplier effect” on the number of product classes. The proposed set below i</w:t>
      </w:r>
      <w:r w:rsidR="00AA00A9">
        <w:rPr>
          <w:rFonts w:asciiTheme="minorHAnsi" w:hAnsiTheme="minorHAnsi" w:cstheme="minorHAnsi"/>
          <w:sz w:val="22"/>
          <w:szCs w:val="22"/>
        </w:rPr>
        <w:t>s</w:t>
      </w:r>
      <w:r w:rsidRPr="00A34F8A">
        <w:rPr>
          <w:rFonts w:asciiTheme="minorHAnsi" w:hAnsiTheme="minorHAnsi" w:cstheme="minorHAnsi"/>
          <w:sz w:val="22"/>
          <w:szCs w:val="22"/>
        </w:rPr>
        <w:t xml:space="preserve"> the minimal set based on efficiency requirements.</w:t>
      </w:r>
    </w:p>
    <w:tbl>
      <w:tblPr>
        <w:tblW w:w="0"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5"/>
        <w:gridCol w:w="4005"/>
      </w:tblGrid>
      <w:tr w:rsidR="00E454B1" w:rsidRPr="00E454B1" w14:paraId="300E36E5" w14:textId="77777777" w:rsidTr="00F027A1">
        <w:trPr>
          <w:trHeight w:val="300"/>
        </w:trPr>
        <w:tc>
          <w:tcPr>
            <w:tcW w:w="3855" w:type="dxa"/>
            <w:tcBorders>
              <w:top w:val="single" w:sz="6" w:space="0" w:color="auto"/>
              <w:left w:val="single" w:sz="6" w:space="0" w:color="auto"/>
              <w:bottom w:val="single" w:sz="6" w:space="0" w:color="auto"/>
              <w:right w:val="single" w:sz="6" w:space="0" w:color="auto"/>
            </w:tcBorders>
            <w:shd w:val="clear" w:color="auto" w:fill="auto"/>
            <w:hideMark/>
          </w:tcPr>
          <w:p w14:paraId="647F7D2F"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t>Current regulations </w:t>
            </w:r>
          </w:p>
        </w:tc>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09F250B0"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t>Proposed </w:t>
            </w:r>
          </w:p>
        </w:tc>
      </w:tr>
      <w:tr w:rsidR="00E454B1" w:rsidRPr="00E454B1" w14:paraId="24563B0B" w14:textId="77777777" w:rsidTr="00F027A1">
        <w:trPr>
          <w:trHeight w:val="300"/>
        </w:trPr>
        <w:tc>
          <w:tcPr>
            <w:tcW w:w="3855" w:type="dxa"/>
            <w:tcBorders>
              <w:top w:val="single" w:sz="6" w:space="0" w:color="auto"/>
              <w:left w:val="single" w:sz="6" w:space="0" w:color="auto"/>
              <w:bottom w:val="single" w:sz="6" w:space="0" w:color="auto"/>
              <w:right w:val="single" w:sz="6" w:space="0" w:color="auto"/>
            </w:tcBorders>
            <w:shd w:val="clear" w:color="auto" w:fill="auto"/>
            <w:hideMark/>
          </w:tcPr>
          <w:p w14:paraId="2C5CC98E" w14:textId="1D2C2EF9"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t>single output EPS with non</w:t>
            </w:r>
            <w:r w:rsidR="0000754F" w:rsidRPr="00234FE2">
              <w:rPr>
                <w:rFonts w:asciiTheme="minorHAnsi" w:eastAsia="Times New Roman" w:hAnsiTheme="minorHAnsi" w:cstheme="minorHAnsi"/>
                <w:szCs w:val="22"/>
                <w:lang w:eastAsia="en-AU"/>
              </w:rPr>
              <w:t>-</w:t>
            </w:r>
            <w:r w:rsidRPr="00234FE2">
              <w:rPr>
                <w:rFonts w:asciiTheme="minorHAnsi" w:eastAsia="Times New Roman" w:hAnsiTheme="minorHAnsi" w:cstheme="minorHAnsi"/>
                <w:szCs w:val="22"/>
                <w:lang w:eastAsia="en-AU"/>
              </w:rPr>
              <w:t>user selectable output voltage and with an alternating current input and a direct current output (a.c.–d.c.) </w:t>
            </w:r>
          </w:p>
          <w:p w14:paraId="5F79FFD4" w14:textId="77777777" w:rsidR="00C42DAB" w:rsidRPr="00234FE2" w:rsidRDefault="00C42DAB" w:rsidP="00F027A1">
            <w:pPr>
              <w:spacing w:after="0" w:line="240" w:lineRule="auto"/>
              <w:textAlignment w:val="baseline"/>
              <w:rPr>
                <w:rFonts w:asciiTheme="minorHAnsi" w:eastAsia="Times New Roman" w:hAnsiTheme="minorHAnsi" w:cstheme="minorHAnsi"/>
                <w:szCs w:val="22"/>
                <w:lang w:eastAsia="en-AU"/>
              </w:rPr>
            </w:pPr>
          </w:p>
          <w:p w14:paraId="7EAD28AB"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t>single output EPS with user selectable output voltage and with an alternating current input and a direct current output (a.c.–d.c.) </w:t>
            </w:r>
          </w:p>
          <w:p w14:paraId="6510E724" w14:textId="77777777" w:rsidR="00C42DAB" w:rsidRPr="00234FE2" w:rsidRDefault="00C42DAB" w:rsidP="00F027A1">
            <w:pPr>
              <w:spacing w:after="0" w:line="240" w:lineRule="auto"/>
              <w:textAlignment w:val="baseline"/>
              <w:rPr>
                <w:rFonts w:asciiTheme="minorHAnsi" w:eastAsia="Times New Roman" w:hAnsiTheme="minorHAnsi" w:cstheme="minorHAnsi"/>
                <w:szCs w:val="22"/>
                <w:lang w:eastAsia="en-AU"/>
              </w:rPr>
            </w:pPr>
          </w:p>
          <w:p w14:paraId="53FE3164" w14:textId="07DC76A8"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lastRenderedPageBreak/>
              <w:t xml:space="preserve">single output EPS with </w:t>
            </w:r>
            <w:r w:rsidR="006674E4" w:rsidRPr="00234FE2">
              <w:rPr>
                <w:rFonts w:asciiTheme="minorHAnsi" w:eastAsia="Times New Roman" w:hAnsiTheme="minorHAnsi" w:cstheme="minorHAnsi"/>
                <w:szCs w:val="22"/>
                <w:lang w:eastAsia="en-AU"/>
              </w:rPr>
              <w:t>non-user</w:t>
            </w:r>
            <w:r w:rsidRPr="00234FE2">
              <w:rPr>
                <w:rFonts w:asciiTheme="minorHAnsi" w:eastAsia="Times New Roman" w:hAnsiTheme="minorHAnsi" w:cstheme="minorHAnsi"/>
                <w:szCs w:val="22"/>
                <w:lang w:eastAsia="en-AU"/>
              </w:rPr>
              <w:t xml:space="preserve"> selectable output voltage and with an alternating current input and an alternating current output (a.c.–a.c.) </w:t>
            </w:r>
          </w:p>
          <w:p w14:paraId="54AF6437" w14:textId="77777777" w:rsidR="00C42DAB" w:rsidRPr="00234FE2" w:rsidRDefault="00C42DAB" w:rsidP="00F027A1">
            <w:pPr>
              <w:spacing w:after="0" w:line="240" w:lineRule="auto"/>
              <w:textAlignment w:val="baseline"/>
              <w:rPr>
                <w:rFonts w:asciiTheme="minorHAnsi" w:eastAsia="Times New Roman" w:hAnsiTheme="minorHAnsi" w:cstheme="minorHAnsi"/>
                <w:szCs w:val="22"/>
                <w:lang w:eastAsia="en-AU"/>
              </w:rPr>
            </w:pPr>
          </w:p>
          <w:p w14:paraId="59B99A2D"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t>single output EPS with user selectable output voltage and with an alternating current input and an alternating current output (a.c.–a.c.) </w:t>
            </w:r>
          </w:p>
        </w:tc>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405C89D0"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lastRenderedPageBreak/>
              <w:t>AC-AC external power supplies, except low voltage and multiple voltage output external power supplies </w:t>
            </w:r>
          </w:p>
          <w:p w14:paraId="28C6749A" w14:textId="77777777" w:rsidR="00C42DAB" w:rsidRPr="00234FE2" w:rsidRDefault="00C42DAB" w:rsidP="00F027A1">
            <w:pPr>
              <w:spacing w:after="0" w:line="240" w:lineRule="auto"/>
              <w:textAlignment w:val="baseline"/>
              <w:rPr>
                <w:rFonts w:asciiTheme="minorHAnsi" w:eastAsia="Times New Roman" w:hAnsiTheme="minorHAnsi" w:cstheme="minorHAnsi"/>
                <w:szCs w:val="22"/>
                <w:lang w:eastAsia="en-AU"/>
              </w:rPr>
            </w:pPr>
          </w:p>
          <w:p w14:paraId="391FC5C2"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t>AC-DC external power supplies, except low voltage and multiple voltage output external power supplies </w:t>
            </w:r>
          </w:p>
          <w:p w14:paraId="5DE13474" w14:textId="77777777" w:rsidR="00C42DAB" w:rsidRPr="00234FE2" w:rsidRDefault="00C42DAB" w:rsidP="00F027A1">
            <w:pPr>
              <w:spacing w:after="0" w:line="240" w:lineRule="auto"/>
              <w:textAlignment w:val="baseline"/>
              <w:rPr>
                <w:rFonts w:asciiTheme="minorHAnsi" w:eastAsia="Times New Roman" w:hAnsiTheme="minorHAnsi" w:cstheme="minorHAnsi"/>
                <w:szCs w:val="22"/>
                <w:lang w:eastAsia="en-AU"/>
              </w:rPr>
            </w:pPr>
          </w:p>
          <w:p w14:paraId="12F26B1C"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t>Low voltage external power supplies </w:t>
            </w:r>
          </w:p>
          <w:p w14:paraId="368A78D7" w14:textId="77777777" w:rsidR="00C42DAB" w:rsidRPr="00234FE2" w:rsidRDefault="00C42DAB" w:rsidP="00F027A1">
            <w:pPr>
              <w:spacing w:after="0" w:line="240" w:lineRule="auto"/>
              <w:textAlignment w:val="baseline"/>
              <w:rPr>
                <w:rFonts w:asciiTheme="minorHAnsi" w:eastAsia="Times New Roman" w:hAnsiTheme="minorHAnsi" w:cstheme="minorHAnsi"/>
                <w:szCs w:val="22"/>
                <w:lang w:eastAsia="en-AU"/>
              </w:rPr>
            </w:pPr>
          </w:p>
          <w:p w14:paraId="7903DD85" w14:textId="77777777" w:rsidR="00F027A1" w:rsidRPr="00234FE2" w:rsidRDefault="00F027A1" w:rsidP="00F027A1">
            <w:pPr>
              <w:spacing w:after="0" w:line="240" w:lineRule="auto"/>
              <w:textAlignment w:val="baseline"/>
              <w:rPr>
                <w:rFonts w:asciiTheme="minorHAnsi" w:eastAsia="Times New Roman" w:hAnsiTheme="minorHAnsi" w:cstheme="minorHAnsi"/>
                <w:szCs w:val="22"/>
                <w:lang w:eastAsia="en-AU"/>
              </w:rPr>
            </w:pPr>
            <w:r w:rsidRPr="00234FE2">
              <w:rPr>
                <w:rFonts w:asciiTheme="minorHAnsi" w:eastAsia="Times New Roman" w:hAnsiTheme="minorHAnsi" w:cstheme="minorHAnsi"/>
                <w:szCs w:val="22"/>
                <w:lang w:eastAsia="en-AU"/>
              </w:rPr>
              <w:lastRenderedPageBreak/>
              <w:t>Multiple voltage output external power supplies </w:t>
            </w:r>
          </w:p>
        </w:tc>
      </w:tr>
    </w:tbl>
    <w:p w14:paraId="13E505D5" w14:textId="77777777" w:rsidR="00F027A1" w:rsidRPr="00A34F8A" w:rsidRDefault="00F027A1" w:rsidP="00B63B68">
      <w:pPr>
        <w:pStyle w:val="Bullet-Level1"/>
        <w:numPr>
          <w:ilvl w:val="0"/>
          <w:numId w:val="0"/>
        </w:numPr>
        <w:ind w:left="567"/>
        <w:rPr>
          <w:rFonts w:asciiTheme="minorHAnsi" w:hAnsiTheme="minorHAnsi" w:cstheme="minorHAnsi"/>
          <w:sz w:val="22"/>
          <w:szCs w:val="22"/>
        </w:rPr>
      </w:pPr>
    </w:p>
    <w:p w14:paraId="24016D28" w14:textId="38D85BEE" w:rsidR="00B63B68" w:rsidRPr="00A34F8A" w:rsidRDefault="00B63B68" w:rsidP="00B63B68">
      <w:pPr>
        <w:pStyle w:val="Heading3"/>
        <w:rPr>
          <w:rFonts w:asciiTheme="minorHAnsi" w:hAnsiTheme="minorHAnsi" w:cstheme="minorHAnsi"/>
          <w:sz w:val="22"/>
          <w:szCs w:val="22"/>
        </w:rPr>
      </w:pPr>
      <w:bookmarkStart w:id="144" w:name="_Toc183163277"/>
      <w:r w:rsidRPr="00A34F8A">
        <w:rPr>
          <w:rFonts w:asciiTheme="minorHAnsi" w:hAnsiTheme="minorHAnsi" w:cstheme="minorHAnsi"/>
          <w:sz w:val="22"/>
          <w:szCs w:val="22"/>
        </w:rPr>
        <w:t>MEPS</w:t>
      </w:r>
      <w:bookmarkEnd w:id="144"/>
    </w:p>
    <w:tbl>
      <w:tblPr>
        <w:tblStyle w:val="TableGrid"/>
        <w:tblW w:w="0" w:type="auto"/>
        <w:tblInd w:w="567" w:type="dxa"/>
        <w:tblLook w:val="04A0" w:firstRow="1" w:lastRow="0" w:firstColumn="1" w:lastColumn="0" w:noHBand="0" w:noVBand="1"/>
      </w:tblPr>
      <w:tblGrid>
        <w:gridCol w:w="3935"/>
        <w:gridCol w:w="3947"/>
      </w:tblGrid>
      <w:tr w:rsidR="007E5B2B" w:rsidRPr="00A34F8A" w14:paraId="167F8E68" w14:textId="77777777" w:rsidTr="005D3977">
        <w:tc>
          <w:tcPr>
            <w:tcW w:w="4224" w:type="dxa"/>
          </w:tcPr>
          <w:p w14:paraId="445523B8" w14:textId="77777777" w:rsidR="007E5B2B" w:rsidRPr="00A34F8A" w:rsidRDefault="007E5B2B"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Current regulations</w:t>
            </w:r>
          </w:p>
        </w:tc>
        <w:tc>
          <w:tcPr>
            <w:tcW w:w="4225" w:type="dxa"/>
          </w:tcPr>
          <w:p w14:paraId="11481CA5" w14:textId="77777777" w:rsidR="007E5B2B" w:rsidRPr="00A34F8A" w:rsidRDefault="007E5B2B"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Proposed</w:t>
            </w:r>
          </w:p>
        </w:tc>
      </w:tr>
      <w:tr w:rsidR="007E5B2B" w:rsidRPr="00A34F8A" w14:paraId="71BEF0E2" w14:textId="77777777" w:rsidTr="005D3977">
        <w:tc>
          <w:tcPr>
            <w:tcW w:w="4224" w:type="dxa"/>
          </w:tcPr>
          <w:p w14:paraId="3686E28E" w14:textId="77777777" w:rsidR="007E5B2B" w:rsidRPr="00A34F8A" w:rsidRDefault="007E5B2B"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Efficiency Mark III</w:t>
            </w:r>
          </w:p>
        </w:tc>
        <w:tc>
          <w:tcPr>
            <w:tcW w:w="4225" w:type="dxa"/>
          </w:tcPr>
          <w:p w14:paraId="6FAE32F5" w14:textId="77777777" w:rsidR="007E5B2B" w:rsidRPr="00A34F8A" w:rsidRDefault="007E5B2B"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b/>
                <w:sz w:val="22"/>
                <w:szCs w:val="22"/>
              </w:rPr>
              <w:t>Scenario 3 and 4</w:t>
            </w:r>
            <w:r w:rsidRPr="00A34F8A">
              <w:rPr>
                <w:rFonts w:asciiTheme="minorHAnsi" w:hAnsiTheme="minorHAnsi" w:cstheme="minorHAnsi"/>
                <w:sz w:val="22"/>
                <w:szCs w:val="22"/>
              </w:rPr>
              <w:t xml:space="preserve">: Efficiency Mark VI  </w:t>
            </w:r>
          </w:p>
          <w:p w14:paraId="08E5C4E3" w14:textId="77777777" w:rsidR="007E5B2B" w:rsidRPr="00A34F8A" w:rsidRDefault="007E5B2B"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b/>
                <w:sz w:val="22"/>
                <w:szCs w:val="22"/>
              </w:rPr>
              <w:t>Scenario 5</w:t>
            </w:r>
            <w:r w:rsidRPr="00A34F8A">
              <w:rPr>
                <w:rFonts w:asciiTheme="minorHAnsi" w:hAnsiTheme="minorHAnsi" w:cstheme="minorHAnsi"/>
                <w:sz w:val="22"/>
                <w:szCs w:val="22"/>
              </w:rPr>
              <w:t xml:space="preserve">: Efficiency Mark VI, then 2 years after US/EU introduction Efficiency Mark VII. </w:t>
            </w:r>
          </w:p>
        </w:tc>
      </w:tr>
    </w:tbl>
    <w:p w14:paraId="560084CB" w14:textId="77777777" w:rsidR="00C359C6" w:rsidRPr="00A34F8A" w:rsidRDefault="00C359C6" w:rsidP="00C359C6">
      <w:pPr>
        <w:rPr>
          <w:rFonts w:asciiTheme="minorHAnsi" w:hAnsiTheme="minorHAnsi" w:cstheme="minorHAnsi"/>
          <w:color w:val="363838"/>
          <w:szCs w:val="22"/>
        </w:rPr>
      </w:pPr>
    </w:p>
    <w:p w14:paraId="49AED79D" w14:textId="0A6F9011" w:rsidR="007E5B2B" w:rsidRPr="00A34F8A" w:rsidRDefault="007E5B2B" w:rsidP="007E5B2B">
      <w:pPr>
        <w:pStyle w:val="Heading3"/>
        <w:rPr>
          <w:rFonts w:asciiTheme="minorHAnsi" w:hAnsiTheme="minorHAnsi" w:cstheme="minorHAnsi"/>
          <w:sz w:val="22"/>
          <w:szCs w:val="22"/>
        </w:rPr>
      </w:pPr>
      <w:bookmarkStart w:id="145" w:name="_Toc183163278"/>
      <w:r w:rsidRPr="00A34F8A">
        <w:rPr>
          <w:rFonts w:asciiTheme="minorHAnsi" w:hAnsiTheme="minorHAnsi" w:cstheme="minorHAnsi"/>
          <w:sz w:val="22"/>
          <w:szCs w:val="22"/>
        </w:rPr>
        <w:t>Testing</w:t>
      </w:r>
      <w:bookmarkEnd w:id="145"/>
    </w:p>
    <w:p w14:paraId="6ECD993C" w14:textId="77777777" w:rsidR="006369DF" w:rsidRPr="00A34F8A" w:rsidRDefault="006369DF" w:rsidP="006369DF">
      <w:pPr>
        <w:pStyle w:val="Bullet-Level1"/>
        <w:numPr>
          <w:ilvl w:val="0"/>
          <w:numId w:val="0"/>
        </w:numPr>
        <w:ind w:left="567"/>
        <w:rPr>
          <w:rFonts w:asciiTheme="minorHAnsi" w:hAnsiTheme="minorHAnsi" w:cstheme="minorHAnsi"/>
          <w:sz w:val="22"/>
          <w:szCs w:val="22"/>
        </w:rPr>
      </w:pPr>
      <w:r w:rsidRPr="00A34F8A">
        <w:rPr>
          <w:rFonts w:asciiTheme="minorHAnsi" w:hAnsiTheme="minorHAnsi" w:cstheme="minorHAnsi"/>
          <w:sz w:val="22"/>
          <w:szCs w:val="22"/>
        </w:rPr>
        <w:t xml:space="preserve">The proposed testing requirements include the ability to test to international test standards. </w:t>
      </w:r>
    </w:p>
    <w:tbl>
      <w:tblPr>
        <w:tblStyle w:val="TableGrid"/>
        <w:tblW w:w="0" w:type="auto"/>
        <w:tblInd w:w="567" w:type="dxa"/>
        <w:tblLook w:val="04A0" w:firstRow="1" w:lastRow="0" w:firstColumn="1" w:lastColumn="0" w:noHBand="0" w:noVBand="1"/>
      </w:tblPr>
      <w:tblGrid>
        <w:gridCol w:w="3895"/>
        <w:gridCol w:w="3987"/>
      </w:tblGrid>
      <w:tr w:rsidR="006369DF" w:rsidRPr="00A34F8A" w14:paraId="634296AB" w14:textId="77777777" w:rsidTr="005D3977">
        <w:trPr>
          <w:tblHeader/>
        </w:trPr>
        <w:tc>
          <w:tcPr>
            <w:tcW w:w="4224" w:type="dxa"/>
          </w:tcPr>
          <w:p w14:paraId="607C7853" w14:textId="77777777" w:rsidR="006369DF" w:rsidRPr="00A34F8A" w:rsidRDefault="006369DF"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Current regulations</w:t>
            </w:r>
          </w:p>
        </w:tc>
        <w:tc>
          <w:tcPr>
            <w:tcW w:w="4225" w:type="dxa"/>
          </w:tcPr>
          <w:p w14:paraId="2220E6CA" w14:textId="77777777" w:rsidR="006369DF" w:rsidRPr="00A34F8A" w:rsidRDefault="006369DF"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Proposed</w:t>
            </w:r>
          </w:p>
        </w:tc>
      </w:tr>
      <w:tr w:rsidR="006369DF" w:rsidRPr="00A34F8A" w14:paraId="4ECD8416" w14:textId="77777777" w:rsidTr="005D3977">
        <w:tc>
          <w:tcPr>
            <w:tcW w:w="4224" w:type="dxa"/>
          </w:tcPr>
          <w:p w14:paraId="0C9AFC4F" w14:textId="77777777" w:rsidR="006369DF" w:rsidRPr="00A34F8A" w:rsidRDefault="006369DF"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AS/NZS 4665.1:2005 + A1</w:t>
            </w:r>
          </w:p>
        </w:tc>
        <w:tc>
          <w:tcPr>
            <w:tcW w:w="4225" w:type="dxa"/>
          </w:tcPr>
          <w:p w14:paraId="30CE228A" w14:textId="77777777" w:rsidR="006369DF" w:rsidRPr="00A34F8A" w:rsidRDefault="006369DF"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 xml:space="preserve">AS/NZS 4665.1:2005 + A1 </w:t>
            </w:r>
            <w:r w:rsidRPr="00A34F8A">
              <w:rPr>
                <w:rFonts w:asciiTheme="minorHAnsi" w:hAnsiTheme="minorHAnsi" w:cstheme="minorHAnsi"/>
                <w:i/>
                <w:iCs/>
                <w:sz w:val="22"/>
                <w:szCs w:val="22"/>
              </w:rPr>
              <w:t>Performance of External Power Supplies – Part 1: Test method and energy performance mark</w:t>
            </w:r>
          </w:p>
          <w:p w14:paraId="6F0FD8AE" w14:textId="77777777" w:rsidR="006369DF" w:rsidRPr="00A34F8A" w:rsidRDefault="006369DF"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 xml:space="preserve">EN 50563:2011+A1:2013 </w:t>
            </w:r>
            <w:r w:rsidRPr="00A34F8A">
              <w:rPr>
                <w:rFonts w:asciiTheme="minorHAnsi" w:hAnsiTheme="minorHAnsi" w:cstheme="minorHAnsi"/>
                <w:i/>
                <w:iCs/>
                <w:sz w:val="22"/>
                <w:szCs w:val="22"/>
              </w:rPr>
              <w:t>External a.c. - d.c. and a.c. - a.c. power supplies – Determination of no-load power and average efficiency of active modes</w:t>
            </w:r>
          </w:p>
          <w:p w14:paraId="4DF86F2A" w14:textId="77777777" w:rsidR="006369DF" w:rsidRPr="00A34F8A" w:rsidRDefault="006369DF"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 xml:space="preserve">United States Code of Federal Regulations, Title 10, Part 430, Subpart B, Appendix Z </w:t>
            </w:r>
            <w:r w:rsidRPr="00A34F8A">
              <w:rPr>
                <w:rFonts w:asciiTheme="minorHAnsi" w:hAnsiTheme="minorHAnsi" w:cstheme="minorHAnsi"/>
                <w:i/>
                <w:iCs/>
                <w:sz w:val="22"/>
                <w:szCs w:val="22"/>
              </w:rPr>
              <w:t>Uniform Test Method for Measuring the Energy Consumption of External Power Supplies</w:t>
            </w:r>
          </w:p>
        </w:tc>
      </w:tr>
    </w:tbl>
    <w:p w14:paraId="2E8AC3F2" w14:textId="77777777" w:rsidR="00C359C6" w:rsidRPr="00A34F8A" w:rsidRDefault="00C359C6" w:rsidP="00C359C6">
      <w:pPr>
        <w:rPr>
          <w:rFonts w:asciiTheme="minorHAnsi" w:hAnsiTheme="minorHAnsi" w:cstheme="minorHAnsi"/>
          <w:szCs w:val="22"/>
        </w:rPr>
      </w:pPr>
    </w:p>
    <w:p w14:paraId="64D4BD93" w14:textId="21B2F962" w:rsidR="00936D46" w:rsidRPr="00A34F8A" w:rsidRDefault="00936D46">
      <w:pPr>
        <w:spacing w:after="0" w:line="240" w:lineRule="auto"/>
        <w:rPr>
          <w:rFonts w:asciiTheme="minorHAnsi" w:hAnsiTheme="minorHAnsi" w:cstheme="minorHAnsi"/>
          <w:szCs w:val="22"/>
        </w:rPr>
      </w:pPr>
      <w:r w:rsidRPr="00A34F8A">
        <w:rPr>
          <w:rFonts w:asciiTheme="minorHAnsi" w:hAnsiTheme="minorHAnsi" w:cstheme="minorHAnsi"/>
          <w:szCs w:val="22"/>
        </w:rPr>
        <w:br w:type="page"/>
      </w:r>
    </w:p>
    <w:p w14:paraId="111159EC" w14:textId="77777777" w:rsidR="00936D46" w:rsidRPr="00A34F8A" w:rsidRDefault="00936D46" w:rsidP="00936D46">
      <w:pPr>
        <w:pStyle w:val="Heading3"/>
        <w:rPr>
          <w:rFonts w:asciiTheme="minorHAnsi" w:hAnsiTheme="minorHAnsi" w:cstheme="minorHAnsi"/>
          <w:sz w:val="22"/>
          <w:szCs w:val="22"/>
        </w:rPr>
      </w:pPr>
      <w:bookmarkStart w:id="146" w:name="_Toc183163279"/>
      <w:r w:rsidRPr="00A34F8A">
        <w:rPr>
          <w:rFonts w:asciiTheme="minorHAnsi" w:hAnsiTheme="minorHAnsi" w:cstheme="minorHAnsi"/>
          <w:sz w:val="22"/>
          <w:szCs w:val="22"/>
        </w:rPr>
        <w:lastRenderedPageBreak/>
        <w:t>Name plate requirements</w:t>
      </w:r>
      <w:bookmarkEnd w:id="146"/>
    </w:p>
    <w:p w14:paraId="61B37F76" w14:textId="77777777" w:rsidR="00936D46" w:rsidRPr="00A34F8A" w:rsidRDefault="00936D46" w:rsidP="00936D46">
      <w:pPr>
        <w:pStyle w:val="Bullet-Level1"/>
        <w:numPr>
          <w:ilvl w:val="0"/>
          <w:numId w:val="0"/>
        </w:numPr>
        <w:ind w:left="567"/>
        <w:rPr>
          <w:rFonts w:asciiTheme="minorHAnsi" w:hAnsiTheme="minorHAnsi" w:cstheme="minorHAnsi"/>
          <w:sz w:val="22"/>
          <w:szCs w:val="22"/>
        </w:rPr>
      </w:pPr>
      <w:r w:rsidRPr="00A34F8A">
        <w:rPr>
          <w:rFonts w:asciiTheme="minorHAnsi" w:hAnsiTheme="minorHAnsi" w:cstheme="minorHAnsi"/>
          <w:sz w:val="22"/>
          <w:szCs w:val="22"/>
        </w:rPr>
        <w:t>AS/NZS 4665.2 Section 5 requires all external power supplies to show the energy performance mark. The proposed name plate requirements incorporate extra requirements to mark output power, output voltage and output current. These come from Regulation (EU) 2019/1782 Annex II Clause 2. The requirement to show the energy performance mark is carried over.</w:t>
      </w:r>
    </w:p>
    <w:tbl>
      <w:tblPr>
        <w:tblStyle w:val="TableGrid"/>
        <w:tblW w:w="0" w:type="auto"/>
        <w:tblInd w:w="567" w:type="dxa"/>
        <w:tblLook w:val="04A0" w:firstRow="1" w:lastRow="0" w:firstColumn="1" w:lastColumn="0" w:noHBand="0" w:noVBand="1"/>
      </w:tblPr>
      <w:tblGrid>
        <w:gridCol w:w="3953"/>
        <w:gridCol w:w="3929"/>
      </w:tblGrid>
      <w:tr w:rsidR="00936D46" w:rsidRPr="00A34F8A" w14:paraId="047FFEFE" w14:textId="77777777" w:rsidTr="005D3977">
        <w:tc>
          <w:tcPr>
            <w:tcW w:w="3953" w:type="dxa"/>
          </w:tcPr>
          <w:p w14:paraId="3E2DABB5" w14:textId="77777777" w:rsidR="00936D46" w:rsidRPr="00A34F8A" w:rsidRDefault="00936D46"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Current regulations</w:t>
            </w:r>
          </w:p>
        </w:tc>
        <w:tc>
          <w:tcPr>
            <w:tcW w:w="3929" w:type="dxa"/>
          </w:tcPr>
          <w:p w14:paraId="7921106C" w14:textId="77777777" w:rsidR="00936D46" w:rsidRPr="00A34F8A" w:rsidRDefault="00936D46"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Proposed</w:t>
            </w:r>
          </w:p>
        </w:tc>
      </w:tr>
      <w:tr w:rsidR="00936D46" w:rsidRPr="00A34F8A" w14:paraId="18FA6436" w14:textId="77777777" w:rsidTr="005D3977">
        <w:tc>
          <w:tcPr>
            <w:tcW w:w="3953" w:type="dxa"/>
          </w:tcPr>
          <w:p w14:paraId="3D65FE36" w14:textId="77777777" w:rsidR="00936D46" w:rsidRPr="00A34F8A" w:rsidRDefault="00936D46"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The product must be marked with the energy performance mark that it meets.</w:t>
            </w:r>
          </w:p>
        </w:tc>
        <w:tc>
          <w:tcPr>
            <w:tcW w:w="3929" w:type="dxa"/>
          </w:tcPr>
          <w:p w14:paraId="0CD63057" w14:textId="77777777" w:rsidR="00936D46" w:rsidRPr="00A34F8A" w:rsidRDefault="00936D46" w:rsidP="005D3977">
            <w:pPr>
              <w:pStyle w:val="Bullet-Level1"/>
              <w:numPr>
                <w:ilvl w:val="0"/>
                <w:numId w:val="0"/>
              </w:numPr>
              <w:rPr>
                <w:rFonts w:asciiTheme="minorHAnsi" w:hAnsiTheme="minorHAnsi" w:cstheme="minorHAnsi"/>
                <w:sz w:val="22"/>
                <w:szCs w:val="22"/>
              </w:rPr>
            </w:pPr>
            <w:r w:rsidRPr="00A34F8A">
              <w:rPr>
                <w:rFonts w:asciiTheme="minorHAnsi" w:hAnsiTheme="minorHAnsi" w:cstheme="minorHAnsi"/>
                <w:sz w:val="22"/>
                <w:szCs w:val="22"/>
              </w:rPr>
              <w:t xml:space="preserve">The product must be marked with </w:t>
            </w:r>
          </w:p>
          <w:p w14:paraId="10094177" w14:textId="77777777" w:rsidR="00936D46" w:rsidRPr="00A34F8A" w:rsidRDefault="00936D46" w:rsidP="005D3977">
            <w:pPr>
              <w:pStyle w:val="Bullet-Level1"/>
              <w:numPr>
                <w:ilvl w:val="0"/>
                <w:numId w:val="11"/>
              </w:numPr>
              <w:rPr>
                <w:rFonts w:asciiTheme="minorHAnsi" w:hAnsiTheme="minorHAnsi" w:cstheme="minorHAnsi"/>
                <w:sz w:val="22"/>
                <w:szCs w:val="22"/>
              </w:rPr>
            </w:pPr>
            <w:r w:rsidRPr="00A34F8A">
              <w:rPr>
                <w:rFonts w:asciiTheme="minorHAnsi" w:hAnsiTheme="minorHAnsi" w:cstheme="minorHAnsi"/>
                <w:sz w:val="22"/>
                <w:szCs w:val="22"/>
              </w:rPr>
              <w:t>Output power</w:t>
            </w:r>
          </w:p>
          <w:p w14:paraId="4E212D20" w14:textId="77777777" w:rsidR="00936D46" w:rsidRPr="00A34F8A" w:rsidRDefault="00936D46" w:rsidP="005D3977">
            <w:pPr>
              <w:pStyle w:val="Bullet-Level1"/>
              <w:numPr>
                <w:ilvl w:val="0"/>
                <w:numId w:val="11"/>
              </w:numPr>
              <w:rPr>
                <w:rFonts w:asciiTheme="minorHAnsi" w:hAnsiTheme="minorHAnsi" w:cstheme="minorHAnsi"/>
                <w:sz w:val="22"/>
                <w:szCs w:val="22"/>
              </w:rPr>
            </w:pPr>
            <w:r w:rsidRPr="00A34F8A">
              <w:rPr>
                <w:rFonts w:asciiTheme="minorHAnsi" w:hAnsiTheme="minorHAnsi" w:cstheme="minorHAnsi"/>
                <w:sz w:val="22"/>
                <w:szCs w:val="22"/>
              </w:rPr>
              <w:t xml:space="preserve">Output voltage </w:t>
            </w:r>
          </w:p>
          <w:p w14:paraId="69CCF59F" w14:textId="77777777" w:rsidR="00936D46" w:rsidRPr="00A34F8A" w:rsidRDefault="00936D46" w:rsidP="005D3977">
            <w:pPr>
              <w:pStyle w:val="Bullet-Level1"/>
              <w:numPr>
                <w:ilvl w:val="0"/>
                <w:numId w:val="11"/>
              </w:numPr>
              <w:rPr>
                <w:rFonts w:asciiTheme="minorHAnsi" w:hAnsiTheme="minorHAnsi" w:cstheme="minorHAnsi"/>
                <w:sz w:val="22"/>
                <w:szCs w:val="22"/>
              </w:rPr>
            </w:pPr>
            <w:r w:rsidRPr="00A34F8A">
              <w:rPr>
                <w:rFonts w:asciiTheme="minorHAnsi" w:hAnsiTheme="minorHAnsi" w:cstheme="minorHAnsi"/>
                <w:sz w:val="22"/>
                <w:szCs w:val="22"/>
              </w:rPr>
              <w:t>Output current</w:t>
            </w:r>
          </w:p>
          <w:p w14:paraId="76F7BC29" w14:textId="77777777" w:rsidR="00936D46" w:rsidRPr="00A34F8A" w:rsidRDefault="00936D46" w:rsidP="005D3977">
            <w:pPr>
              <w:pStyle w:val="Bullet-Level1"/>
              <w:numPr>
                <w:ilvl w:val="0"/>
                <w:numId w:val="11"/>
              </w:numPr>
              <w:rPr>
                <w:rFonts w:asciiTheme="minorHAnsi" w:hAnsiTheme="minorHAnsi" w:cstheme="minorHAnsi"/>
                <w:sz w:val="22"/>
                <w:szCs w:val="22"/>
              </w:rPr>
            </w:pPr>
            <w:r w:rsidRPr="00A34F8A">
              <w:rPr>
                <w:rFonts w:asciiTheme="minorHAnsi" w:hAnsiTheme="minorHAnsi" w:cstheme="minorHAnsi"/>
                <w:sz w:val="22"/>
                <w:szCs w:val="22"/>
              </w:rPr>
              <w:t>The energy performance mark that it meets.</w:t>
            </w:r>
          </w:p>
        </w:tc>
      </w:tr>
    </w:tbl>
    <w:p w14:paraId="58E33412" w14:textId="77777777" w:rsidR="00936D46" w:rsidRPr="00A34F8A" w:rsidRDefault="00936D46" w:rsidP="00936D46">
      <w:pPr>
        <w:rPr>
          <w:rFonts w:asciiTheme="minorHAnsi" w:hAnsiTheme="minorHAnsi" w:cstheme="minorHAnsi"/>
          <w:szCs w:val="22"/>
        </w:rPr>
      </w:pPr>
    </w:p>
    <w:p w14:paraId="613B3996" w14:textId="0C91B58E" w:rsidR="00670515" w:rsidRPr="00A34F8A" w:rsidRDefault="00670515" w:rsidP="003507B5">
      <w:pPr>
        <w:spacing w:after="0" w:line="240" w:lineRule="auto"/>
        <w:rPr>
          <w:rFonts w:asciiTheme="minorHAnsi" w:hAnsiTheme="minorHAnsi" w:cstheme="minorHAnsi"/>
          <w:szCs w:val="22"/>
        </w:rPr>
      </w:pPr>
      <w:r>
        <w:rPr>
          <w:rFonts w:asciiTheme="minorHAnsi" w:hAnsiTheme="minorHAnsi" w:cstheme="minorHAnsi"/>
          <w:szCs w:val="22"/>
        </w:rPr>
        <w:br w:type="page"/>
      </w:r>
    </w:p>
    <w:p w14:paraId="1F51892F" w14:textId="77777777" w:rsidR="00936D46" w:rsidRPr="00CF2B2D" w:rsidRDefault="00936D46" w:rsidP="00936D46">
      <w:pPr>
        <w:pStyle w:val="ChapterTitle"/>
        <w:rPr>
          <w:rFonts w:asciiTheme="minorHAnsi" w:hAnsiTheme="minorHAnsi" w:cstheme="minorHAnsi"/>
          <w:sz w:val="32"/>
          <w:szCs w:val="32"/>
        </w:rPr>
      </w:pPr>
      <w:bookmarkStart w:id="147" w:name="_Toc168660733"/>
      <w:bookmarkStart w:id="148" w:name="_Toc183163280"/>
      <w:r w:rsidRPr="00CF2B2D">
        <w:rPr>
          <w:rFonts w:asciiTheme="minorHAnsi" w:hAnsiTheme="minorHAnsi" w:cstheme="minorHAnsi"/>
          <w:sz w:val="32"/>
          <w:szCs w:val="32"/>
        </w:rPr>
        <w:lastRenderedPageBreak/>
        <w:t>Section 6: Questions for consultation</w:t>
      </w:r>
      <w:bookmarkEnd w:id="147"/>
      <w:bookmarkEnd w:id="148"/>
    </w:p>
    <w:p w14:paraId="1608801B" w14:textId="77777777" w:rsidR="00936D46" w:rsidRPr="00A34F8A" w:rsidRDefault="00936D46" w:rsidP="00936D46">
      <w:pPr>
        <w:rPr>
          <w:rFonts w:asciiTheme="minorHAnsi" w:hAnsiTheme="minorHAnsi" w:cstheme="minorHAnsi"/>
          <w:szCs w:val="22"/>
        </w:rPr>
      </w:pPr>
      <w:r w:rsidRPr="00A34F8A">
        <w:rPr>
          <w:rFonts w:asciiTheme="minorHAnsi" w:hAnsiTheme="minorHAnsi" w:cstheme="minorHAnsi"/>
          <w:szCs w:val="22"/>
        </w:rPr>
        <w:t>This section provides questions that should be considered during consultation to ensure the robustness of this analysis and minimise any impacts on consumers and industry.</w:t>
      </w:r>
    </w:p>
    <w:p w14:paraId="5F274FD8" w14:textId="77777777" w:rsidR="00936D46" w:rsidRPr="00A34F8A" w:rsidRDefault="00936D46" w:rsidP="00936D46">
      <w:pPr>
        <w:rPr>
          <w:rFonts w:asciiTheme="minorHAnsi" w:hAnsiTheme="minorHAnsi" w:cstheme="minorHAnsi"/>
          <w:szCs w:val="22"/>
        </w:rPr>
      </w:pPr>
      <w:r w:rsidRPr="00A34F8A">
        <w:rPr>
          <w:rFonts w:asciiTheme="minorHAnsi" w:hAnsiTheme="minorHAnsi" w:cstheme="minorHAnsi"/>
          <w:szCs w:val="22"/>
        </w:rPr>
        <w:t>The purpose of this consultation is to solicit valuable feedback from stakeholders regarding the Regulatory Impact Statement (RIS) and its associated analysis. Your insights and inputs will play a pivotal role in developing a robust and effective regulatory regime.</w:t>
      </w:r>
    </w:p>
    <w:p w14:paraId="022EE89D" w14:textId="77777777" w:rsidR="00936D46" w:rsidRPr="00A34F8A" w:rsidRDefault="00936D46" w:rsidP="00936D46">
      <w:pPr>
        <w:rPr>
          <w:rFonts w:asciiTheme="minorHAnsi" w:hAnsiTheme="minorHAnsi" w:cstheme="minorHAnsi"/>
          <w:szCs w:val="22"/>
        </w:rPr>
      </w:pPr>
      <w:r w:rsidRPr="00A34F8A">
        <w:rPr>
          <w:rFonts w:asciiTheme="minorHAnsi" w:hAnsiTheme="minorHAnsi" w:cstheme="minorHAnsi"/>
          <w:szCs w:val="22"/>
        </w:rPr>
        <w:t>Your participation in this feedback process is encouraged as it provides an opportunity to review the Consultation RIS and any related matters, including changes in your position and the reasons behind those changes. By doing so, we aim to gain a comprehensive understanding of the potential impact of market and modelling assumptions, as well as the implications on industry, energy consumption, greenhouse gas emissions, regulation and compliance, and domestic trade considerations. We submit the following questions for consultation:</w:t>
      </w:r>
    </w:p>
    <w:p w14:paraId="5C9E8C06" w14:textId="77777777" w:rsidR="00936D46" w:rsidRPr="00A34F8A" w:rsidRDefault="00936D46" w:rsidP="00936D46">
      <w:pPr>
        <w:rPr>
          <w:rFonts w:asciiTheme="minorHAnsi" w:hAnsiTheme="minorHAnsi" w:cstheme="minorHAnsi"/>
          <w:b/>
          <w:bCs/>
          <w:szCs w:val="22"/>
        </w:rPr>
      </w:pPr>
      <w:r w:rsidRPr="00A34F8A">
        <w:rPr>
          <w:rFonts w:asciiTheme="minorHAnsi" w:hAnsiTheme="minorHAnsi" w:cstheme="minorHAnsi"/>
          <w:b/>
          <w:bCs/>
          <w:szCs w:val="22"/>
        </w:rPr>
        <w:t xml:space="preserve">Please ensure that you explain your response to each question, as the reason for each answer will help us understand. </w:t>
      </w:r>
    </w:p>
    <w:p w14:paraId="71AB4B1A" w14:textId="774C9E74" w:rsidR="009A54F8" w:rsidRPr="00CF2B2D" w:rsidRDefault="009A54F8" w:rsidP="009A54F8">
      <w:pPr>
        <w:pStyle w:val="Heading1"/>
      </w:pPr>
      <w:bookmarkStart w:id="149" w:name="_Toc168660734"/>
      <w:bookmarkStart w:id="150" w:name="_Toc183163281"/>
      <w:r w:rsidRPr="00CF2B2D">
        <w:t>Preferred policy option</w:t>
      </w:r>
      <w:bookmarkEnd w:id="149"/>
      <w:bookmarkEnd w:id="150"/>
    </w:p>
    <w:p w14:paraId="7E2EB874" w14:textId="77777777" w:rsidR="004414FA" w:rsidRPr="00A34F8A" w:rsidRDefault="004414FA" w:rsidP="004414FA">
      <w:pPr>
        <w:pStyle w:val="Bullet-Level1"/>
        <w:rPr>
          <w:rFonts w:asciiTheme="minorHAnsi" w:hAnsiTheme="minorHAnsi" w:cstheme="minorHAnsi"/>
          <w:sz w:val="22"/>
          <w:szCs w:val="22"/>
        </w:rPr>
      </w:pPr>
      <w:r w:rsidRPr="00A34F8A">
        <w:rPr>
          <w:rFonts w:asciiTheme="minorHAnsi" w:hAnsiTheme="minorHAnsi" w:cstheme="minorHAnsi"/>
          <w:sz w:val="22"/>
          <w:szCs w:val="22"/>
        </w:rPr>
        <w:t>Do you support aligning the Australian and New Zealand EPS scope, MEPS, and nameplate requirements with international standards?</w:t>
      </w:r>
    </w:p>
    <w:p w14:paraId="616729DB" w14:textId="77777777" w:rsidR="004414FA" w:rsidRPr="00A34F8A" w:rsidRDefault="004414FA" w:rsidP="004414FA">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What are your views on increasing the MEPS requirements on EPS in New Zealand and Australia? </w:t>
      </w:r>
    </w:p>
    <w:p w14:paraId="4DBDB02B" w14:textId="77777777" w:rsidR="004414FA" w:rsidRPr="00031929" w:rsidRDefault="004414FA" w:rsidP="00031929">
      <w:pPr>
        <w:pStyle w:val="Bullet-Level2"/>
        <w:rPr>
          <w:rFonts w:asciiTheme="minorHAnsi" w:hAnsiTheme="minorHAnsi" w:cstheme="minorHAnsi"/>
          <w:sz w:val="22"/>
          <w:szCs w:val="22"/>
        </w:rPr>
      </w:pPr>
      <w:r w:rsidRPr="00031929">
        <w:rPr>
          <w:rFonts w:asciiTheme="minorHAnsi" w:hAnsiTheme="minorHAnsi" w:cstheme="minorHAnsi"/>
          <w:sz w:val="22"/>
          <w:szCs w:val="22"/>
        </w:rPr>
        <w:t>Scenario 3 and 4, mark VI (current US and EU requirements)</w:t>
      </w:r>
    </w:p>
    <w:p w14:paraId="011C33E6" w14:textId="77777777" w:rsidR="004414FA" w:rsidRPr="00031929" w:rsidRDefault="004414FA" w:rsidP="00031929">
      <w:pPr>
        <w:pStyle w:val="Bullet-Level2"/>
        <w:rPr>
          <w:rFonts w:asciiTheme="minorHAnsi" w:hAnsiTheme="minorHAnsi" w:cstheme="minorHAnsi"/>
          <w:sz w:val="22"/>
          <w:szCs w:val="22"/>
        </w:rPr>
      </w:pPr>
      <w:r w:rsidRPr="00031929">
        <w:rPr>
          <w:rFonts w:asciiTheme="minorHAnsi" w:hAnsiTheme="minorHAnsi" w:cstheme="minorHAnsi"/>
          <w:sz w:val="22"/>
          <w:szCs w:val="22"/>
        </w:rPr>
        <w:t>Scenario 5, mark VII (expected future international requirements)</w:t>
      </w:r>
    </w:p>
    <w:p w14:paraId="31FF9C9A" w14:textId="5A031D16" w:rsidR="004414FA" w:rsidRPr="00A34F8A" w:rsidRDefault="004414FA" w:rsidP="004414FA">
      <w:pPr>
        <w:pStyle w:val="Bullet-Level1"/>
        <w:rPr>
          <w:rFonts w:asciiTheme="minorHAnsi" w:hAnsiTheme="minorHAnsi" w:cstheme="minorHAnsi"/>
          <w:sz w:val="22"/>
          <w:szCs w:val="22"/>
        </w:rPr>
      </w:pPr>
      <w:r w:rsidRPr="00A34F8A">
        <w:rPr>
          <w:rFonts w:asciiTheme="minorHAnsi" w:hAnsiTheme="minorHAnsi" w:cstheme="minorHAnsi"/>
          <w:sz w:val="22"/>
          <w:szCs w:val="22"/>
        </w:rPr>
        <w:t>Do you support any of the scenarios presented (please explain why, including if you do not support any of the scenarios)</w:t>
      </w:r>
      <w:r w:rsidR="003831A8">
        <w:rPr>
          <w:rFonts w:asciiTheme="minorHAnsi" w:hAnsiTheme="minorHAnsi" w:cstheme="minorHAnsi"/>
          <w:sz w:val="22"/>
          <w:szCs w:val="22"/>
        </w:rPr>
        <w:t>?</w:t>
      </w:r>
    </w:p>
    <w:p w14:paraId="36279391" w14:textId="77777777" w:rsidR="004414FA" w:rsidRPr="00031929" w:rsidRDefault="004414FA" w:rsidP="00031929">
      <w:pPr>
        <w:pStyle w:val="Bullet-Level2"/>
        <w:rPr>
          <w:rFonts w:asciiTheme="minorHAnsi" w:hAnsiTheme="minorHAnsi" w:cstheme="minorHAnsi"/>
          <w:sz w:val="22"/>
          <w:szCs w:val="22"/>
        </w:rPr>
      </w:pPr>
      <w:r w:rsidRPr="00031929">
        <w:rPr>
          <w:rFonts w:asciiTheme="minorHAnsi" w:hAnsiTheme="minorHAnsi" w:cstheme="minorHAnsi"/>
          <w:sz w:val="22"/>
          <w:szCs w:val="22"/>
        </w:rPr>
        <w:t>Scenario 2: No regulation from 2025</w:t>
      </w:r>
    </w:p>
    <w:p w14:paraId="2754FBEE" w14:textId="77777777" w:rsidR="004414FA" w:rsidRPr="00031929" w:rsidRDefault="004414FA" w:rsidP="00031929">
      <w:pPr>
        <w:pStyle w:val="Bullet-Level2"/>
        <w:rPr>
          <w:rFonts w:asciiTheme="minorHAnsi" w:hAnsiTheme="minorHAnsi" w:cstheme="minorHAnsi"/>
          <w:sz w:val="22"/>
          <w:szCs w:val="22"/>
        </w:rPr>
      </w:pPr>
      <w:r w:rsidRPr="00031929">
        <w:rPr>
          <w:rFonts w:asciiTheme="minorHAnsi" w:hAnsiTheme="minorHAnsi" w:cstheme="minorHAnsi"/>
          <w:sz w:val="22"/>
          <w:szCs w:val="22"/>
        </w:rPr>
        <w:t>Scenario 3: Mark VI from 2025</w:t>
      </w:r>
    </w:p>
    <w:p w14:paraId="025197F5" w14:textId="77777777" w:rsidR="004414FA" w:rsidRPr="00031929" w:rsidRDefault="004414FA" w:rsidP="00031929">
      <w:pPr>
        <w:pStyle w:val="Bullet-Level2"/>
        <w:rPr>
          <w:rFonts w:asciiTheme="minorHAnsi" w:hAnsiTheme="minorHAnsi" w:cstheme="minorHAnsi"/>
          <w:sz w:val="22"/>
          <w:szCs w:val="22"/>
        </w:rPr>
      </w:pPr>
      <w:r w:rsidRPr="00031929">
        <w:rPr>
          <w:rFonts w:asciiTheme="minorHAnsi" w:hAnsiTheme="minorHAnsi" w:cstheme="minorHAnsi"/>
          <w:sz w:val="22"/>
          <w:szCs w:val="22"/>
        </w:rPr>
        <w:t>Scenario 4: Mark VI from 2025 (expanded scope to match EU/US)</w:t>
      </w:r>
    </w:p>
    <w:p w14:paraId="0F3F31DA" w14:textId="77777777" w:rsidR="004414FA" w:rsidRPr="00031929" w:rsidRDefault="004414FA" w:rsidP="00031929">
      <w:pPr>
        <w:pStyle w:val="Bullet-Level2"/>
        <w:rPr>
          <w:rFonts w:asciiTheme="minorHAnsi" w:hAnsiTheme="minorHAnsi" w:cstheme="minorHAnsi"/>
          <w:sz w:val="22"/>
          <w:szCs w:val="22"/>
        </w:rPr>
      </w:pPr>
      <w:r w:rsidRPr="00031929">
        <w:rPr>
          <w:rFonts w:asciiTheme="minorHAnsi" w:hAnsiTheme="minorHAnsi" w:cstheme="minorHAnsi"/>
          <w:sz w:val="22"/>
          <w:szCs w:val="22"/>
        </w:rPr>
        <w:t>Scenario 5: Mark VI from 2035 (expanded scope to match EU/US) and Mark VII from 2029</w:t>
      </w:r>
    </w:p>
    <w:p w14:paraId="4D8BF6C5" w14:textId="1AC95B08" w:rsidR="004C6B16" w:rsidRPr="00A34F8A" w:rsidRDefault="004C6B16" w:rsidP="00CF2B2D">
      <w:pPr>
        <w:pStyle w:val="Heading2"/>
      </w:pPr>
      <w:bookmarkStart w:id="151" w:name="_Toc168660735"/>
      <w:bookmarkStart w:id="152" w:name="_Toc183163282"/>
      <w:r w:rsidRPr="00A34F8A">
        <w:t>Compliance</w:t>
      </w:r>
      <w:bookmarkEnd w:id="151"/>
      <w:bookmarkEnd w:id="152"/>
    </w:p>
    <w:p w14:paraId="7BED4D3D" w14:textId="77777777" w:rsidR="00950279" w:rsidRPr="00A4681F" w:rsidRDefault="00950279"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Do you have suggestions on how the compliance of EPS could be improved?</w:t>
      </w:r>
    </w:p>
    <w:p w14:paraId="59B91067" w14:textId="77777777" w:rsidR="00950279" w:rsidRPr="00A4681F" w:rsidRDefault="00950279"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We have assumed 1% of products will be check-tested. Is this sufficient to ensure compliance?</w:t>
      </w:r>
    </w:p>
    <w:p w14:paraId="2BB717E9" w14:textId="77777777" w:rsidR="00950279" w:rsidRPr="00A4681F" w:rsidRDefault="00950279"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lastRenderedPageBreak/>
        <w:t xml:space="preserve">We have assumed a uniform level of non-compliance (including registration and MEPS) of 20% across EPS in Australia and New Zealand. Do you have any feedback about non-compliance levels locally or abroad? </w:t>
      </w:r>
    </w:p>
    <w:p w14:paraId="2A1D0CFA" w14:textId="77777777" w:rsidR="00950279" w:rsidRPr="003831A8" w:rsidRDefault="00950279" w:rsidP="00950279">
      <w:pPr>
        <w:pStyle w:val="Bullet-Level2"/>
        <w:rPr>
          <w:rFonts w:asciiTheme="minorHAnsi" w:hAnsiTheme="minorHAnsi" w:cstheme="minorHAnsi"/>
          <w:sz w:val="22"/>
          <w:szCs w:val="22"/>
        </w:rPr>
      </w:pPr>
      <w:r w:rsidRPr="003831A8">
        <w:rPr>
          <w:rFonts w:asciiTheme="minorHAnsi" w:hAnsiTheme="minorHAnsi" w:cstheme="minorHAnsi"/>
          <w:sz w:val="22"/>
          <w:szCs w:val="22"/>
        </w:rPr>
        <w:t>Are there any specific products that will be unable to comply with mark VI or higher? If yes, please provide details whether this a technical issue</w:t>
      </w:r>
    </w:p>
    <w:p w14:paraId="7AC8099E" w14:textId="29BB1629" w:rsidR="00950279" w:rsidRPr="00A34F8A" w:rsidRDefault="00950279" w:rsidP="00CF2B2D">
      <w:pPr>
        <w:pStyle w:val="Heading2"/>
      </w:pPr>
      <w:bookmarkStart w:id="153" w:name="_Toc168660736"/>
      <w:bookmarkStart w:id="154" w:name="_Toc183163283"/>
      <w:r w:rsidRPr="00A34F8A">
        <w:t>Implementation</w:t>
      </w:r>
      <w:bookmarkEnd w:id="153"/>
      <w:bookmarkEnd w:id="154"/>
    </w:p>
    <w:p w14:paraId="6DE8D7C1" w14:textId="40D76188"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 xml:space="preserve">Do you agree with </w:t>
      </w:r>
      <w:r w:rsidR="001004BC" w:rsidRPr="00A4681F">
        <w:rPr>
          <w:rFonts w:asciiTheme="minorHAnsi" w:hAnsiTheme="minorHAnsi" w:cstheme="minorHAnsi"/>
          <w:sz w:val="22"/>
          <w:szCs w:val="22"/>
        </w:rPr>
        <w:t>a 2-year transition timeline to further increase the MEPS to mark VII following international adoption</w:t>
      </w:r>
      <w:r w:rsidR="00281138" w:rsidRPr="00A4681F">
        <w:rPr>
          <w:rFonts w:asciiTheme="minorHAnsi" w:hAnsiTheme="minorHAnsi" w:cstheme="minorHAnsi"/>
          <w:sz w:val="22"/>
          <w:szCs w:val="22"/>
        </w:rPr>
        <w:t xml:space="preserve"> (scenario 5)</w:t>
      </w:r>
      <w:r w:rsidRPr="00A4681F">
        <w:rPr>
          <w:rFonts w:asciiTheme="minorHAnsi" w:hAnsiTheme="minorHAnsi" w:cstheme="minorHAnsi"/>
          <w:sz w:val="22"/>
          <w:szCs w:val="22"/>
        </w:rPr>
        <w:t>?</w:t>
      </w:r>
    </w:p>
    <w:p w14:paraId="18A9F4D0"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Do you agree with proposed expanded scope (scenario 4 and 5)?</w:t>
      </w:r>
    </w:p>
    <w:p w14:paraId="4B21800A"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Do you think that fixed-wireless charging product should be included?</w:t>
      </w:r>
    </w:p>
    <w:p w14:paraId="5F39ED7A"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Do you agree with the proposed family of models definition (scenario 4 and 5)?</w:t>
      </w:r>
    </w:p>
    <w:p w14:paraId="4C584619"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Do you agree with the proposed product classes (scenario 4 and 5)?</w:t>
      </w:r>
    </w:p>
    <w:p w14:paraId="718612AF"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Do you agree with the proposed alternative test Standards/methods (scenario 4 and 5)?</w:t>
      </w:r>
    </w:p>
    <w:p w14:paraId="3F87A91A"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Are products normally tested at both 110V and 230V for the US market?</w:t>
      </w:r>
    </w:p>
    <w:p w14:paraId="526F2914"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 xml:space="preserve">Do you support the proposed nameplate requirements (scenario 4 and 5)? </w:t>
      </w:r>
    </w:p>
    <w:p w14:paraId="0D87CDEB"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 xml:space="preserve">What are your views on requiring testing at 10% load (aligned with EU) </w:t>
      </w:r>
    </w:p>
    <w:p w14:paraId="2DF36832" w14:textId="77777777" w:rsidR="00A21EAC" w:rsidRPr="00A4681F" w:rsidRDefault="00A21EAC" w:rsidP="00A4681F">
      <w:pPr>
        <w:pStyle w:val="Bullet-Level1"/>
        <w:rPr>
          <w:rFonts w:asciiTheme="minorHAnsi" w:hAnsiTheme="minorHAnsi" w:cstheme="minorHAnsi"/>
          <w:sz w:val="22"/>
          <w:szCs w:val="22"/>
        </w:rPr>
      </w:pPr>
      <w:r w:rsidRPr="00A4681F">
        <w:rPr>
          <w:rFonts w:asciiTheme="minorHAnsi" w:hAnsiTheme="minorHAnsi" w:cstheme="minorHAnsi"/>
          <w:sz w:val="22"/>
          <w:szCs w:val="22"/>
        </w:rPr>
        <w:t>Are there any other administrative efficiencies that could be implemented to improve the registration process?</w:t>
      </w:r>
    </w:p>
    <w:p w14:paraId="391A4433" w14:textId="0646039D" w:rsidR="00A21EAC" w:rsidRPr="00A34F8A" w:rsidRDefault="00A21EAC" w:rsidP="00CF2B2D">
      <w:pPr>
        <w:pStyle w:val="Heading2"/>
      </w:pPr>
      <w:bookmarkStart w:id="155" w:name="_Toc168660737"/>
      <w:bookmarkStart w:id="156" w:name="_Toc183163284"/>
      <w:r w:rsidRPr="00A34F8A">
        <w:t>EPS market dynamics</w:t>
      </w:r>
      <w:bookmarkEnd w:id="155"/>
      <w:bookmarkEnd w:id="156"/>
    </w:p>
    <w:p w14:paraId="2FD5AA21" w14:textId="77777777" w:rsidR="006E3A3F" w:rsidRPr="00A34F8A" w:rsidRDefault="006E3A3F" w:rsidP="006E3A3F">
      <w:pPr>
        <w:pStyle w:val="Bullet-Level1"/>
        <w:rPr>
          <w:rFonts w:asciiTheme="minorHAnsi" w:hAnsiTheme="minorHAnsi" w:cstheme="minorHAnsi"/>
          <w:sz w:val="22"/>
          <w:szCs w:val="22"/>
        </w:rPr>
      </w:pPr>
      <w:r w:rsidRPr="00A34F8A">
        <w:rPr>
          <w:rFonts w:asciiTheme="minorHAnsi" w:hAnsiTheme="minorHAnsi" w:cstheme="minorHAnsi"/>
          <w:sz w:val="22"/>
          <w:szCs w:val="22"/>
        </w:rPr>
        <w:t>In this RIS, we have comprehensively outlined the market drivers influencing the EPS markets both domestically and internationally. Are international regulations driving the market, and if not, what is?</w:t>
      </w:r>
    </w:p>
    <w:p w14:paraId="32EC6E6F" w14:textId="77777777" w:rsidR="006E3A3F" w:rsidRPr="00A34F8A" w:rsidRDefault="006E3A3F" w:rsidP="006E3A3F">
      <w:pPr>
        <w:pStyle w:val="Bullet-Level1"/>
        <w:rPr>
          <w:rFonts w:asciiTheme="minorHAnsi" w:hAnsiTheme="minorHAnsi" w:cstheme="minorHAnsi"/>
          <w:sz w:val="22"/>
          <w:szCs w:val="22"/>
        </w:rPr>
      </w:pPr>
      <w:r w:rsidRPr="00A34F8A">
        <w:rPr>
          <w:rFonts w:asciiTheme="minorHAnsi" w:hAnsiTheme="minorHAnsi" w:cstheme="minorHAnsi"/>
          <w:sz w:val="22"/>
          <w:szCs w:val="22"/>
        </w:rPr>
        <w:t>We have considered the impacts of the Common Charger initiative in the EU. Are there specific impacts of this initiative on the Australian and New Zealand markets that you believe should be considered?</w:t>
      </w:r>
    </w:p>
    <w:p w14:paraId="335565E0" w14:textId="71C93E05" w:rsidR="006E3A3F" w:rsidRPr="00A34F8A" w:rsidRDefault="006E3A3F" w:rsidP="006E3A3F">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Do you have any feedback regarding the modelling approach and assumptions as detailed throughout this consultation paper? Further details can be found in Appendix </w:t>
      </w:r>
      <w:r w:rsidR="00DE17E2">
        <w:rPr>
          <w:rFonts w:asciiTheme="minorHAnsi" w:hAnsiTheme="minorHAnsi" w:cstheme="minorHAnsi"/>
          <w:sz w:val="22"/>
          <w:szCs w:val="22"/>
        </w:rPr>
        <w:t>O</w:t>
      </w:r>
      <w:r w:rsidRPr="00A34F8A">
        <w:rPr>
          <w:rFonts w:asciiTheme="minorHAnsi" w:hAnsiTheme="minorHAnsi" w:cstheme="minorHAnsi"/>
          <w:sz w:val="22"/>
          <w:szCs w:val="22"/>
        </w:rPr>
        <w:t xml:space="preserve">ne. </w:t>
      </w:r>
    </w:p>
    <w:p w14:paraId="6E321C23" w14:textId="7D6C53EB" w:rsidR="006E3A3F" w:rsidRPr="00A34F8A" w:rsidRDefault="006E3A3F" w:rsidP="006E3A3F">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We have assumed a similar distribution of EPS in the Australian and New Zealand market as the US market. See Section 1.2 and </w:t>
      </w:r>
      <w:r w:rsidR="00A4681F">
        <w:rPr>
          <w:rFonts w:asciiTheme="minorHAnsi" w:hAnsiTheme="minorHAnsi" w:cstheme="minorHAnsi"/>
          <w:sz w:val="22"/>
          <w:szCs w:val="22"/>
        </w:rPr>
        <w:t>A</w:t>
      </w:r>
      <w:r w:rsidRPr="00A34F8A">
        <w:rPr>
          <w:rFonts w:asciiTheme="minorHAnsi" w:hAnsiTheme="minorHAnsi" w:cstheme="minorHAnsi"/>
          <w:sz w:val="22"/>
          <w:szCs w:val="22"/>
        </w:rPr>
        <w:t xml:space="preserve">ppendix for details. Are there any idiosyncrasies in the Australian and/or New Zealand EPS markets that should be considered? </w:t>
      </w:r>
    </w:p>
    <w:p w14:paraId="136E5BC9" w14:textId="77777777" w:rsidR="006E3A3F" w:rsidRPr="00A34F8A" w:rsidRDefault="006E3A3F" w:rsidP="006E3A3F">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Australia and New Zealand are small EPS markets. Therefore, we have assumed that the international manufacturing and supply of EPS products is sufficient to meet any increase </w:t>
      </w:r>
      <w:r w:rsidRPr="00A34F8A">
        <w:rPr>
          <w:rFonts w:asciiTheme="minorHAnsi" w:hAnsiTheme="minorHAnsi" w:cstheme="minorHAnsi"/>
          <w:sz w:val="22"/>
          <w:szCs w:val="22"/>
        </w:rPr>
        <w:lastRenderedPageBreak/>
        <w:t>in the demand for mark VI efficiency EPS. A 2-year transition period will also aid this process.</w:t>
      </w:r>
    </w:p>
    <w:p w14:paraId="0BC3E53F" w14:textId="77777777" w:rsidR="006E3A3F" w:rsidRPr="00A34F8A" w:rsidRDefault="006E3A3F" w:rsidP="006E3A3F">
      <w:pPr>
        <w:pStyle w:val="Bullet-Level1"/>
        <w:rPr>
          <w:rFonts w:asciiTheme="minorHAnsi" w:hAnsiTheme="minorHAnsi" w:cstheme="minorHAnsi"/>
          <w:sz w:val="22"/>
          <w:szCs w:val="22"/>
        </w:rPr>
      </w:pPr>
      <w:r w:rsidRPr="00A34F8A">
        <w:rPr>
          <w:rFonts w:asciiTheme="minorHAnsi" w:hAnsiTheme="minorHAnsi" w:cstheme="minorHAnsi"/>
          <w:sz w:val="22"/>
          <w:szCs w:val="22"/>
        </w:rPr>
        <w:t>Will there be supply disruptions if a subsequent increase to mark VII (after the US and/or EU and with an additional 2 years to transition) was to be regulated in Australia and New Zealand?</w:t>
      </w:r>
    </w:p>
    <w:p w14:paraId="753E5057" w14:textId="77777777" w:rsidR="006E3A3F" w:rsidRPr="00A34F8A" w:rsidRDefault="006E3A3F" w:rsidP="006E3A3F">
      <w:pPr>
        <w:pStyle w:val="Bullet-Level1"/>
        <w:rPr>
          <w:rFonts w:asciiTheme="minorHAnsi" w:hAnsiTheme="minorHAnsi" w:cstheme="minorHAnsi"/>
          <w:sz w:val="22"/>
          <w:szCs w:val="22"/>
        </w:rPr>
      </w:pPr>
      <w:r w:rsidRPr="00A34F8A">
        <w:rPr>
          <w:rFonts w:asciiTheme="minorHAnsi" w:hAnsiTheme="minorHAnsi" w:cstheme="minorHAnsi"/>
          <w:sz w:val="22"/>
          <w:szCs w:val="22"/>
        </w:rPr>
        <w:t>If the market for standalone EPS grows (e.g., phone or laptop chargers purchased separately) would there be any benefit of product labelling?</w:t>
      </w:r>
    </w:p>
    <w:p w14:paraId="0CE23A6C" w14:textId="70994A8E" w:rsidR="006E3A3F" w:rsidRPr="00A34F8A" w:rsidRDefault="006E3A3F" w:rsidP="00CF2B2D">
      <w:pPr>
        <w:pStyle w:val="Heading2"/>
      </w:pPr>
      <w:bookmarkStart w:id="157" w:name="_Toc168660738"/>
      <w:bookmarkStart w:id="158" w:name="_Toc183163285"/>
      <w:r w:rsidRPr="00A34F8A">
        <w:t>Estimated costs and benefits</w:t>
      </w:r>
      <w:bookmarkEnd w:id="157"/>
      <w:bookmarkEnd w:id="158"/>
    </w:p>
    <w:p w14:paraId="17B4DEC4" w14:textId="77777777" w:rsidR="00D135FB" w:rsidRPr="00A34F8A" w:rsidRDefault="00D135FB" w:rsidP="00D135FB">
      <w:pPr>
        <w:pStyle w:val="Bullet-Level1"/>
        <w:rPr>
          <w:rFonts w:asciiTheme="minorHAnsi" w:hAnsiTheme="minorHAnsi" w:cstheme="minorHAnsi"/>
          <w:sz w:val="22"/>
          <w:szCs w:val="22"/>
        </w:rPr>
      </w:pPr>
      <w:r w:rsidRPr="00A34F8A">
        <w:rPr>
          <w:rFonts w:asciiTheme="minorHAnsi" w:hAnsiTheme="minorHAnsi" w:cstheme="minorHAnsi"/>
          <w:sz w:val="22"/>
          <w:szCs w:val="22"/>
        </w:rPr>
        <w:t>Is there currently an additional cost for manufacturers/suppliers to re-test or re-certify products for registration in Australia or New Zealand?</w:t>
      </w:r>
    </w:p>
    <w:p w14:paraId="10D2B8FB" w14:textId="77777777" w:rsidR="00D135FB" w:rsidRPr="00A34F8A" w:rsidRDefault="00D135FB" w:rsidP="00D135FB">
      <w:pPr>
        <w:pStyle w:val="Bullet-Level1"/>
        <w:rPr>
          <w:rFonts w:asciiTheme="minorHAnsi" w:hAnsiTheme="minorHAnsi" w:cstheme="minorHAnsi"/>
          <w:sz w:val="22"/>
          <w:szCs w:val="22"/>
        </w:rPr>
      </w:pPr>
      <w:r w:rsidRPr="00A34F8A">
        <w:rPr>
          <w:rFonts w:asciiTheme="minorHAnsi" w:hAnsiTheme="minorHAnsi" w:cstheme="minorHAnsi"/>
          <w:sz w:val="22"/>
          <w:szCs w:val="22"/>
        </w:rPr>
        <w:t>Our approach to modelling the incremental cost of manufacturing higher efficiency level EPS has been based on the US engineering analysis discussed in the Technical Support Document (TSD) 2022. Also see the attached appendix for details of our approach. Do you have any feedback regarding the modelling approach and assumptions for incremental manufacturing costs?</w:t>
      </w:r>
    </w:p>
    <w:p w14:paraId="7F0F3C5D" w14:textId="77777777" w:rsidR="00D135FB" w:rsidRPr="00A34F8A" w:rsidRDefault="00D135FB" w:rsidP="00D135FB">
      <w:pPr>
        <w:pStyle w:val="Bullet-Level1"/>
        <w:rPr>
          <w:rFonts w:asciiTheme="minorHAnsi" w:hAnsiTheme="minorHAnsi" w:cstheme="minorHAnsi"/>
          <w:sz w:val="22"/>
          <w:szCs w:val="22"/>
        </w:rPr>
      </w:pPr>
      <w:r w:rsidRPr="00A34F8A">
        <w:rPr>
          <w:rFonts w:asciiTheme="minorHAnsi" w:hAnsiTheme="minorHAnsi" w:cstheme="minorHAnsi"/>
          <w:sz w:val="22"/>
          <w:szCs w:val="22"/>
        </w:rPr>
        <w:br w:type="page"/>
      </w:r>
    </w:p>
    <w:p w14:paraId="017D417D" w14:textId="0E1A74A9" w:rsidR="00AC62D1" w:rsidRPr="00CF2B2D" w:rsidRDefault="00AC62D1" w:rsidP="00AC62D1">
      <w:pPr>
        <w:pStyle w:val="ChapterTitle"/>
        <w:rPr>
          <w:rFonts w:asciiTheme="minorHAnsi" w:hAnsiTheme="minorHAnsi" w:cstheme="minorHAnsi"/>
          <w:sz w:val="32"/>
          <w:szCs w:val="32"/>
        </w:rPr>
      </w:pPr>
      <w:bookmarkStart w:id="159" w:name="_Toc168660739"/>
      <w:bookmarkStart w:id="160" w:name="_Toc183163286"/>
      <w:r w:rsidRPr="00CF2B2D">
        <w:rPr>
          <w:rFonts w:asciiTheme="minorHAnsi" w:hAnsiTheme="minorHAnsi" w:cstheme="minorHAnsi"/>
          <w:sz w:val="32"/>
          <w:szCs w:val="32"/>
        </w:rPr>
        <w:lastRenderedPageBreak/>
        <w:t>Section 7: Conclusion</w:t>
      </w:r>
      <w:bookmarkEnd w:id="159"/>
      <w:bookmarkEnd w:id="160"/>
    </w:p>
    <w:p w14:paraId="6396668C" w14:textId="659E12C6" w:rsidR="00F53316" w:rsidRPr="00A34F8A" w:rsidRDefault="00F53316" w:rsidP="00F53316">
      <w:pPr>
        <w:rPr>
          <w:rFonts w:asciiTheme="minorHAnsi" w:hAnsiTheme="minorHAnsi" w:cstheme="minorHAnsi"/>
          <w:szCs w:val="22"/>
        </w:rPr>
      </w:pPr>
      <w:r w:rsidRPr="00A34F8A">
        <w:rPr>
          <w:rFonts w:asciiTheme="minorHAnsi" w:hAnsiTheme="minorHAnsi" w:cstheme="minorHAnsi"/>
          <w:szCs w:val="22"/>
        </w:rPr>
        <w:t xml:space="preserve">Based on the results of our analysis and feedback provided by regulators and industry to date, our recommended policy option is </w:t>
      </w:r>
      <w:r w:rsidRPr="00A34F8A">
        <w:rPr>
          <w:rFonts w:asciiTheme="minorHAnsi" w:hAnsiTheme="minorHAnsi" w:cstheme="minorHAnsi"/>
          <w:b/>
          <w:bCs/>
          <w:szCs w:val="22"/>
        </w:rPr>
        <w:t>scenario 5</w:t>
      </w:r>
      <w:r w:rsidRPr="00A34F8A">
        <w:rPr>
          <w:rFonts w:asciiTheme="minorHAnsi" w:hAnsiTheme="minorHAnsi" w:cstheme="minorHAnsi"/>
          <w:szCs w:val="22"/>
        </w:rPr>
        <w:t xml:space="preserve"> </w:t>
      </w:r>
      <w:r w:rsidRPr="00A34F8A">
        <w:rPr>
          <w:rFonts w:asciiTheme="minorHAnsi" w:hAnsiTheme="minorHAnsi" w:cstheme="minorHAnsi"/>
          <w:b/>
          <w:bCs/>
          <w:szCs w:val="22"/>
        </w:rPr>
        <w:t>in both Australia and New Zealand</w:t>
      </w:r>
      <w:r w:rsidRPr="00A34F8A">
        <w:rPr>
          <w:rFonts w:asciiTheme="minorHAnsi" w:hAnsiTheme="minorHAnsi" w:cstheme="minorHAnsi"/>
          <w:szCs w:val="22"/>
        </w:rPr>
        <w:t xml:space="preserve">. This option involves increasing the MEPS for EPS to mark VI </w:t>
      </w:r>
      <w:r w:rsidR="00444CC2">
        <w:rPr>
          <w:rFonts w:asciiTheme="minorHAnsi" w:hAnsiTheme="minorHAnsi" w:cstheme="minorHAnsi"/>
          <w:szCs w:val="22"/>
        </w:rPr>
        <w:t>in</w:t>
      </w:r>
      <w:r w:rsidRPr="00A34F8A">
        <w:rPr>
          <w:rFonts w:asciiTheme="minorHAnsi" w:hAnsiTheme="minorHAnsi" w:cstheme="minorHAnsi"/>
          <w:szCs w:val="22"/>
        </w:rPr>
        <w:t xml:space="preserve"> 2025 and expanding the scope to include multiple voltage (simultaneous output) devices and adaptive voltage EPS which are currently excluded from the regulation. A further increase in MEPS to mark VII should then be implemented two years after it comes into force in the US and/or EU. </w:t>
      </w:r>
    </w:p>
    <w:p w14:paraId="1BE8EF97" w14:textId="7C431948" w:rsidR="00F53316" w:rsidRPr="00A34F8A" w:rsidRDefault="00F53316" w:rsidP="00F53316">
      <w:pPr>
        <w:rPr>
          <w:rFonts w:asciiTheme="minorHAnsi" w:hAnsiTheme="minorHAnsi" w:cstheme="minorHAnsi"/>
          <w:szCs w:val="22"/>
        </w:rPr>
      </w:pPr>
      <w:r w:rsidRPr="00A34F8A">
        <w:rPr>
          <w:rFonts w:asciiTheme="minorHAnsi" w:hAnsiTheme="minorHAnsi" w:cstheme="minorHAnsi"/>
          <w:szCs w:val="22"/>
        </w:rPr>
        <w:t xml:space="preserve">This policy option would also involve a change to the regulations in Australia and New Zealand to allow for products to be registered referencing internationally accepted testing standards (e.g.,  EN 50563 and  US </w:t>
      </w:r>
      <w:r w:rsidR="001774BA">
        <w:rPr>
          <w:rFonts w:asciiTheme="minorHAnsi" w:hAnsiTheme="minorHAnsi" w:cstheme="minorHAnsi"/>
          <w:szCs w:val="22"/>
        </w:rPr>
        <w:t>DOE</w:t>
      </w:r>
      <w:r w:rsidRPr="00A34F8A">
        <w:rPr>
          <w:rFonts w:asciiTheme="minorHAnsi" w:hAnsiTheme="minorHAnsi" w:cstheme="minorHAnsi"/>
          <w:szCs w:val="22"/>
        </w:rPr>
        <w:t xml:space="preserve">). These standards are all technically consistent with the Australian and New Zealand standards (AS/NZS.4665.1 and 4665.2) and accepting test certificates that refer to any of these standards would reduce costs and increase administrative efficiency for industry. The recommended option provides the greatest net total benefit, an estimated </w:t>
      </w:r>
      <w:r w:rsidRPr="00D51697">
        <w:rPr>
          <w:rFonts w:asciiTheme="minorHAnsi" w:hAnsiTheme="minorHAnsi" w:cstheme="minorHAnsi"/>
          <w:szCs w:val="22"/>
        </w:rPr>
        <w:t>$7</w:t>
      </w:r>
      <w:r w:rsidR="00D51697" w:rsidRPr="00B52CDA">
        <w:rPr>
          <w:rFonts w:asciiTheme="minorHAnsi" w:hAnsiTheme="minorHAnsi" w:cstheme="minorHAnsi"/>
          <w:szCs w:val="22"/>
        </w:rPr>
        <w:t>0</w:t>
      </w:r>
      <w:r w:rsidRPr="00D51697">
        <w:rPr>
          <w:rFonts w:asciiTheme="minorHAnsi" w:hAnsiTheme="minorHAnsi" w:cstheme="minorHAnsi"/>
          <w:szCs w:val="22"/>
        </w:rPr>
        <w:t>m AUD</w:t>
      </w:r>
      <w:r w:rsidRPr="00A34F8A">
        <w:rPr>
          <w:rFonts w:asciiTheme="minorHAnsi" w:hAnsiTheme="minorHAnsi" w:cstheme="minorHAnsi"/>
          <w:szCs w:val="22"/>
        </w:rPr>
        <w:t xml:space="preserve"> in Australia and $3m NZD in New Zealand.</w:t>
      </w:r>
    </w:p>
    <w:p w14:paraId="523C2874" w14:textId="77777777" w:rsidR="00F53316" w:rsidRPr="00A34F8A" w:rsidRDefault="00F53316" w:rsidP="00F53316">
      <w:pPr>
        <w:rPr>
          <w:rFonts w:asciiTheme="minorHAnsi" w:hAnsiTheme="minorHAnsi" w:cstheme="minorHAnsi"/>
          <w:szCs w:val="22"/>
        </w:rPr>
      </w:pPr>
      <w:r w:rsidRPr="00A34F8A">
        <w:rPr>
          <w:rFonts w:asciiTheme="minorHAnsi" w:hAnsiTheme="minorHAnsi" w:cstheme="minorHAnsi"/>
          <w:szCs w:val="22"/>
        </w:rPr>
        <w:t xml:space="preserve">In addition to the energy savings, avoided network costs and greenhouse gas reductions that can be achieved, implementing the recommended option will also address the problems identified in this consultation RIS. These include existing regulations not keeping pace with international regulations and technology improvements, manufacturers having little incentive to improve the efficiency of EPS in unregulated or under-regulated environments, and consumers valuing other product features over energy efficiency (including the features of the end-use product powered by the EPS). </w:t>
      </w:r>
    </w:p>
    <w:p w14:paraId="68E8D79C" w14:textId="77777777" w:rsidR="00F53316" w:rsidRPr="00A34F8A" w:rsidRDefault="00F53316" w:rsidP="00F53316">
      <w:pPr>
        <w:rPr>
          <w:rFonts w:asciiTheme="minorHAnsi" w:hAnsiTheme="minorHAnsi" w:cstheme="minorHAnsi"/>
          <w:szCs w:val="22"/>
        </w:rPr>
      </w:pPr>
      <w:r w:rsidRPr="00A34F8A">
        <w:rPr>
          <w:rFonts w:asciiTheme="minorHAnsi" w:hAnsiTheme="minorHAnsi" w:cstheme="minorHAnsi"/>
          <w:szCs w:val="22"/>
        </w:rPr>
        <w:t xml:space="preserve">Consultation with stakeholders through this RIS process may uncover issues that have not yet been considered in this analysis. If this occurs, then changes to the above recommendation may be warranted. These changes will be incorporated into a Decision RIS and further consultation with industry may be required. </w:t>
      </w:r>
    </w:p>
    <w:p w14:paraId="47A463F9" w14:textId="77777777" w:rsidR="00F53316" w:rsidRPr="00A34F8A" w:rsidRDefault="00F53316" w:rsidP="00F53316">
      <w:pPr>
        <w:rPr>
          <w:rFonts w:asciiTheme="minorHAnsi" w:hAnsiTheme="minorHAnsi" w:cstheme="minorHAnsi"/>
          <w:szCs w:val="22"/>
        </w:rPr>
      </w:pPr>
      <w:r w:rsidRPr="00A34F8A">
        <w:rPr>
          <w:rFonts w:asciiTheme="minorHAnsi" w:hAnsiTheme="minorHAnsi" w:cstheme="minorHAnsi"/>
          <w:szCs w:val="22"/>
        </w:rPr>
        <w:br w:type="page"/>
      </w:r>
    </w:p>
    <w:p w14:paraId="0A363223" w14:textId="1A7B5842" w:rsidR="00F53316" w:rsidRPr="00CF2B2D" w:rsidRDefault="00C354CF" w:rsidP="00F53316">
      <w:pPr>
        <w:pStyle w:val="ChapterTitle"/>
        <w:rPr>
          <w:rFonts w:asciiTheme="minorHAnsi" w:hAnsiTheme="minorHAnsi" w:cstheme="minorHAnsi"/>
          <w:sz w:val="32"/>
          <w:szCs w:val="32"/>
        </w:rPr>
      </w:pPr>
      <w:bookmarkStart w:id="161" w:name="_Toc168660740"/>
      <w:bookmarkStart w:id="162" w:name="_Toc183163287"/>
      <w:r w:rsidRPr="00CF2B2D">
        <w:rPr>
          <w:rFonts w:asciiTheme="minorHAnsi" w:hAnsiTheme="minorHAnsi" w:cstheme="minorHAnsi"/>
          <w:sz w:val="32"/>
          <w:szCs w:val="32"/>
        </w:rPr>
        <w:lastRenderedPageBreak/>
        <w:t>Section 8: Implementation and review</w:t>
      </w:r>
      <w:bookmarkEnd w:id="161"/>
      <w:bookmarkEnd w:id="162"/>
    </w:p>
    <w:p w14:paraId="518FAFAA" w14:textId="03283DF2" w:rsidR="00C354CF" w:rsidRPr="00A34F8A" w:rsidRDefault="00C354CF" w:rsidP="00CF2B2D">
      <w:pPr>
        <w:pStyle w:val="Heading2"/>
      </w:pPr>
      <w:bookmarkStart w:id="163" w:name="_Toc168660741"/>
      <w:bookmarkStart w:id="164" w:name="_Toc183163288"/>
      <w:r w:rsidRPr="00A34F8A">
        <w:t>Implementation – next steps by Government</w:t>
      </w:r>
      <w:bookmarkEnd w:id="163"/>
      <w:bookmarkEnd w:id="164"/>
    </w:p>
    <w:p w14:paraId="7C3CED14" w14:textId="77777777" w:rsidR="003D36EE" w:rsidRPr="00A34F8A" w:rsidRDefault="003D36EE" w:rsidP="003D36EE">
      <w:pPr>
        <w:rPr>
          <w:rFonts w:asciiTheme="minorHAnsi" w:hAnsiTheme="minorHAnsi" w:cstheme="minorHAnsi"/>
          <w:szCs w:val="22"/>
        </w:rPr>
      </w:pPr>
      <w:r w:rsidRPr="00A34F8A">
        <w:rPr>
          <w:rFonts w:asciiTheme="minorHAnsi" w:hAnsiTheme="minorHAnsi" w:cstheme="minorHAnsi"/>
          <w:szCs w:val="22"/>
        </w:rPr>
        <w:t>Once submissions have been gathered from this consultation process, they will be analysed with any new data assessed. Fundamental changes as a result of comments or new data can be discussed again with industry.</w:t>
      </w:r>
    </w:p>
    <w:p w14:paraId="486010AD" w14:textId="77777777" w:rsidR="003D36EE" w:rsidRPr="00A34F8A" w:rsidRDefault="003D36EE" w:rsidP="003D36EE">
      <w:pPr>
        <w:rPr>
          <w:rFonts w:asciiTheme="minorHAnsi" w:hAnsiTheme="minorHAnsi" w:cstheme="minorHAnsi"/>
          <w:szCs w:val="22"/>
        </w:rPr>
      </w:pPr>
      <w:r w:rsidRPr="00A34F8A">
        <w:rPr>
          <w:rFonts w:asciiTheme="minorHAnsi" w:hAnsiTheme="minorHAnsi" w:cstheme="minorHAnsi"/>
          <w:szCs w:val="22"/>
        </w:rPr>
        <w:t xml:space="preserve">The Decision RIS will be considered by Energy Ministers in both New Zealand and Australia. It will outline relevant issues raised by industry and how government can address them. Industry will be informed on the recommended option(s), expected implementation dates, and any changes decided by Ministers. New Zealand has a separate process to consider policy proposals and to update the </w:t>
      </w:r>
      <w:r w:rsidRPr="00A34F8A">
        <w:rPr>
          <w:rFonts w:asciiTheme="minorHAnsi" w:hAnsiTheme="minorHAnsi" w:cstheme="minorHAnsi"/>
          <w:i/>
          <w:iCs/>
          <w:szCs w:val="22"/>
        </w:rPr>
        <w:t>Energy Efficiency (Energy Using Products) Regulations 2002</w:t>
      </w:r>
      <w:r w:rsidRPr="00A34F8A">
        <w:rPr>
          <w:rFonts w:asciiTheme="minorHAnsi" w:hAnsiTheme="minorHAnsi" w:cstheme="minorHAnsi"/>
          <w:szCs w:val="22"/>
        </w:rPr>
        <w:t>, which involves New Zealand Cabinet approval.</w:t>
      </w:r>
    </w:p>
    <w:p w14:paraId="20A51AE0" w14:textId="4A6ABF2B" w:rsidR="00C43D16" w:rsidRPr="00CF2B2D" w:rsidRDefault="00C43D16" w:rsidP="00C43D16">
      <w:pPr>
        <w:pStyle w:val="Heading2"/>
      </w:pPr>
      <w:bookmarkStart w:id="165" w:name="_Toc168660663"/>
      <w:bookmarkStart w:id="166" w:name="_Toc183163289"/>
      <w:r w:rsidRPr="00CF2B2D">
        <w:t>Australia</w:t>
      </w:r>
      <w:bookmarkEnd w:id="165"/>
      <w:bookmarkEnd w:id="166"/>
    </w:p>
    <w:p w14:paraId="2BAAD314" w14:textId="77777777" w:rsidR="00634772" w:rsidRPr="00A34F8A" w:rsidRDefault="00634772" w:rsidP="00634772">
      <w:pPr>
        <w:pStyle w:val="Bullet-Level1"/>
        <w:rPr>
          <w:rFonts w:asciiTheme="minorHAnsi" w:hAnsiTheme="minorHAnsi" w:cstheme="minorHAnsi"/>
          <w:sz w:val="22"/>
          <w:szCs w:val="22"/>
        </w:rPr>
      </w:pPr>
      <w:r w:rsidRPr="00A34F8A">
        <w:rPr>
          <w:rFonts w:asciiTheme="minorHAnsi" w:hAnsiTheme="minorHAnsi" w:cstheme="minorHAnsi"/>
          <w:sz w:val="22"/>
          <w:szCs w:val="22"/>
        </w:rPr>
        <w:t>Following stakeholder feedback on this Consultation RIS, the comments and feedback received will be considered before proceeding to a Decision RIS.</w:t>
      </w:r>
    </w:p>
    <w:p w14:paraId="53706235" w14:textId="77777777" w:rsidR="00634772" w:rsidRPr="00A34F8A" w:rsidRDefault="00634772" w:rsidP="00634772">
      <w:pPr>
        <w:pStyle w:val="Bullet-Level1"/>
        <w:rPr>
          <w:rFonts w:asciiTheme="minorHAnsi" w:hAnsiTheme="minorHAnsi" w:cstheme="minorHAnsi"/>
          <w:sz w:val="22"/>
          <w:szCs w:val="22"/>
        </w:rPr>
      </w:pPr>
      <w:r w:rsidRPr="00A34F8A">
        <w:rPr>
          <w:rFonts w:asciiTheme="minorHAnsi" w:hAnsiTheme="minorHAnsi" w:cstheme="minorHAnsi"/>
          <w:sz w:val="22"/>
          <w:szCs w:val="22"/>
        </w:rPr>
        <w:t>If it is resolved to proceed, a Decision RIS (incorporating feedback on the Consultation RIS policy proposals) will be submitted to the Energy and Climate Change Ministerial Council.</w:t>
      </w:r>
    </w:p>
    <w:p w14:paraId="19747116" w14:textId="77777777" w:rsidR="00634772" w:rsidRPr="00A34F8A" w:rsidRDefault="00634772" w:rsidP="00634772">
      <w:pPr>
        <w:pStyle w:val="Bullet-Level1"/>
        <w:rPr>
          <w:rFonts w:asciiTheme="minorHAnsi" w:hAnsiTheme="minorHAnsi" w:cstheme="minorHAnsi"/>
          <w:sz w:val="22"/>
          <w:szCs w:val="22"/>
        </w:rPr>
      </w:pPr>
      <w:r w:rsidRPr="00A34F8A">
        <w:rPr>
          <w:rFonts w:asciiTheme="minorHAnsi" w:hAnsiTheme="minorHAnsi" w:cstheme="minorHAnsi"/>
          <w:sz w:val="22"/>
          <w:szCs w:val="22"/>
        </w:rPr>
        <w:t>If a policy proposal in the Decision RIS is approved by the Energy and Climate Change Ministerial Council, the legal instruments (referred to as GEMS Determinations) will be created or revised.</w:t>
      </w:r>
    </w:p>
    <w:p w14:paraId="232306B3" w14:textId="77777777" w:rsidR="00634772" w:rsidRPr="00A34F8A" w:rsidRDefault="00634772" w:rsidP="00634772">
      <w:pPr>
        <w:pStyle w:val="Bullet-Level1"/>
        <w:rPr>
          <w:rFonts w:asciiTheme="minorHAnsi" w:hAnsiTheme="minorHAnsi" w:cstheme="minorHAnsi"/>
          <w:sz w:val="22"/>
          <w:szCs w:val="22"/>
        </w:rPr>
      </w:pPr>
      <w:r w:rsidRPr="00A34F8A">
        <w:rPr>
          <w:rFonts w:asciiTheme="minorHAnsi" w:hAnsiTheme="minorHAnsi" w:cstheme="minorHAnsi"/>
          <w:sz w:val="22"/>
          <w:szCs w:val="22"/>
        </w:rPr>
        <w:t>Once Ministerial approval is provided for the revised Determinations, there will be a period before any policy change comes into force.</w:t>
      </w:r>
    </w:p>
    <w:p w14:paraId="11ECC930" w14:textId="57E4CF08" w:rsidR="00634772" w:rsidRPr="00CF2B2D" w:rsidRDefault="00634772" w:rsidP="00634772">
      <w:pPr>
        <w:pStyle w:val="Heading2"/>
      </w:pPr>
      <w:bookmarkStart w:id="167" w:name="_Toc168660664"/>
      <w:bookmarkStart w:id="168" w:name="_Toc183163290"/>
      <w:r w:rsidRPr="00CF2B2D">
        <w:t>New Zealand</w:t>
      </w:r>
      <w:bookmarkEnd w:id="167"/>
      <w:bookmarkEnd w:id="168"/>
    </w:p>
    <w:p w14:paraId="03AC1E14" w14:textId="42D56EB3" w:rsidR="00881771" w:rsidRPr="00A34F8A" w:rsidRDefault="00881771" w:rsidP="00881771">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Policy proposals will be considered by New Zealand Cabinet, and if approved the </w:t>
      </w:r>
      <w:r w:rsidRPr="00A34F8A">
        <w:rPr>
          <w:rFonts w:asciiTheme="minorHAnsi" w:hAnsiTheme="minorHAnsi" w:cstheme="minorHAnsi"/>
          <w:i/>
          <w:iCs/>
          <w:sz w:val="22"/>
          <w:szCs w:val="22"/>
        </w:rPr>
        <w:t>Energy Efficiency (Energy Using Products) Regulations 2002</w:t>
      </w:r>
      <w:r w:rsidRPr="00A34F8A">
        <w:rPr>
          <w:rFonts w:asciiTheme="minorHAnsi" w:hAnsiTheme="minorHAnsi" w:cstheme="minorHAnsi"/>
          <w:sz w:val="22"/>
          <w:szCs w:val="22"/>
        </w:rPr>
        <w:t xml:space="preserve"> will be amended to incorporate the new requirements. </w:t>
      </w:r>
    </w:p>
    <w:p w14:paraId="7D0AA553" w14:textId="1A7E7188" w:rsidR="00881771" w:rsidRPr="00A34F8A" w:rsidRDefault="00881771" w:rsidP="00881771">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Once the amended Energy Efficiency (Energy Using Products) Regulations 2002 have been approved by Cabinet, there will be a minimum 6-month period before they come into force. The implementation timing of legislation in Australia and New Zealand will be aligned where possible. </w:t>
      </w:r>
    </w:p>
    <w:p w14:paraId="1C756CF9" w14:textId="77777777" w:rsidR="00881771" w:rsidRPr="00A34F8A" w:rsidRDefault="00881771" w:rsidP="00881771">
      <w:pPr>
        <w:rPr>
          <w:rFonts w:asciiTheme="minorHAnsi" w:hAnsiTheme="minorHAnsi" w:cstheme="minorHAnsi"/>
          <w:szCs w:val="22"/>
        </w:rPr>
      </w:pPr>
      <w:r w:rsidRPr="00A34F8A">
        <w:rPr>
          <w:rFonts w:asciiTheme="minorHAnsi" w:hAnsiTheme="minorHAnsi" w:cstheme="minorHAnsi"/>
          <w:szCs w:val="22"/>
        </w:rPr>
        <w:t>Given the E3 Program’s experience with implementing or revising energy efficiency requirements, the risks associated with implementation are considered to be low. Any transitional arrangements will be developed in close consultation with industry.</w:t>
      </w:r>
    </w:p>
    <w:p w14:paraId="35BFD656" w14:textId="3B580103" w:rsidR="00BF1ACD" w:rsidRPr="00A34F8A" w:rsidRDefault="00BF1ACD" w:rsidP="00CF2B2D">
      <w:pPr>
        <w:pStyle w:val="Heading2"/>
      </w:pPr>
      <w:bookmarkStart w:id="169" w:name="_Toc168660742"/>
      <w:bookmarkStart w:id="170" w:name="_Toc183163291"/>
      <w:r w:rsidRPr="00A34F8A">
        <w:lastRenderedPageBreak/>
        <w:t>Implementation – next steps for industry</w:t>
      </w:r>
      <w:bookmarkEnd w:id="169"/>
      <w:bookmarkEnd w:id="170"/>
    </w:p>
    <w:p w14:paraId="2C5559D7" w14:textId="56DA41DA" w:rsidR="002F2A11" w:rsidRPr="00A34F8A" w:rsidRDefault="002F2A11" w:rsidP="002F2A11">
      <w:pPr>
        <w:rPr>
          <w:rFonts w:asciiTheme="minorHAnsi" w:hAnsiTheme="minorHAnsi" w:cstheme="minorHAnsi"/>
          <w:szCs w:val="22"/>
        </w:rPr>
      </w:pPr>
      <w:r w:rsidRPr="00A34F8A">
        <w:rPr>
          <w:rFonts w:asciiTheme="minorHAnsi" w:hAnsiTheme="minorHAnsi" w:cstheme="minorHAnsi"/>
          <w:szCs w:val="22"/>
        </w:rPr>
        <w:t xml:space="preserve">In Australia, once the changes </w:t>
      </w:r>
      <w:r w:rsidR="00E625BD">
        <w:rPr>
          <w:rFonts w:asciiTheme="minorHAnsi" w:hAnsiTheme="minorHAnsi" w:cstheme="minorHAnsi"/>
          <w:szCs w:val="22"/>
        </w:rPr>
        <w:t xml:space="preserve">(if any) </w:t>
      </w:r>
      <w:r w:rsidRPr="00A34F8A">
        <w:rPr>
          <w:rFonts w:asciiTheme="minorHAnsi" w:hAnsiTheme="minorHAnsi" w:cstheme="minorHAnsi"/>
          <w:szCs w:val="22"/>
        </w:rPr>
        <w:t>are in force:</w:t>
      </w:r>
    </w:p>
    <w:p w14:paraId="61646525"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EPS imported or manufactured prior to the law change that don’t meet the new requirements may still be supplied until stock is depleted. Their registrations will be grandfathered (status changed to “Superseded” in the registration system). Evidence of date of import may be requested for compliance purposes. New import or manufacture of these products from the date of the law change is not permitted.</w:t>
      </w:r>
    </w:p>
    <w:p w14:paraId="638926B0" w14:textId="6AF33AAA"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Registered EPS imported or manufactured prior to the law change that already meet the new requirements may continue to be supplied. Their registrations will be re-validated and updated to the new GEMS determination.</w:t>
      </w:r>
    </w:p>
    <w:p w14:paraId="1F9E1D82"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Suppliers wishing to import or manufacture models that are in scope and do not have an approved registration, will need to complete a registration application, pay the registration fee and lodge the application with the GEMS Regulator.</w:t>
      </w:r>
    </w:p>
    <w:p w14:paraId="0FDEC977"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Unregistered products that fall within the scope of the Determination are not permitted to be supplied or used for any commercial purpose at any time.</w:t>
      </w:r>
    </w:p>
    <w:p w14:paraId="70E38769" w14:textId="1E3D3CC6" w:rsidR="002F2A11" w:rsidRPr="00A34F8A" w:rsidRDefault="002F2A11" w:rsidP="002F2A11">
      <w:pPr>
        <w:rPr>
          <w:rFonts w:asciiTheme="minorHAnsi" w:hAnsiTheme="minorHAnsi" w:cstheme="minorHAnsi"/>
          <w:szCs w:val="22"/>
        </w:rPr>
      </w:pPr>
      <w:r w:rsidRPr="00A34F8A">
        <w:rPr>
          <w:rFonts w:asciiTheme="minorHAnsi" w:hAnsiTheme="minorHAnsi" w:cstheme="minorHAnsi"/>
          <w:szCs w:val="22"/>
        </w:rPr>
        <w:t xml:space="preserve">In New Zealand, once the changes </w:t>
      </w:r>
      <w:r w:rsidR="00E625BD">
        <w:rPr>
          <w:rFonts w:asciiTheme="minorHAnsi" w:hAnsiTheme="minorHAnsi" w:cstheme="minorHAnsi"/>
          <w:szCs w:val="22"/>
        </w:rPr>
        <w:t xml:space="preserve">(if any) </w:t>
      </w:r>
      <w:r w:rsidRPr="00A34F8A">
        <w:rPr>
          <w:rFonts w:asciiTheme="minorHAnsi" w:hAnsiTheme="minorHAnsi" w:cstheme="minorHAnsi"/>
          <w:szCs w:val="22"/>
        </w:rPr>
        <w:t>are in force:</w:t>
      </w:r>
    </w:p>
    <w:p w14:paraId="63CEB54A"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The regulations the EPS must comply with are dependent on the date of importation or manufacture in New Zealand. </w:t>
      </w:r>
    </w:p>
    <w:p w14:paraId="0C0DB253"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If the EPS is imported or manufactured in New Zealand before the enforcement date of the amended regulations it must comply with the pre-amended regulations. i.e. for the current scope be registered in Australia or New Zealand, display the efficiency mark on their nameplate, and meet MEPS requirement of III. </w:t>
      </w:r>
    </w:p>
    <w:p w14:paraId="047ED6D9"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If the EPS is imported or manufactured in New Zealand from the enforcement date of the amended regulations it must comply with the amended regulations. i.e. be registered in Australia or New Zealand, display the efficiency mark on their nameplate, and meet the higher MEPS requirement e.g. VI (dependent on policy option).</w:t>
      </w:r>
    </w:p>
    <w:p w14:paraId="1104FB42"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All currently registered EPS will be assessed against the new requirements, and if they comply, they will be upgraded to the new regulations. If the EPS registration does not comply its status will change to superseded, meaning that existing stock imported or manufactured in New Zealand before the enforcement date can made for sale, lease, hire, or hire-purchase, but no new stock may be imported or manufactured in New Zealand. </w:t>
      </w:r>
    </w:p>
    <w:p w14:paraId="0727BDD7"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EPS captured by the expanded scope and are imported or manufactured in New Zealand from the enforcement date, will need to comply with the amended requirements. </w:t>
      </w:r>
    </w:p>
    <w:p w14:paraId="1AAA90B0" w14:textId="77777777" w:rsidR="002F2A11" w:rsidRPr="00A34F8A" w:rsidRDefault="002F2A11" w:rsidP="002F2A11">
      <w:pPr>
        <w:pStyle w:val="Bullet-Level1"/>
        <w:rPr>
          <w:rFonts w:asciiTheme="minorHAnsi" w:hAnsiTheme="minorHAnsi" w:cstheme="minorHAnsi"/>
          <w:sz w:val="22"/>
          <w:szCs w:val="22"/>
        </w:rPr>
      </w:pPr>
      <w:r w:rsidRPr="00A34F8A">
        <w:rPr>
          <w:rFonts w:asciiTheme="minorHAnsi" w:hAnsiTheme="minorHAnsi" w:cstheme="minorHAnsi"/>
          <w:sz w:val="22"/>
          <w:szCs w:val="22"/>
        </w:rPr>
        <w:t xml:space="preserve">It should be noted that the Trans-Tasman Mutual Recognition Agreement can be used to supply products in Australia or New Zealand: </w:t>
      </w:r>
      <w:hyperlink r:id="rId29" w:history="1">
        <w:r w:rsidRPr="00A34F8A">
          <w:rPr>
            <w:rStyle w:val="Hyperlink"/>
            <w:rFonts w:asciiTheme="minorHAnsi" w:hAnsiTheme="minorHAnsi" w:cstheme="minorHAnsi"/>
            <w:sz w:val="22"/>
            <w:szCs w:val="22"/>
          </w:rPr>
          <w:t>Trans-Tasman Mutual Recognition Agreement and Free Trade Agreements | EECA</w:t>
        </w:r>
      </w:hyperlink>
    </w:p>
    <w:p w14:paraId="1C7D7087" w14:textId="77777777" w:rsidR="002F2A11" w:rsidRPr="00A34F8A" w:rsidRDefault="002F2A11" w:rsidP="002F2A11">
      <w:pPr>
        <w:rPr>
          <w:rFonts w:asciiTheme="minorHAnsi" w:hAnsiTheme="minorHAnsi" w:cstheme="minorHAnsi"/>
          <w:szCs w:val="22"/>
        </w:rPr>
      </w:pPr>
      <w:r w:rsidRPr="00A34F8A">
        <w:rPr>
          <w:rFonts w:asciiTheme="minorHAnsi" w:hAnsiTheme="minorHAnsi" w:cstheme="minorHAnsi"/>
          <w:szCs w:val="22"/>
        </w:rPr>
        <w:lastRenderedPageBreak/>
        <w:t>Australian and New Zealand regulators undertake compliance activities, involving education, surveys, store inspections and checking claims in media. They also purchase EPS using a risk-based approach, for the purpose of laboratory check testing, to assess whether efficiency claims made in registrations are accurate.</w:t>
      </w:r>
    </w:p>
    <w:p w14:paraId="2A17F609" w14:textId="4D3F047A" w:rsidR="002F2A11" w:rsidRPr="00A34F8A" w:rsidRDefault="002F2A11" w:rsidP="00CF2B2D">
      <w:pPr>
        <w:pStyle w:val="Heading2"/>
      </w:pPr>
      <w:bookmarkStart w:id="171" w:name="_Toc168660743"/>
      <w:bookmarkStart w:id="172" w:name="_Toc183163292"/>
      <w:r w:rsidRPr="00A34F8A">
        <w:t>Evaluation</w:t>
      </w:r>
      <w:bookmarkEnd w:id="171"/>
      <w:bookmarkEnd w:id="172"/>
    </w:p>
    <w:p w14:paraId="51B28418" w14:textId="77777777" w:rsidR="004F2CE5" w:rsidRPr="00A34F8A" w:rsidRDefault="004F2CE5" w:rsidP="004F2CE5">
      <w:pPr>
        <w:rPr>
          <w:rFonts w:asciiTheme="minorHAnsi" w:hAnsiTheme="minorHAnsi" w:cstheme="minorHAnsi"/>
          <w:szCs w:val="22"/>
        </w:rPr>
      </w:pPr>
      <w:r w:rsidRPr="00A34F8A">
        <w:rPr>
          <w:rFonts w:asciiTheme="minorHAnsi" w:hAnsiTheme="minorHAnsi" w:cstheme="minorHAnsi"/>
          <w:szCs w:val="22"/>
        </w:rPr>
        <w:t>The E3 Program uses various sources of information to evaluate both the effectiveness of the program and product category requirements. This includes retrospective reviews to compare the effect of policies versus what was projected in RIS analysis; analysing sales data to understand changes in product market share, consumer awareness and usage of energy efficiency labelling; tracking the hits on the Energy Rating website; and utilising ABS and other surveys of consumer intent and consideration of energy efficiency in purchase decisions.</w:t>
      </w:r>
    </w:p>
    <w:p w14:paraId="48826F5D" w14:textId="7B25B6CB" w:rsidR="004F2CE5" w:rsidRPr="00A34F8A" w:rsidRDefault="004F2CE5" w:rsidP="004F2CE5">
      <w:pPr>
        <w:rPr>
          <w:rFonts w:asciiTheme="minorHAnsi" w:hAnsiTheme="minorHAnsi" w:cstheme="minorHAnsi"/>
          <w:szCs w:val="22"/>
        </w:rPr>
      </w:pPr>
      <w:r w:rsidRPr="00A34F8A">
        <w:rPr>
          <w:rFonts w:asciiTheme="minorHAnsi" w:hAnsiTheme="minorHAnsi" w:cstheme="minorHAnsi"/>
          <w:szCs w:val="22"/>
        </w:rPr>
        <w:t xml:space="preserve">In New Zealand, </w:t>
      </w:r>
      <w:r w:rsidR="005A373A">
        <w:rPr>
          <w:rFonts w:asciiTheme="minorHAnsi" w:hAnsiTheme="minorHAnsi" w:cstheme="minorHAnsi"/>
          <w:szCs w:val="22"/>
        </w:rPr>
        <w:t>by 1 August each year</w:t>
      </w:r>
      <w:r w:rsidRPr="00A34F8A">
        <w:rPr>
          <w:rFonts w:asciiTheme="minorHAnsi" w:hAnsiTheme="minorHAnsi" w:cstheme="minorHAnsi"/>
          <w:szCs w:val="22"/>
        </w:rPr>
        <w:t xml:space="preserve">, sales data from EPS suppliers is requested on how many products </w:t>
      </w:r>
      <w:r w:rsidR="005A373A">
        <w:rPr>
          <w:rFonts w:asciiTheme="minorHAnsi" w:hAnsiTheme="minorHAnsi" w:cstheme="minorHAnsi"/>
          <w:szCs w:val="22"/>
        </w:rPr>
        <w:t xml:space="preserve">(in scope) </w:t>
      </w:r>
      <w:r w:rsidRPr="00A34F8A">
        <w:rPr>
          <w:rFonts w:asciiTheme="minorHAnsi" w:hAnsiTheme="minorHAnsi" w:cstheme="minorHAnsi"/>
          <w:szCs w:val="22"/>
        </w:rPr>
        <w:t>they have sold and various energy efficiencies, so that energy savings can be tracked against predictions.</w:t>
      </w:r>
    </w:p>
    <w:p w14:paraId="6C088435" w14:textId="77777777" w:rsidR="002745BE" w:rsidRPr="00362B92" w:rsidRDefault="002745BE" w:rsidP="003507B5">
      <w:pPr>
        <w:rPr>
          <w:rFonts w:eastAsiaTheme="majorEastAsia"/>
          <w:color w:val="000000" w:themeColor="text1"/>
        </w:rPr>
      </w:pPr>
      <w:r w:rsidRPr="00362B92">
        <w:rPr>
          <w:color w:val="000000" w:themeColor="text1"/>
        </w:rPr>
        <w:br w:type="page"/>
      </w:r>
    </w:p>
    <w:p w14:paraId="0BF23458" w14:textId="55EC79C6" w:rsidR="009A717B" w:rsidRPr="002749EA" w:rsidRDefault="009A717B" w:rsidP="009A717B">
      <w:pPr>
        <w:pStyle w:val="ChapterTitle"/>
        <w:rPr>
          <w:rFonts w:asciiTheme="minorHAnsi" w:hAnsiTheme="minorHAnsi" w:cstheme="minorHAnsi"/>
          <w:sz w:val="32"/>
          <w:szCs w:val="32"/>
        </w:rPr>
      </w:pPr>
      <w:bookmarkStart w:id="173" w:name="_Toc168660744"/>
      <w:bookmarkStart w:id="174" w:name="_Toc183163293"/>
      <w:r w:rsidRPr="002749EA">
        <w:rPr>
          <w:rFonts w:asciiTheme="minorHAnsi" w:hAnsiTheme="minorHAnsi" w:cstheme="minorHAnsi"/>
          <w:sz w:val="32"/>
          <w:szCs w:val="32"/>
        </w:rPr>
        <w:lastRenderedPageBreak/>
        <w:t>References</w:t>
      </w:r>
      <w:bookmarkEnd w:id="173"/>
      <w:bookmarkEnd w:id="174"/>
    </w:p>
    <w:p w14:paraId="24986A20" w14:textId="77777777" w:rsidR="005558FC" w:rsidRDefault="00BA1797" w:rsidP="005558FC">
      <w:pPr>
        <w:pStyle w:val="Bibliography"/>
        <w:ind w:left="720" w:hanging="720"/>
        <w:rPr>
          <w:noProof/>
          <w:sz w:val="24"/>
        </w:rPr>
      </w:pPr>
      <w:r>
        <w:rPr>
          <w:rFonts w:asciiTheme="minorHAnsi" w:eastAsia="Calibri" w:hAnsiTheme="minorHAnsi" w:cstheme="minorHAnsi"/>
          <w:szCs w:val="22"/>
        </w:rPr>
        <w:fldChar w:fldCharType="begin"/>
      </w:r>
      <w:r>
        <w:rPr>
          <w:rFonts w:asciiTheme="minorHAnsi" w:eastAsia="Calibri" w:hAnsiTheme="minorHAnsi" w:cstheme="minorHAnsi"/>
          <w:szCs w:val="22"/>
        </w:rPr>
        <w:instrText xml:space="preserve"> BIBLIOGRAPHY </w:instrText>
      </w:r>
      <w:r>
        <w:rPr>
          <w:rFonts w:asciiTheme="minorHAnsi" w:eastAsia="Calibri" w:hAnsiTheme="minorHAnsi" w:cstheme="minorHAnsi"/>
          <w:szCs w:val="22"/>
        </w:rPr>
        <w:fldChar w:fldCharType="separate"/>
      </w:r>
      <w:r w:rsidR="005558FC">
        <w:rPr>
          <w:noProof/>
        </w:rPr>
        <w:t xml:space="preserve">360 Compliance. (2016, February). </w:t>
      </w:r>
      <w:r w:rsidR="005558FC">
        <w:rPr>
          <w:i/>
          <w:iCs/>
          <w:noProof/>
        </w:rPr>
        <w:t>External Power Supplies Must Meet Level VI Energy Efficiency Requirements for U.S. DoE</w:t>
      </w:r>
      <w:r w:rsidR="005558FC">
        <w:rPr>
          <w:noProof/>
        </w:rPr>
        <w:t>. Retrieved 2023, from https://360compliance.co/energy-efficiency/rpsum-dolor-sit-amet-consectetuer-adipiscing-elit/</w:t>
      </w:r>
    </w:p>
    <w:p w14:paraId="062C1C87" w14:textId="77777777" w:rsidR="005558FC" w:rsidRDefault="005558FC" w:rsidP="005558FC">
      <w:pPr>
        <w:pStyle w:val="Bibliography"/>
        <w:ind w:left="720" w:hanging="720"/>
        <w:rPr>
          <w:noProof/>
        </w:rPr>
      </w:pPr>
      <w:r>
        <w:rPr>
          <w:noProof/>
        </w:rPr>
        <w:t xml:space="preserve">ACIL Allen. (2022). </w:t>
      </w:r>
      <w:r>
        <w:rPr>
          <w:i/>
          <w:iCs/>
          <w:noProof/>
        </w:rPr>
        <w:t>National Construction Code 2022: Decision Regulation Impact Statement for a proposal to increase residential building energy efficiency requirements.</w:t>
      </w:r>
      <w:r>
        <w:rPr>
          <w:noProof/>
        </w:rPr>
        <w:t xml:space="preserve"> ACIL Allen.</w:t>
      </w:r>
    </w:p>
    <w:p w14:paraId="654F24C8" w14:textId="77777777" w:rsidR="005558FC" w:rsidRDefault="005558FC" w:rsidP="005558FC">
      <w:pPr>
        <w:pStyle w:val="Bibliography"/>
        <w:ind w:left="720" w:hanging="720"/>
        <w:rPr>
          <w:noProof/>
        </w:rPr>
      </w:pPr>
      <w:r>
        <w:rPr>
          <w:noProof/>
        </w:rPr>
        <w:t xml:space="preserve">Australian Academy of Technological Sciences and Engineering. (2009). </w:t>
      </w:r>
      <w:r>
        <w:rPr>
          <w:i/>
          <w:iCs/>
          <w:noProof/>
        </w:rPr>
        <w:t>The Hidden Costs of Electricity: Externalities of Power Generation in Australia.</w:t>
      </w:r>
      <w:r>
        <w:rPr>
          <w:noProof/>
        </w:rPr>
        <w:t xml:space="preserve"> ATSE.</w:t>
      </w:r>
    </w:p>
    <w:p w14:paraId="28430046" w14:textId="77777777" w:rsidR="005558FC" w:rsidRDefault="005558FC" w:rsidP="005558FC">
      <w:pPr>
        <w:pStyle w:val="Bibliography"/>
        <w:ind w:left="720" w:hanging="720"/>
        <w:rPr>
          <w:noProof/>
        </w:rPr>
      </w:pPr>
      <w:r>
        <w:rPr>
          <w:noProof/>
        </w:rPr>
        <w:t xml:space="preserve">Australian Bureau of Statistics. (2018, November 22). </w:t>
      </w:r>
      <w:r>
        <w:rPr>
          <w:i/>
          <w:iCs/>
          <w:noProof/>
        </w:rPr>
        <w:t>Population Projections, Australia.</w:t>
      </w:r>
      <w:r>
        <w:rPr>
          <w:noProof/>
        </w:rPr>
        <w:t xml:space="preserve"> Retrieved April 21, 2023, from https://www.abs.gov.au/statistics/people/population/population-projections-australia/latest-release</w:t>
      </w:r>
    </w:p>
    <w:p w14:paraId="2D6E3B52" w14:textId="77777777" w:rsidR="005558FC" w:rsidRDefault="005558FC" w:rsidP="005558FC">
      <w:pPr>
        <w:pStyle w:val="Bibliography"/>
        <w:ind w:left="720" w:hanging="720"/>
        <w:rPr>
          <w:noProof/>
        </w:rPr>
      </w:pPr>
      <w:r>
        <w:rPr>
          <w:noProof/>
        </w:rPr>
        <w:t xml:space="preserve">Australian Energy Market Commission. (2024). </w:t>
      </w:r>
      <w:r>
        <w:rPr>
          <w:i/>
          <w:iCs/>
          <w:noProof/>
        </w:rPr>
        <w:t>How the national energy objectives shape our decisions, Final Guidelies.</w:t>
      </w:r>
      <w:r>
        <w:rPr>
          <w:noProof/>
        </w:rPr>
        <w:t xml:space="preserve"> </w:t>
      </w:r>
    </w:p>
    <w:p w14:paraId="78E693F9" w14:textId="77777777" w:rsidR="005558FC" w:rsidRDefault="005558FC" w:rsidP="005558FC">
      <w:pPr>
        <w:pStyle w:val="Bibliography"/>
        <w:ind w:left="720" w:hanging="720"/>
        <w:rPr>
          <w:noProof/>
        </w:rPr>
      </w:pPr>
      <w:r>
        <w:rPr>
          <w:noProof/>
        </w:rPr>
        <w:t xml:space="preserve">Australian Govermnet: Energy Rating. (n.d.). </w:t>
      </w:r>
      <w:r>
        <w:rPr>
          <w:i/>
          <w:iCs/>
          <w:noProof/>
        </w:rPr>
        <w:t>External Power Supplies</w:t>
      </w:r>
      <w:r>
        <w:rPr>
          <w:noProof/>
        </w:rPr>
        <w:t>. Retrieved 2023, from https://www.energyrating.gov.au/industry-information/products/external-power-supplies</w:t>
      </w:r>
    </w:p>
    <w:p w14:paraId="40C7B9D5" w14:textId="77777777" w:rsidR="005558FC" w:rsidRDefault="005558FC" w:rsidP="005558FC">
      <w:pPr>
        <w:pStyle w:val="Bibliography"/>
        <w:ind w:left="720" w:hanging="720"/>
        <w:rPr>
          <w:noProof/>
        </w:rPr>
      </w:pPr>
      <w:r>
        <w:rPr>
          <w:noProof/>
        </w:rPr>
        <w:t xml:space="preserve">Australian Government. (2014, November 21). </w:t>
      </w:r>
      <w:r>
        <w:rPr>
          <w:i/>
          <w:iCs/>
          <w:noProof/>
        </w:rPr>
        <w:t>Greenhouse and Energy Minimum Standards (External Power Supplies) Determination 2014.</w:t>
      </w:r>
      <w:r>
        <w:rPr>
          <w:noProof/>
        </w:rPr>
        <w:t xml:space="preserve"> Retrieved August 2, 2023, from https://www.legislation.gov.au/Details/F2014L01580</w:t>
      </w:r>
    </w:p>
    <w:p w14:paraId="4930FC51" w14:textId="77777777" w:rsidR="005558FC" w:rsidRDefault="005558FC" w:rsidP="005558FC">
      <w:pPr>
        <w:pStyle w:val="Bibliography"/>
        <w:ind w:left="720" w:hanging="720"/>
        <w:rPr>
          <w:noProof/>
        </w:rPr>
      </w:pPr>
      <w:r>
        <w:rPr>
          <w:noProof/>
        </w:rPr>
        <w:t xml:space="preserve">Australian Government Department of Climate Change, Energy, the Environment and Water. (2023). </w:t>
      </w:r>
      <w:r>
        <w:rPr>
          <w:i/>
          <w:iCs/>
          <w:noProof/>
        </w:rPr>
        <w:t>Australia’s emissions projections 2023.</w:t>
      </w:r>
      <w:r>
        <w:rPr>
          <w:noProof/>
        </w:rPr>
        <w:t xml:space="preserve"> Commonwealth of Australia.</w:t>
      </w:r>
    </w:p>
    <w:p w14:paraId="774C8464" w14:textId="77777777" w:rsidR="005558FC" w:rsidRDefault="005558FC" w:rsidP="005558FC">
      <w:pPr>
        <w:pStyle w:val="Bibliography"/>
        <w:ind w:left="720" w:hanging="720"/>
        <w:rPr>
          <w:noProof/>
        </w:rPr>
      </w:pPr>
      <w:r>
        <w:rPr>
          <w:noProof/>
        </w:rPr>
        <w:t xml:space="preserve">Australian Government Department of Environment and Energy. (2017). </w:t>
      </w:r>
      <w:r>
        <w:rPr>
          <w:i/>
          <w:iCs/>
          <w:noProof/>
        </w:rPr>
        <w:t>Fact Sheet: External Power Supplies Minimum Energy Performance Standards.</w:t>
      </w:r>
      <w:r>
        <w:rPr>
          <w:noProof/>
        </w:rPr>
        <w:t xml:space="preserve"> </w:t>
      </w:r>
    </w:p>
    <w:p w14:paraId="4D7FEFC8" w14:textId="77777777" w:rsidR="005558FC" w:rsidRDefault="005558FC" w:rsidP="005558FC">
      <w:pPr>
        <w:pStyle w:val="Bibliography"/>
        <w:ind w:left="720" w:hanging="720"/>
        <w:rPr>
          <w:noProof/>
        </w:rPr>
      </w:pPr>
      <w:r>
        <w:rPr>
          <w:noProof/>
        </w:rPr>
        <w:t xml:space="preserve">Australian Government. (n.d.). </w:t>
      </w:r>
      <w:r>
        <w:rPr>
          <w:i/>
          <w:iCs/>
          <w:noProof/>
        </w:rPr>
        <w:t>Energy rating: external power supplies</w:t>
      </w:r>
      <w:r>
        <w:rPr>
          <w:noProof/>
        </w:rPr>
        <w:t>. Retrieved July 11, 2023, from https://www.energyrating.gov.au/industry-information/products/external-power-supplies</w:t>
      </w:r>
    </w:p>
    <w:p w14:paraId="401EA472" w14:textId="77777777" w:rsidR="005558FC" w:rsidRDefault="005558FC" w:rsidP="005558FC">
      <w:pPr>
        <w:pStyle w:val="Bibliography"/>
        <w:ind w:left="720" w:hanging="720"/>
        <w:rPr>
          <w:noProof/>
        </w:rPr>
      </w:pPr>
      <w:r>
        <w:rPr>
          <w:noProof/>
        </w:rPr>
        <w:t xml:space="preserve">Australian Government: Australian Office of Financial Management. (2022). </w:t>
      </w:r>
      <w:r>
        <w:rPr>
          <w:i/>
          <w:iCs/>
          <w:noProof/>
        </w:rPr>
        <w:t>Australian Government Climate Change COmmitments, Policies and Programs.</w:t>
      </w:r>
      <w:r>
        <w:rPr>
          <w:noProof/>
        </w:rPr>
        <w:t xml:space="preserve"> </w:t>
      </w:r>
    </w:p>
    <w:p w14:paraId="72978C9E" w14:textId="77777777" w:rsidR="005558FC" w:rsidRDefault="005558FC" w:rsidP="005558FC">
      <w:pPr>
        <w:pStyle w:val="Bibliography"/>
        <w:ind w:left="720" w:hanging="720"/>
        <w:rPr>
          <w:noProof/>
        </w:rPr>
      </w:pPr>
      <w:r>
        <w:rPr>
          <w:noProof/>
        </w:rPr>
        <w:t xml:space="preserve">Australian, State and Territory and New Zealand Governments . (2020). </w:t>
      </w:r>
      <w:r>
        <w:rPr>
          <w:i/>
          <w:iCs/>
          <w:noProof/>
        </w:rPr>
        <w:t>Legislation</w:t>
      </w:r>
      <w:r>
        <w:rPr>
          <w:noProof/>
        </w:rPr>
        <w:t>. Retrieved October 4, 2022, from https://www.energyrating.gov.au/suppliers/legislation#:~:text=Legislative%20Framework-,Overview,administering%20the%20legislation%20in%20Australia</w:t>
      </w:r>
    </w:p>
    <w:p w14:paraId="3AFA761F" w14:textId="77777777" w:rsidR="005558FC" w:rsidRDefault="005558FC" w:rsidP="005558FC">
      <w:pPr>
        <w:pStyle w:val="Bibliography"/>
        <w:ind w:left="720" w:hanging="720"/>
        <w:rPr>
          <w:noProof/>
        </w:rPr>
      </w:pPr>
      <w:r>
        <w:rPr>
          <w:noProof/>
        </w:rPr>
        <w:t xml:space="preserve">Australian, State and Territory and New Zealand Governments. (n.d.). </w:t>
      </w:r>
      <w:r>
        <w:rPr>
          <w:i/>
          <w:iCs/>
          <w:noProof/>
        </w:rPr>
        <w:t>About the E3 program</w:t>
      </w:r>
      <w:r>
        <w:rPr>
          <w:noProof/>
        </w:rPr>
        <w:t>. Retrieved October 4, 2022, from https://www.energyrating.gov.au/about</w:t>
      </w:r>
    </w:p>
    <w:p w14:paraId="35924C51" w14:textId="77777777" w:rsidR="005558FC" w:rsidRDefault="005558FC" w:rsidP="005558FC">
      <w:pPr>
        <w:pStyle w:val="Bibliography"/>
        <w:ind w:left="720" w:hanging="720"/>
        <w:rPr>
          <w:noProof/>
        </w:rPr>
      </w:pPr>
      <w:r>
        <w:rPr>
          <w:noProof/>
        </w:rPr>
        <w:t xml:space="preserve">Brown, S. (2022). </w:t>
      </w:r>
      <w:r>
        <w:rPr>
          <w:i/>
          <w:iCs/>
          <w:noProof/>
        </w:rPr>
        <w:t>International External Power Supply Regulations.</w:t>
      </w:r>
      <w:r>
        <w:rPr>
          <w:noProof/>
        </w:rPr>
        <w:t xml:space="preserve"> Campbell: Renesas.</w:t>
      </w:r>
    </w:p>
    <w:p w14:paraId="48869D16" w14:textId="77777777" w:rsidR="005558FC" w:rsidRDefault="005558FC" w:rsidP="005558FC">
      <w:pPr>
        <w:pStyle w:val="Bibliography"/>
        <w:ind w:left="720" w:hanging="720"/>
        <w:rPr>
          <w:noProof/>
        </w:rPr>
      </w:pPr>
      <w:r>
        <w:rPr>
          <w:noProof/>
        </w:rPr>
        <w:lastRenderedPageBreak/>
        <w:t xml:space="preserve">China Quality Certification Centre. (n.d.). </w:t>
      </w:r>
      <w:r>
        <w:rPr>
          <w:i/>
          <w:iCs/>
          <w:noProof/>
        </w:rPr>
        <w:t>Energy-saving certification rules for single-output AC -DC and AC -AC external power supplies.</w:t>
      </w:r>
      <w:r>
        <w:rPr>
          <w:noProof/>
        </w:rPr>
        <w:t xml:space="preserve"> 2014.</w:t>
      </w:r>
    </w:p>
    <w:p w14:paraId="6F4530C7" w14:textId="77777777" w:rsidR="005558FC" w:rsidRDefault="005558FC" w:rsidP="005558FC">
      <w:pPr>
        <w:pStyle w:val="Bibliography"/>
        <w:ind w:left="720" w:hanging="720"/>
        <w:rPr>
          <w:noProof/>
        </w:rPr>
      </w:pPr>
      <w:r>
        <w:rPr>
          <w:noProof/>
        </w:rPr>
        <w:t xml:space="preserve">COAG Energy Council. (2015). </w:t>
      </w:r>
      <w:r>
        <w:rPr>
          <w:i/>
          <w:iCs/>
          <w:noProof/>
        </w:rPr>
        <w:t>National Energy Productivity Plan 2015 - 2030.</w:t>
      </w:r>
      <w:r>
        <w:rPr>
          <w:noProof/>
        </w:rPr>
        <w:t xml:space="preserve"> </w:t>
      </w:r>
    </w:p>
    <w:p w14:paraId="4C6D2FB0" w14:textId="77777777" w:rsidR="005558FC" w:rsidRDefault="005558FC" w:rsidP="005558FC">
      <w:pPr>
        <w:pStyle w:val="Bibliography"/>
        <w:ind w:left="720" w:hanging="720"/>
        <w:rPr>
          <w:noProof/>
        </w:rPr>
      </w:pPr>
      <w:r>
        <w:rPr>
          <w:noProof/>
        </w:rPr>
        <w:t xml:space="preserve">Collins, R., &amp; Holt, S. (2007). </w:t>
      </w:r>
      <w:r>
        <w:rPr>
          <w:i/>
          <w:iCs/>
          <w:noProof/>
        </w:rPr>
        <w:t>Energy efficiency options for external power supplies in Australia.</w:t>
      </w:r>
      <w:r>
        <w:rPr>
          <w:noProof/>
        </w:rPr>
        <w:t xml:space="preserve"> ECEEE.</w:t>
      </w:r>
    </w:p>
    <w:p w14:paraId="13CB5446" w14:textId="77777777" w:rsidR="005558FC" w:rsidRDefault="005558FC" w:rsidP="005558FC">
      <w:pPr>
        <w:pStyle w:val="Bibliography"/>
        <w:ind w:left="720" w:hanging="720"/>
        <w:rPr>
          <w:noProof/>
        </w:rPr>
      </w:pPr>
      <w:r>
        <w:rPr>
          <w:noProof/>
        </w:rPr>
        <w:t xml:space="preserve">DCCEEW. (2022). </w:t>
      </w:r>
      <w:r>
        <w:rPr>
          <w:i/>
          <w:iCs/>
          <w:noProof/>
        </w:rPr>
        <w:t>Sunsetting Review of EPS Determination.</w:t>
      </w:r>
      <w:r>
        <w:rPr>
          <w:noProof/>
        </w:rPr>
        <w:t xml:space="preserve"> </w:t>
      </w:r>
    </w:p>
    <w:p w14:paraId="7A6CB307" w14:textId="77777777" w:rsidR="005558FC" w:rsidRDefault="005558FC" w:rsidP="005558FC">
      <w:pPr>
        <w:pStyle w:val="Bibliography"/>
        <w:ind w:left="720" w:hanging="720"/>
        <w:rPr>
          <w:noProof/>
        </w:rPr>
      </w:pPr>
      <w:r>
        <w:rPr>
          <w:noProof/>
        </w:rPr>
        <w:t xml:space="preserve">Department of Climate Change, Energy, the Environment and Water. (2024). </w:t>
      </w:r>
      <w:r>
        <w:rPr>
          <w:i/>
          <w:iCs/>
          <w:noProof/>
        </w:rPr>
        <w:t>The National Energy Performance Strategy.</w:t>
      </w:r>
      <w:r>
        <w:rPr>
          <w:noProof/>
        </w:rPr>
        <w:t xml:space="preserve"> </w:t>
      </w:r>
    </w:p>
    <w:p w14:paraId="371D1D30" w14:textId="77777777" w:rsidR="005558FC" w:rsidRDefault="005558FC" w:rsidP="005558FC">
      <w:pPr>
        <w:pStyle w:val="Bibliography"/>
        <w:ind w:left="720" w:hanging="720"/>
        <w:rPr>
          <w:noProof/>
        </w:rPr>
      </w:pPr>
      <w:r>
        <w:rPr>
          <w:noProof/>
        </w:rPr>
        <w:t xml:space="preserve">Department of Energy. (2019). </w:t>
      </w:r>
      <w:r>
        <w:rPr>
          <w:i/>
          <w:iCs/>
          <w:noProof/>
        </w:rPr>
        <w:t>Energy Conservation Program: Test Procedure for External Power Supplies: 10 CFR Part 430.</w:t>
      </w:r>
      <w:r>
        <w:rPr>
          <w:noProof/>
        </w:rPr>
        <w:t xml:space="preserve"> </w:t>
      </w:r>
    </w:p>
    <w:p w14:paraId="72F587D6" w14:textId="77777777" w:rsidR="005558FC" w:rsidRDefault="005558FC" w:rsidP="005558FC">
      <w:pPr>
        <w:pStyle w:val="Bibliography"/>
        <w:ind w:left="720" w:hanging="720"/>
        <w:rPr>
          <w:noProof/>
        </w:rPr>
      </w:pPr>
      <w:r>
        <w:rPr>
          <w:noProof/>
        </w:rPr>
        <w:t xml:space="preserve">E3 Program. (2021). </w:t>
      </w:r>
      <w:r>
        <w:rPr>
          <w:i/>
          <w:iCs/>
          <w:noProof/>
        </w:rPr>
        <w:t>Public Consultation Paper: Review of the GEMS External Power Supplies Determination.</w:t>
      </w:r>
      <w:r>
        <w:rPr>
          <w:noProof/>
        </w:rPr>
        <w:t xml:space="preserve"> Australian Government Department of Industry, Science, Energy and Resources.</w:t>
      </w:r>
    </w:p>
    <w:p w14:paraId="50690EEF" w14:textId="77777777" w:rsidR="005558FC" w:rsidRDefault="005558FC" w:rsidP="005558FC">
      <w:pPr>
        <w:pStyle w:val="Bibliography"/>
        <w:ind w:left="720" w:hanging="720"/>
        <w:rPr>
          <w:noProof/>
        </w:rPr>
      </w:pPr>
      <w:r>
        <w:rPr>
          <w:noProof/>
        </w:rPr>
        <w:t xml:space="preserve">Energy Efficiency Conservation Authority. (n.d.). </w:t>
      </w:r>
      <w:r>
        <w:rPr>
          <w:i/>
          <w:iCs/>
          <w:noProof/>
        </w:rPr>
        <w:t>Australia's Greenhouse and Energy Minimum Standards (GEMS) due to expire</w:t>
      </w:r>
      <w:r>
        <w:rPr>
          <w:noProof/>
        </w:rPr>
        <w:t>. Retrieved July 2023, from https://www.eeca.govt.nz/regulations/regulatory-requirements-under-review/australias-greenhouse-and-energy-minimum-standards-gems-due-to-expire/</w:t>
      </w:r>
    </w:p>
    <w:p w14:paraId="696EB9C5" w14:textId="77777777" w:rsidR="005558FC" w:rsidRDefault="005558FC" w:rsidP="005558FC">
      <w:pPr>
        <w:pStyle w:val="Bibliography"/>
        <w:ind w:left="720" w:hanging="720"/>
        <w:rPr>
          <w:noProof/>
        </w:rPr>
      </w:pPr>
      <w:r>
        <w:rPr>
          <w:noProof/>
        </w:rPr>
        <w:t xml:space="preserve">EU Commission. (2019). </w:t>
      </w:r>
      <w:r>
        <w:rPr>
          <w:i/>
          <w:iCs/>
          <w:noProof/>
        </w:rPr>
        <w:t>COMMISSION STAFF WORKING DOCUMENT IMPACT ASSESSMENT Accompanying the document Commission Regulation laying down ecodesign requirements for external power supplies pursuant to Directive 2009/125/EC of the European Parliament and of the Council repealing Co.</w:t>
      </w:r>
      <w:r>
        <w:rPr>
          <w:noProof/>
        </w:rPr>
        <w:t xml:space="preserve"> Retrieved from https://eur-lex.europa.eu/legal-content/EN/TXT/?uri=celex%3A52019SC0345</w:t>
      </w:r>
    </w:p>
    <w:p w14:paraId="57D99754" w14:textId="77777777" w:rsidR="005558FC" w:rsidRDefault="005558FC" w:rsidP="005558FC">
      <w:pPr>
        <w:pStyle w:val="Bibliography"/>
        <w:ind w:left="720" w:hanging="720"/>
        <w:rPr>
          <w:noProof/>
        </w:rPr>
      </w:pPr>
      <w:r>
        <w:rPr>
          <w:noProof/>
        </w:rPr>
        <w:t xml:space="preserve">European Commission. (2019). COMMISSION REGULATION (EU) 2019/2021 - laying down ecodesign requirements for electronic displays pursuant to Directive 2009/125/EC of the European Parliament and of the Council, amending Commission Regulation (EC) No 1275/2008 and repealing Commission Re. </w:t>
      </w:r>
      <w:r>
        <w:rPr>
          <w:i/>
          <w:iCs/>
          <w:noProof/>
        </w:rPr>
        <w:t>Official Journal of the European Union</w:t>
      </w:r>
      <w:r>
        <w:rPr>
          <w:noProof/>
        </w:rPr>
        <w:t>.</w:t>
      </w:r>
    </w:p>
    <w:p w14:paraId="518F4669" w14:textId="77777777" w:rsidR="005558FC" w:rsidRDefault="005558FC" w:rsidP="005558FC">
      <w:pPr>
        <w:pStyle w:val="Bibliography"/>
        <w:ind w:left="720" w:hanging="720"/>
        <w:rPr>
          <w:noProof/>
        </w:rPr>
      </w:pPr>
      <w:r>
        <w:rPr>
          <w:noProof/>
        </w:rPr>
        <w:t xml:space="preserve">European Commission. (2022). DIRECTIVE (EU) 2022/2380 OF THE EUROPEAN PARLIAMENT AND OF THE COUNCIL - Amending Directive 2014/53/EU on the harmonisation of the laws of the Member States relating to the making available on the market of radio equipment. </w:t>
      </w:r>
      <w:r>
        <w:rPr>
          <w:i/>
          <w:iCs/>
          <w:noProof/>
        </w:rPr>
        <w:t>Official Journal of the European Union</w:t>
      </w:r>
      <w:r>
        <w:rPr>
          <w:noProof/>
        </w:rPr>
        <w:t>.</w:t>
      </w:r>
    </w:p>
    <w:p w14:paraId="008CFC45" w14:textId="77777777" w:rsidR="005558FC" w:rsidRDefault="005558FC" w:rsidP="005558FC">
      <w:pPr>
        <w:pStyle w:val="Bibliography"/>
        <w:ind w:left="720" w:hanging="720"/>
        <w:rPr>
          <w:noProof/>
        </w:rPr>
      </w:pPr>
      <w:r>
        <w:rPr>
          <w:noProof/>
        </w:rPr>
        <w:t xml:space="preserve">European Commission. (n.d.). </w:t>
      </w:r>
      <w:r>
        <w:rPr>
          <w:i/>
          <w:iCs/>
          <w:noProof/>
        </w:rPr>
        <w:t>One common charging solution for all</w:t>
      </w:r>
      <w:r>
        <w:rPr>
          <w:noProof/>
        </w:rPr>
        <w:t>. Retrieved July 2023, from https://single-market-economy.ec.europa.eu/sectors/electrical-and-electronic-engineering-industries-eei/radio-equipment-directive-red/one-common-charging-solution-all_en</w:t>
      </w:r>
    </w:p>
    <w:p w14:paraId="3BB6998A" w14:textId="77777777" w:rsidR="005558FC" w:rsidRDefault="005558FC" w:rsidP="005558FC">
      <w:pPr>
        <w:pStyle w:val="Bibliography"/>
        <w:ind w:left="720" w:hanging="720"/>
        <w:rPr>
          <w:noProof/>
        </w:rPr>
      </w:pPr>
      <w:r>
        <w:rPr>
          <w:noProof/>
        </w:rPr>
        <w:t xml:space="preserve">European Standard. (2011). </w:t>
      </w:r>
      <w:r>
        <w:rPr>
          <w:i/>
          <w:iCs/>
          <w:noProof/>
        </w:rPr>
        <w:t>External a.c. - d.c. and a.c. - a.c. power supplies – Determination of no-load power and average efficiency of active modes.</w:t>
      </w:r>
      <w:r>
        <w:rPr>
          <w:noProof/>
        </w:rPr>
        <w:t xml:space="preserve"> Retrieved from https://cdn.standards.iteh.ai/samples/23095/9c00e32ce7c24f4e9b4c3cc87499a353/SIST-EN-50563-2012.pdf</w:t>
      </w:r>
    </w:p>
    <w:p w14:paraId="672D1EFE" w14:textId="77777777" w:rsidR="005558FC" w:rsidRDefault="005558FC" w:rsidP="005558FC">
      <w:pPr>
        <w:pStyle w:val="Bibliography"/>
        <w:ind w:left="720" w:hanging="720"/>
        <w:rPr>
          <w:noProof/>
        </w:rPr>
      </w:pPr>
      <w:r>
        <w:rPr>
          <w:noProof/>
        </w:rPr>
        <w:t xml:space="preserve">European Union. (2022). </w:t>
      </w:r>
      <w:r>
        <w:rPr>
          <w:i/>
          <w:iCs/>
          <w:noProof/>
        </w:rPr>
        <w:t xml:space="preserve">Directive (EU) 2022/2380 of the European Parliament and of the Council of 23 November 2022 amending Directive 2014/53/EU on the harmonisation of </w:t>
      </w:r>
      <w:r>
        <w:rPr>
          <w:i/>
          <w:iCs/>
          <w:noProof/>
        </w:rPr>
        <w:lastRenderedPageBreak/>
        <w:t>the laws of the Member States relating to the making available on the market of radio equipment.</w:t>
      </w:r>
      <w:r>
        <w:rPr>
          <w:noProof/>
        </w:rPr>
        <w:t xml:space="preserve"> </w:t>
      </w:r>
    </w:p>
    <w:p w14:paraId="490AF61A" w14:textId="77777777" w:rsidR="005558FC" w:rsidRDefault="005558FC" w:rsidP="005558FC">
      <w:pPr>
        <w:pStyle w:val="Bibliography"/>
        <w:ind w:left="720" w:hanging="720"/>
        <w:rPr>
          <w:noProof/>
        </w:rPr>
      </w:pPr>
      <w:r>
        <w:rPr>
          <w:noProof/>
        </w:rPr>
        <w:t xml:space="preserve">Interagency Working Group on Social Cost of Greenhouse Gases, United States Government. (2021). </w:t>
      </w:r>
      <w:r>
        <w:rPr>
          <w:i/>
          <w:iCs/>
          <w:noProof/>
        </w:rPr>
        <w:t>Technical Support Document: Social Cost of Carbon, Methane, and Nitrous Oxide Interim Estimates under Executive Order 13990.</w:t>
      </w:r>
      <w:r>
        <w:rPr>
          <w:noProof/>
        </w:rPr>
        <w:t xml:space="preserve"> Washington DC.</w:t>
      </w:r>
    </w:p>
    <w:p w14:paraId="449018A4" w14:textId="77777777" w:rsidR="005558FC" w:rsidRDefault="005558FC" w:rsidP="005558FC">
      <w:pPr>
        <w:pStyle w:val="Bibliography"/>
        <w:ind w:left="720" w:hanging="720"/>
        <w:rPr>
          <w:noProof/>
        </w:rPr>
      </w:pPr>
      <w:r>
        <w:rPr>
          <w:noProof/>
        </w:rPr>
        <w:t xml:space="preserve">JACOBS. (2019). </w:t>
      </w:r>
      <w:r>
        <w:rPr>
          <w:i/>
          <w:iCs/>
          <w:noProof/>
        </w:rPr>
        <w:t>2019 Victorian Energy Upgrades Program Energy Market Modelling.</w:t>
      </w:r>
      <w:r>
        <w:rPr>
          <w:noProof/>
        </w:rPr>
        <w:t xml:space="preserve"> JACOBS.</w:t>
      </w:r>
    </w:p>
    <w:p w14:paraId="670E1335" w14:textId="77777777" w:rsidR="005558FC" w:rsidRDefault="005558FC" w:rsidP="005558FC">
      <w:pPr>
        <w:pStyle w:val="Bibliography"/>
        <w:ind w:left="720" w:hanging="720"/>
        <w:rPr>
          <w:noProof/>
        </w:rPr>
      </w:pPr>
      <w:r>
        <w:rPr>
          <w:noProof/>
        </w:rPr>
        <w:t xml:space="preserve">Johnson, A. (2021). </w:t>
      </w:r>
      <w:r>
        <w:rPr>
          <w:i/>
          <w:iCs/>
          <w:noProof/>
        </w:rPr>
        <w:t>External Power Supply Efficiency Regulations Outside the U.S. and E.U.</w:t>
      </w:r>
      <w:r>
        <w:rPr>
          <w:noProof/>
        </w:rPr>
        <w:t xml:space="preserve"> (The American Society of Mechanical Engineers) Retrieved 2023, from https://www.asme.org/topics-resources/content/external-power-supply-efficiency-regulations-outside-the-us-and-eu</w:t>
      </w:r>
    </w:p>
    <w:p w14:paraId="2203CAF9" w14:textId="77777777" w:rsidR="005558FC" w:rsidRDefault="005558FC" w:rsidP="005558FC">
      <w:pPr>
        <w:pStyle w:val="Bibliography"/>
        <w:ind w:left="720" w:hanging="720"/>
        <w:rPr>
          <w:noProof/>
        </w:rPr>
      </w:pPr>
      <w:r>
        <w:rPr>
          <w:noProof/>
        </w:rPr>
        <w:t xml:space="preserve">Keyway. (2019). </w:t>
      </w:r>
      <w:r>
        <w:rPr>
          <w:i/>
          <w:iCs/>
          <w:noProof/>
        </w:rPr>
        <w:t>External Power Supplies Energy Effieincy Test Report</w:t>
      </w:r>
      <w:r>
        <w:rPr>
          <w:noProof/>
        </w:rPr>
        <w:t>. Retrieved 2023, from https://www.amigoelec.com/pdf/AMS200-1201500FV_FB_F.pdf</w:t>
      </w:r>
    </w:p>
    <w:p w14:paraId="068E6975" w14:textId="77777777" w:rsidR="005558FC" w:rsidRDefault="005558FC" w:rsidP="005558FC">
      <w:pPr>
        <w:pStyle w:val="Bibliography"/>
        <w:ind w:left="720" w:hanging="720"/>
        <w:rPr>
          <w:noProof/>
        </w:rPr>
      </w:pPr>
      <w:r>
        <w:rPr>
          <w:noProof/>
        </w:rPr>
        <w:t xml:space="preserve">Keyway. (2019). </w:t>
      </w:r>
      <w:r>
        <w:rPr>
          <w:i/>
          <w:iCs/>
          <w:noProof/>
        </w:rPr>
        <w:t>https://sonoff.tech/wp-content/uploads/2022/08/813-CEC</w:t>
      </w:r>
      <w:r>
        <w:rPr>
          <w:rFonts w:ascii="Microsoft JhengHei" w:eastAsia="Microsoft JhengHei" w:hAnsi="Microsoft JhengHei" w:cs="Microsoft JhengHei" w:hint="eastAsia"/>
          <w:i/>
          <w:iCs/>
          <w:noProof/>
        </w:rPr>
        <w:t>报</w:t>
      </w:r>
      <w:r>
        <w:rPr>
          <w:rFonts w:ascii="MS Gothic" w:eastAsia="MS Gothic" w:hAnsi="MS Gothic" w:cs="MS Gothic" w:hint="eastAsia"/>
          <w:i/>
          <w:iCs/>
          <w:noProof/>
        </w:rPr>
        <w:t>告</w:t>
      </w:r>
      <w:r>
        <w:rPr>
          <w:i/>
          <w:iCs/>
          <w:noProof/>
        </w:rPr>
        <w:t>TR19110143-S-000.pdf</w:t>
      </w:r>
      <w:r>
        <w:rPr>
          <w:noProof/>
        </w:rPr>
        <w:t>. Retrieved 2023, from https://sonoff.tech/wp-content/uploads/2022/08/813-CEC</w:t>
      </w:r>
      <w:r>
        <w:rPr>
          <w:rFonts w:ascii="Microsoft JhengHei" w:eastAsia="Microsoft JhengHei" w:hAnsi="Microsoft JhengHei" w:cs="Microsoft JhengHei" w:hint="eastAsia"/>
          <w:noProof/>
        </w:rPr>
        <w:t>报</w:t>
      </w:r>
      <w:r>
        <w:rPr>
          <w:rFonts w:ascii="MS Gothic" w:eastAsia="MS Gothic" w:hAnsi="MS Gothic" w:cs="MS Gothic" w:hint="eastAsia"/>
          <w:noProof/>
        </w:rPr>
        <w:t>告</w:t>
      </w:r>
      <w:r>
        <w:rPr>
          <w:noProof/>
        </w:rPr>
        <w:t>TR19110143-S-000.pdf</w:t>
      </w:r>
    </w:p>
    <w:p w14:paraId="20706D6C" w14:textId="77777777" w:rsidR="005558FC" w:rsidRDefault="005558FC" w:rsidP="005558FC">
      <w:pPr>
        <w:pStyle w:val="Bibliography"/>
        <w:ind w:left="720" w:hanging="720"/>
        <w:rPr>
          <w:noProof/>
        </w:rPr>
      </w:pPr>
      <w:r>
        <w:rPr>
          <w:noProof/>
        </w:rPr>
        <w:t xml:space="preserve">Mazaheri, M., Scorgie, Y., Broome, R., Morgan, G., Jalaludin, B., &amp; Riley, M. (2021). Monetising Air Pollution Benefits of Clean Energy Requires Locally Specific Information. </w:t>
      </w:r>
      <w:r>
        <w:rPr>
          <w:i/>
          <w:iCs/>
          <w:noProof/>
        </w:rPr>
        <w:t>Energies, 14</w:t>
      </w:r>
      <w:r>
        <w:rPr>
          <w:noProof/>
        </w:rPr>
        <w:t>(22), 7622.</w:t>
      </w:r>
    </w:p>
    <w:p w14:paraId="14227964" w14:textId="77777777" w:rsidR="005558FC" w:rsidRDefault="005558FC" w:rsidP="005558FC">
      <w:pPr>
        <w:pStyle w:val="Bibliography"/>
        <w:ind w:left="720" w:hanging="720"/>
        <w:rPr>
          <w:noProof/>
        </w:rPr>
      </w:pPr>
      <w:r>
        <w:rPr>
          <w:noProof/>
        </w:rPr>
        <w:t xml:space="preserve">Ministry of Business, Innovation &amp; Employment. (2017). </w:t>
      </w:r>
      <w:r>
        <w:rPr>
          <w:i/>
          <w:iCs/>
          <w:noProof/>
        </w:rPr>
        <w:t>New Zealand Energy Efficiency and Conservation Strategy 2017-2022.</w:t>
      </w:r>
      <w:r>
        <w:rPr>
          <w:noProof/>
        </w:rPr>
        <w:t xml:space="preserve"> </w:t>
      </w:r>
    </w:p>
    <w:p w14:paraId="0997AACD" w14:textId="77777777" w:rsidR="005558FC" w:rsidRDefault="005558FC" w:rsidP="005558FC">
      <w:pPr>
        <w:pStyle w:val="Bibliography"/>
        <w:ind w:left="720" w:hanging="720"/>
        <w:rPr>
          <w:noProof/>
        </w:rPr>
      </w:pPr>
      <w:r>
        <w:rPr>
          <w:noProof/>
        </w:rPr>
        <w:t xml:space="preserve">New Zealand Government. (2022, October). </w:t>
      </w:r>
      <w:r>
        <w:rPr>
          <w:i/>
          <w:iCs/>
          <w:noProof/>
        </w:rPr>
        <w:t>CBAx Tool User Guidance.</w:t>
      </w:r>
      <w:r>
        <w:rPr>
          <w:noProof/>
        </w:rPr>
        <w:t xml:space="preserve"> Retrieved August 2, 2023, from https://www.treasury.govt.nz/sites/default/files/2022-10/cbax-guide-oct22.pdf</w:t>
      </w:r>
    </w:p>
    <w:p w14:paraId="1A803A2A" w14:textId="77777777" w:rsidR="005558FC" w:rsidRDefault="005558FC" w:rsidP="005558FC">
      <w:pPr>
        <w:pStyle w:val="Bibliography"/>
        <w:ind w:left="720" w:hanging="720"/>
        <w:rPr>
          <w:noProof/>
        </w:rPr>
      </w:pPr>
      <w:r>
        <w:rPr>
          <w:noProof/>
        </w:rPr>
        <w:t xml:space="preserve">New Zealand Legislation. (2019). </w:t>
      </w:r>
      <w:r>
        <w:rPr>
          <w:i/>
          <w:iCs/>
          <w:noProof/>
        </w:rPr>
        <w:t>Climate Change Response (Zero Carbon) Amendment Act.</w:t>
      </w:r>
      <w:r>
        <w:rPr>
          <w:noProof/>
        </w:rPr>
        <w:t xml:space="preserve"> </w:t>
      </w:r>
    </w:p>
    <w:p w14:paraId="44441FDE" w14:textId="77777777" w:rsidR="005558FC" w:rsidRDefault="005558FC" w:rsidP="005558FC">
      <w:pPr>
        <w:pStyle w:val="Bibliography"/>
        <w:ind w:left="720" w:hanging="720"/>
        <w:rPr>
          <w:noProof/>
        </w:rPr>
      </w:pPr>
      <w:r>
        <w:rPr>
          <w:noProof/>
        </w:rPr>
        <w:t xml:space="preserve">Office of Best Practice Regulation. (2020). </w:t>
      </w:r>
      <w:r>
        <w:rPr>
          <w:i/>
          <w:iCs/>
          <w:noProof/>
        </w:rPr>
        <w:t>Australian Government Guide to Regulatory Impact Analysis .</w:t>
      </w:r>
      <w:r>
        <w:rPr>
          <w:noProof/>
        </w:rPr>
        <w:t xml:space="preserve"> Commonwealth of Australia, Department of the Prime Minister and Cabinet.</w:t>
      </w:r>
    </w:p>
    <w:p w14:paraId="048773D9" w14:textId="77777777" w:rsidR="005558FC" w:rsidRDefault="005558FC" w:rsidP="005558FC">
      <w:pPr>
        <w:pStyle w:val="Bibliography"/>
        <w:ind w:left="720" w:hanging="720"/>
        <w:rPr>
          <w:noProof/>
        </w:rPr>
      </w:pPr>
      <w:r>
        <w:rPr>
          <w:noProof/>
        </w:rPr>
        <w:t xml:space="preserve">Office of Energy Efficiency, Department of Energy. (2023). </w:t>
      </w:r>
      <w:r>
        <w:rPr>
          <w:i/>
          <w:iCs/>
          <w:noProof/>
        </w:rPr>
        <w:t>Energy Conservation Program: Energy Conservation Standards for External Power Supplies - Notice of proposed rulemaking and announcement of public meeting.</w:t>
      </w:r>
      <w:r>
        <w:rPr>
          <w:noProof/>
        </w:rPr>
        <w:t xml:space="preserve"> </w:t>
      </w:r>
    </w:p>
    <w:p w14:paraId="5B740A65" w14:textId="77777777" w:rsidR="005558FC" w:rsidRDefault="005558FC" w:rsidP="005558FC">
      <w:pPr>
        <w:pStyle w:val="Bibliography"/>
        <w:ind w:left="720" w:hanging="720"/>
        <w:rPr>
          <w:noProof/>
        </w:rPr>
      </w:pPr>
      <w:r>
        <w:rPr>
          <w:noProof/>
        </w:rPr>
        <w:t xml:space="preserve">Sai Global. (n.d.). </w:t>
      </w:r>
      <w:r>
        <w:rPr>
          <w:i/>
          <w:iCs/>
          <w:noProof/>
        </w:rPr>
        <w:t>AS/NZS 4665.1: 2005 Performance of External Power Supplies Test Methods njd energy performance mark</w:t>
      </w:r>
      <w:r>
        <w:rPr>
          <w:noProof/>
        </w:rPr>
        <w:t>. Retrieved July 2023, from https://www.saiglobal.com/PDFTemp/Previews/OSH/as/as4000/4600/4665.1-2005.pdf</w:t>
      </w:r>
    </w:p>
    <w:p w14:paraId="0DBFB83C" w14:textId="77777777" w:rsidR="005558FC" w:rsidRDefault="005558FC" w:rsidP="005558FC">
      <w:pPr>
        <w:pStyle w:val="Bibliography"/>
        <w:ind w:left="720" w:hanging="720"/>
        <w:rPr>
          <w:noProof/>
        </w:rPr>
      </w:pPr>
      <w:r>
        <w:rPr>
          <w:noProof/>
        </w:rPr>
        <w:t xml:space="preserve">SL Power Electronics. (2016). </w:t>
      </w:r>
      <w:r>
        <w:rPr>
          <w:i/>
          <w:iCs/>
          <w:noProof/>
        </w:rPr>
        <w:t>Energy Efficiency Requirements by Levels: VI</w:t>
      </w:r>
      <w:r>
        <w:rPr>
          <w:noProof/>
        </w:rPr>
        <w:t>. Retrieved 2023, from https://slpower.com/data/collateral/PW174KB_DS.pdf</w:t>
      </w:r>
    </w:p>
    <w:p w14:paraId="0F0B8CB9" w14:textId="77777777" w:rsidR="005558FC" w:rsidRDefault="005558FC" w:rsidP="005558FC">
      <w:pPr>
        <w:pStyle w:val="Bibliography"/>
        <w:ind w:left="720" w:hanging="720"/>
        <w:rPr>
          <w:noProof/>
        </w:rPr>
      </w:pPr>
      <w:r>
        <w:rPr>
          <w:noProof/>
        </w:rPr>
        <w:t xml:space="preserve">Stats NZ. (2022, July 27). </w:t>
      </w:r>
      <w:r>
        <w:rPr>
          <w:i/>
          <w:iCs/>
          <w:noProof/>
        </w:rPr>
        <w:t>National population projections: 2022(base)-2073.</w:t>
      </w:r>
      <w:r>
        <w:rPr>
          <w:noProof/>
        </w:rPr>
        <w:t xml:space="preserve"> Retrieved April 21, 2023, from https://www.stats.govt.nz/information-releases/national-population-projections-2022base2073/</w:t>
      </w:r>
    </w:p>
    <w:p w14:paraId="49224E27" w14:textId="77777777" w:rsidR="005558FC" w:rsidRDefault="005558FC" w:rsidP="005558FC">
      <w:pPr>
        <w:pStyle w:val="Bibliography"/>
        <w:ind w:left="720" w:hanging="720"/>
        <w:rPr>
          <w:noProof/>
        </w:rPr>
      </w:pPr>
      <w:r>
        <w:rPr>
          <w:noProof/>
        </w:rPr>
        <w:lastRenderedPageBreak/>
        <w:t xml:space="preserve">Strategy. Policy. Research. (2019). </w:t>
      </w:r>
      <w:r>
        <w:rPr>
          <w:i/>
          <w:iCs/>
          <w:noProof/>
        </w:rPr>
        <w:t>Energy Efficiency Forecasts: 2019-2041: Final Report.</w:t>
      </w:r>
      <w:r>
        <w:rPr>
          <w:noProof/>
        </w:rPr>
        <w:t xml:space="preserve"> Strategy. Policy. Research.</w:t>
      </w:r>
    </w:p>
    <w:p w14:paraId="441D09CE" w14:textId="77777777" w:rsidR="005558FC" w:rsidRDefault="005558FC" w:rsidP="005558FC">
      <w:pPr>
        <w:pStyle w:val="Bibliography"/>
        <w:ind w:left="720" w:hanging="720"/>
        <w:rPr>
          <w:noProof/>
        </w:rPr>
      </w:pPr>
      <w:r>
        <w:rPr>
          <w:noProof/>
        </w:rPr>
        <w:t xml:space="preserve">Tektronix. (2016). </w:t>
      </w:r>
      <w:r>
        <w:rPr>
          <w:i/>
          <w:iCs/>
          <w:noProof/>
        </w:rPr>
        <w:t>Efficiency Requirements External Power Supplies (EPS) / AC Adapters.</w:t>
      </w:r>
      <w:r>
        <w:rPr>
          <w:noProof/>
        </w:rPr>
        <w:t xml:space="preserve"> </w:t>
      </w:r>
    </w:p>
    <w:p w14:paraId="290E034C" w14:textId="77777777" w:rsidR="005558FC" w:rsidRDefault="005558FC" w:rsidP="005558FC">
      <w:pPr>
        <w:pStyle w:val="Bibliography"/>
        <w:ind w:left="720" w:hanging="720"/>
        <w:rPr>
          <w:noProof/>
        </w:rPr>
      </w:pPr>
      <w:r>
        <w:rPr>
          <w:noProof/>
        </w:rPr>
        <w:t xml:space="preserve">The European Commission. (2019). </w:t>
      </w:r>
      <w:r>
        <w:rPr>
          <w:i/>
          <w:iCs/>
          <w:noProof/>
        </w:rPr>
        <w:t>COMMISSION REGULATION (EU) 2019/1782: laying down ecodesign requirements for external power supplies pursuant to Directive 2009/125/EC of the European Parliament and of the Council and repealing Commission Regulation (EC) No 278/2009.</w:t>
      </w:r>
      <w:r>
        <w:rPr>
          <w:noProof/>
        </w:rPr>
        <w:t xml:space="preserve"> </w:t>
      </w:r>
    </w:p>
    <w:p w14:paraId="19A13DD3" w14:textId="77777777" w:rsidR="005558FC" w:rsidRDefault="005558FC" w:rsidP="005558FC">
      <w:pPr>
        <w:pStyle w:val="Bibliography"/>
        <w:ind w:left="720" w:hanging="720"/>
        <w:rPr>
          <w:noProof/>
        </w:rPr>
      </w:pPr>
      <w:r>
        <w:rPr>
          <w:noProof/>
        </w:rPr>
        <w:t xml:space="preserve">U.S. Department of Energy. (2022). </w:t>
      </w:r>
      <w:r>
        <w:rPr>
          <w:i/>
          <w:iCs/>
          <w:noProof/>
        </w:rPr>
        <w:t>Technical Support Document: Energy Efficiency Program for Consumer Products and Commercial and Industrial Equipment: External Power Supplies.</w:t>
      </w:r>
      <w:r>
        <w:rPr>
          <w:noProof/>
        </w:rPr>
        <w:t xml:space="preserve"> Washington DC.</w:t>
      </w:r>
    </w:p>
    <w:p w14:paraId="59CD7881" w14:textId="77777777" w:rsidR="005558FC" w:rsidRDefault="005558FC" w:rsidP="005558FC">
      <w:pPr>
        <w:pStyle w:val="Bibliography"/>
        <w:ind w:left="720" w:hanging="720"/>
        <w:rPr>
          <w:noProof/>
        </w:rPr>
      </w:pPr>
      <w:r>
        <w:rPr>
          <w:noProof/>
        </w:rPr>
        <w:t xml:space="preserve">US Department of Energy. (2008). </w:t>
      </w:r>
      <w:r>
        <w:rPr>
          <w:i/>
          <w:iCs/>
          <w:noProof/>
        </w:rPr>
        <w:t>Technical support document: Energy efficiency program for consumer products and commercial and industrial equipment: External power supplies.</w:t>
      </w:r>
      <w:r>
        <w:rPr>
          <w:noProof/>
        </w:rPr>
        <w:t xml:space="preserve"> Washington DC.</w:t>
      </w:r>
    </w:p>
    <w:p w14:paraId="3A94D730" w14:textId="77777777" w:rsidR="005558FC" w:rsidRDefault="005558FC" w:rsidP="005558FC">
      <w:pPr>
        <w:pStyle w:val="Bibliography"/>
        <w:ind w:left="720" w:hanging="720"/>
        <w:rPr>
          <w:noProof/>
        </w:rPr>
      </w:pPr>
      <w:r>
        <w:rPr>
          <w:noProof/>
        </w:rPr>
        <w:t xml:space="preserve">US Department of Energy. (2022). </w:t>
      </w:r>
      <w:r>
        <w:rPr>
          <w:i/>
          <w:iCs/>
          <w:noProof/>
        </w:rPr>
        <w:t>Technical Support Document: Energy Efficiency Program for Consumer Products and Commercial and Industrial Equipment: External Power Supplies.</w:t>
      </w:r>
      <w:r>
        <w:rPr>
          <w:noProof/>
        </w:rPr>
        <w:t xml:space="preserve"> Washington DC.</w:t>
      </w:r>
    </w:p>
    <w:p w14:paraId="7B101C9C" w14:textId="77777777" w:rsidR="005558FC" w:rsidRDefault="005558FC" w:rsidP="005558FC">
      <w:pPr>
        <w:pStyle w:val="Bibliography"/>
        <w:ind w:left="720" w:hanging="720"/>
        <w:rPr>
          <w:noProof/>
        </w:rPr>
      </w:pPr>
      <w:r>
        <w:rPr>
          <w:noProof/>
        </w:rPr>
        <w:t xml:space="preserve">Wang, Z., Sun, Q., &amp; Zhang, B. (2019). Purchasing intentions of Chinese consumers on energy-efficient appliances: Is the energy efficiency label effective? </w:t>
      </w:r>
      <w:r>
        <w:rPr>
          <w:i/>
          <w:iCs/>
          <w:noProof/>
        </w:rPr>
        <w:t>Journal of Leaner Production, 238</w:t>
      </w:r>
      <w:r>
        <w:rPr>
          <w:noProof/>
        </w:rPr>
        <w:t>.</w:t>
      </w:r>
    </w:p>
    <w:p w14:paraId="34267426" w14:textId="77777777" w:rsidR="005558FC" w:rsidRDefault="005558FC" w:rsidP="005558FC">
      <w:pPr>
        <w:pStyle w:val="Bibliography"/>
        <w:ind w:left="720" w:hanging="720"/>
        <w:rPr>
          <w:noProof/>
        </w:rPr>
      </w:pPr>
      <w:r>
        <w:rPr>
          <w:i/>
          <w:iCs/>
          <w:noProof/>
        </w:rPr>
        <w:t>Wireless Power Consortium: Qi</w:t>
      </w:r>
      <w:r>
        <w:rPr>
          <w:noProof/>
        </w:rPr>
        <w:t>. (n.d.). Retrieved July 2023, from https://www.wirelesspowerconsortium.com/qi/</w:t>
      </w:r>
    </w:p>
    <w:p w14:paraId="2EE3C372" w14:textId="0508DEB0" w:rsidR="00DF5EAF" w:rsidRPr="00A34F8A" w:rsidRDefault="00BA1797" w:rsidP="005558FC">
      <w:pPr>
        <w:spacing w:line="312" w:lineRule="auto"/>
        <w:rPr>
          <w:rFonts w:asciiTheme="minorHAnsi" w:eastAsia="Calibri" w:hAnsiTheme="minorHAnsi" w:cstheme="minorHAnsi"/>
          <w:color w:val="363838"/>
          <w:szCs w:val="22"/>
        </w:rPr>
      </w:pPr>
      <w:r>
        <w:rPr>
          <w:rFonts w:asciiTheme="minorHAnsi" w:eastAsia="Calibri" w:hAnsiTheme="minorHAnsi" w:cstheme="minorHAnsi"/>
          <w:szCs w:val="22"/>
        </w:rPr>
        <w:fldChar w:fldCharType="end"/>
      </w:r>
    </w:p>
    <w:p w14:paraId="72CDBD55" w14:textId="77777777" w:rsidR="00DF5EAF" w:rsidRPr="00A34F8A" w:rsidRDefault="00DF5EAF" w:rsidP="00DF5EAF">
      <w:pPr>
        <w:spacing w:line="312" w:lineRule="auto"/>
        <w:rPr>
          <w:rFonts w:asciiTheme="minorHAnsi" w:eastAsia="Calibri" w:hAnsiTheme="minorHAnsi" w:cstheme="minorHAnsi"/>
          <w:color w:val="363838"/>
          <w:szCs w:val="22"/>
        </w:rPr>
      </w:pPr>
    </w:p>
    <w:p w14:paraId="6DF10600" w14:textId="77777777" w:rsidR="00A21EAC" w:rsidRPr="00A34F8A" w:rsidRDefault="00A21EAC" w:rsidP="00A21EAC">
      <w:pPr>
        <w:rPr>
          <w:rFonts w:asciiTheme="minorHAnsi" w:hAnsiTheme="minorHAnsi" w:cstheme="minorHAnsi"/>
          <w:szCs w:val="22"/>
        </w:rPr>
      </w:pPr>
    </w:p>
    <w:p w14:paraId="7B401E2C" w14:textId="06FCEBE8" w:rsidR="008F3FDD" w:rsidRPr="00A34F8A" w:rsidRDefault="008F3FDD" w:rsidP="008F3FDD">
      <w:pPr>
        <w:rPr>
          <w:rFonts w:asciiTheme="minorHAnsi" w:hAnsiTheme="minorHAnsi" w:cstheme="minorHAnsi"/>
          <w:szCs w:val="22"/>
        </w:rPr>
      </w:pPr>
      <w:r w:rsidRPr="00A34F8A">
        <w:rPr>
          <w:rFonts w:asciiTheme="minorHAnsi" w:hAnsiTheme="minorHAnsi" w:cstheme="minorHAnsi"/>
          <w:szCs w:val="22"/>
        </w:rPr>
        <w:br w:type="page"/>
      </w:r>
    </w:p>
    <w:p w14:paraId="12CA387B" w14:textId="76F5FA9A" w:rsidR="001E6AE5" w:rsidRPr="002749EA" w:rsidRDefault="006E0E61" w:rsidP="001E6AE5">
      <w:pPr>
        <w:pStyle w:val="ChapterTitle"/>
        <w:rPr>
          <w:rFonts w:asciiTheme="minorHAnsi" w:hAnsiTheme="minorHAnsi" w:cstheme="minorHAnsi"/>
          <w:sz w:val="32"/>
          <w:szCs w:val="32"/>
        </w:rPr>
      </w:pPr>
      <w:bookmarkStart w:id="175" w:name="_Toc168660745"/>
      <w:bookmarkStart w:id="176" w:name="_Toc183163294"/>
      <w:r w:rsidRPr="002749EA">
        <w:rPr>
          <w:rFonts w:asciiTheme="minorHAnsi" w:hAnsiTheme="minorHAnsi" w:cstheme="minorHAnsi"/>
          <w:sz w:val="32"/>
          <w:szCs w:val="32"/>
        </w:rPr>
        <w:lastRenderedPageBreak/>
        <w:t>Appendix One: Modelling approach and assumptions</w:t>
      </w:r>
      <w:bookmarkEnd w:id="175"/>
      <w:bookmarkEnd w:id="176"/>
    </w:p>
    <w:p w14:paraId="061058DC" w14:textId="330F6F0B" w:rsidR="00A553A1" w:rsidRPr="002749EA" w:rsidRDefault="00E26607" w:rsidP="00A553A1">
      <w:pPr>
        <w:pStyle w:val="Heading1"/>
        <w:rPr>
          <w:rFonts w:asciiTheme="minorHAnsi" w:hAnsiTheme="minorHAnsi" w:cstheme="minorHAnsi"/>
          <w:sz w:val="28"/>
        </w:rPr>
      </w:pPr>
      <w:bookmarkStart w:id="177" w:name="_Toc168660746"/>
      <w:bookmarkStart w:id="178" w:name="_Toc183163295"/>
      <w:r w:rsidRPr="002749EA">
        <w:rPr>
          <w:rFonts w:asciiTheme="minorHAnsi" w:hAnsiTheme="minorHAnsi" w:cstheme="minorHAnsi"/>
          <w:sz w:val="28"/>
        </w:rPr>
        <w:t>Product usage data</w:t>
      </w:r>
      <w:bookmarkEnd w:id="177"/>
      <w:bookmarkEnd w:id="178"/>
    </w:p>
    <w:p w14:paraId="28BD29AC" w14:textId="72EBBA05" w:rsidR="00935C37" w:rsidRDefault="00935C37" w:rsidP="00935C37">
      <w:pPr>
        <w:rPr>
          <w:rFonts w:asciiTheme="minorHAnsi" w:hAnsiTheme="minorHAnsi" w:cstheme="minorHAnsi"/>
          <w:szCs w:val="22"/>
        </w:rPr>
      </w:pPr>
      <w:r w:rsidRPr="00A34F8A">
        <w:rPr>
          <w:rFonts w:asciiTheme="minorHAnsi" w:hAnsiTheme="minorHAnsi" w:cstheme="minorHAnsi"/>
          <w:szCs w:val="22"/>
        </w:rPr>
        <w:t xml:space="preserve">The US DOE defined average hourly usage per week at various loading points for different types of EPS applications </w:t>
      </w:r>
      <w:sdt>
        <w:sdtPr>
          <w:rPr>
            <w:rFonts w:asciiTheme="minorHAnsi" w:hAnsiTheme="minorHAnsi" w:cstheme="minorHAnsi"/>
            <w:szCs w:val="22"/>
          </w:rPr>
          <w:id w:val="-165489974"/>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USD22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sdt>
        <w:sdtPr>
          <w:rPr>
            <w:rFonts w:asciiTheme="minorHAnsi" w:hAnsiTheme="minorHAnsi" w:cstheme="minorHAnsi"/>
            <w:szCs w:val="22"/>
          </w:rPr>
          <w:id w:val="-879861025"/>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USD08 \l 3081 </w:instrText>
          </w:r>
          <w:r w:rsidRPr="00A34F8A">
            <w:rPr>
              <w:rFonts w:asciiTheme="minorHAnsi" w:hAnsiTheme="minorHAnsi" w:cstheme="minorHAnsi"/>
              <w:szCs w:val="22"/>
            </w:rPr>
            <w:fldChar w:fldCharType="separate"/>
          </w:r>
          <w:r w:rsidR="002E2541">
            <w:rPr>
              <w:rFonts w:asciiTheme="minorHAnsi" w:hAnsiTheme="minorHAnsi" w:cstheme="minorHAnsi"/>
              <w:noProof/>
              <w:szCs w:val="22"/>
            </w:rPr>
            <w:t xml:space="preserve"> </w:t>
          </w:r>
          <w:r w:rsidR="002E2541" w:rsidRPr="002E2541">
            <w:rPr>
              <w:rFonts w:asciiTheme="minorHAnsi" w:hAnsiTheme="minorHAnsi" w:cstheme="minorHAnsi"/>
              <w:noProof/>
              <w:szCs w:val="22"/>
            </w:rPr>
            <w:t>(US Department of Energy, 2008)</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These were based on a combination of product testing, published research and stakeholder comments. We have assumed the same product usage profiles and loading points in our analysis. These values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_Ref132969506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_Ref132969510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6</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w:t>
      </w:r>
    </w:p>
    <w:p w14:paraId="05F5C1F9" w14:textId="77777777" w:rsidR="001E4F58" w:rsidRDefault="001E4F58" w:rsidP="00935C37">
      <w:pPr>
        <w:rPr>
          <w:rFonts w:asciiTheme="minorHAnsi" w:hAnsiTheme="minorHAnsi" w:cstheme="minorHAnsi"/>
          <w:szCs w:val="22"/>
        </w:rPr>
        <w:sectPr w:rsidR="001E4F58" w:rsidSect="00D722B1">
          <w:footerReference w:type="even" r:id="rId30"/>
          <w:footerReference w:type="default" r:id="rId31"/>
          <w:pgSz w:w="11906" w:h="16838"/>
          <w:pgMar w:top="1440" w:right="1440" w:bottom="1440" w:left="2007" w:header="709" w:footer="709" w:gutter="0"/>
          <w:cols w:space="708"/>
          <w:titlePg/>
          <w:docGrid w:linePitch="360"/>
        </w:sectPr>
      </w:pPr>
    </w:p>
    <w:p w14:paraId="7899CB8E" w14:textId="4EC836D2" w:rsidR="00935C37" w:rsidRDefault="00935C37" w:rsidP="00745982">
      <w:pPr>
        <w:spacing w:after="0" w:line="240" w:lineRule="auto"/>
        <w:rPr>
          <w:rFonts w:asciiTheme="minorHAnsi" w:hAnsiTheme="minorHAnsi" w:cstheme="minorHAnsi"/>
          <w:i/>
          <w:iCs/>
          <w:szCs w:val="22"/>
        </w:rPr>
      </w:pPr>
      <w:bookmarkStart w:id="179" w:name="_Ref132969506"/>
      <w:r w:rsidRPr="00745982">
        <w:rPr>
          <w:rFonts w:asciiTheme="minorHAnsi" w:hAnsiTheme="minorHAnsi" w:cstheme="minorHAnsi"/>
          <w:i/>
          <w:iCs/>
          <w:szCs w:val="22"/>
        </w:rPr>
        <w:lastRenderedPageBreak/>
        <w:t xml:space="preserve">Table </w:t>
      </w:r>
      <w:r w:rsidRPr="00745982">
        <w:rPr>
          <w:rFonts w:asciiTheme="minorHAnsi" w:hAnsiTheme="minorHAnsi" w:cstheme="minorHAnsi"/>
          <w:i/>
          <w:iCs/>
          <w:szCs w:val="22"/>
        </w:rPr>
        <w:fldChar w:fldCharType="begin"/>
      </w:r>
      <w:r w:rsidRPr="00745982">
        <w:rPr>
          <w:rFonts w:asciiTheme="minorHAnsi" w:hAnsiTheme="minorHAnsi" w:cstheme="minorHAnsi"/>
          <w:i/>
          <w:iCs/>
          <w:szCs w:val="22"/>
        </w:rPr>
        <w:instrText xml:space="preserve"> SEQ Table \* ARABIC </w:instrText>
      </w:r>
      <w:r w:rsidRPr="00745982">
        <w:rPr>
          <w:rFonts w:asciiTheme="minorHAnsi" w:hAnsiTheme="minorHAnsi" w:cstheme="minorHAnsi"/>
          <w:i/>
          <w:iCs/>
          <w:szCs w:val="22"/>
        </w:rPr>
        <w:fldChar w:fldCharType="separate"/>
      </w:r>
      <w:r w:rsidR="00C6363F">
        <w:rPr>
          <w:rFonts w:asciiTheme="minorHAnsi" w:hAnsiTheme="minorHAnsi" w:cstheme="minorHAnsi"/>
          <w:i/>
          <w:iCs/>
          <w:noProof/>
          <w:szCs w:val="22"/>
        </w:rPr>
        <w:t>19</w:t>
      </w:r>
      <w:r w:rsidRPr="00745982">
        <w:rPr>
          <w:rFonts w:asciiTheme="minorHAnsi" w:hAnsiTheme="minorHAnsi" w:cstheme="minorHAnsi"/>
          <w:i/>
          <w:iCs/>
          <w:noProof/>
          <w:szCs w:val="22"/>
        </w:rPr>
        <w:fldChar w:fldCharType="end"/>
      </w:r>
      <w:bookmarkEnd w:id="179"/>
      <w:r w:rsidRPr="00745982">
        <w:rPr>
          <w:rFonts w:asciiTheme="minorHAnsi" w:hAnsiTheme="minorHAnsi" w:cstheme="minorHAnsi"/>
          <w:i/>
          <w:iCs/>
          <w:szCs w:val="22"/>
        </w:rPr>
        <w:t xml:space="preserve">: Average usage, loading point and lifetime by application type, adapted from DOE analysis </w:t>
      </w:r>
      <w:sdt>
        <w:sdtPr>
          <w:rPr>
            <w:rFonts w:asciiTheme="minorHAnsi" w:hAnsiTheme="minorHAnsi" w:cstheme="minorHAnsi"/>
            <w:i/>
            <w:iCs/>
            <w:szCs w:val="22"/>
          </w:rPr>
          <w:id w:val="-316797141"/>
          <w:citation/>
        </w:sdtPr>
        <w:sdtContent>
          <w:r w:rsidRPr="00745982">
            <w:rPr>
              <w:rFonts w:asciiTheme="minorHAnsi" w:hAnsiTheme="minorHAnsi" w:cstheme="minorHAnsi"/>
              <w:i/>
              <w:iCs/>
              <w:szCs w:val="22"/>
            </w:rPr>
            <w:fldChar w:fldCharType="begin"/>
          </w:r>
          <w:r w:rsidRPr="00745982">
            <w:rPr>
              <w:rFonts w:asciiTheme="minorHAnsi" w:hAnsiTheme="minorHAnsi" w:cstheme="minorHAnsi"/>
              <w:i/>
              <w:iCs/>
              <w:szCs w:val="22"/>
            </w:rPr>
            <w:instrText xml:space="preserve"> CITATION USD22 \l 3081 </w:instrText>
          </w:r>
          <w:r w:rsidRPr="00745982">
            <w:rPr>
              <w:rFonts w:asciiTheme="minorHAnsi" w:hAnsiTheme="minorHAnsi" w:cstheme="minorHAnsi"/>
              <w:i/>
              <w:iCs/>
              <w:szCs w:val="22"/>
            </w:rPr>
            <w:fldChar w:fldCharType="separate"/>
          </w:r>
          <w:r w:rsidR="002E2541" w:rsidRPr="002E2541">
            <w:rPr>
              <w:rFonts w:asciiTheme="minorHAnsi" w:hAnsiTheme="minorHAnsi" w:cstheme="minorHAnsi"/>
              <w:noProof/>
              <w:szCs w:val="22"/>
            </w:rPr>
            <w:t>(U.S. Department of Energy, 2022)</w:t>
          </w:r>
          <w:r w:rsidRPr="00745982">
            <w:rPr>
              <w:rFonts w:asciiTheme="minorHAnsi" w:hAnsiTheme="minorHAnsi" w:cstheme="minorHAnsi"/>
              <w:i/>
              <w:iCs/>
              <w:szCs w:val="22"/>
            </w:rPr>
            <w:fldChar w:fldCharType="end"/>
          </w:r>
        </w:sdtContent>
      </w:sdt>
      <w:sdt>
        <w:sdtPr>
          <w:rPr>
            <w:rFonts w:asciiTheme="minorHAnsi" w:hAnsiTheme="minorHAnsi" w:cstheme="minorHAnsi"/>
            <w:i/>
            <w:iCs/>
            <w:szCs w:val="22"/>
          </w:rPr>
          <w:id w:val="1071769533"/>
          <w:citation/>
        </w:sdtPr>
        <w:sdtContent>
          <w:r w:rsidRPr="00745982">
            <w:rPr>
              <w:rFonts w:asciiTheme="minorHAnsi" w:hAnsiTheme="minorHAnsi" w:cstheme="minorHAnsi"/>
              <w:i/>
              <w:iCs/>
              <w:szCs w:val="22"/>
            </w:rPr>
            <w:fldChar w:fldCharType="begin"/>
          </w:r>
          <w:r w:rsidRPr="00745982">
            <w:rPr>
              <w:rFonts w:asciiTheme="minorHAnsi" w:hAnsiTheme="minorHAnsi" w:cstheme="minorHAnsi"/>
              <w:i/>
              <w:iCs/>
              <w:szCs w:val="22"/>
            </w:rPr>
            <w:instrText xml:space="preserve"> CITATION USD08 \l 3081 </w:instrText>
          </w:r>
          <w:r w:rsidRPr="00745982">
            <w:rPr>
              <w:rFonts w:asciiTheme="minorHAnsi" w:hAnsiTheme="minorHAnsi" w:cstheme="minorHAnsi"/>
              <w:i/>
              <w:iCs/>
              <w:szCs w:val="22"/>
            </w:rPr>
            <w:fldChar w:fldCharType="separate"/>
          </w:r>
          <w:r w:rsidR="002E2541">
            <w:rPr>
              <w:rFonts w:asciiTheme="minorHAnsi" w:hAnsiTheme="minorHAnsi" w:cstheme="minorHAnsi"/>
              <w:i/>
              <w:iCs/>
              <w:noProof/>
              <w:szCs w:val="22"/>
            </w:rPr>
            <w:t xml:space="preserve"> </w:t>
          </w:r>
          <w:r w:rsidR="002E2541" w:rsidRPr="002E2541">
            <w:rPr>
              <w:rFonts w:asciiTheme="minorHAnsi" w:hAnsiTheme="minorHAnsi" w:cstheme="minorHAnsi"/>
              <w:noProof/>
              <w:szCs w:val="22"/>
            </w:rPr>
            <w:t>(US Department of Energy, 2008)</w:t>
          </w:r>
          <w:r w:rsidRPr="00745982">
            <w:rPr>
              <w:rFonts w:asciiTheme="minorHAnsi" w:hAnsiTheme="minorHAnsi" w:cstheme="minorHAnsi"/>
              <w:i/>
              <w:iCs/>
              <w:szCs w:val="22"/>
            </w:rPr>
            <w:fldChar w:fldCharType="end"/>
          </w:r>
        </w:sdtContent>
      </w:sdt>
    </w:p>
    <w:p w14:paraId="3C456F73" w14:textId="0B1B34C2" w:rsidR="000415E0" w:rsidRDefault="00C97EBA" w:rsidP="00576987">
      <w:pPr>
        <w:spacing w:after="0" w:line="240" w:lineRule="auto"/>
        <w:ind w:firstLine="567"/>
        <w:rPr>
          <w:rFonts w:asciiTheme="minorHAnsi" w:hAnsiTheme="minorHAnsi" w:cstheme="minorHAnsi"/>
          <w:i/>
          <w:iCs/>
          <w:szCs w:val="22"/>
        </w:rPr>
      </w:pPr>
      <w:r w:rsidRPr="00C97EBA">
        <w:rPr>
          <w:rFonts w:asciiTheme="minorHAnsi" w:hAnsiTheme="minorHAnsi" w:cstheme="minorHAnsi"/>
          <w:i/>
          <w:iCs/>
          <w:noProof/>
          <w:szCs w:val="22"/>
        </w:rPr>
        <w:drawing>
          <wp:inline distT="0" distB="0" distL="0" distR="0" wp14:anchorId="2DC3A1B6" wp14:editId="6A5E62D3">
            <wp:extent cx="8084744" cy="4951051"/>
            <wp:effectExtent l="0" t="0" r="5715" b="2540"/>
            <wp:docPr id="2045864338" name="Picture 1" descr="A table of technical data showing average usage, loading point and lifetime of external power supplies by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64338" name="Picture 1" descr="A table of technical data showing average usage, loading point and lifetime of external power supplies by application type."/>
                    <pic:cNvPicPr/>
                  </pic:nvPicPr>
                  <pic:blipFill>
                    <a:blip r:embed="rId32"/>
                    <a:stretch>
                      <a:fillRect/>
                    </a:stretch>
                  </pic:blipFill>
                  <pic:spPr>
                    <a:xfrm>
                      <a:off x="0" y="0"/>
                      <a:ext cx="8138236" cy="4983809"/>
                    </a:xfrm>
                    <a:prstGeom prst="rect">
                      <a:avLst/>
                    </a:prstGeom>
                  </pic:spPr>
                </pic:pic>
              </a:graphicData>
            </a:graphic>
          </wp:inline>
        </w:drawing>
      </w:r>
    </w:p>
    <w:p w14:paraId="54DD9438" w14:textId="1DBD014C" w:rsidR="00935C37" w:rsidRDefault="00935C37" w:rsidP="00935C37">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20</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Average usage, loading point and lifetime by application state, adapted from DOE analysis </w:t>
      </w:r>
      <w:sdt>
        <w:sdtPr>
          <w:rPr>
            <w:rFonts w:asciiTheme="minorHAnsi" w:hAnsiTheme="minorHAnsi" w:cstheme="minorHAnsi"/>
            <w:sz w:val="22"/>
            <w:szCs w:val="22"/>
          </w:rPr>
          <w:id w:val="-2119834244"/>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sdt>
        <w:sdtPr>
          <w:rPr>
            <w:rFonts w:asciiTheme="minorHAnsi" w:hAnsiTheme="minorHAnsi" w:cstheme="minorHAnsi"/>
            <w:sz w:val="22"/>
            <w:szCs w:val="22"/>
          </w:rPr>
          <w:id w:val="-567498165"/>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USD08 \l 3081 </w:instrText>
          </w:r>
          <w:r w:rsidRPr="00A34F8A">
            <w:rPr>
              <w:rFonts w:asciiTheme="minorHAnsi" w:hAnsiTheme="minorHAnsi" w:cstheme="minorHAnsi"/>
              <w:sz w:val="22"/>
              <w:szCs w:val="22"/>
            </w:rPr>
            <w:fldChar w:fldCharType="separate"/>
          </w:r>
          <w:r w:rsidR="002E2541">
            <w:rPr>
              <w:rFonts w:asciiTheme="minorHAnsi" w:hAnsiTheme="minorHAnsi" w:cstheme="minorHAnsi"/>
              <w:noProof/>
              <w:sz w:val="22"/>
              <w:szCs w:val="22"/>
            </w:rPr>
            <w:t xml:space="preserve"> </w:t>
          </w:r>
          <w:r w:rsidR="002E2541" w:rsidRPr="002E2541">
            <w:rPr>
              <w:rFonts w:asciiTheme="minorHAnsi" w:hAnsiTheme="minorHAnsi" w:cstheme="minorHAnsi"/>
              <w:noProof/>
              <w:sz w:val="22"/>
              <w:szCs w:val="22"/>
            </w:rPr>
            <w:t>(US Department of Energy, 2008)</w:t>
          </w:r>
          <w:r w:rsidRPr="00A34F8A">
            <w:rPr>
              <w:rFonts w:asciiTheme="minorHAnsi" w:hAnsiTheme="minorHAnsi" w:cstheme="minorHAnsi"/>
              <w:sz w:val="22"/>
              <w:szCs w:val="22"/>
            </w:rPr>
            <w:fldChar w:fldCharType="end"/>
          </w:r>
        </w:sdtContent>
      </w:sdt>
    </w:p>
    <w:p w14:paraId="420F08A8" w14:textId="0FDEB510" w:rsidR="002A42E4" w:rsidRDefault="002A42E4" w:rsidP="002A42E4">
      <w:pPr>
        <w:pStyle w:val="Caption"/>
        <w:keepNext/>
        <w:ind w:firstLine="1134"/>
        <w:rPr>
          <w:rFonts w:asciiTheme="minorHAnsi" w:hAnsiTheme="minorHAnsi" w:cstheme="minorHAnsi"/>
          <w:sz w:val="22"/>
          <w:szCs w:val="22"/>
        </w:rPr>
      </w:pPr>
      <w:r w:rsidRPr="002A42E4">
        <w:rPr>
          <w:rFonts w:asciiTheme="minorHAnsi" w:hAnsiTheme="minorHAnsi" w:cstheme="minorHAnsi"/>
          <w:noProof/>
          <w:sz w:val="22"/>
          <w:szCs w:val="22"/>
        </w:rPr>
        <w:drawing>
          <wp:inline distT="0" distB="0" distL="0" distR="0" wp14:anchorId="6DD4DE8F" wp14:editId="2ECCFACC">
            <wp:extent cx="7559174" cy="4977664"/>
            <wp:effectExtent l="12700" t="12700" r="10160" b="13970"/>
            <wp:docPr id="690293641" name="Picture 1" descr="A table of technical data showing average usage, loading point and lifetime of external power supplies by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93641" name="Picture 1" descr="A table of technical data showing average usage, loading point and lifetime of external power supplies by application type."/>
                    <pic:cNvPicPr/>
                  </pic:nvPicPr>
                  <pic:blipFill>
                    <a:blip r:embed="rId33"/>
                    <a:stretch>
                      <a:fillRect/>
                    </a:stretch>
                  </pic:blipFill>
                  <pic:spPr>
                    <a:xfrm>
                      <a:off x="0" y="0"/>
                      <a:ext cx="7559174" cy="4977664"/>
                    </a:xfrm>
                    <a:prstGeom prst="rect">
                      <a:avLst/>
                    </a:prstGeom>
                    <a:ln>
                      <a:solidFill>
                        <a:schemeClr val="tx1"/>
                      </a:solidFill>
                    </a:ln>
                  </pic:spPr>
                </pic:pic>
              </a:graphicData>
            </a:graphic>
          </wp:inline>
        </w:drawing>
      </w:r>
    </w:p>
    <w:p w14:paraId="34805622" w14:textId="754DB442" w:rsidR="00935C37" w:rsidRPr="00A34F8A" w:rsidRDefault="00935C37" w:rsidP="00935C37">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21</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Average usage, loading point and lifetime by application state, adapted from DOE analysis </w:t>
      </w:r>
      <w:sdt>
        <w:sdtPr>
          <w:rPr>
            <w:rFonts w:asciiTheme="minorHAnsi" w:hAnsiTheme="minorHAnsi" w:cstheme="minorHAnsi"/>
            <w:sz w:val="22"/>
            <w:szCs w:val="22"/>
          </w:rPr>
          <w:id w:val="-1099256142"/>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sdt>
        <w:sdtPr>
          <w:rPr>
            <w:rFonts w:asciiTheme="minorHAnsi" w:hAnsiTheme="minorHAnsi" w:cstheme="minorHAnsi"/>
            <w:sz w:val="22"/>
            <w:szCs w:val="22"/>
          </w:rPr>
          <w:id w:val="-1654068050"/>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USD08 \l 3081 </w:instrText>
          </w:r>
          <w:r w:rsidRPr="00A34F8A">
            <w:rPr>
              <w:rFonts w:asciiTheme="minorHAnsi" w:hAnsiTheme="minorHAnsi" w:cstheme="minorHAnsi"/>
              <w:sz w:val="22"/>
              <w:szCs w:val="22"/>
            </w:rPr>
            <w:fldChar w:fldCharType="separate"/>
          </w:r>
          <w:r w:rsidR="002E2541">
            <w:rPr>
              <w:rFonts w:asciiTheme="minorHAnsi" w:hAnsiTheme="minorHAnsi" w:cstheme="minorHAnsi"/>
              <w:noProof/>
              <w:sz w:val="22"/>
              <w:szCs w:val="22"/>
            </w:rPr>
            <w:t xml:space="preserve"> </w:t>
          </w:r>
          <w:r w:rsidR="002E2541" w:rsidRPr="002E2541">
            <w:rPr>
              <w:rFonts w:asciiTheme="minorHAnsi" w:hAnsiTheme="minorHAnsi" w:cstheme="minorHAnsi"/>
              <w:noProof/>
              <w:sz w:val="22"/>
              <w:szCs w:val="22"/>
            </w:rPr>
            <w:t>(US Department of Energy, 2008)</w:t>
          </w:r>
          <w:r w:rsidRPr="00A34F8A">
            <w:rPr>
              <w:rFonts w:asciiTheme="minorHAnsi" w:hAnsiTheme="minorHAnsi" w:cstheme="minorHAnsi"/>
              <w:sz w:val="22"/>
              <w:szCs w:val="22"/>
            </w:rPr>
            <w:fldChar w:fldCharType="end"/>
          </w:r>
        </w:sdtContent>
      </w:sdt>
    </w:p>
    <w:p w14:paraId="3A7513A5" w14:textId="4196ABD5" w:rsidR="00935C37" w:rsidRPr="00A34F8A" w:rsidRDefault="0000071D" w:rsidP="004335C2">
      <w:pPr>
        <w:ind w:firstLine="567"/>
        <w:rPr>
          <w:rFonts w:asciiTheme="minorHAnsi" w:hAnsiTheme="minorHAnsi" w:cstheme="minorHAnsi"/>
          <w:szCs w:val="22"/>
        </w:rPr>
      </w:pPr>
      <w:r w:rsidRPr="0000071D">
        <w:rPr>
          <w:rFonts w:asciiTheme="minorHAnsi" w:hAnsiTheme="minorHAnsi" w:cstheme="minorHAnsi"/>
          <w:noProof/>
          <w:szCs w:val="22"/>
        </w:rPr>
        <w:drawing>
          <wp:inline distT="0" distB="0" distL="0" distR="0" wp14:anchorId="4C4AF0CE" wp14:editId="738B2FBC">
            <wp:extent cx="8400247" cy="5006566"/>
            <wp:effectExtent l="0" t="0" r="0" b="0"/>
            <wp:docPr id="795953904" name="Picture 1" descr="A table of technical data showing average usage, loading point and lifetime of external power supplies by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3904" name="Picture 1" descr="A table of technical data showing average usage, loading point and lifetime of external power supplies by application type."/>
                    <pic:cNvPicPr/>
                  </pic:nvPicPr>
                  <pic:blipFill>
                    <a:blip r:embed="rId34"/>
                    <a:stretch>
                      <a:fillRect/>
                    </a:stretch>
                  </pic:blipFill>
                  <pic:spPr>
                    <a:xfrm>
                      <a:off x="0" y="0"/>
                      <a:ext cx="8470485" cy="5048428"/>
                    </a:xfrm>
                    <a:prstGeom prst="rect">
                      <a:avLst/>
                    </a:prstGeom>
                  </pic:spPr>
                </pic:pic>
              </a:graphicData>
            </a:graphic>
          </wp:inline>
        </w:drawing>
      </w:r>
    </w:p>
    <w:p w14:paraId="23ED174E" w14:textId="671AB658" w:rsidR="00935C37" w:rsidRPr="00A34F8A" w:rsidRDefault="00935C37" w:rsidP="00935C37">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22</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Average usage, loading point and lifetime by application state, adapted from DOE analysis </w:t>
      </w:r>
      <w:sdt>
        <w:sdtPr>
          <w:rPr>
            <w:rFonts w:asciiTheme="minorHAnsi" w:hAnsiTheme="minorHAnsi" w:cstheme="minorHAnsi"/>
            <w:sz w:val="22"/>
            <w:szCs w:val="22"/>
          </w:rPr>
          <w:id w:val="-1414857279"/>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sdt>
        <w:sdtPr>
          <w:rPr>
            <w:rFonts w:asciiTheme="minorHAnsi" w:hAnsiTheme="minorHAnsi" w:cstheme="minorHAnsi"/>
            <w:sz w:val="22"/>
            <w:szCs w:val="22"/>
          </w:rPr>
          <w:id w:val="791172599"/>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USD08 \l 3081 </w:instrText>
          </w:r>
          <w:r w:rsidRPr="00A34F8A">
            <w:rPr>
              <w:rFonts w:asciiTheme="minorHAnsi" w:hAnsiTheme="minorHAnsi" w:cstheme="minorHAnsi"/>
              <w:sz w:val="22"/>
              <w:szCs w:val="22"/>
            </w:rPr>
            <w:fldChar w:fldCharType="separate"/>
          </w:r>
          <w:r w:rsidR="002E2541">
            <w:rPr>
              <w:rFonts w:asciiTheme="minorHAnsi" w:hAnsiTheme="minorHAnsi" w:cstheme="minorHAnsi"/>
              <w:noProof/>
              <w:sz w:val="22"/>
              <w:szCs w:val="22"/>
            </w:rPr>
            <w:t xml:space="preserve"> </w:t>
          </w:r>
          <w:r w:rsidR="002E2541" w:rsidRPr="002E2541">
            <w:rPr>
              <w:rFonts w:asciiTheme="minorHAnsi" w:hAnsiTheme="minorHAnsi" w:cstheme="minorHAnsi"/>
              <w:noProof/>
              <w:sz w:val="22"/>
              <w:szCs w:val="22"/>
            </w:rPr>
            <w:t>(US Department of Energy, 2008)</w:t>
          </w:r>
          <w:r w:rsidRPr="00A34F8A">
            <w:rPr>
              <w:rFonts w:asciiTheme="minorHAnsi" w:hAnsiTheme="minorHAnsi" w:cstheme="minorHAnsi"/>
              <w:sz w:val="22"/>
              <w:szCs w:val="22"/>
            </w:rPr>
            <w:fldChar w:fldCharType="end"/>
          </w:r>
        </w:sdtContent>
      </w:sdt>
    </w:p>
    <w:p w14:paraId="59A3D61D" w14:textId="7FF8C255" w:rsidR="00935C37" w:rsidRPr="00A34F8A" w:rsidRDefault="002A523D" w:rsidP="004335C2">
      <w:pPr>
        <w:ind w:firstLine="567"/>
        <w:rPr>
          <w:rFonts w:asciiTheme="minorHAnsi" w:hAnsiTheme="minorHAnsi" w:cstheme="minorHAnsi"/>
          <w:szCs w:val="22"/>
        </w:rPr>
      </w:pPr>
      <w:r w:rsidRPr="002A523D">
        <w:rPr>
          <w:rFonts w:asciiTheme="minorHAnsi" w:hAnsiTheme="minorHAnsi" w:cstheme="minorHAnsi"/>
          <w:noProof/>
          <w:szCs w:val="22"/>
        </w:rPr>
        <w:drawing>
          <wp:inline distT="0" distB="0" distL="0" distR="0" wp14:anchorId="054425ED" wp14:editId="4026F5A1">
            <wp:extent cx="8356349" cy="5015127"/>
            <wp:effectExtent l="0" t="0" r="635" b="1905"/>
            <wp:docPr id="1869749058" name="Picture 1" descr="A table of technical data showing average usage, loading point and lifetime of external power supplies by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49058" name="Picture 1" descr="A table of technical data showing average usage, loading point and lifetime of external power supplies by application type."/>
                    <pic:cNvPicPr/>
                  </pic:nvPicPr>
                  <pic:blipFill>
                    <a:blip r:embed="rId35"/>
                    <a:stretch>
                      <a:fillRect/>
                    </a:stretch>
                  </pic:blipFill>
                  <pic:spPr>
                    <a:xfrm>
                      <a:off x="0" y="0"/>
                      <a:ext cx="8450398" cy="5071571"/>
                    </a:xfrm>
                    <a:prstGeom prst="rect">
                      <a:avLst/>
                    </a:prstGeom>
                  </pic:spPr>
                </pic:pic>
              </a:graphicData>
            </a:graphic>
          </wp:inline>
        </w:drawing>
      </w:r>
    </w:p>
    <w:p w14:paraId="0A97E4BA" w14:textId="10212440" w:rsidR="00935C37" w:rsidRPr="00A34F8A" w:rsidRDefault="00935C37" w:rsidP="00935C37">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23</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Average usage, loading point and lifetime by application state, adapted from DOE analysis </w:t>
      </w:r>
      <w:sdt>
        <w:sdtPr>
          <w:rPr>
            <w:rFonts w:asciiTheme="minorHAnsi" w:hAnsiTheme="minorHAnsi" w:cstheme="minorHAnsi"/>
            <w:sz w:val="22"/>
            <w:szCs w:val="22"/>
          </w:rPr>
          <w:id w:val="2016407985"/>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sdt>
        <w:sdtPr>
          <w:rPr>
            <w:rFonts w:asciiTheme="minorHAnsi" w:hAnsiTheme="minorHAnsi" w:cstheme="minorHAnsi"/>
            <w:sz w:val="22"/>
            <w:szCs w:val="22"/>
          </w:rPr>
          <w:id w:val="-1957102270"/>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USD08 \l 3081 </w:instrText>
          </w:r>
          <w:r w:rsidRPr="00A34F8A">
            <w:rPr>
              <w:rFonts w:asciiTheme="minorHAnsi" w:hAnsiTheme="minorHAnsi" w:cstheme="minorHAnsi"/>
              <w:sz w:val="22"/>
              <w:szCs w:val="22"/>
            </w:rPr>
            <w:fldChar w:fldCharType="separate"/>
          </w:r>
          <w:r w:rsidR="002E2541">
            <w:rPr>
              <w:rFonts w:asciiTheme="minorHAnsi" w:hAnsiTheme="minorHAnsi" w:cstheme="minorHAnsi"/>
              <w:noProof/>
              <w:sz w:val="22"/>
              <w:szCs w:val="22"/>
            </w:rPr>
            <w:t xml:space="preserve"> </w:t>
          </w:r>
          <w:r w:rsidR="002E2541" w:rsidRPr="002E2541">
            <w:rPr>
              <w:rFonts w:asciiTheme="minorHAnsi" w:hAnsiTheme="minorHAnsi" w:cstheme="minorHAnsi"/>
              <w:noProof/>
              <w:sz w:val="22"/>
              <w:szCs w:val="22"/>
            </w:rPr>
            <w:t>(US Department of Energy, 2008)</w:t>
          </w:r>
          <w:r w:rsidRPr="00A34F8A">
            <w:rPr>
              <w:rFonts w:asciiTheme="minorHAnsi" w:hAnsiTheme="minorHAnsi" w:cstheme="minorHAnsi"/>
              <w:sz w:val="22"/>
              <w:szCs w:val="22"/>
            </w:rPr>
            <w:fldChar w:fldCharType="end"/>
          </w:r>
        </w:sdtContent>
      </w:sdt>
    </w:p>
    <w:p w14:paraId="002E6A59" w14:textId="5281D7F5" w:rsidR="00935C37" w:rsidRPr="00A34F8A" w:rsidRDefault="002410A2" w:rsidP="004335C2">
      <w:pPr>
        <w:ind w:firstLine="567"/>
        <w:rPr>
          <w:rFonts w:asciiTheme="minorHAnsi" w:hAnsiTheme="minorHAnsi" w:cstheme="minorHAnsi"/>
          <w:szCs w:val="22"/>
        </w:rPr>
      </w:pPr>
      <w:r w:rsidRPr="002410A2">
        <w:rPr>
          <w:rFonts w:asciiTheme="minorHAnsi" w:hAnsiTheme="minorHAnsi" w:cstheme="minorHAnsi"/>
          <w:noProof/>
          <w:szCs w:val="22"/>
        </w:rPr>
        <w:drawing>
          <wp:inline distT="0" distB="0" distL="0" distR="0" wp14:anchorId="5A46BFFF" wp14:editId="0E81B753">
            <wp:extent cx="8211493" cy="5014873"/>
            <wp:effectExtent l="0" t="0" r="5715" b="1905"/>
            <wp:docPr id="1281115968" name="Picture 1" descr="A table of technical data showing average usage, loading point and lifetime of external power supplies by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15968" name="Picture 1" descr="A table of technical data showing average usage, loading point and lifetime of external power supplies by application type."/>
                    <pic:cNvPicPr/>
                  </pic:nvPicPr>
                  <pic:blipFill>
                    <a:blip r:embed="rId36"/>
                    <a:stretch>
                      <a:fillRect/>
                    </a:stretch>
                  </pic:blipFill>
                  <pic:spPr>
                    <a:xfrm>
                      <a:off x="0" y="0"/>
                      <a:ext cx="8280850" cy="5057230"/>
                    </a:xfrm>
                    <a:prstGeom prst="rect">
                      <a:avLst/>
                    </a:prstGeom>
                  </pic:spPr>
                </pic:pic>
              </a:graphicData>
            </a:graphic>
          </wp:inline>
        </w:drawing>
      </w:r>
    </w:p>
    <w:p w14:paraId="4E65847C" w14:textId="1A73C8AA" w:rsidR="00935C37" w:rsidRDefault="00935C37" w:rsidP="00935C37">
      <w:pPr>
        <w:pStyle w:val="Caption"/>
        <w:keepNext/>
        <w:rPr>
          <w:rFonts w:asciiTheme="minorHAnsi" w:hAnsiTheme="minorHAnsi" w:cstheme="minorHAnsi"/>
          <w:sz w:val="22"/>
          <w:szCs w:val="22"/>
        </w:rPr>
      </w:pPr>
      <w:bookmarkStart w:id="180" w:name="_Ref132969510"/>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24</w:t>
      </w:r>
      <w:r w:rsidRPr="00A34F8A">
        <w:rPr>
          <w:rFonts w:asciiTheme="minorHAnsi" w:hAnsiTheme="minorHAnsi" w:cstheme="minorHAnsi"/>
          <w:noProof/>
          <w:sz w:val="22"/>
          <w:szCs w:val="22"/>
        </w:rPr>
        <w:fldChar w:fldCharType="end"/>
      </w:r>
      <w:bookmarkEnd w:id="180"/>
      <w:r w:rsidRPr="00A34F8A">
        <w:rPr>
          <w:rFonts w:asciiTheme="minorHAnsi" w:hAnsiTheme="minorHAnsi" w:cstheme="minorHAnsi"/>
          <w:sz w:val="22"/>
          <w:szCs w:val="22"/>
        </w:rPr>
        <w:t xml:space="preserve">: Average usage, loading point and lifetime  by application state, adapted from DOE analysis </w:t>
      </w:r>
      <w:sdt>
        <w:sdtPr>
          <w:rPr>
            <w:rFonts w:asciiTheme="minorHAnsi" w:hAnsiTheme="minorHAnsi" w:cstheme="minorHAnsi"/>
            <w:sz w:val="22"/>
            <w:szCs w:val="22"/>
          </w:rPr>
          <w:id w:val="935559053"/>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sdt>
        <w:sdtPr>
          <w:rPr>
            <w:rFonts w:asciiTheme="minorHAnsi" w:hAnsiTheme="minorHAnsi" w:cstheme="minorHAnsi"/>
            <w:sz w:val="22"/>
            <w:szCs w:val="22"/>
          </w:rPr>
          <w:id w:val="-1553527460"/>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USD08 \l 3081 </w:instrText>
          </w:r>
          <w:r w:rsidRPr="00A34F8A">
            <w:rPr>
              <w:rFonts w:asciiTheme="minorHAnsi" w:hAnsiTheme="minorHAnsi" w:cstheme="minorHAnsi"/>
              <w:sz w:val="22"/>
              <w:szCs w:val="22"/>
            </w:rPr>
            <w:fldChar w:fldCharType="separate"/>
          </w:r>
          <w:r w:rsidR="002E2541">
            <w:rPr>
              <w:rFonts w:asciiTheme="minorHAnsi" w:hAnsiTheme="minorHAnsi" w:cstheme="minorHAnsi"/>
              <w:noProof/>
              <w:sz w:val="22"/>
              <w:szCs w:val="22"/>
            </w:rPr>
            <w:t xml:space="preserve"> </w:t>
          </w:r>
          <w:r w:rsidR="002E2541" w:rsidRPr="002E2541">
            <w:rPr>
              <w:rFonts w:asciiTheme="minorHAnsi" w:hAnsiTheme="minorHAnsi" w:cstheme="minorHAnsi"/>
              <w:noProof/>
              <w:sz w:val="22"/>
              <w:szCs w:val="22"/>
            </w:rPr>
            <w:t>(US Department of Energy, 2008)</w:t>
          </w:r>
          <w:r w:rsidRPr="00A34F8A">
            <w:rPr>
              <w:rFonts w:asciiTheme="minorHAnsi" w:hAnsiTheme="minorHAnsi" w:cstheme="minorHAnsi"/>
              <w:sz w:val="22"/>
              <w:szCs w:val="22"/>
            </w:rPr>
            <w:fldChar w:fldCharType="end"/>
          </w:r>
        </w:sdtContent>
      </w:sdt>
    </w:p>
    <w:p w14:paraId="37889CD1" w14:textId="4687E676" w:rsidR="00191655" w:rsidRPr="00A34F8A" w:rsidRDefault="004258C9" w:rsidP="004335C2">
      <w:pPr>
        <w:pStyle w:val="Caption"/>
        <w:keepNext/>
        <w:ind w:firstLine="1134"/>
        <w:rPr>
          <w:rFonts w:asciiTheme="minorHAnsi" w:hAnsiTheme="minorHAnsi" w:cstheme="minorHAnsi"/>
          <w:sz w:val="22"/>
          <w:szCs w:val="22"/>
        </w:rPr>
      </w:pPr>
      <w:r w:rsidRPr="004258C9">
        <w:rPr>
          <w:rFonts w:asciiTheme="minorHAnsi" w:hAnsiTheme="minorHAnsi" w:cstheme="minorHAnsi"/>
          <w:noProof/>
          <w:sz w:val="22"/>
          <w:szCs w:val="22"/>
        </w:rPr>
        <w:drawing>
          <wp:inline distT="0" distB="0" distL="0" distR="0" wp14:anchorId="66A11C40" wp14:editId="137980BE">
            <wp:extent cx="8347295" cy="2746151"/>
            <wp:effectExtent l="0" t="0" r="0" b="0"/>
            <wp:docPr id="1476851464" name="Picture 1" descr="A table of technical data showing average usage, loading point and lifetime of external power supplies by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51464" name="Picture 1" descr="A table of technical data showing average usage, loading point and lifetime of external power supplies by application type."/>
                    <pic:cNvPicPr/>
                  </pic:nvPicPr>
                  <pic:blipFill>
                    <a:blip r:embed="rId37"/>
                    <a:stretch>
                      <a:fillRect/>
                    </a:stretch>
                  </pic:blipFill>
                  <pic:spPr>
                    <a:xfrm>
                      <a:off x="0" y="0"/>
                      <a:ext cx="8401551" cy="2764001"/>
                    </a:xfrm>
                    <a:prstGeom prst="rect">
                      <a:avLst/>
                    </a:prstGeom>
                  </pic:spPr>
                </pic:pic>
              </a:graphicData>
            </a:graphic>
          </wp:inline>
        </w:drawing>
      </w:r>
    </w:p>
    <w:p w14:paraId="7DCA80C8" w14:textId="79B05139" w:rsidR="00935C37" w:rsidRPr="00A34F8A" w:rsidRDefault="00935C37" w:rsidP="00986A11">
      <w:pPr>
        <w:ind w:left="-567"/>
        <w:jc w:val="center"/>
        <w:rPr>
          <w:rFonts w:asciiTheme="minorHAnsi" w:hAnsiTheme="minorHAnsi" w:cstheme="minorHAnsi"/>
          <w:noProof/>
          <w:szCs w:val="22"/>
        </w:rPr>
      </w:pPr>
    </w:p>
    <w:p w14:paraId="1F859CC2" w14:textId="77777777" w:rsidR="00935C37" w:rsidRPr="00A34F8A" w:rsidRDefault="00935C37" w:rsidP="00986A11">
      <w:pPr>
        <w:pStyle w:val="BlueLineBottom"/>
      </w:pPr>
    </w:p>
    <w:p w14:paraId="329D2F0E" w14:textId="77777777" w:rsidR="00576987" w:rsidRDefault="00576987" w:rsidP="00935C37">
      <w:pPr>
        <w:pStyle w:val="Heading1"/>
        <w:rPr>
          <w:rFonts w:asciiTheme="minorHAnsi" w:hAnsiTheme="minorHAnsi" w:cstheme="minorHAnsi"/>
          <w:sz w:val="22"/>
          <w:szCs w:val="22"/>
        </w:rPr>
        <w:sectPr w:rsidR="00576987" w:rsidSect="00CE6210">
          <w:pgSz w:w="16838" w:h="11906" w:orient="landscape"/>
          <w:pgMar w:top="1440" w:right="1440" w:bottom="2007" w:left="1440" w:header="709" w:footer="709" w:gutter="0"/>
          <w:cols w:space="708"/>
          <w:docGrid w:linePitch="360"/>
        </w:sectPr>
      </w:pPr>
      <w:bookmarkStart w:id="181" w:name="_Toc168660747"/>
    </w:p>
    <w:p w14:paraId="1A7D1D4A" w14:textId="5DE3F5CA" w:rsidR="00935C37" w:rsidRPr="009B7B2E" w:rsidRDefault="00935C37" w:rsidP="00935C37">
      <w:pPr>
        <w:pStyle w:val="Heading1"/>
        <w:rPr>
          <w:rFonts w:asciiTheme="minorHAnsi" w:hAnsiTheme="minorHAnsi" w:cstheme="minorHAnsi"/>
          <w:sz w:val="28"/>
        </w:rPr>
      </w:pPr>
      <w:bookmarkStart w:id="182" w:name="_Toc183163296"/>
      <w:r w:rsidRPr="009B7B2E">
        <w:rPr>
          <w:rFonts w:asciiTheme="minorHAnsi" w:hAnsiTheme="minorHAnsi" w:cstheme="minorHAnsi"/>
          <w:sz w:val="28"/>
        </w:rPr>
        <w:lastRenderedPageBreak/>
        <w:t>Efficiency levels</w:t>
      </w:r>
      <w:bookmarkEnd w:id="181"/>
      <w:bookmarkEnd w:id="182"/>
    </w:p>
    <w:p w14:paraId="01597345" w14:textId="1A5F45B1" w:rsidR="009D036E" w:rsidRPr="00A34F8A" w:rsidRDefault="009D036E" w:rsidP="009D036E">
      <w:pPr>
        <w:rPr>
          <w:rFonts w:asciiTheme="minorHAnsi" w:hAnsiTheme="minorHAnsi" w:cstheme="minorHAnsi"/>
          <w:szCs w:val="22"/>
        </w:rPr>
      </w:pPr>
      <w:r w:rsidRPr="00A34F8A">
        <w:rPr>
          <w:rFonts w:asciiTheme="minorHAnsi" w:hAnsiTheme="minorHAnsi" w:cstheme="minorHAnsi"/>
          <w:szCs w:val="22"/>
        </w:rPr>
        <w:t xml:space="preserve">The international efficiency mark levels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_Ref132196314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7</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w:t>
      </w:r>
    </w:p>
    <w:p w14:paraId="5FA7DFED" w14:textId="77777777" w:rsidR="009D036E" w:rsidRPr="00A34F8A" w:rsidRDefault="009D036E" w:rsidP="009D036E">
      <w:pPr>
        <w:pStyle w:val="BlueLineTop"/>
        <w:rPr>
          <w:rFonts w:asciiTheme="minorHAnsi" w:hAnsiTheme="minorHAnsi" w:cstheme="minorHAnsi"/>
          <w:sz w:val="22"/>
          <w:szCs w:val="22"/>
        </w:rPr>
      </w:pPr>
    </w:p>
    <w:p w14:paraId="46467A57" w14:textId="0EBAA5FE" w:rsidR="009D036E" w:rsidRPr="00A34F8A" w:rsidRDefault="009D036E" w:rsidP="009D036E">
      <w:pPr>
        <w:pStyle w:val="Caption"/>
        <w:keepNext/>
        <w:rPr>
          <w:rFonts w:asciiTheme="minorHAnsi" w:hAnsiTheme="minorHAnsi" w:cstheme="minorHAnsi"/>
          <w:sz w:val="22"/>
          <w:szCs w:val="22"/>
        </w:rPr>
      </w:pPr>
      <w:bookmarkStart w:id="183" w:name="_Ref132196314"/>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25</w:t>
      </w:r>
      <w:r w:rsidRPr="00A34F8A">
        <w:rPr>
          <w:rFonts w:asciiTheme="minorHAnsi" w:hAnsiTheme="minorHAnsi" w:cstheme="minorHAnsi"/>
          <w:noProof/>
          <w:sz w:val="22"/>
          <w:szCs w:val="22"/>
        </w:rPr>
        <w:fldChar w:fldCharType="end"/>
      </w:r>
      <w:bookmarkEnd w:id="183"/>
      <w:r w:rsidRPr="00A34F8A">
        <w:rPr>
          <w:rFonts w:asciiTheme="minorHAnsi" w:hAnsiTheme="minorHAnsi" w:cstheme="minorHAnsi"/>
          <w:sz w:val="22"/>
          <w:szCs w:val="22"/>
        </w:rPr>
        <w:t xml:space="preserve">: Efficiency assumptions for the different product classes and Mark levels (Mark III represents the current MEPS, Mark VI is the current US and EU standard, and “mark VII” is the proposed future standard </w:t>
      </w:r>
      <w:sdt>
        <w:sdtPr>
          <w:rPr>
            <w:rFonts w:asciiTheme="minorHAnsi" w:hAnsiTheme="minorHAnsi" w:cstheme="minorHAnsi"/>
            <w:sz w:val="22"/>
            <w:szCs w:val="22"/>
          </w:rPr>
          <w:id w:val="23148368"/>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Off23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(Office of Energy Efficiency, Department of Energy, 2023)</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 SV=single voltage, MV=multiple voltage</w:t>
      </w:r>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851"/>
        <w:gridCol w:w="2977"/>
        <w:gridCol w:w="2126"/>
        <w:gridCol w:w="3118"/>
      </w:tblGrid>
      <w:tr w:rsidR="00CA72A3" w:rsidRPr="00A34F8A" w14:paraId="445F43EF" w14:textId="77777777" w:rsidTr="00CA72A3">
        <w:trPr>
          <w:cnfStyle w:val="100000000000" w:firstRow="1" w:lastRow="0" w:firstColumn="0" w:lastColumn="0" w:oddVBand="0" w:evenVBand="0" w:oddHBand="0" w:evenHBand="0" w:firstRowFirstColumn="0" w:firstRowLastColumn="0" w:lastRowFirstColumn="0" w:lastRowLastColumn="0"/>
          <w:cantSplit/>
          <w:tblHeader/>
        </w:trPr>
        <w:tc>
          <w:tcPr>
            <w:tcW w:w="851" w:type="dxa"/>
            <w:tcBorders>
              <w:right w:val="single" w:sz="4" w:space="0" w:color="C4BC96" w:themeColor="background2" w:themeShade="BF"/>
            </w:tcBorders>
            <w:tcMar>
              <w:top w:w="57" w:type="dxa"/>
              <w:left w:w="57" w:type="dxa"/>
              <w:bottom w:w="57" w:type="dxa"/>
              <w:right w:w="57" w:type="dxa"/>
            </w:tcMar>
          </w:tcPr>
          <w:p w14:paraId="18D0287C" w14:textId="77777777" w:rsidR="009D036E" w:rsidRPr="00A34F8A" w:rsidRDefault="009D036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Mark</w:t>
            </w:r>
          </w:p>
        </w:tc>
        <w:tc>
          <w:tcPr>
            <w:tcW w:w="2977" w:type="dxa"/>
            <w:tcMar>
              <w:top w:w="57" w:type="dxa"/>
              <w:left w:w="57" w:type="dxa"/>
              <w:bottom w:w="57" w:type="dxa"/>
              <w:right w:w="57" w:type="dxa"/>
            </w:tcMar>
          </w:tcPr>
          <w:p w14:paraId="04ADDE77" w14:textId="77777777" w:rsidR="009D036E" w:rsidRPr="00A34F8A" w:rsidRDefault="009D036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Nameplate output power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w:t>
            </w:r>
          </w:p>
        </w:tc>
        <w:tc>
          <w:tcPr>
            <w:tcW w:w="2126" w:type="dxa"/>
            <w:tcBorders>
              <w:left w:val="single" w:sz="4" w:space="0" w:color="C4BC96" w:themeColor="background2" w:themeShade="BF"/>
            </w:tcBorders>
            <w:tcMar>
              <w:top w:w="57" w:type="dxa"/>
              <w:left w:w="57" w:type="dxa"/>
              <w:bottom w:w="57" w:type="dxa"/>
              <w:right w:w="57" w:type="dxa"/>
            </w:tcMar>
          </w:tcPr>
          <w:p w14:paraId="1D3C1E4D" w14:textId="77777777" w:rsidR="009D036E" w:rsidRPr="00A34F8A" w:rsidRDefault="009D036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No-load mode power</w:t>
            </w:r>
          </w:p>
        </w:tc>
        <w:tc>
          <w:tcPr>
            <w:tcW w:w="3118" w:type="dxa"/>
            <w:tcBorders>
              <w:left w:val="single" w:sz="4" w:space="0" w:color="C4BC96" w:themeColor="background2" w:themeShade="BF"/>
            </w:tcBorders>
            <w:tcMar>
              <w:top w:w="57" w:type="dxa"/>
              <w:left w:w="57" w:type="dxa"/>
              <w:bottom w:w="57" w:type="dxa"/>
              <w:right w:w="57" w:type="dxa"/>
            </w:tcMar>
          </w:tcPr>
          <w:p w14:paraId="266323C0" w14:textId="77777777" w:rsidR="009D036E" w:rsidRPr="00A34F8A" w:rsidRDefault="009D036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Average efficiency in active mode</w:t>
            </w:r>
          </w:p>
        </w:tc>
      </w:tr>
      <w:tr w:rsidR="00921A9E" w:rsidRPr="00A34F8A" w14:paraId="7360EF17" w14:textId="77777777" w:rsidTr="00CA72A3">
        <w:trPr>
          <w:cantSplit/>
          <w:trHeight w:val="79"/>
        </w:trPr>
        <w:tc>
          <w:tcPr>
            <w:tcW w:w="851" w:type="dxa"/>
            <w:vMerge w:val="restart"/>
            <w:tcBorders>
              <w:right w:val="single" w:sz="4" w:space="0" w:color="BFBFBF"/>
            </w:tcBorders>
            <w:tcMar>
              <w:top w:w="57" w:type="dxa"/>
              <w:left w:w="57" w:type="dxa"/>
              <w:bottom w:w="57" w:type="dxa"/>
              <w:right w:w="57" w:type="dxa"/>
            </w:tcMar>
          </w:tcPr>
          <w:p w14:paraId="15BDF0BB" w14:textId="77777777" w:rsidR="009D036E" w:rsidRPr="00A34F8A" w:rsidRDefault="009D036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III</w:t>
            </w:r>
          </w:p>
        </w:tc>
        <w:tc>
          <w:tcPr>
            <w:tcW w:w="2977" w:type="dxa"/>
            <w:tcBorders>
              <w:left w:val="single" w:sz="4" w:space="0" w:color="BFBFBF"/>
              <w:right w:val="single" w:sz="4" w:space="0" w:color="BFBFBF"/>
            </w:tcBorders>
            <w:tcMar>
              <w:top w:w="57" w:type="dxa"/>
              <w:left w:w="57" w:type="dxa"/>
              <w:bottom w:w="57" w:type="dxa"/>
              <w:right w:w="57" w:type="dxa"/>
            </w:tcMar>
          </w:tcPr>
          <w:p w14:paraId="32C905A9"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 to 1W</w:t>
            </w:r>
          </w:p>
        </w:tc>
        <w:tc>
          <w:tcPr>
            <w:tcW w:w="2126" w:type="dxa"/>
            <w:tcBorders>
              <w:left w:val="single" w:sz="4" w:space="0" w:color="BFBFBF"/>
              <w:right w:val="single" w:sz="4" w:space="0" w:color="BFBFBF" w:themeColor="background1" w:themeShade="BF"/>
            </w:tcBorders>
            <w:tcMar>
              <w:top w:w="57" w:type="dxa"/>
              <w:left w:w="57" w:type="dxa"/>
              <w:bottom w:w="57" w:type="dxa"/>
              <w:right w:w="57" w:type="dxa"/>
            </w:tcMar>
          </w:tcPr>
          <w:p w14:paraId="64EAE20F"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0.5</w:t>
            </w:r>
          </w:p>
        </w:tc>
        <w:tc>
          <w:tcPr>
            <w:tcW w:w="3118" w:type="dxa"/>
            <w:tcBorders>
              <w:left w:val="single" w:sz="4" w:space="0" w:color="BFBFBF" w:themeColor="background1" w:themeShade="BF"/>
            </w:tcBorders>
            <w:tcMar>
              <w:top w:w="57" w:type="dxa"/>
              <w:left w:w="57" w:type="dxa"/>
              <w:bottom w:w="57" w:type="dxa"/>
              <w:right w:w="57" w:type="dxa"/>
            </w:tcMar>
          </w:tcPr>
          <w:p w14:paraId="21EF4619"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0.49 x P</w:t>
            </w:r>
            <w:r w:rsidRPr="00A34F8A">
              <w:rPr>
                <w:rFonts w:asciiTheme="minorHAnsi" w:hAnsiTheme="minorHAnsi" w:cstheme="minorHAnsi"/>
                <w:sz w:val="22"/>
                <w:szCs w:val="22"/>
                <w:vertAlign w:val="subscript"/>
              </w:rPr>
              <w:t>no</w:t>
            </w:r>
          </w:p>
        </w:tc>
      </w:tr>
      <w:tr w:rsidR="00921A9E" w:rsidRPr="00A34F8A" w14:paraId="20A5913E" w14:textId="77777777" w:rsidTr="00CA72A3">
        <w:trPr>
          <w:cantSplit/>
          <w:trHeight w:val="79"/>
        </w:trPr>
        <w:tc>
          <w:tcPr>
            <w:tcW w:w="851" w:type="dxa"/>
            <w:vMerge/>
            <w:tcBorders>
              <w:right w:val="single" w:sz="4" w:space="0" w:color="BFBFBF"/>
            </w:tcBorders>
            <w:tcMar>
              <w:top w:w="57" w:type="dxa"/>
              <w:left w:w="57" w:type="dxa"/>
              <w:bottom w:w="57" w:type="dxa"/>
              <w:right w:w="57" w:type="dxa"/>
            </w:tcMar>
          </w:tcPr>
          <w:p w14:paraId="68C14688"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59BBAEF0"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 1 to 49W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10331DBC"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0.75</w:t>
            </w:r>
          </w:p>
        </w:tc>
        <w:tc>
          <w:tcPr>
            <w:tcW w:w="3118" w:type="dxa"/>
            <w:tcBorders>
              <w:left w:val="single" w:sz="4" w:space="0" w:color="BFBFBF" w:themeColor="background1" w:themeShade="BF"/>
            </w:tcBorders>
            <w:tcMar>
              <w:top w:w="57" w:type="dxa"/>
              <w:left w:w="57" w:type="dxa"/>
              <w:bottom w:w="57" w:type="dxa"/>
              <w:right w:w="57" w:type="dxa"/>
            </w:tcMar>
          </w:tcPr>
          <w:p w14:paraId="1408620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0.09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+ 0.49</w:t>
            </w:r>
          </w:p>
        </w:tc>
      </w:tr>
      <w:tr w:rsidR="00921A9E" w:rsidRPr="00A34F8A" w14:paraId="675895AE" w14:textId="77777777" w:rsidTr="00CA72A3">
        <w:trPr>
          <w:cantSplit/>
          <w:trHeight w:val="79"/>
        </w:trPr>
        <w:tc>
          <w:tcPr>
            <w:tcW w:w="851" w:type="dxa"/>
            <w:vMerge/>
            <w:tcBorders>
              <w:right w:val="single" w:sz="4" w:space="0" w:color="BFBFBF"/>
            </w:tcBorders>
            <w:tcMar>
              <w:top w:w="57" w:type="dxa"/>
              <w:left w:w="57" w:type="dxa"/>
              <w:bottom w:w="57" w:type="dxa"/>
              <w:right w:w="57" w:type="dxa"/>
            </w:tcMar>
          </w:tcPr>
          <w:p w14:paraId="0AC1C42E"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468FC53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&gt;49 to 250W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148DCB24"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1EB6D6BB"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0.84</w:t>
            </w:r>
          </w:p>
        </w:tc>
      </w:tr>
      <w:tr w:rsidR="00921A9E" w:rsidRPr="00A34F8A" w14:paraId="15B3336B" w14:textId="77777777" w:rsidTr="00CA72A3">
        <w:trPr>
          <w:cantSplit/>
          <w:trHeight w:val="192"/>
        </w:trPr>
        <w:tc>
          <w:tcPr>
            <w:tcW w:w="851" w:type="dxa"/>
            <w:vMerge w:val="restart"/>
            <w:tcBorders>
              <w:right w:val="single" w:sz="4" w:space="0" w:color="BFBFBF"/>
            </w:tcBorders>
            <w:tcMar>
              <w:top w:w="57" w:type="dxa"/>
              <w:left w:w="57" w:type="dxa"/>
              <w:bottom w:w="57" w:type="dxa"/>
              <w:right w:w="57" w:type="dxa"/>
            </w:tcMar>
          </w:tcPr>
          <w:p w14:paraId="4C731491" w14:textId="77777777" w:rsidR="009D036E" w:rsidRPr="00A34F8A" w:rsidRDefault="009D036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IV</w:t>
            </w:r>
          </w:p>
        </w:tc>
        <w:tc>
          <w:tcPr>
            <w:tcW w:w="2977" w:type="dxa"/>
            <w:tcBorders>
              <w:left w:val="single" w:sz="4" w:space="0" w:color="BFBFBF"/>
              <w:right w:val="single" w:sz="4" w:space="0" w:color="BFBFBF"/>
            </w:tcBorders>
            <w:tcMar>
              <w:top w:w="57" w:type="dxa"/>
              <w:left w:w="57" w:type="dxa"/>
              <w:bottom w:w="57" w:type="dxa"/>
              <w:right w:w="57" w:type="dxa"/>
            </w:tcMar>
          </w:tcPr>
          <w:p w14:paraId="75E8EF24"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 to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042B2A9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0.5</w:t>
            </w:r>
          </w:p>
        </w:tc>
        <w:tc>
          <w:tcPr>
            <w:tcW w:w="3118" w:type="dxa"/>
            <w:tcBorders>
              <w:left w:val="single" w:sz="4" w:space="0" w:color="BFBFBF" w:themeColor="background1" w:themeShade="BF"/>
            </w:tcBorders>
            <w:tcMar>
              <w:top w:w="57" w:type="dxa"/>
              <w:left w:w="57" w:type="dxa"/>
              <w:bottom w:w="57" w:type="dxa"/>
              <w:right w:w="57" w:type="dxa"/>
            </w:tcMar>
          </w:tcPr>
          <w:p w14:paraId="070CEB80"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0.5 x P</w:t>
            </w:r>
            <w:r w:rsidRPr="00A34F8A">
              <w:rPr>
                <w:rFonts w:asciiTheme="minorHAnsi" w:hAnsiTheme="minorHAnsi" w:cstheme="minorHAnsi"/>
                <w:sz w:val="22"/>
                <w:szCs w:val="22"/>
                <w:vertAlign w:val="subscript"/>
              </w:rPr>
              <w:t>no</w:t>
            </w:r>
          </w:p>
        </w:tc>
      </w:tr>
      <w:tr w:rsidR="00921A9E" w:rsidRPr="00A34F8A" w14:paraId="0BA56663" w14:textId="77777777" w:rsidTr="00CA72A3">
        <w:trPr>
          <w:cantSplit/>
          <w:trHeight w:val="192"/>
        </w:trPr>
        <w:tc>
          <w:tcPr>
            <w:tcW w:w="851" w:type="dxa"/>
            <w:vMerge/>
            <w:tcBorders>
              <w:right w:val="single" w:sz="4" w:space="0" w:color="BFBFBF"/>
            </w:tcBorders>
            <w:tcMar>
              <w:top w:w="57" w:type="dxa"/>
              <w:left w:w="57" w:type="dxa"/>
              <w:bottom w:w="57" w:type="dxa"/>
              <w:right w:w="57" w:type="dxa"/>
            </w:tcMar>
          </w:tcPr>
          <w:p w14:paraId="16C83FE7"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1B4844F5"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&gt;1 to ≤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3E8A1BC8"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5358AB0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0.09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+ 0.5</w:t>
            </w:r>
          </w:p>
        </w:tc>
      </w:tr>
      <w:tr w:rsidR="00921A9E" w:rsidRPr="00A34F8A" w14:paraId="7CF85156" w14:textId="77777777" w:rsidTr="00CA72A3">
        <w:trPr>
          <w:cantSplit/>
          <w:trHeight w:val="192"/>
        </w:trPr>
        <w:tc>
          <w:tcPr>
            <w:tcW w:w="851" w:type="dxa"/>
            <w:vMerge/>
            <w:tcBorders>
              <w:right w:val="single" w:sz="4" w:space="0" w:color="BFBFBF"/>
            </w:tcBorders>
            <w:tcMar>
              <w:top w:w="57" w:type="dxa"/>
              <w:left w:w="57" w:type="dxa"/>
              <w:bottom w:w="57" w:type="dxa"/>
              <w:right w:w="57" w:type="dxa"/>
            </w:tcMar>
          </w:tcPr>
          <w:p w14:paraId="6355A4B3"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679C64D4"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49 to ≤ 250W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75D5183E"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0B0FECB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0.85</w:t>
            </w:r>
          </w:p>
        </w:tc>
      </w:tr>
      <w:tr w:rsidR="00921A9E" w:rsidRPr="00A34F8A" w14:paraId="2E732FC4" w14:textId="77777777" w:rsidTr="00CA72A3">
        <w:trPr>
          <w:cantSplit/>
          <w:trHeight w:val="96"/>
        </w:trPr>
        <w:tc>
          <w:tcPr>
            <w:tcW w:w="851" w:type="dxa"/>
            <w:vMerge w:val="restart"/>
            <w:tcBorders>
              <w:right w:val="single" w:sz="4" w:space="0" w:color="BFBFBF"/>
            </w:tcBorders>
            <w:tcMar>
              <w:top w:w="57" w:type="dxa"/>
              <w:left w:w="57" w:type="dxa"/>
              <w:bottom w:w="57" w:type="dxa"/>
              <w:right w:w="57" w:type="dxa"/>
            </w:tcMar>
          </w:tcPr>
          <w:p w14:paraId="5D5546ED" w14:textId="77777777" w:rsidR="009D036E" w:rsidRPr="00A34F8A" w:rsidRDefault="009D036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V</w:t>
            </w:r>
          </w:p>
        </w:tc>
        <w:tc>
          <w:tcPr>
            <w:tcW w:w="2977" w:type="dxa"/>
            <w:tcBorders>
              <w:left w:val="single" w:sz="4" w:space="0" w:color="BFBFBF"/>
              <w:right w:val="single" w:sz="4" w:space="0" w:color="BFBFBF"/>
            </w:tcBorders>
            <w:tcMar>
              <w:top w:w="57" w:type="dxa"/>
              <w:left w:w="57" w:type="dxa"/>
              <w:bottom w:w="57" w:type="dxa"/>
              <w:right w:w="57" w:type="dxa"/>
            </w:tcMar>
          </w:tcPr>
          <w:p w14:paraId="2B8EE78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 to ≤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24545845"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 0.3</w:t>
            </w:r>
          </w:p>
          <w:p w14:paraId="52CB141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 0.5</w:t>
            </w:r>
          </w:p>
        </w:tc>
        <w:tc>
          <w:tcPr>
            <w:tcW w:w="3118" w:type="dxa"/>
            <w:tcBorders>
              <w:left w:val="single" w:sz="4" w:space="0" w:color="BFBFBF" w:themeColor="background1" w:themeShade="BF"/>
            </w:tcBorders>
            <w:tcMar>
              <w:top w:w="57" w:type="dxa"/>
              <w:left w:w="57" w:type="dxa"/>
              <w:bottom w:w="57" w:type="dxa"/>
              <w:right w:w="57" w:type="dxa"/>
            </w:tcMar>
          </w:tcPr>
          <w:p w14:paraId="53CE01E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0.480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+ 0.140</w:t>
            </w:r>
          </w:p>
          <w:p w14:paraId="212BF56E"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0.497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+0.067</w:t>
            </w:r>
          </w:p>
        </w:tc>
      </w:tr>
      <w:tr w:rsidR="00921A9E" w:rsidRPr="00A34F8A" w14:paraId="62E301DE" w14:textId="77777777" w:rsidTr="00CA72A3">
        <w:trPr>
          <w:cantSplit/>
          <w:trHeight w:val="95"/>
        </w:trPr>
        <w:tc>
          <w:tcPr>
            <w:tcW w:w="851" w:type="dxa"/>
            <w:vMerge/>
            <w:tcBorders>
              <w:right w:val="single" w:sz="4" w:space="0" w:color="BFBFBF"/>
            </w:tcBorders>
            <w:tcMar>
              <w:top w:w="57" w:type="dxa"/>
              <w:left w:w="57" w:type="dxa"/>
              <w:bottom w:w="57" w:type="dxa"/>
              <w:right w:w="57" w:type="dxa"/>
            </w:tcMar>
          </w:tcPr>
          <w:p w14:paraId="13FC2B87"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4C1E8BCC"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&gt;1 to ≤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4AE5DBF6"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6F3457D0"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0.0626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+ 0.622</w:t>
            </w:r>
          </w:p>
          <w:p w14:paraId="4619B289"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0.0750 x ln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+ 0.561</w:t>
            </w:r>
          </w:p>
        </w:tc>
      </w:tr>
      <w:tr w:rsidR="00921A9E" w:rsidRPr="00A34F8A" w14:paraId="24F05667" w14:textId="77777777" w:rsidTr="00CA72A3">
        <w:trPr>
          <w:cantSplit/>
          <w:trHeight w:val="46"/>
        </w:trPr>
        <w:tc>
          <w:tcPr>
            <w:tcW w:w="851" w:type="dxa"/>
            <w:vMerge/>
            <w:tcBorders>
              <w:right w:val="single" w:sz="4" w:space="0" w:color="BFBFBF"/>
            </w:tcBorders>
            <w:tcMar>
              <w:top w:w="57" w:type="dxa"/>
              <w:left w:w="57" w:type="dxa"/>
              <w:bottom w:w="57" w:type="dxa"/>
              <w:right w:w="57" w:type="dxa"/>
            </w:tcMar>
          </w:tcPr>
          <w:p w14:paraId="39CB8228"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4F4D109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&gt;49 to 250W</w:t>
            </w:r>
          </w:p>
        </w:tc>
        <w:tc>
          <w:tcPr>
            <w:tcW w:w="2126" w:type="dxa"/>
            <w:tcBorders>
              <w:left w:val="single" w:sz="4" w:space="0" w:color="BFBFBF"/>
              <w:right w:val="single" w:sz="4" w:space="0" w:color="BFBFBF" w:themeColor="background1" w:themeShade="BF"/>
            </w:tcBorders>
            <w:tcMar>
              <w:top w:w="57" w:type="dxa"/>
              <w:left w:w="57" w:type="dxa"/>
              <w:bottom w:w="57" w:type="dxa"/>
              <w:right w:w="57" w:type="dxa"/>
            </w:tcMar>
          </w:tcPr>
          <w:p w14:paraId="5A819B49"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0.5</w:t>
            </w:r>
          </w:p>
        </w:tc>
        <w:tc>
          <w:tcPr>
            <w:tcW w:w="3118" w:type="dxa"/>
            <w:tcBorders>
              <w:left w:val="single" w:sz="4" w:space="0" w:color="BFBFBF" w:themeColor="background1" w:themeShade="BF"/>
            </w:tcBorders>
            <w:tcMar>
              <w:top w:w="57" w:type="dxa"/>
              <w:left w:w="57" w:type="dxa"/>
              <w:bottom w:w="57" w:type="dxa"/>
              <w:right w:w="57" w:type="dxa"/>
            </w:tcMar>
          </w:tcPr>
          <w:p w14:paraId="392F2F17"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0.870</w:t>
            </w:r>
          </w:p>
          <w:p w14:paraId="622E4A96"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0.860</w:t>
            </w:r>
          </w:p>
        </w:tc>
      </w:tr>
      <w:tr w:rsidR="00921A9E" w:rsidRPr="00A34F8A" w14:paraId="49D8A48D" w14:textId="77777777" w:rsidTr="00CA72A3">
        <w:trPr>
          <w:cantSplit/>
          <w:trHeight w:val="79"/>
        </w:trPr>
        <w:tc>
          <w:tcPr>
            <w:tcW w:w="851" w:type="dxa"/>
            <w:vMerge w:val="restart"/>
            <w:tcBorders>
              <w:right w:val="single" w:sz="4" w:space="0" w:color="BFBFBF"/>
            </w:tcBorders>
            <w:tcMar>
              <w:top w:w="57" w:type="dxa"/>
              <w:left w:w="57" w:type="dxa"/>
              <w:bottom w:w="57" w:type="dxa"/>
              <w:right w:w="57" w:type="dxa"/>
            </w:tcMar>
          </w:tcPr>
          <w:p w14:paraId="332F7533" w14:textId="77777777" w:rsidR="009D036E" w:rsidRPr="00A34F8A" w:rsidRDefault="009D036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VI (SV)</w:t>
            </w:r>
          </w:p>
        </w:tc>
        <w:tc>
          <w:tcPr>
            <w:tcW w:w="2977" w:type="dxa"/>
            <w:tcBorders>
              <w:left w:val="single" w:sz="4" w:space="0" w:color="BFBFBF"/>
              <w:right w:val="single" w:sz="4" w:space="0" w:color="BFBFBF"/>
            </w:tcBorders>
            <w:tcMar>
              <w:top w:w="57" w:type="dxa"/>
              <w:left w:w="57" w:type="dxa"/>
              <w:bottom w:w="57" w:type="dxa"/>
              <w:right w:w="57" w:type="dxa"/>
            </w:tcMar>
          </w:tcPr>
          <w:p w14:paraId="3EAFFFD1"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 to ≤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00F5CA0C"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 0.100</w:t>
            </w:r>
          </w:p>
          <w:p w14:paraId="7054EF05"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 0.210</w:t>
            </w:r>
          </w:p>
        </w:tc>
        <w:tc>
          <w:tcPr>
            <w:tcW w:w="3118" w:type="dxa"/>
            <w:tcBorders>
              <w:left w:val="single" w:sz="4" w:space="0" w:color="BFBFBF" w:themeColor="background1" w:themeShade="BF"/>
            </w:tcBorders>
            <w:tcMar>
              <w:top w:w="57" w:type="dxa"/>
              <w:left w:w="57" w:type="dxa"/>
              <w:bottom w:w="57" w:type="dxa"/>
              <w:right w:w="57" w:type="dxa"/>
            </w:tcMar>
          </w:tcPr>
          <w:p w14:paraId="056289A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0.5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w:t>
            </w:r>
          </w:p>
          <w:p w14:paraId="3047B43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0.517 x Pno + 0.087</w:t>
            </w:r>
          </w:p>
        </w:tc>
      </w:tr>
      <w:tr w:rsidR="00921A9E" w:rsidRPr="00A34F8A" w14:paraId="76E443FF" w14:textId="77777777" w:rsidTr="00CA72A3">
        <w:trPr>
          <w:cantSplit/>
          <w:trHeight w:val="79"/>
        </w:trPr>
        <w:tc>
          <w:tcPr>
            <w:tcW w:w="851" w:type="dxa"/>
            <w:vMerge/>
            <w:tcBorders>
              <w:right w:val="single" w:sz="4" w:space="0" w:color="BFBFBF"/>
            </w:tcBorders>
            <w:tcMar>
              <w:top w:w="57" w:type="dxa"/>
              <w:left w:w="57" w:type="dxa"/>
              <w:bottom w:w="57" w:type="dxa"/>
              <w:right w:w="57" w:type="dxa"/>
            </w:tcMar>
          </w:tcPr>
          <w:p w14:paraId="172D8C84"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49746EE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 1 to ≤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12CEA028"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1BE2E005"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0.071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0.0014 x P</w:t>
            </w:r>
            <w:r w:rsidRPr="00A34F8A">
              <w:rPr>
                <w:rFonts w:asciiTheme="minorHAnsi" w:hAnsiTheme="minorHAnsi" w:cstheme="minorHAnsi"/>
                <w:sz w:val="22"/>
                <w:szCs w:val="22"/>
                <w:vertAlign w:val="subscript"/>
              </w:rPr>
              <w:t xml:space="preserve">no </w:t>
            </w:r>
            <w:r w:rsidRPr="00A34F8A">
              <w:rPr>
                <w:rFonts w:asciiTheme="minorHAnsi" w:hAnsiTheme="minorHAnsi" w:cstheme="minorHAnsi"/>
                <w:sz w:val="22"/>
                <w:szCs w:val="22"/>
              </w:rPr>
              <w:t>+ 0.67</w:t>
            </w:r>
          </w:p>
          <w:p w14:paraId="69B8F036"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0.0834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0.0014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+ 0.609</w:t>
            </w:r>
          </w:p>
        </w:tc>
      </w:tr>
      <w:tr w:rsidR="00921A9E" w:rsidRPr="00A34F8A" w14:paraId="489E0F07" w14:textId="77777777" w:rsidTr="00CA72A3">
        <w:trPr>
          <w:cantSplit/>
          <w:trHeight w:val="52"/>
        </w:trPr>
        <w:tc>
          <w:tcPr>
            <w:tcW w:w="851" w:type="dxa"/>
            <w:vMerge/>
            <w:tcBorders>
              <w:right w:val="single" w:sz="4" w:space="0" w:color="BFBFBF"/>
            </w:tcBorders>
            <w:tcMar>
              <w:top w:w="57" w:type="dxa"/>
              <w:left w:w="57" w:type="dxa"/>
              <w:bottom w:w="57" w:type="dxa"/>
              <w:right w:w="57" w:type="dxa"/>
            </w:tcMar>
          </w:tcPr>
          <w:p w14:paraId="2E117B8F"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6FBDE26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&gt;49 to ≤ 250W</w:t>
            </w:r>
          </w:p>
        </w:tc>
        <w:tc>
          <w:tcPr>
            <w:tcW w:w="2126" w:type="dxa"/>
            <w:tcBorders>
              <w:left w:val="single" w:sz="4" w:space="0" w:color="BFBFBF"/>
              <w:right w:val="single" w:sz="4" w:space="0" w:color="BFBFBF" w:themeColor="background1" w:themeShade="BF"/>
            </w:tcBorders>
            <w:tcMar>
              <w:top w:w="57" w:type="dxa"/>
              <w:left w:w="57" w:type="dxa"/>
              <w:bottom w:w="57" w:type="dxa"/>
              <w:right w:w="57" w:type="dxa"/>
            </w:tcMar>
          </w:tcPr>
          <w:p w14:paraId="62A3983B"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0.210</w:t>
            </w:r>
          </w:p>
        </w:tc>
        <w:tc>
          <w:tcPr>
            <w:tcW w:w="3118" w:type="dxa"/>
            <w:tcBorders>
              <w:left w:val="single" w:sz="4" w:space="0" w:color="BFBFBF" w:themeColor="background1" w:themeShade="BF"/>
            </w:tcBorders>
            <w:tcMar>
              <w:top w:w="57" w:type="dxa"/>
              <w:left w:w="57" w:type="dxa"/>
              <w:bottom w:w="57" w:type="dxa"/>
              <w:right w:w="57" w:type="dxa"/>
            </w:tcMar>
          </w:tcPr>
          <w:p w14:paraId="3913F15E"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0.880</w:t>
            </w:r>
          </w:p>
          <w:p w14:paraId="4D1F662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0.870</w:t>
            </w:r>
          </w:p>
        </w:tc>
      </w:tr>
      <w:tr w:rsidR="00921A9E" w:rsidRPr="00A34F8A" w14:paraId="1F7247BC" w14:textId="77777777" w:rsidTr="00CA72A3">
        <w:trPr>
          <w:cantSplit/>
          <w:trHeight w:val="57"/>
        </w:trPr>
        <w:tc>
          <w:tcPr>
            <w:tcW w:w="851" w:type="dxa"/>
            <w:vMerge w:val="restart"/>
            <w:tcBorders>
              <w:right w:val="single" w:sz="4" w:space="0" w:color="BFBFBF"/>
            </w:tcBorders>
            <w:tcMar>
              <w:top w:w="57" w:type="dxa"/>
              <w:left w:w="57" w:type="dxa"/>
              <w:bottom w:w="57" w:type="dxa"/>
              <w:right w:w="57" w:type="dxa"/>
            </w:tcMar>
          </w:tcPr>
          <w:p w14:paraId="72B34FDD" w14:textId="77777777" w:rsidR="009D036E" w:rsidRPr="00A34F8A" w:rsidRDefault="009D036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VI (MV)</w:t>
            </w:r>
          </w:p>
        </w:tc>
        <w:tc>
          <w:tcPr>
            <w:tcW w:w="2977" w:type="dxa"/>
            <w:tcBorders>
              <w:left w:val="single" w:sz="4" w:space="0" w:color="BFBFBF"/>
              <w:right w:val="single" w:sz="4" w:space="0" w:color="BFBFBF"/>
            </w:tcBorders>
            <w:tcMar>
              <w:top w:w="57" w:type="dxa"/>
              <w:left w:w="57" w:type="dxa"/>
              <w:bottom w:w="57" w:type="dxa"/>
              <w:right w:w="57" w:type="dxa"/>
            </w:tcMar>
          </w:tcPr>
          <w:p w14:paraId="640BC6B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 to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32D28CC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0.3</w:t>
            </w:r>
          </w:p>
        </w:tc>
        <w:tc>
          <w:tcPr>
            <w:tcW w:w="3118" w:type="dxa"/>
            <w:tcBorders>
              <w:left w:val="single" w:sz="4" w:space="0" w:color="BFBFBF" w:themeColor="background1" w:themeShade="BF"/>
            </w:tcBorders>
            <w:tcMar>
              <w:top w:w="57" w:type="dxa"/>
              <w:left w:w="57" w:type="dxa"/>
              <w:bottom w:w="57" w:type="dxa"/>
              <w:right w:w="57" w:type="dxa"/>
            </w:tcMar>
          </w:tcPr>
          <w:p w14:paraId="526FA0A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0.497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+ 0.1669</w:t>
            </w:r>
          </w:p>
        </w:tc>
      </w:tr>
      <w:tr w:rsidR="00921A9E" w:rsidRPr="00A34F8A" w14:paraId="4EC4CFF7" w14:textId="77777777" w:rsidTr="00CA72A3">
        <w:trPr>
          <w:cantSplit/>
          <w:trHeight w:val="55"/>
        </w:trPr>
        <w:tc>
          <w:tcPr>
            <w:tcW w:w="851" w:type="dxa"/>
            <w:vMerge/>
            <w:tcBorders>
              <w:right w:val="single" w:sz="4" w:space="0" w:color="BFBFBF"/>
            </w:tcBorders>
            <w:tcMar>
              <w:top w:w="57" w:type="dxa"/>
              <w:left w:w="57" w:type="dxa"/>
              <w:bottom w:w="57" w:type="dxa"/>
              <w:right w:w="57" w:type="dxa"/>
            </w:tcMar>
          </w:tcPr>
          <w:p w14:paraId="7E36CBD0"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1735E69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&gt;1 to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09DB3A32"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3A544AC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0.075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+ 0.561</w:t>
            </w:r>
          </w:p>
        </w:tc>
      </w:tr>
      <w:tr w:rsidR="00921A9E" w:rsidRPr="00A34F8A" w14:paraId="44337BB2" w14:textId="77777777" w:rsidTr="00CA72A3">
        <w:trPr>
          <w:cantSplit/>
          <w:trHeight w:val="55"/>
        </w:trPr>
        <w:tc>
          <w:tcPr>
            <w:tcW w:w="851" w:type="dxa"/>
            <w:vMerge/>
            <w:tcBorders>
              <w:right w:val="single" w:sz="4" w:space="0" w:color="BFBFBF"/>
            </w:tcBorders>
            <w:tcMar>
              <w:top w:w="57" w:type="dxa"/>
              <w:left w:w="57" w:type="dxa"/>
              <w:bottom w:w="57" w:type="dxa"/>
              <w:right w:w="57" w:type="dxa"/>
            </w:tcMar>
          </w:tcPr>
          <w:p w14:paraId="6F6B0840"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78287110"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&gt;49 to 250W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42866FB8"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3A78B7E4"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0.860</w:t>
            </w:r>
          </w:p>
        </w:tc>
      </w:tr>
      <w:tr w:rsidR="00921A9E" w:rsidRPr="00A34F8A" w14:paraId="473CCDFA" w14:textId="77777777" w:rsidTr="00CA72A3">
        <w:trPr>
          <w:cantSplit/>
          <w:trHeight w:val="186"/>
        </w:trPr>
        <w:tc>
          <w:tcPr>
            <w:tcW w:w="851" w:type="dxa"/>
            <w:vMerge w:val="restart"/>
            <w:tcBorders>
              <w:right w:val="single" w:sz="4" w:space="0" w:color="BFBFBF"/>
            </w:tcBorders>
            <w:tcMar>
              <w:top w:w="57" w:type="dxa"/>
              <w:left w:w="57" w:type="dxa"/>
              <w:bottom w:w="57" w:type="dxa"/>
              <w:right w:w="57" w:type="dxa"/>
            </w:tcMar>
          </w:tcPr>
          <w:p w14:paraId="061D3BA7" w14:textId="77777777" w:rsidR="009D036E" w:rsidRPr="00A34F8A" w:rsidRDefault="009D036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“VII” (SV)</w:t>
            </w:r>
          </w:p>
        </w:tc>
        <w:tc>
          <w:tcPr>
            <w:tcW w:w="2977" w:type="dxa"/>
            <w:tcBorders>
              <w:left w:val="single" w:sz="4" w:space="0" w:color="BFBFBF"/>
              <w:right w:val="single" w:sz="4" w:space="0" w:color="BFBFBF"/>
            </w:tcBorders>
            <w:tcMar>
              <w:top w:w="57" w:type="dxa"/>
              <w:left w:w="57" w:type="dxa"/>
              <w:bottom w:w="57" w:type="dxa"/>
              <w:right w:w="57" w:type="dxa"/>
            </w:tcMar>
          </w:tcPr>
          <w:p w14:paraId="2A861CEF"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 to ≤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7610B731"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≤0.075</w:t>
            </w:r>
          </w:p>
          <w:p w14:paraId="7A50BFBE"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Basic: ≤ 0.075</w:t>
            </w:r>
          </w:p>
          <w:p w14:paraId="06D8E06D"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Low: ≤ 0.072</w:t>
            </w:r>
          </w:p>
        </w:tc>
        <w:tc>
          <w:tcPr>
            <w:tcW w:w="3118" w:type="dxa"/>
            <w:tcBorders>
              <w:left w:val="single" w:sz="4" w:space="0" w:color="BFBFBF" w:themeColor="background1" w:themeShade="BF"/>
            </w:tcBorders>
            <w:tcMar>
              <w:top w:w="57" w:type="dxa"/>
              <w:left w:w="57" w:type="dxa"/>
              <w:bottom w:w="57" w:type="dxa"/>
              <w:right w:w="57" w:type="dxa"/>
            </w:tcMar>
          </w:tcPr>
          <w:p w14:paraId="4926679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0.5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+ 0.169</w:t>
            </w:r>
          </w:p>
          <w:p w14:paraId="61605229"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0.517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+ 0.091</w:t>
            </w:r>
          </w:p>
        </w:tc>
      </w:tr>
      <w:tr w:rsidR="00921A9E" w:rsidRPr="00A34F8A" w14:paraId="03A4E9DB" w14:textId="77777777" w:rsidTr="00CA72A3">
        <w:trPr>
          <w:cantSplit/>
          <w:trHeight w:val="186"/>
        </w:trPr>
        <w:tc>
          <w:tcPr>
            <w:tcW w:w="851" w:type="dxa"/>
            <w:vMerge/>
            <w:tcBorders>
              <w:right w:val="single" w:sz="4" w:space="0" w:color="BFBFBF"/>
            </w:tcBorders>
            <w:tcMar>
              <w:top w:w="57" w:type="dxa"/>
              <w:left w:w="57" w:type="dxa"/>
              <w:bottom w:w="57" w:type="dxa"/>
              <w:right w:w="57" w:type="dxa"/>
            </w:tcMar>
          </w:tcPr>
          <w:p w14:paraId="02B6DCEC" w14:textId="77777777" w:rsidR="009D036E" w:rsidRPr="00A34F8A" w:rsidRDefault="009D036E" w:rsidP="005D3977">
            <w:pPr>
              <w:pStyle w:val="Table2-Rowheadingdata"/>
              <w:rPr>
                <w:rFonts w:asciiTheme="minorHAnsi" w:hAnsiTheme="minorHAnsi" w:cstheme="minorHAnsi"/>
                <w:sz w:val="22"/>
                <w:szCs w:val="22"/>
                <w:highlight w:val="yellow"/>
              </w:rPr>
            </w:pPr>
          </w:p>
        </w:tc>
        <w:tc>
          <w:tcPr>
            <w:tcW w:w="2977" w:type="dxa"/>
            <w:tcBorders>
              <w:left w:val="single" w:sz="4" w:space="0" w:color="BFBFBF"/>
              <w:right w:val="single" w:sz="4" w:space="0" w:color="BFBFBF"/>
            </w:tcBorders>
            <w:tcMar>
              <w:top w:w="57" w:type="dxa"/>
              <w:left w:w="57" w:type="dxa"/>
              <w:bottom w:w="57" w:type="dxa"/>
              <w:right w:w="57" w:type="dxa"/>
            </w:tcMar>
          </w:tcPr>
          <w:p w14:paraId="3C45E8D5"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&gt;1 to ≤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6101F577"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2332CF04"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Basic voltage: ≥ 0.071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0.00115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+ 0.67</w:t>
            </w:r>
          </w:p>
          <w:p w14:paraId="6F3C9ECC"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 voltage: ≥ 0.0834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0.0011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+ 0.609</w:t>
            </w:r>
          </w:p>
        </w:tc>
      </w:tr>
      <w:tr w:rsidR="00921A9E" w:rsidRPr="00A34F8A" w14:paraId="531B32D2" w14:textId="77777777" w:rsidTr="00CA72A3">
        <w:trPr>
          <w:cantSplit/>
          <w:trHeight w:val="186"/>
        </w:trPr>
        <w:tc>
          <w:tcPr>
            <w:tcW w:w="851" w:type="dxa"/>
            <w:vMerge/>
            <w:tcBorders>
              <w:right w:val="single" w:sz="4" w:space="0" w:color="BFBFBF"/>
            </w:tcBorders>
            <w:tcMar>
              <w:top w:w="57" w:type="dxa"/>
              <w:left w:w="57" w:type="dxa"/>
              <w:bottom w:w="57" w:type="dxa"/>
              <w:right w:w="57" w:type="dxa"/>
            </w:tcMar>
          </w:tcPr>
          <w:p w14:paraId="68AC1FD8" w14:textId="77777777" w:rsidR="009D036E" w:rsidRPr="00A34F8A" w:rsidRDefault="009D036E" w:rsidP="005D3977">
            <w:pPr>
              <w:pStyle w:val="Table2-Rowheadingdata"/>
              <w:rPr>
                <w:rFonts w:asciiTheme="minorHAnsi" w:hAnsiTheme="minorHAnsi" w:cstheme="minorHAnsi"/>
                <w:sz w:val="22"/>
                <w:szCs w:val="22"/>
                <w:highlight w:val="yellow"/>
              </w:rPr>
            </w:pPr>
          </w:p>
        </w:tc>
        <w:tc>
          <w:tcPr>
            <w:tcW w:w="2977" w:type="dxa"/>
            <w:tcBorders>
              <w:left w:val="single" w:sz="4" w:space="0" w:color="BFBFBF"/>
              <w:right w:val="single" w:sz="4" w:space="0" w:color="BFBFBF"/>
            </w:tcBorders>
            <w:tcMar>
              <w:top w:w="57" w:type="dxa"/>
              <w:left w:w="57" w:type="dxa"/>
              <w:bottom w:w="57" w:type="dxa"/>
              <w:right w:w="57" w:type="dxa"/>
            </w:tcMar>
          </w:tcPr>
          <w:p w14:paraId="2E4E7E8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49 to ≤ 250W</w:t>
            </w:r>
          </w:p>
        </w:tc>
        <w:tc>
          <w:tcPr>
            <w:tcW w:w="2126" w:type="dxa"/>
            <w:tcBorders>
              <w:left w:val="single" w:sz="4" w:space="0" w:color="BFBFBF"/>
              <w:right w:val="single" w:sz="4" w:space="0" w:color="BFBFBF" w:themeColor="background1" w:themeShade="BF"/>
            </w:tcBorders>
            <w:tcMar>
              <w:top w:w="57" w:type="dxa"/>
              <w:left w:w="57" w:type="dxa"/>
              <w:bottom w:w="57" w:type="dxa"/>
              <w:right w:w="57" w:type="dxa"/>
            </w:tcMar>
          </w:tcPr>
          <w:p w14:paraId="1458F1D0"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≤0.150</w:t>
            </w:r>
          </w:p>
          <w:p w14:paraId="33417A3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Basic: ≤ 0.075</w:t>
            </w:r>
          </w:p>
          <w:p w14:paraId="71F9D4DC"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Low: ≤ 0.185</w:t>
            </w:r>
          </w:p>
        </w:tc>
        <w:tc>
          <w:tcPr>
            <w:tcW w:w="3118" w:type="dxa"/>
            <w:tcBorders>
              <w:left w:val="single" w:sz="4" w:space="0" w:color="BFBFBF" w:themeColor="background1" w:themeShade="BF"/>
            </w:tcBorders>
            <w:tcMar>
              <w:top w:w="57" w:type="dxa"/>
              <w:left w:w="57" w:type="dxa"/>
              <w:bottom w:w="57" w:type="dxa"/>
              <w:right w:w="57" w:type="dxa"/>
            </w:tcMar>
          </w:tcPr>
          <w:p w14:paraId="1867F010"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Basic voltage: ≥ 0.890</w:t>
            </w:r>
          </w:p>
          <w:p w14:paraId="66715E44"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AC-DC Low voltage: ≥ 0.880</w:t>
            </w:r>
          </w:p>
          <w:p w14:paraId="263A495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Basic voltage: ≥ 0.902</w:t>
            </w:r>
          </w:p>
          <w:p w14:paraId="251C8B5D"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AC-AC Low voltage: ≥ 0.880</w:t>
            </w:r>
          </w:p>
        </w:tc>
      </w:tr>
      <w:tr w:rsidR="00921A9E" w:rsidRPr="00A34F8A" w14:paraId="0775A35C" w14:textId="77777777" w:rsidTr="00CA72A3">
        <w:trPr>
          <w:cantSplit/>
          <w:trHeight w:val="186"/>
        </w:trPr>
        <w:tc>
          <w:tcPr>
            <w:tcW w:w="851" w:type="dxa"/>
            <w:vMerge w:val="restart"/>
            <w:tcBorders>
              <w:right w:val="single" w:sz="4" w:space="0" w:color="BFBFBF"/>
            </w:tcBorders>
            <w:tcMar>
              <w:top w:w="57" w:type="dxa"/>
              <w:left w:w="57" w:type="dxa"/>
              <w:bottom w:w="57" w:type="dxa"/>
              <w:right w:w="57" w:type="dxa"/>
            </w:tcMar>
          </w:tcPr>
          <w:p w14:paraId="5579796E" w14:textId="77777777" w:rsidR="009D036E" w:rsidRPr="00A34F8A" w:rsidRDefault="009D036E" w:rsidP="005D3977">
            <w:pPr>
              <w:pStyle w:val="Table2-Rowheadingdata"/>
              <w:rPr>
                <w:rFonts w:asciiTheme="minorHAnsi" w:hAnsiTheme="minorHAnsi" w:cstheme="minorHAnsi"/>
                <w:sz w:val="22"/>
                <w:szCs w:val="22"/>
                <w:highlight w:val="yellow"/>
              </w:rPr>
            </w:pPr>
            <w:r w:rsidRPr="00A34F8A">
              <w:rPr>
                <w:rFonts w:asciiTheme="minorHAnsi" w:hAnsiTheme="minorHAnsi" w:cstheme="minorHAnsi"/>
                <w:sz w:val="22"/>
                <w:szCs w:val="22"/>
              </w:rPr>
              <w:t>“VII” (MV)</w:t>
            </w:r>
          </w:p>
        </w:tc>
        <w:tc>
          <w:tcPr>
            <w:tcW w:w="2977" w:type="dxa"/>
            <w:tcBorders>
              <w:left w:val="single" w:sz="4" w:space="0" w:color="BFBFBF"/>
              <w:right w:val="single" w:sz="4" w:space="0" w:color="BFBFBF"/>
            </w:tcBorders>
            <w:tcMar>
              <w:top w:w="57" w:type="dxa"/>
              <w:left w:w="57" w:type="dxa"/>
              <w:bottom w:w="57" w:type="dxa"/>
              <w:right w:w="57" w:type="dxa"/>
            </w:tcMar>
          </w:tcPr>
          <w:p w14:paraId="30345451"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 to 1W</w:t>
            </w:r>
          </w:p>
        </w:tc>
        <w:tc>
          <w:tcPr>
            <w:tcW w:w="2126" w:type="dxa"/>
            <w:vMerge w:val="restart"/>
            <w:tcBorders>
              <w:left w:val="single" w:sz="4" w:space="0" w:color="BFBFBF"/>
              <w:right w:val="single" w:sz="4" w:space="0" w:color="BFBFBF" w:themeColor="background1" w:themeShade="BF"/>
            </w:tcBorders>
            <w:tcMar>
              <w:top w:w="57" w:type="dxa"/>
              <w:left w:w="57" w:type="dxa"/>
              <w:bottom w:w="57" w:type="dxa"/>
              <w:right w:w="57" w:type="dxa"/>
            </w:tcMar>
          </w:tcPr>
          <w:p w14:paraId="62937BB8"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0.075</w:t>
            </w:r>
          </w:p>
        </w:tc>
        <w:tc>
          <w:tcPr>
            <w:tcW w:w="3118" w:type="dxa"/>
            <w:tcBorders>
              <w:left w:val="single" w:sz="4" w:space="0" w:color="BFBFBF" w:themeColor="background1" w:themeShade="BF"/>
            </w:tcBorders>
            <w:tcMar>
              <w:top w:w="57" w:type="dxa"/>
              <w:left w:w="57" w:type="dxa"/>
              <w:bottom w:w="57" w:type="dxa"/>
              <w:right w:w="57" w:type="dxa"/>
            </w:tcMar>
          </w:tcPr>
          <w:p w14:paraId="4EFE28F2"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0.497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+ 0.067</w:t>
            </w:r>
          </w:p>
        </w:tc>
      </w:tr>
      <w:tr w:rsidR="00921A9E" w:rsidRPr="00A34F8A" w14:paraId="4865C7AD" w14:textId="77777777" w:rsidTr="00CA72A3">
        <w:trPr>
          <w:cantSplit/>
          <w:trHeight w:val="186"/>
        </w:trPr>
        <w:tc>
          <w:tcPr>
            <w:tcW w:w="851" w:type="dxa"/>
            <w:vMerge/>
            <w:tcBorders>
              <w:right w:val="single" w:sz="4" w:space="0" w:color="BFBFBF"/>
            </w:tcBorders>
            <w:tcMar>
              <w:top w:w="57" w:type="dxa"/>
              <w:left w:w="57" w:type="dxa"/>
              <w:bottom w:w="57" w:type="dxa"/>
              <w:right w:w="57" w:type="dxa"/>
            </w:tcMar>
          </w:tcPr>
          <w:p w14:paraId="4708B2EC"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33C4F1E9"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&gt;1 to 49W</w:t>
            </w:r>
          </w:p>
        </w:tc>
        <w:tc>
          <w:tcPr>
            <w:tcW w:w="2126" w:type="dxa"/>
            <w:vMerge/>
            <w:tcBorders>
              <w:left w:val="single" w:sz="4" w:space="0" w:color="BFBFBF"/>
              <w:right w:val="single" w:sz="4" w:space="0" w:color="BFBFBF" w:themeColor="background1" w:themeShade="BF"/>
            </w:tcBorders>
            <w:tcMar>
              <w:top w:w="57" w:type="dxa"/>
              <w:left w:w="57" w:type="dxa"/>
              <w:bottom w:w="57" w:type="dxa"/>
              <w:right w:w="57" w:type="dxa"/>
            </w:tcMar>
          </w:tcPr>
          <w:p w14:paraId="258139E2" w14:textId="77777777" w:rsidR="009D036E" w:rsidRPr="00A34F8A" w:rsidRDefault="009D036E" w:rsidP="005D3977">
            <w:pPr>
              <w:pStyle w:val="Table3-Normaldata"/>
              <w:rPr>
                <w:rFonts w:asciiTheme="minorHAnsi" w:hAnsiTheme="minorHAnsi" w:cstheme="minorHAnsi"/>
                <w:sz w:val="22"/>
                <w:szCs w:val="22"/>
              </w:rPr>
            </w:pPr>
          </w:p>
        </w:tc>
        <w:tc>
          <w:tcPr>
            <w:tcW w:w="3118" w:type="dxa"/>
            <w:tcBorders>
              <w:left w:val="single" w:sz="4" w:space="0" w:color="BFBFBF" w:themeColor="background1" w:themeShade="BF"/>
            </w:tcBorders>
            <w:tcMar>
              <w:top w:w="57" w:type="dxa"/>
              <w:left w:w="57" w:type="dxa"/>
              <w:bottom w:w="57" w:type="dxa"/>
              <w:right w:w="57" w:type="dxa"/>
            </w:tcMar>
          </w:tcPr>
          <w:p w14:paraId="69965C74"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0.0782 x ln(P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 0.013 x P</w:t>
            </w:r>
            <w:r w:rsidRPr="00A34F8A">
              <w:rPr>
                <w:rFonts w:asciiTheme="minorHAnsi" w:hAnsiTheme="minorHAnsi" w:cstheme="minorHAnsi"/>
                <w:sz w:val="22"/>
                <w:szCs w:val="22"/>
                <w:vertAlign w:val="subscript"/>
              </w:rPr>
              <w:t>no</w:t>
            </w:r>
            <w:r w:rsidRPr="00A34F8A">
              <w:rPr>
                <w:rFonts w:asciiTheme="minorHAnsi" w:hAnsiTheme="minorHAnsi" w:cstheme="minorHAnsi"/>
                <w:sz w:val="22"/>
                <w:szCs w:val="22"/>
              </w:rPr>
              <w:t xml:space="preserve"> + 0.643</w:t>
            </w:r>
          </w:p>
        </w:tc>
      </w:tr>
      <w:tr w:rsidR="00921A9E" w:rsidRPr="00A34F8A" w14:paraId="136759CE" w14:textId="77777777" w:rsidTr="00CA72A3">
        <w:trPr>
          <w:cantSplit/>
          <w:trHeight w:val="186"/>
        </w:trPr>
        <w:tc>
          <w:tcPr>
            <w:tcW w:w="851" w:type="dxa"/>
            <w:vMerge/>
            <w:tcBorders>
              <w:right w:val="single" w:sz="4" w:space="0" w:color="BFBFBF"/>
            </w:tcBorders>
            <w:tcMar>
              <w:top w:w="57" w:type="dxa"/>
              <w:left w:w="57" w:type="dxa"/>
              <w:bottom w:w="57" w:type="dxa"/>
              <w:right w:w="57" w:type="dxa"/>
            </w:tcMar>
          </w:tcPr>
          <w:p w14:paraId="03AA0328" w14:textId="77777777" w:rsidR="009D036E" w:rsidRPr="00A34F8A" w:rsidRDefault="009D036E" w:rsidP="005D3977">
            <w:pPr>
              <w:pStyle w:val="Table2-Rowheadingdata"/>
              <w:rPr>
                <w:rFonts w:asciiTheme="minorHAnsi" w:hAnsiTheme="minorHAnsi" w:cstheme="minorHAnsi"/>
                <w:sz w:val="22"/>
                <w:szCs w:val="22"/>
              </w:rPr>
            </w:pPr>
          </w:p>
        </w:tc>
        <w:tc>
          <w:tcPr>
            <w:tcW w:w="2977" w:type="dxa"/>
            <w:tcBorders>
              <w:left w:val="single" w:sz="4" w:space="0" w:color="BFBFBF"/>
              <w:right w:val="single" w:sz="4" w:space="0" w:color="BFBFBF"/>
            </w:tcBorders>
            <w:tcMar>
              <w:top w:w="57" w:type="dxa"/>
              <w:left w:w="57" w:type="dxa"/>
              <w:bottom w:w="57" w:type="dxa"/>
              <w:right w:w="57" w:type="dxa"/>
            </w:tcMar>
          </w:tcPr>
          <w:p w14:paraId="2C47B7B3"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&gt;49 to 250W</w:t>
            </w:r>
          </w:p>
        </w:tc>
        <w:tc>
          <w:tcPr>
            <w:tcW w:w="2126" w:type="dxa"/>
            <w:tcBorders>
              <w:left w:val="single" w:sz="4" w:space="0" w:color="BFBFBF"/>
              <w:right w:val="single" w:sz="4" w:space="0" w:color="BFBFBF" w:themeColor="background1" w:themeShade="BF"/>
            </w:tcBorders>
            <w:tcMar>
              <w:top w:w="57" w:type="dxa"/>
              <w:left w:w="57" w:type="dxa"/>
              <w:bottom w:w="57" w:type="dxa"/>
              <w:right w:w="57" w:type="dxa"/>
            </w:tcMar>
          </w:tcPr>
          <w:p w14:paraId="565F2146"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0.125</w:t>
            </w:r>
          </w:p>
        </w:tc>
        <w:tc>
          <w:tcPr>
            <w:tcW w:w="3118" w:type="dxa"/>
            <w:tcBorders>
              <w:left w:val="single" w:sz="4" w:space="0" w:color="BFBFBF" w:themeColor="background1" w:themeShade="BF"/>
            </w:tcBorders>
            <w:tcMar>
              <w:top w:w="57" w:type="dxa"/>
              <w:left w:w="57" w:type="dxa"/>
              <w:bottom w:w="57" w:type="dxa"/>
              <w:right w:w="57" w:type="dxa"/>
            </w:tcMar>
          </w:tcPr>
          <w:p w14:paraId="1A8C4CB4" w14:textId="77777777" w:rsidR="009D036E" w:rsidRPr="00A34F8A" w:rsidRDefault="009D036E"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 0.885</w:t>
            </w:r>
          </w:p>
        </w:tc>
      </w:tr>
    </w:tbl>
    <w:p w14:paraId="7EECE117" w14:textId="77777777" w:rsidR="009D036E" w:rsidRPr="00A34F8A" w:rsidRDefault="009D036E" w:rsidP="009D036E">
      <w:pPr>
        <w:pStyle w:val="BlueLineBottom"/>
        <w:rPr>
          <w:rFonts w:asciiTheme="minorHAnsi" w:hAnsiTheme="minorHAnsi" w:cstheme="minorHAnsi"/>
          <w:sz w:val="22"/>
          <w:szCs w:val="22"/>
        </w:rPr>
      </w:pPr>
      <w:r w:rsidRPr="00A34F8A">
        <w:rPr>
          <w:rFonts w:asciiTheme="minorHAnsi" w:hAnsiTheme="minorHAnsi" w:cstheme="minorHAnsi"/>
          <w:sz w:val="22"/>
          <w:szCs w:val="22"/>
        </w:rPr>
        <w:t xml:space="preserve">*Low voltage is anything under 6V. All other devices are basic voltage. </w:t>
      </w:r>
    </w:p>
    <w:p w14:paraId="12287C14" w14:textId="453D5F5D" w:rsidR="002202DA" w:rsidRPr="008652BC" w:rsidRDefault="002202DA" w:rsidP="002202DA">
      <w:pPr>
        <w:pStyle w:val="Heading1"/>
        <w:rPr>
          <w:rFonts w:asciiTheme="minorHAnsi" w:hAnsiTheme="minorHAnsi" w:cstheme="minorHAnsi"/>
          <w:sz w:val="28"/>
        </w:rPr>
      </w:pPr>
      <w:bookmarkStart w:id="184" w:name="_Toc168660748"/>
      <w:bookmarkStart w:id="185" w:name="_Toc183163297"/>
      <w:r w:rsidRPr="008652BC">
        <w:rPr>
          <w:rFonts w:asciiTheme="minorHAnsi" w:hAnsiTheme="minorHAnsi" w:cstheme="minorHAnsi"/>
          <w:sz w:val="28"/>
        </w:rPr>
        <w:t>Market size and distribution</w:t>
      </w:r>
      <w:bookmarkEnd w:id="184"/>
      <w:bookmarkEnd w:id="185"/>
    </w:p>
    <w:p w14:paraId="14730FC9" w14:textId="77777777" w:rsidR="005E09B9" w:rsidRPr="00A34F8A" w:rsidRDefault="005E09B9" w:rsidP="005E09B9">
      <w:pPr>
        <w:rPr>
          <w:rFonts w:asciiTheme="minorHAnsi" w:hAnsiTheme="minorHAnsi" w:cstheme="minorHAnsi"/>
          <w:szCs w:val="22"/>
        </w:rPr>
      </w:pPr>
      <w:r w:rsidRPr="00A34F8A">
        <w:rPr>
          <w:rFonts w:asciiTheme="minorHAnsi" w:hAnsiTheme="minorHAnsi" w:cstheme="minorHAnsi"/>
          <w:szCs w:val="22"/>
        </w:rPr>
        <w:t>Our market size and distribution assumptions are based on extrapolation from two data sources, including:</w:t>
      </w:r>
    </w:p>
    <w:p w14:paraId="1D314220" w14:textId="77777777" w:rsidR="005E09B9" w:rsidRPr="00A34F8A" w:rsidRDefault="005E09B9" w:rsidP="005E09B9">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New Zealand EPS sales data (2012-2022), provided by Energy Efficiency and Conservation Authority (EECA).</w:t>
      </w:r>
    </w:p>
    <w:p w14:paraId="05C290A2" w14:textId="77B1A318" w:rsidR="005E09B9" w:rsidRPr="00A34F8A" w:rsidRDefault="005E09B9" w:rsidP="005E09B9">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 xml:space="preserve">US Department of Energy, Energy Efficiency and Renewable Energy (EERE) – Preliminary analysis for external power supply (EPS) </w:t>
      </w:r>
      <w:sdt>
        <w:sdtPr>
          <w:rPr>
            <w:rFonts w:asciiTheme="minorHAnsi" w:hAnsiTheme="minorHAnsi" w:cstheme="minorHAnsi"/>
            <w:sz w:val="22"/>
            <w:szCs w:val="22"/>
          </w:rPr>
          <w:id w:val="120586934"/>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w:t>
      </w:r>
    </w:p>
    <w:p w14:paraId="14334383" w14:textId="54016347" w:rsidR="005E09B9" w:rsidRPr="00A34F8A" w:rsidRDefault="005E09B9" w:rsidP="005E09B9">
      <w:pPr>
        <w:rPr>
          <w:rFonts w:asciiTheme="minorHAnsi" w:hAnsiTheme="minorHAnsi" w:cstheme="minorHAnsi"/>
          <w:szCs w:val="22"/>
        </w:rPr>
      </w:pP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_Ref132891815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8</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shows the projected 2023 shipments of EPS devices by product class in the US. We have then extrapolated these numbers to the Australian and New Zealand markets based on differences in population. Additional confidential sales data for NZ products was provided by EECA to inform this analysis. There are some differences between the extrapolated US numbers and the EECA data which are likely largely explained by the differences in scope of the GEMS determination and US regulation. However, it is possible that non-compliance in Australia and New Zealand also contributes.</w:t>
      </w:r>
    </w:p>
    <w:p w14:paraId="0DB1B5F6" w14:textId="77777777" w:rsidR="005E09B9" w:rsidRPr="00A34F8A" w:rsidRDefault="005E09B9" w:rsidP="005E09B9">
      <w:pPr>
        <w:rPr>
          <w:rFonts w:asciiTheme="minorHAnsi" w:hAnsiTheme="minorHAnsi" w:cstheme="minorHAnsi"/>
          <w:szCs w:val="22"/>
        </w:rPr>
      </w:pPr>
    </w:p>
    <w:p w14:paraId="759E48C6" w14:textId="77777777" w:rsidR="005E09B9" w:rsidRPr="00A34F8A" w:rsidRDefault="005E09B9" w:rsidP="005E09B9">
      <w:pPr>
        <w:pStyle w:val="BlueLineTop"/>
        <w:rPr>
          <w:rFonts w:asciiTheme="minorHAnsi" w:hAnsiTheme="minorHAnsi" w:cstheme="minorHAnsi"/>
          <w:sz w:val="22"/>
          <w:szCs w:val="22"/>
        </w:rPr>
      </w:pPr>
    </w:p>
    <w:p w14:paraId="545ACCCA" w14:textId="1A8FFC73" w:rsidR="005E09B9" w:rsidRPr="00A34F8A" w:rsidRDefault="005E09B9" w:rsidP="005E09B9">
      <w:pPr>
        <w:pStyle w:val="Caption"/>
        <w:keepNext/>
        <w:rPr>
          <w:rFonts w:asciiTheme="minorHAnsi" w:hAnsiTheme="minorHAnsi" w:cstheme="minorHAnsi"/>
          <w:sz w:val="22"/>
          <w:szCs w:val="22"/>
        </w:rPr>
      </w:pPr>
      <w:bookmarkStart w:id="186" w:name="_Ref132891815"/>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26</w:t>
      </w:r>
      <w:r w:rsidRPr="00A34F8A">
        <w:rPr>
          <w:rFonts w:asciiTheme="minorHAnsi" w:hAnsiTheme="minorHAnsi" w:cstheme="minorHAnsi"/>
          <w:noProof/>
          <w:sz w:val="22"/>
          <w:szCs w:val="22"/>
        </w:rPr>
        <w:fldChar w:fldCharType="end"/>
      </w:r>
      <w:bookmarkEnd w:id="186"/>
      <w:r w:rsidRPr="00A34F8A">
        <w:rPr>
          <w:rFonts w:asciiTheme="minorHAnsi" w:hAnsiTheme="minorHAnsi" w:cstheme="minorHAnsi"/>
          <w:sz w:val="22"/>
          <w:szCs w:val="22"/>
        </w:rPr>
        <w:t xml:space="preserve">: Australian and NZ 2023 sales by product class extrapolated based on US 2023 projected shipments included in the DOE EPS analysis </w:t>
      </w:r>
      <w:sdt>
        <w:sdtPr>
          <w:rPr>
            <w:rFonts w:asciiTheme="minorHAnsi" w:hAnsiTheme="minorHAnsi" w:cstheme="minorHAnsi"/>
            <w:sz w:val="22"/>
            <w:szCs w:val="22"/>
          </w:rPr>
          <w:id w:val="-2102242702"/>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 xml:space="preserve"> and the 2022 NZ EPS sales recorded in the EECA data.</w:t>
      </w:r>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2694"/>
        <w:gridCol w:w="2126"/>
        <w:gridCol w:w="2126"/>
        <w:gridCol w:w="2126"/>
      </w:tblGrid>
      <w:tr w:rsidR="00DA1EBB" w:rsidRPr="00A34F8A" w14:paraId="49D28B05" w14:textId="77777777" w:rsidTr="00CA72A3">
        <w:trPr>
          <w:cnfStyle w:val="100000000000" w:firstRow="1" w:lastRow="0" w:firstColumn="0" w:lastColumn="0" w:oddVBand="0" w:evenVBand="0" w:oddHBand="0" w:evenHBand="0" w:firstRowFirstColumn="0" w:firstRowLastColumn="0" w:lastRowFirstColumn="0" w:lastRowLastColumn="0"/>
          <w:cantSplit/>
          <w:tblHeader/>
        </w:trPr>
        <w:tc>
          <w:tcPr>
            <w:tcW w:w="2694" w:type="dxa"/>
            <w:tcBorders>
              <w:right w:val="single" w:sz="4" w:space="0" w:color="C4BC96" w:themeColor="background2" w:themeShade="BF"/>
            </w:tcBorders>
            <w:tcMar>
              <w:top w:w="57" w:type="dxa"/>
              <w:left w:w="57" w:type="dxa"/>
              <w:bottom w:w="57" w:type="dxa"/>
              <w:right w:w="57" w:type="dxa"/>
            </w:tcMar>
            <w:vAlign w:val="top"/>
          </w:tcPr>
          <w:p w14:paraId="3A6F3AC6"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Product class</w:t>
            </w:r>
          </w:p>
        </w:tc>
        <w:tc>
          <w:tcPr>
            <w:tcW w:w="2126" w:type="dxa"/>
            <w:tcBorders>
              <w:left w:val="single" w:sz="4" w:space="0" w:color="C4BC96" w:themeColor="background2" w:themeShade="BF"/>
            </w:tcBorders>
            <w:tcMar>
              <w:top w:w="57" w:type="dxa"/>
              <w:left w:w="57" w:type="dxa"/>
              <w:bottom w:w="57" w:type="dxa"/>
              <w:right w:w="57" w:type="dxa"/>
            </w:tcMar>
            <w:vAlign w:val="top"/>
          </w:tcPr>
          <w:p w14:paraId="582E8C27"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US 2023 shipments</w:t>
            </w:r>
          </w:p>
        </w:tc>
        <w:tc>
          <w:tcPr>
            <w:tcW w:w="2126" w:type="dxa"/>
            <w:tcBorders>
              <w:left w:val="single" w:sz="4" w:space="0" w:color="C4BC96" w:themeColor="background2" w:themeShade="BF"/>
            </w:tcBorders>
            <w:tcMar>
              <w:top w:w="57" w:type="dxa"/>
              <w:left w:w="57" w:type="dxa"/>
              <w:bottom w:w="57" w:type="dxa"/>
              <w:right w:w="57" w:type="dxa"/>
            </w:tcMar>
            <w:vAlign w:val="top"/>
          </w:tcPr>
          <w:p w14:paraId="0CC3A64A"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AUS 2023</w:t>
            </w:r>
          </w:p>
        </w:tc>
        <w:tc>
          <w:tcPr>
            <w:tcW w:w="2126" w:type="dxa"/>
            <w:tcBorders>
              <w:left w:val="single" w:sz="4" w:space="0" w:color="C4BC96" w:themeColor="background2" w:themeShade="BF"/>
            </w:tcBorders>
            <w:tcMar>
              <w:top w:w="57" w:type="dxa"/>
              <w:left w:w="57" w:type="dxa"/>
              <w:bottom w:w="57" w:type="dxa"/>
              <w:right w:w="57" w:type="dxa"/>
            </w:tcMar>
            <w:vAlign w:val="top"/>
          </w:tcPr>
          <w:p w14:paraId="48CF0A7F"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NZ 2023</w:t>
            </w:r>
          </w:p>
        </w:tc>
      </w:tr>
      <w:tr w:rsidR="00045634" w:rsidRPr="00A34F8A" w14:paraId="11A44CBC" w14:textId="77777777" w:rsidTr="00CA72A3">
        <w:trPr>
          <w:cantSplit/>
          <w:trHeight w:val="91"/>
        </w:trPr>
        <w:tc>
          <w:tcPr>
            <w:tcW w:w="2694" w:type="dxa"/>
            <w:tcBorders>
              <w:right w:val="single" w:sz="4" w:space="0" w:color="C4BC96" w:themeColor="background2" w:themeShade="BF"/>
            </w:tcBorders>
            <w:tcMar>
              <w:top w:w="57" w:type="dxa"/>
              <w:left w:w="57" w:type="dxa"/>
              <w:bottom w:w="57" w:type="dxa"/>
              <w:right w:w="57" w:type="dxa"/>
            </w:tcMar>
            <w:vAlign w:val="top"/>
          </w:tcPr>
          <w:p w14:paraId="2D2C1356"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(2.5W)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0EEE9FE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6,038,115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378928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467,367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739AB87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93,201 </w:t>
            </w:r>
          </w:p>
        </w:tc>
      </w:tr>
      <w:tr w:rsidR="00045634" w:rsidRPr="00A34F8A" w14:paraId="3D93833B"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67207A1F"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(12W)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3F9EF72"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66,854,257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663CFB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5,174,709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3E257202"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1,031,920 </w:t>
            </w:r>
          </w:p>
        </w:tc>
      </w:tr>
      <w:tr w:rsidR="00045634" w:rsidRPr="00A34F8A" w14:paraId="7996C1F8"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5F1E335E"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(24W)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24A57B2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136,639,628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B73925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10,576,294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1BC1EC6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2,109,084 </w:t>
            </w:r>
          </w:p>
        </w:tc>
      </w:tr>
      <w:tr w:rsidR="00045634" w:rsidRPr="00A34F8A" w14:paraId="342D9920"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279C3AC9"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 xml:space="preserve">SV EPS AC-DC Basic (60W) </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2F87F5E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42,835,544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DF08FC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3,315,592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60C9AE3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661,183 </w:t>
            </w:r>
          </w:p>
        </w:tc>
      </w:tr>
      <w:tr w:rsidR="00045634" w:rsidRPr="00A34F8A" w14:paraId="60A3E164"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545820FD"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(120W)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53F664D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24,602,274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2E88AC7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1,904,286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4C4DD2F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379,745 </w:t>
            </w:r>
          </w:p>
        </w:tc>
      </w:tr>
      <w:tr w:rsidR="00045634" w:rsidRPr="00A34F8A" w14:paraId="7B5AF723"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0A0A9CFD"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(5W)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5435395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403,049,358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8E6085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31,197,162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4BD9BE0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6,221,217 </w:t>
            </w:r>
          </w:p>
        </w:tc>
      </w:tr>
      <w:tr w:rsidR="00045634" w:rsidRPr="00A34F8A" w14:paraId="6DD1F4EA" w14:textId="77777777" w:rsidTr="00CA72A3">
        <w:trPr>
          <w:cantSplit/>
        </w:trPr>
        <w:tc>
          <w:tcPr>
            <w:tcW w:w="2694" w:type="dxa"/>
            <w:tcBorders>
              <w:bottom w:val="single" w:sz="4" w:space="0" w:color="BFBFBF"/>
              <w:right w:val="single" w:sz="4" w:space="0" w:color="C4BC96" w:themeColor="background2" w:themeShade="BF"/>
            </w:tcBorders>
            <w:tcMar>
              <w:top w:w="57" w:type="dxa"/>
              <w:left w:w="57" w:type="dxa"/>
              <w:bottom w:w="57" w:type="dxa"/>
              <w:right w:w="57" w:type="dxa"/>
            </w:tcMar>
            <w:vAlign w:val="top"/>
          </w:tcPr>
          <w:p w14:paraId="6BC8048E"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(10W)</w:t>
            </w:r>
          </w:p>
        </w:tc>
        <w:tc>
          <w:tcPr>
            <w:tcW w:w="2126" w:type="dxa"/>
            <w:tcBorders>
              <w:left w:val="single" w:sz="4" w:space="0" w:color="C4BC96" w:themeColor="background2" w:themeShade="BF"/>
              <w:bottom w:val="single" w:sz="4" w:space="0" w:color="BFBFBF"/>
              <w:right w:val="single" w:sz="4" w:space="0" w:color="BFBFBF" w:themeColor="background1" w:themeShade="BF"/>
            </w:tcBorders>
            <w:tcMar>
              <w:top w:w="57" w:type="dxa"/>
              <w:left w:w="57" w:type="dxa"/>
              <w:bottom w:w="57" w:type="dxa"/>
              <w:right w:w="57" w:type="dxa"/>
            </w:tcMar>
            <w:vAlign w:val="top"/>
          </w:tcPr>
          <w:p w14:paraId="7363ABC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7,193,982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1C0E1C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556,835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6FA37BD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111,042 </w:t>
            </w:r>
          </w:p>
        </w:tc>
      </w:tr>
      <w:tr w:rsidR="00045634" w:rsidRPr="00A34F8A" w14:paraId="5138F315" w14:textId="77777777" w:rsidTr="00CA72A3">
        <w:trPr>
          <w:cantSplit/>
        </w:trPr>
        <w:tc>
          <w:tcPr>
            <w:tcW w:w="2694" w:type="dxa"/>
            <w:tcBorders>
              <w:top w:val="single" w:sz="4" w:space="0" w:color="BFBFBF"/>
              <w:right w:val="single" w:sz="4" w:space="0" w:color="C4BC96" w:themeColor="background2" w:themeShade="BF"/>
            </w:tcBorders>
            <w:tcMar>
              <w:top w:w="57" w:type="dxa"/>
              <w:left w:w="57" w:type="dxa"/>
              <w:bottom w:w="57" w:type="dxa"/>
              <w:right w:w="57" w:type="dxa"/>
            </w:tcMar>
            <w:vAlign w:val="top"/>
          </w:tcPr>
          <w:p w14:paraId="2AAD95BE"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(12W)</w:t>
            </w:r>
          </w:p>
        </w:tc>
        <w:tc>
          <w:tcPr>
            <w:tcW w:w="2126" w:type="dxa"/>
            <w:tcBorders>
              <w:top w:val="single" w:sz="4" w:space="0" w:color="BFBFBF"/>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05660A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29,950,654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CC7D81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2,318,265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49B8CA62"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462,299 </w:t>
            </w:r>
          </w:p>
        </w:tc>
      </w:tr>
      <w:tr w:rsidR="00045634" w:rsidRPr="00A34F8A" w14:paraId="6C8750D0"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10D25289"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(24W)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FB5067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1,925,704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EC5117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149,055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393CCCB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29,724 </w:t>
            </w:r>
          </w:p>
        </w:tc>
      </w:tr>
      <w:tr w:rsidR="00045634" w:rsidRPr="00A34F8A" w14:paraId="5E7B6652" w14:textId="77777777" w:rsidTr="00CA72A3">
        <w:trPr>
          <w:cantSplit/>
        </w:trPr>
        <w:tc>
          <w:tcPr>
            <w:tcW w:w="2694" w:type="dxa"/>
            <w:tcBorders>
              <w:bottom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1E3439D2"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(3.6W)</w:t>
            </w:r>
          </w:p>
        </w:tc>
        <w:tc>
          <w:tcPr>
            <w:tcW w:w="2126" w:type="dxa"/>
            <w:tcBorders>
              <w:left w:val="single" w:sz="4" w:space="0" w:color="C4BC96" w:themeColor="background2"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49AE35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1,717,300 </w:t>
            </w:r>
          </w:p>
        </w:tc>
        <w:tc>
          <w:tcPr>
            <w:tcW w:w="2126" w:type="dxa"/>
            <w:tcBorders>
              <w:left w:val="single" w:sz="4" w:space="0" w:color="BFBFBF" w:themeColor="background1"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50F4C7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132,924 </w:t>
            </w:r>
          </w:p>
        </w:tc>
        <w:tc>
          <w:tcPr>
            <w:tcW w:w="2126" w:type="dxa"/>
            <w:tcBorders>
              <w:left w:val="single" w:sz="4" w:space="0" w:color="BFBFBF" w:themeColor="background1" w:themeShade="BF"/>
              <w:bottom w:val="single" w:sz="12" w:space="0" w:color="BFBFBF" w:themeColor="background1" w:themeShade="BF"/>
              <w:right w:val="nil"/>
            </w:tcBorders>
            <w:tcMar>
              <w:top w:w="57" w:type="dxa"/>
              <w:left w:w="57" w:type="dxa"/>
              <w:bottom w:w="57" w:type="dxa"/>
              <w:right w:w="57" w:type="dxa"/>
            </w:tcMar>
            <w:vAlign w:val="top"/>
          </w:tcPr>
          <w:p w14:paraId="46F5CB0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26,507 </w:t>
            </w:r>
          </w:p>
        </w:tc>
      </w:tr>
      <w:tr w:rsidR="00DA1EBB" w:rsidRPr="00A34F8A" w14:paraId="6D9204D0" w14:textId="77777777" w:rsidTr="00CA72A3">
        <w:trPr>
          <w:cantSplit/>
        </w:trPr>
        <w:tc>
          <w:tcPr>
            <w:tcW w:w="2694" w:type="dxa"/>
            <w:tcBorders>
              <w:top w:val="single" w:sz="12" w:space="0" w:color="BFBFBF" w:themeColor="background1" w:themeShade="BF"/>
              <w:bottom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3F114542"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(24W)</w:t>
            </w:r>
          </w:p>
        </w:tc>
        <w:tc>
          <w:tcPr>
            <w:tcW w:w="2126" w:type="dxa"/>
            <w:tcBorders>
              <w:top w:val="single" w:sz="12" w:space="0" w:color="BFBFBF" w:themeColor="background1" w:themeShade="BF"/>
              <w:left w:val="single" w:sz="4" w:space="0" w:color="C4BC96" w:themeColor="background2"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49ADD4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2,821,659 </w:t>
            </w:r>
          </w:p>
        </w:tc>
        <w:tc>
          <w:tcPr>
            <w:tcW w:w="2126"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427C0A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218,404 </w:t>
            </w:r>
          </w:p>
        </w:tc>
        <w:tc>
          <w:tcPr>
            <w:tcW w:w="2126" w:type="dxa"/>
            <w:tcBorders>
              <w:top w:val="single" w:sz="12" w:space="0" w:color="BFBFBF" w:themeColor="background1" w:themeShade="BF"/>
              <w:left w:val="single" w:sz="4" w:space="0" w:color="BFBFBF" w:themeColor="background1" w:themeShade="BF"/>
              <w:bottom w:val="single" w:sz="4" w:space="0" w:color="BFBFBF" w:themeColor="background1" w:themeShade="BF"/>
              <w:right w:val="nil"/>
            </w:tcBorders>
            <w:tcMar>
              <w:top w:w="57" w:type="dxa"/>
              <w:left w:w="57" w:type="dxa"/>
              <w:bottom w:w="57" w:type="dxa"/>
              <w:right w:w="57" w:type="dxa"/>
            </w:tcMar>
            <w:vAlign w:val="top"/>
          </w:tcPr>
          <w:p w14:paraId="541610D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43,553 </w:t>
            </w:r>
          </w:p>
        </w:tc>
      </w:tr>
      <w:tr w:rsidR="00045634" w:rsidRPr="00A34F8A" w14:paraId="15996CD9" w14:textId="77777777" w:rsidTr="00CA72A3">
        <w:trPr>
          <w:cantSplit/>
        </w:trPr>
        <w:tc>
          <w:tcPr>
            <w:tcW w:w="2694" w:type="dxa"/>
            <w:tcBorders>
              <w:top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15CF9C8C"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(40W)</w:t>
            </w:r>
          </w:p>
        </w:tc>
        <w:tc>
          <w:tcPr>
            <w:tcW w:w="2126" w:type="dxa"/>
            <w:tcBorders>
              <w:top w:val="single" w:sz="4" w:space="0" w:color="BFBFBF" w:themeColor="background1" w:themeShade="BF"/>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58B5596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3,697,376 </w:t>
            </w:r>
          </w:p>
        </w:tc>
        <w:tc>
          <w:tcPr>
            <w:tcW w:w="2126" w:type="dxa"/>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034E87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286,187 </w:t>
            </w:r>
          </w:p>
        </w:tc>
        <w:tc>
          <w:tcPr>
            <w:tcW w:w="2126" w:type="dxa"/>
            <w:tcBorders>
              <w:top w:val="single" w:sz="4" w:space="0" w:color="BFBFBF" w:themeColor="background1" w:themeShade="BF"/>
              <w:left w:val="single" w:sz="4" w:space="0" w:color="BFBFBF" w:themeColor="background1" w:themeShade="BF"/>
              <w:right w:val="nil"/>
            </w:tcBorders>
            <w:tcMar>
              <w:top w:w="57" w:type="dxa"/>
              <w:left w:w="57" w:type="dxa"/>
              <w:bottom w:w="57" w:type="dxa"/>
              <w:right w:w="57" w:type="dxa"/>
            </w:tcMar>
            <w:vAlign w:val="top"/>
          </w:tcPr>
          <w:p w14:paraId="48C701B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57,070 </w:t>
            </w:r>
          </w:p>
        </w:tc>
      </w:tr>
      <w:tr w:rsidR="00045634" w:rsidRPr="00A34F8A" w14:paraId="69DC75F0"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39F1907B"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(12W)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03409BC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221,523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0A3B8C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17,147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03F5056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3,419 </w:t>
            </w:r>
          </w:p>
        </w:tc>
      </w:tr>
      <w:tr w:rsidR="00045634" w:rsidRPr="00A34F8A" w14:paraId="252E9649"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49A56342"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(17W)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8DDCA7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221,523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FAD423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17,147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54D25C5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3,419 </w:t>
            </w:r>
          </w:p>
        </w:tc>
      </w:tr>
      <w:tr w:rsidR="00045634" w:rsidRPr="00A34F8A" w14:paraId="1E97FF42"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074825F8"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(24W)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5E55E7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221,523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B656D4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17,147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7D1EB87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3,419 </w:t>
            </w:r>
          </w:p>
        </w:tc>
      </w:tr>
      <w:tr w:rsidR="00045634" w:rsidRPr="00A34F8A" w14:paraId="7E6D45F7"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48283FD9"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(18W)</w:t>
            </w:r>
          </w:p>
        </w:tc>
        <w:tc>
          <w:tcPr>
            <w:tcW w:w="2126"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4B263C8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51,517 </w:t>
            </w:r>
          </w:p>
        </w:tc>
        <w:tc>
          <w:tcPr>
            <w:tcW w:w="2126"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4EBDE1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3,988 </w:t>
            </w:r>
          </w:p>
        </w:tc>
        <w:tc>
          <w:tcPr>
            <w:tcW w:w="2126" w:type="dxa"/>
            <w:tcBorders>
              <w:left w:val="single" w:sz="4" w:space="0" w:color="BFBFBF" w:themeColor="background1" w:themeShade="BF"/>
              <w:right w:val="nil"/>
            </w:tcBorders>
            <w:tcMar>
              <w:top w:w="57" w:type="dxa"/>
              <w:left w:w="57" w:type="dxa"/>
              <w:bottom w:w="57" w:type="dxa"/>
              <w:right w:w="57" w:type="dxa"/>
            </w:tcMar>
            <w:vAlign w:val="top"/>
          </w:tcPr>
          <w:p w14:paraId="37B38E7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795 </w:t>
            </w:r>
          </w:p>
        </w:tc>
      </w:tr>
      <w:tr w:rsidR="00045634" w:rsidRPr="00A34F8A" w14:paraId="16DDE1F4"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412213A9"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(30W)</w:t>
            </w:r>
          </w:p>
        </w:tc>
        <w:tc>
          <w:tcPr>
            <w:tcW w:w="2126" w:type="dxa"/>
            <w:tcBorders>
              <w:left w:val="single" w:sz="4" w:space="0" w:color="C4BC96" w:themeColor="background2"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35908D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257,585 </w:t>
            </w:r>
          </w:p>
        </w:tc>
        <w:tc>
          <w:tcPr>
            <w:tcW w:w="2126"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9B5272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19,938 </w:t>
            </w:r>
          </w:p>
        </w:tc>
        <w:tc>
          <w:tcPr>
            <w:tcW w:w="2126" w:type="dxa"/>
            <w:tcBorders>
              <w:left w:val="single" w:sz="4" w:space="0" w:color="BFBFBF" w:themeColor="background1" w:themeShade="BF"/>
              <w:bottom w:val="single" w:sz="4" w:space="0" w:color="BFBFBF" w:themeColor="background1" w:themeShade="BF"/>
              <w:right w:val="nil"/>
            </w:tcBorders>
            <w:tcMar>
              <w:top w:w="57" w:type="dxa"/>
              <w:left w:w="57" w:type="dxa"/>
              <w:bottom w:w="57" w:type="dxa"/>
              <w:right w:w="57" w:type="dxa"/>
            </w:tcMar>
            <w:vAlign w:val="top"/>
          </w:tcPr>
          <w:p w14:paraId="55AADC9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3,976 </w:t>
            </w:r>
          </w:p>
        </w:tc>
      </w:tr>
      <w:tr w:rsidR="00045634" w:rsidRPr="00A34F8A" w14:paraId="57D98CD5" w14:textId="77777777" w:rsidTr="00CA72A3">
        <w:trPr>
          <w:cantSplit/>
        </w:trPr>
        <w:tc>
          <w:tcPr>
            <w:tcW w:w="2694" w:type="dxa"/>
            <w:tcBorders>
              <w:right w:val="single" w:sz="4" w:space="0" w:color="C4BC96" w:themeColor="background2" w:themeShade="BF"/>
            </w:tcBorders>
            <w:tcMar>
              <w:top w:w="57" w:type="dxa"/>
              <w:left w:w="57" w:type="dxa"/>
              <w:bottom w:w="57" w:type="dxa"/>
              <w:right w:w="57" w:type="dxa"/>
            </w:tcMar>
            <w:vAlign w:val="top"/>
          </w:tcPr>
          <w:p w14:paraId="59321798"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(90W)</w:t>
            </w:r>
          </w:p>
        </w:tc>
        <w:tc>
          <w:tcPr>
            <w:tcW w:w="2126" w:type="dxa"/>
            <w:tcBorders>
              <w:top w:val="single" w:sz="4" w:space="0" w:color="BFBFBF" w:themeColor="background1" w:themeShade="BF"/>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1C006C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1,004,174 </w:t>
            </w:r>
          </w:p>
        </w:tc>
        <w:tc>
          <w:tcPr>
            <w:tcW w:w="2126" w:type="dxa"/>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ED0AAA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77,726 </w:t>
            </w:r>
          </w:p>
        </w:tc>
        <w:tc>
          <w:tcPr>
            <w:tcW w:w="2126" w:type="dxa"/>
            <w:tcBorders>
              <w:top w:val="single" w:sz="4" w:space="0" w:color="BFBFBF" w:themeColor="background1" w:themeShade="BF"/>
              <w:left w:val="single" w:sz="4" w:space="0" w:color="BFBFBF" w:themeColor="background1" w:themeShade="BF"/>
              <w:bottom w:val="nil"/>
              <w:right w:val="nil"/>
            </w:tcBorders>
            <w:tcMar>
              <w:top w:w="57" w:type="dxa"/>
              <w:left w:w="57" w:type="dxa"/>
              <w:bottom w:w="57" w:type="dxa"/>
              <w:right w:w="57" w:type="dxa"/>
            </w:tcMar>
            <w:vAlign w:val="top"/>
          </w:tcPr>
          <w:p w14:paraId="562EAE1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 xml:space="preserve"> 15,500 </w:t>
            </w:r>
          </w:p>
        </w:tc>
      </w:tr>
    </w:tbl>
    <w:p w14:paraId="4FFCB779" w14:textId="77777777" w:rsidR="005E09B9" w:rsidRPr="00A34F8A" w:rsidRDefault="005E09B9" w:rsidP="005E09B9">
      <w:pPr>
        <w:pStyle w:val="BlueLineBottom"/>
        <w:rPr>
          <w:rFonts w:asciiTheme="minorHAnsi" w:hAnsiTheme="minorHAnsi" w:cstheme="minorHAnsi"/>
          <w:sz w:val="22"/>
          <w:szCs w:val="22"/>
        </w:rPr>
      </w:pPr>
    </w:p>
    <w:p w14:paraId="2D176C9B" w14:textId="544A7BAD" w:rsidR="005E09B9" w:rsidRDefault="005E09B9" w:rsidP="005E09B9">
      <w:pPr>
        <w:rPr>
          <w:rFonts w:asciiTheme="minorHAnsi" w:hAnsiTheme="minorHAnsi" w:cstheme="minorHAnsi"/>
          <w:szCs w:val="22"/>
        </w:rPr>
      </w:pPr>
      <w:r w:rsidRPr="00A34F8A">
        <w:rPr>
          <w:rFonts w:asciiTheme="minorHAnsi" w:hAnsiTheme="minorHAnsi" w:cstheme="minorHAnsi"/>
          <w:szCs w:val="22"/>
        </w:rPr>
        <w:t xml:space="preserve">To account for potential non-compliance within the Australian and New Zealand markets, we have applied a 20% non-compliance factor to the extrapolated Australia and New Zealand figures above and used this as the market size under the expanded scope scenarios. The final market size figures for both current and expanded scope scenarios are shown in </w:t>
      </w:r>
      <w:r w:rsidRPr="00A34F8A">
        <w:rPr>
          <w:rFonts w:asciiTheme="minorHAnsi" w:hAnsiTheme="minorHAnsi" w:cstheme="minorHAnsi"/>
          <w:szCs w:val="22"/>
          <w:highlight w:val="yellow"/>
        </w:rPr>
        <w:fldChar w:fldCharType="begin" w:fldLock="1"/>
      </w:r>
      <w:r w:rsidRPr="00A34F8A">
        <w:rPr>
          <w:rFonts w:asciiTheme="minorHAnsi" w:hAnsiTheme="minorHAnsi" w:cstheme="minorHAnsi"/>
          <w:szCs w:val="22"/>
        </w:rPr>
        <w:instrText xml:space="preserve"> REF _Ref141862368 \h </w:instrText>
      </w:r>
      <w:r w:rsidR="00A34F8A" w:rsidRPr="00A34F8A">
        <w:rPr>
          <w:rFonts w:asciiTheme="minorHAnsi" w:hAnsiTheme="minorHAnsi" w:cstheme="minorHAnsi"/>
          <w:szCs w:val="22"/>
          <w:highlight w:val="yellow"/>
        </w:rPr>
        <w:instrText xml:space="preserve"> \* MERGEFORMAT </w:instrText>
      </w:r>
      <w:r w:rsidRPr="00A34F8A">
        <w:rPr>
          <w:rFonts w:asciiTheme="minorHAnsi" w:hAnsiTheme="minorHAnsi" w:cstheme="minorHAnsi"/>
          <w:szCs w:val="22"/>
          <w:highlight w:val="yellow"/>
        </w:rPr>
      </w:r>
      <w:r w:rsidRPr="00A34F8A">
        <w:rPr>
          <w:rFonts w:asciiTheme="minorHAnsi" w:hAnsiTheme="minorHAnsi" w:cstheme="minorHAnsi"/>
          <w:szCs w:val="22"/>
          <w:highlight w:val="yellow"/>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9</w:t>
      </w:r>
      <w:r w:rsidRPr="00A34F8A">
        <w:rPr>
          <w:rFonts w:asciiTheme="minorHAnsi" w:hAnsiTheme="minorHAnsi" w:cstheme="minorHAnsi"/>
          <w:szCs w:val="22"/>
          <w:highlight w:val="yellow"/>
        </w:rPr>
        <w:fldChar w:fldCharType="end"/>
      </w:r>
      <w:r w:rsidRPr="00A34F8A">
        <w:rPr>
          <w:rFonts w:asciiTheme="minorHAnsi" w:hAnsiTheme="minorHAnsi" w:cstheme="minorHAnsi"/>
          <w:szCs w:val="22"/>
        </w:rPr>
        <w:t xml:space="preserve"> below.</w:t>
      </w:r>
    </w:p>
    <w:p w14:paraId="76AE535E" w14:textId="77777777" w:rsidR="005E09B9" w:rsidRPr="00A34F8A" w:rsidRDefault="005E09B9" w:rsidP="005E09B9">
      <w:pPr>
        <w:pStyle w:val="BlueLineTop"/>
        <w:rPr>
          <w:rFonts w:asciiTheme="minorHAnsi" w:hAnsiTheme="minorHAnsi" w:cstheme="minorHAnsi"/>
          <w:sz w:val="22"/>
          <w:szCs w:val="22"/>
        </w:rPr>
      </w:pPr>
    </w:p>
    <w:p w14:paraId="18C12DEB" w14:textId="457A3C01" w:rsidR="005E09B9" w:rsidRPr="00A34F8A" w:rsidRDefault="005E09B9" w:rsidP="005E09B9">
      <w:pPr>
        <w:pStyle w:val="Caption"/>
        <w:keepNext/>
        <w:rPr>
          <w:rFonts w:asciiTheme="minorHAnsi" w:hAnsiTheme="minorHAnsi" w:cstheme="minorHAnsi"/>
          <w:sz w:val="22"/>
          <w:szCs w:val="22"/>
        </w:rPr>
      </w:pPr>
      <w:bookmarkStart w:id="187" w:name="_Ref141862368"/>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27</w:t>
      </w:r>
      <w:r w:rsidRPr="00A34F8A">
        <w:rPr>
          <w:rFonts w:asciiTheme="minorHAnsi" w:hAnsiTheme="minorHAnsi" w:cstheme="minorHAnsi"/>
          <w:noProof/>
          <w:sz w:val="22"/>
          <w:szCs w:val="22"/>
        </w:rPr>
        <w:fldChar w:fldCharType="end"/>
      </w:r>
      <w:bookmarkEnd w:id="187"/>
      <w:r w:rsidRPr="00A34F8A">
        <w:rPr>
          <w:rFonts w:asciiTheme="minorHAnsi" w:hAnsiTheme="minorHAnsi" w:cstheme="minorHAnsi"/>
          <w:sz w:val="22"/>
          <w:szCs w:val="22"/>
        </w:rPr>
        <w:t>: Market size by product class under the current and expanded scope scenarios</w:t>
      </w:r>
    </w:p>
    <w:tbl>
      <w:tblPr>
        <w:tblStyle w:val="ComCap4-nested"/>
        <w:tblW w:w="5335" w:type="pct"/>
        <w:tblInd w:w="-567" w:type="dxa"/>
        <w:tblBorders>
          <w:insideV w:val="single" w:sz="4" w:space="0" w:color="auto"/>
        </w:tblBorders>
        <w:tblLayout w:type="fixed"/>
        <w:tblLook w:val="04A0" w:firstRow="1" w:lastRow="0" w:firstColumn="1" w:lastColumn="0" w:noHBand="0" w:noVBand="1"/>
      </w:tblPr>
      <w:tblGrid>
        <w:gridCol w:w="1280"/>
        <w:gridCol w:w="1083"/>
        <w:gridCol w:w="2222"/>
        <w:gridCol w:w="2222"/>
        <w:gridCol w:w="2219"/>
      </w:tblGrid>
      <w:tr w:rsidR="00DA1EBB" w:rsidRPr="00A34F8A" w14:paraId="6E00C91F" w14:textId="77777777" w:rsidTr="00CA72A3">
        <w:trPr>
          <w:cnfStyle w:val="100000000000" w:firstRow="1" w:lastRow="0" w:firstColumn="0" w:lastColumn="0" w:oddVBand="0" w:evenVBand="0" w:oddHBand="0" w:evenHBand="0" w:firstRowFirstColumn="0" w:firstRowLastColumn="0" w:lastRowFirstColumn="0" w:lastRowLastColumn="0"/>
          <w:cantSplit/>
          <w:tblHeader/>
        </w:trPr>
        <w:tc>
          <w:tcPr>
            <w:tcW w:w="709" w:type="pct"/>
            <w:tcBorders>
              <w:right w:val="single" w:sz="4" w:space="0" w:color="C4BC96" w:themeColor="background2" w:themeShade="BF"/>
            </w:tcBorders>
            <w:tcMar>
              <w:top w:w="57" w:type="dxa"/>
              <w:left w:w="57" w:type="dxa"/>
              <w:bottom w:w="57" w:type="dxa"/>
              <w:right w:w="57" w:type="dxa"/>
            </w:tcMar>
            <w:vAlign w:val="top"/>
          </w:tcPr>
          <w:p w14:paraId="460B5215"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Product class</w:t>
            </w:r>
          </w:p>
        </w:tc>
        <w:tc>
          <w:tcPr>
            <w:tcW w:w="599" w:type="pct"/>
            <w:tcBorders>
              <w:left w:val="single" w:sz="4" w:space="0" w:color="C4BC96" w:themeColor="background2" w:themeShade="BF"/>
            </w:tcBorders>
            <w:tcMar>
              <w:top w:w="57" w:type="dxa"/>
              <w:left w:w="57" w:type="dxa"/>
              <w:bottom w:w="57" w:type="dxa"/>
              <w:right w:w="57" w:type="dxa"/>
            </w:tcMar>
            <w:vAlign w:val="top"/>
          </w:tcPr>
          <w:p w14:paraId="3B58D4EF"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Australia (current scope)</w:t>
            </w:r>
          </w:p>
        </w:tc>
        <w:tc>
          <w:tcPr>
            <w:tcW w:w="1231" w:type="pct"/>
            <w:tcBorders>
              <w:left w:val="single" w:sz="4" w:space="0" w:color="C4BC96" w:themeColor="background2" w:themeShade="BF"/>
            </w:tcBorders>
            <w:tcMar>
              <w:top w:w="57" w:type="dxa"/>
              <w:left w:w="57" w:type="dxa"/>
              <w:bottom w:w="57" w:type="dxa"/>
              <w:right w:w="57" w:type="dxa"/>
            </w:tcMar>
            <w:vAlign w:val="top"/>
          </w:tcPr>
          <w:p w14:paraId="59ED9E7A"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AUS (expanded scope)</w:t>
            </w:r>
          </w:p>
        </w:tc>
        <w:tc>
          <w:tcPr>
            <w:tcW w:w="1231" w:type="pct"/>
            <w:tcBorders>
              <w:left w:val="single" w:sz="4" w:space="0" w:color="C4BC96" w:themeColor="background2" w:themeShade="BF"/>
            </w:tcBorders>
            <w:tcMar>
              <w:top w:w="57" w:type="dxa"/>
              <w:left w:w="57" w:type="dxa"/>
              <w:bottom w:w="57" w:type="dxa"/>
              <w:right w:w="57" w:type="dxa"/>
            </w:tcMar>
            <w:vAlign w:val="top"/>
          </w:tcPr>
          <w:p w14:paraId="0BE59D5E"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NZ (current scope)</w:t>
            </w:r>
          </w:p>
        </w:tc>
        <w:tc>
          <w:tcPr>
            <w:tcW w:w="1231" w:type="pct"/>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02D2D9F9"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NZ (expanded scope)</w:t>
            </w:r>
          </w:p>
        </w:tc>
      </w:tr>
      <w:tr w:rsidR="00CA72A3" w:rsidRPr="00A34F8A" w14:paraId="43202D26" w14:textId="77777777" w:rsidTr="00CA72A3">
        <w:trPr>
          <w:cantSplit/>
          <w:trHeight w:val="91"/>
        </w:trPr>
        <w:tc>
          <w:tcPr>
            <w:tcW w:w="707" w:type="pct"/>
            <w:tcBorders>
              <w:right w:val="single" w:sz="4" w:space="0" w:color="C4BC96" w:themeColor="background2" w:themeShade="BF"/>
            </w:tcBorders>
            <w:tcMar>
              <w:top w:w="57" w:type="dxa"/>
              <w:left w:w="57" w:type="dxa"/>
              <w:bottom w:w="57" w:type="dxa"/>
              <w:right w:w="57" w:type="dxa"/>
            </w:tcMar>
            <w:vAlign w:val="top"/>
          </w:tcPr>
          <w:p w14:paraId="2F3095CA"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(2.5W)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5EF239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303,190</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2358DC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373,894</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B8D0C6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60,461</w:t>
            </w:r>
          </w:p>
        </w:tc>
        <w:tc>
          <w:tcPr>
            <w:tcW w:w="1231" w:type="pct"/>
            <w:tcBorders>
              <w:top w:val="single" w:sz="12" w:space="0" w:color="BFBFBF" w:themeColor="background1" w:themeShade="BF"/>
              <w:left w:val="single" w:sz="4" w:space="0" w:color="BFBFBF" w:themeColor="background1" w:themeShade="BF"/>
              <w:right w:val="nil"/>
            </w:tcBorders>
            <w:tcMar>
              <w:top w:w="57" w:type="dxa"/>
              <w:left w:w="57" w:type="dxa"/>
              <w:bottom w:w="57" w:type="dxa"/>
              <w:right w:w="57" w:type="dxa"/>
            </w:tcMar>
            <w:vAlign w:val="top"/>
          </w:tcPr>
          <w:p w14:paraId="3D21575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74,561</w:t>
            </w:r>
          </w:p>
        </w:tc>
      </w:tr>
      <w:tr w:rsidR="00CA72A3" w:rsidRPr="00A34F8A" w14:paraId="030399CC"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4470D968"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(12W)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3851330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476,642</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E1ED7D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4,139,767</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204A9C6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95,050</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695F2B0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825,536</w:t>
            </w:r>
          </w:p>
        </w:tc>
      </w:tr>
      <w:tr w:rsidR="00CA72A3" w:rsidRPr="00A34F8A" w14:paraId="79E7B6BA"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3C2FD531"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(24W)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1212877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2,823,077</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BE4398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8,461,035</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2D7F9A3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562,967</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134C871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1,687,267</w:t>
            </w:r>
          </w:p>
        </w:tc>
      </w:tr>
      <w:tr w:rsidR="00CA72A3" w:rsidRPr="00A34F8A" w14:paraId="3637086E"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4959E5F2"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 xml:space="preserve">SV EPS AC-DC Basic (60W) </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18D74FC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978,517</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71D51F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2,652,474</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ADEA9E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195,132</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2B27F03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528,946</w:t>
            </w:r>
          </w:p>
        </w:tc>
      </w:tr>
      <w:tr w:rsidR="00CA72A3" w:rsidRPr="00A34F8A" w14:paraId="3CAD632D"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784B425E"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(120W)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A3E0B4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694,131</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942A73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1,523,429</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D1694E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138,421</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765BD95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303,796</w:t>
            </w:r>
          </w:p>
        </w:tc>
      </w:tr>
      <w:tr w:rsidR="00CA72A3" w:rsidRPr="00A34F8A" w14:paraId="1008BE84"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62C29255"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(5W)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5D74B0A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1,497,577</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0AAC8F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24,957,730</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2ECB00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298,641</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1D2ADA6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4,976,974</w:t>
            </w:r>
          </w:p>
        </w:tc>
      </w:tr>
      <w:tr w:rsidR="00CA72A3" w:rsidRPr="00A34F8A" w14:paraId="7900EC9C"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3A818A6C"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(10W)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16A81B1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482,624</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A25051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445,468</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9424B1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96,243</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4F472FC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88,834</w:t>
            </w:r>
          </w:p>
        </w:tc>
      </w:tr>
      <w:tr w:rsidR="00CA72A3" w:rsidRPr="00A34F8A" w14:paraId="59AFC7B1"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33821E86"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(12W)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21D9CC4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132,783</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B7E923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1,854,612</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1BC1A5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26,479</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284AD3E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369,839</w:t>
            </w:r>
          </w:p>
        </w:tc>
      </w:tr>
      <w:tr w:rsidR="00CA72A3" w:rsidRPr="00A34F8A" w14:paraId="2E861BE2"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478CB76E"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(24W)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C65C08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118,070</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698563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119,244</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D3014A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23,545</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38945B7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23,779</w:t>
            </w:r>
          </w:p>
        </w:tc>
      </w:tr>
      <w:tr w:rsidR="00CA72A3" w:rsidRPr="00A34F8A" w14:paraId="6A26F962" w14:textId="77777777" w:rsidTr="00CA72A3">
        <w:trPr>
          <w:cantSplit/>
        </w:trPr>
        <w:tc>
          <w:tcPr>
            <w:tcW w:w="707" w:type="pct"/>
            <w:tcBorders>
              <w:bottom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69E8684B"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(3.6W)</w:t>
            </w:r>
          </w:p>
        </w:tc>
        <w:tc>
          <w:tcPr>
            <w:tcW w:w="600" w:type="pct"/>
            <w:tcBorders>
              <w:left w:val="single" w:sz="4" w:space="0" w:color="C4BC96" w:themeColor="background2"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3F5F21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963</w:t>
            </w:r>
          </w:p>
        </w:tc>
        <w:tc>
          <w:tcPr>
            <w:tcW w:w="1231" w:type="pct"/>
            <w:tcBorders>
              <w:left w:val="single" w:sz="4" w:space="0" w:color="BFBFBF" w:themeColor="background1"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D563FD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106,339</w:t>
            </w:r>
          </w:p>
        </w:tc>
        <w:tc>
          <w:tcPr>
            <w:tcW w:w="1231" w:type="pct"/>
            <w:tcBorders>
              <w:left w:val="single" w:sz="4" w:space="0" w:color="BFBFBF" w:themeColor="background1"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0DB036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192</w:t>
            </w:r>
          </w:p>
        </w:tc>
        <w:tc>
          <w:tcPr>
            <w:tcW w:w="1231" w:type="pct"/>
            <w:tcBorders>
              <w:left w:val="single" w:sz="4" w:space="0" w:color="BFBFBF" w:themeColor="background1" w:themeShade="BF"/>
              <w:bottom w:val="single" w:sz="12" w:space="0" w:color="BFBFBF" w:themeColor="background1" w:themeShade="BF"/>
              <w:right w:val="nil"/>
            </w:tcBorders>
            <w:tcMar>
              <w:top w:w="57" w:type="dxa"/>
              <w:left w:w="57" w:type="dxa"/>
              <w:bottom w:w="57" w:type="dxa"/>
              <w:right w:w="57" w:type="dxa"/>
            </w:tcMar>
            <w:vAlign w:val="top"/>
          </w:tcPr>
          <w:p w14:paraId="7D1D5A8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21,206</w:t>
            </w:r>
          </w:p>
        </w:tc>
      </w:tr>
      <w:tr w:rsidR="00CA72A3" w:rsidRPr="00A34F8A" w14:paraId="39ECA938" w14:textId="77777777" w:rsidTr="00CA72A3">
        <w:trPr>
          <w:cantSplit/>
        </w:trPr>
        <w:tc>
          <w:tcPr>
            <w:tcW w:w="707" w:type="pct"/>
            <w:tcBorders>
              <w:top w:val="single" w:sz="12" w:space="0" w:color="BFBFBF" w:themeColor="background1" w:themeShade="BF"/>
              <w:bottom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743A06AE"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(24W)</w:t>
            </w:r>
          </w:p>
        </w:tc>
        <w:tc>
          <w:tcPr>
            <w:tcW w:w="600" w:type="pct"/>
            <w:tcBorders>
              <w:top w:val="single" w:sz="12" w:space="0" w:color="BFBFBF" w:themeColor="background1" w:themeShade="BF"/>
              <w:left w:val="single" w:sz="4" w:space="0" w:color="C4BC96" w:themeColor="background2"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11F387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5C74092"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174,723</w:t>
            </w:r>
          </w:p>
        </w:tc>
        <w:tc>
          <w:tcPr>
            <w:tcW w:w="1231" w:type="pct"/>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804F22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top w:val="single" w:sz="12" w:space="0" w:color="BFBFBF" w:themeColor="background1" w:themeShade="BF"/>
              <w:left w:val="single" w:sz="4" w:space="0" w:color="BFBFBF" w:themeColor="background1" w:themeShade="BF"/>
              <w:bottom w:val="single" w:sz="4" w:space="0" w:color="BFBFBF" w:themeColor="background1" w:themeShade="BF"/>
              <w:right w:val="nil"/>
            </w:tcBorders>
            <w:tcMar>
              <w:top w:w="57" w:type="dxa"/>
              <w:left w:w="57" w:type="dxa"/>
              <w:bottom w:w="57" w:type="dxa"/>
              <w:right w:w="57" w:type="dxa"/>
            </w:tcMar>
            <w:vAlign w:val="top"/>
          </w:tcPr>
          <w:p w14:paraId="50CBEA6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34,842</w:t>
            </w:r>
          </w:p>
        </w:tc>
      </w:tr>
      <w:tr w:rsidR="00CA72A3" w:rsidRPr="00A34F8A" w14:paraId="69FB4361" w14:textId="77777777" w:rsidTr="00CA72A3">
        <w:trPr>
          <w:cantSplit/>
        </w:trPr>
        <w:tc>
          <w:tcPr>
            <w:tcW w:w="707" w:type="pct"/>
            <w:tcBorders>
              <w:top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47249279"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(40W)</w:t>
            </w:r>
          </w:p>
        </w:tc>
        <w:tc>
          <w:tcPr>
            <w:tcW w:w="600" w:type="pct"/>
            <w:tcBorders>
              <w:top w:val="single" w:sz="4" w:space="0" w:color="BFBFBF" w:themeColor="background1" w:themeShade="BF"/>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114109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9CD222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228,950</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2DA4464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top w:val="single" w:sz="4" w:space="0" w:color="BFBFBF" w:themeColor="background1" w:themeShade="BF"/>
              <w:left w:val="single" w:sz="4" w:space="0" w:color="BFBFBF" w:themeColor="background1" w:themeShade="BF"/>
              <w:right w:val="nil"/>
            </w:tcBorders>
            <w:tcMar>
              <w:top w:w="57" w:type="dxa"/>
              <w:left w:w="57" w:type="dxa"/>
              <w:bottom w:w="57" w:type="dxa"/>
              <w:right w:w="57" w:type="dxa"/>
            </w:tcMar>
            <w:vAlign w:val="top"/>
          </w:tcPr>
          <w:p w14:paraId="1229D5C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45,656</w:t>
            </w:r>
          </w:p>
        </w:tc>
      </w:tr>
      <w:tr w:rsidR="00CA72A3" w:rsidRPr="00A34F8A" w14:paraId="015C6066"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6754C564"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(12W)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3A256F6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57,302</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92FE01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13,718</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CB3CC9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11,427</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28BD4DB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2,735</w:t>
            </w:r>
          </w:p>
        </w:tc>
      </w:tr>
      <w:tr w:rsidR="00CA72A3" w:rsidRPr="00A34F8A" w14:paraId="7463040F"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4FEACB85"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(17W)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D8E9C6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31441F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13,718</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B32788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7A46421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2,735</w:t>
            </w:r>
          </w:p>
        </w:tc>
      </w:tr>
      <w:tr w:rsidR="00CA72A3" w:rsidRPr="00A34F8A" w14:paraId="50DBA4CC"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159FB634"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(24W)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2B1D9B0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29D0D62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13,718</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BB446A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5E0715C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2,735</w:t>
            </w:r>
          </w:p>
        </w:tc>
      </w:tr>
      <w:tr w:rsidR="00CA72A3" w:rsidRPr="00A34F8A" w14:paraId="4BF918EF"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154E0BB7"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(18W)</w:t>
            </w:r>
          </w:p>
        </w:tc>
        <w:tc>
          <w:tcPr>
            <w:tcW w:w="600" w:type="pct"/>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E242AA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C84DA7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3,190</w:t>
            </w:r>
          </w:p>
        </w:tc>
        <w:tc>
          <w:tcPr>
            <w:tcW w:w="1231" w:type="pct"/>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FBF435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right w:val="nil"/>
            </w:tcBorders>
            <w:tcMar>
              <w:top w:w="57" w:type="dxa"/>
              <w:left w:w="57" w:type="dxa"/>
              <w:bottom w:w="57" w:type="dxa"/>
              <w:right w:w="57" w:type="dxa"/>
            </w:tcMar>
            <w:vAlign w:val="top"/>
          </w:tcPr>
          <w:p w14:paraId="3786DDD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636</w:t>
            </w:r>
          </w:p>
        </w:tc>
      </w:tr>
      <w:tr w:rsidR="00CA72A3" w:rsidRPr="00A34F8A" w14:paraId="366241CD"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2E3E5986"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(30W)</w:t>
            </w:r>
          </w:p>
        </w:tc>
        <w:tc>
          <w:tcPr>
            <w:tcW w:w="600" w:type="pct"/>
            <w:tcBorders>
              <w:left w:val="single" w:sz="4" w:space="0" w:color="C4BC96" w:themeColor="background2"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28FD353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4EF0FB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15,950</w:t>
            </w:r>
          </w:p>
        </w:tc>
        <w:tc>
          <w:tcPr>
            <w:tcW w:w="1231" w:type="pct"/>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239C02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left w:val="single" w:sz="4" w:space="0" w:color="BFBFBF" w:themeColor="background1" w:themeShade="BF"/>
              <w:bottom w:val="single" w:sz="4" w:space="0" w:color="BFBFBF" w:themeColor="background1" w:themeShade="BF"/>
              <w:right w:val="nil"/>
            </w:tcBorders>
            <w:tcMar>
              <w:top w:w="57" w:type="dxa"/>
              <w:left w:w="57" w:type="dxa"/>
              <w:bottom w:w="57" w:type="dxa"/>
              <w:right w:w="57" w:type="dxa"/>
            </w:tcMar>
            <w:vAlign w:val="top"/>
          </w:tcPr>
          <w:p w14:paraId="6C8E9E7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3,181</w:t>
            </w:r>
          </w:p>
        </w:tc>
      </w:tr>
      <w:tr w:rsidR="00CA72A3" w:rsidRPr="00A34F8A" w14:paraId="04E2335D" w14:textId="77777777" w:rsidTr="00CA72A3">
        <w:trPr>
          <w:cantSplit/>
        </w:trPr>
        <w:tc>
          <w:tcPr>
            <w:tcW w:w="707" w:type="pct"/>
            <w:tcBorders>
              <w:right w:val="single" w:sz="4" w:space="0" w:color="C4BC96" w:themeColor="background2" w:themeShade="BF"/>
            </w:tcBorders>
            <w:tcMar>
              <w:top w:w="57" w:type="dxa"/>
              <w:left w:w="57" w:type="dxa"/>
              <w:bottom w:w="57" w:type="dxa"/>
              <w:right w:w="57" w:type="dxa"/>
            </w:tcMar>
            <w:vAlign w:val="top"/>
          </w:tcPr>
          <w:p w14:paraId="72833800"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MV EPS (90W)</w:t>
            </w:r>
          </w:p>
        </w:tc>
        <w:tc>
          <w:tcPr>
            <w:tcW w:w="600" w:type="pct"/>
            <w:tcBorders>
              <w:top w:val="single" w:sz="4" w:space="0" w:color="BFBFBF" w:themeColor="background1" w:themeShade="BF"/>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2F0852B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D5ABE2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62,181</w:t>
            </w:r>
          </w:p>
        </w:tc>
        <w:tc>
          <w:tcPr>
            <w:tcW w:w="1231" w:type="pct"/>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D3DBF6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1231" w:type="pct"/>
            <w:tcBorders>
              <w:top w:val="single" w:sz="4" w:space="0" w:color="BFBFBF" w:themeColor="background1" w:themeShade="BF"/>
              <w:left w:val="single" w:sz="4" w:space="0" w:color="BFBFBF" w:themeColor="background1" w:themeShade="BF"/>
              <w:bottom w:val="nil"/>
              <w:right w:val="nil"/>
            </w:tcBorders>
            <w:tcMar>
              <w:top w:w="57" w:type="dxa"/>
              <w:left w:w="57" w:type="dxa"/>
              <w:bottom w:w="57" w:type="dxa"/>
              <w:right w:w="57" w:type="dxa"/>
            </w:tcMar>
            <w:vAlign w:val="top"/>
          </w:tcPr>
          <w:p w14:paraId="54E589B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12,400</w:t>
            </w:r>
          </w:p>
        </w:tc>
      </w:tr>
    </w:tbl>
    <w:p w14:paraId="74D93B7E" w14:textId="77777777" w:rsidR="005E09B9" w:rsidRPr="00A34F8A" w:rsidRDefault="005E09B9" w:rsidP="005E09B9">
      <w:pPr>
        <w:pStyle w:val="BlueLineBottom"/>
        <w:rPr>
          <w:rFonts w:asciiTheme="minorHAnsi" w:hAnsiTheme="minorHAnsi" w:cstheme="minorHAnsi"/>
          <w:sz w:val="22"/>
          <w:szCs w:val="22"/>
        </w:rPr>
      </w:pPr>
    </w:p>
    <w:p w14:paraId="4CCC4044" w14:textId="77777777" w:rsidR="005E09B9" w:rsidRDefault="005E09B9" w:rsidP="005E09B9">
      <w:pPr>
        <w:rPr>
          <w:rFonts w:asciiTheme="minorHAnsi" w:hAnsiTheme="minorHAnsi" w:cstheme="minorHAnsi"/>
          <w:szCs w:val="22"/>
        </w:rPr>
      </w:pPr>
      <w:r w:rsidRPr="00A34F8A">
        <w:rPr>
          <w:rFonts w:asciiTheme="minorHAnsi" w:hAnsiTheme="minorHAnsi" w:cstheme="minorHAnsi"/>
          <w:szCs w:val="22"/>
        </w:rPr>
        <w:t xml:space="preserve">We assumed the following baseline distribution by efficiency level in the current Australian and New Zealand markets. These numbers are based on a combination of EPS registration data and insights from interviews with suppliers. We assumed that products still at mark III and IV were unlikely to increase in efficiency without further regulation, while the mark V products were assumed to continue to increase to mark VI at a rate of 5% per year. </w:t>
      </w:r>
    </w:p>
    <w:p w14:paraId="52CA5555" w14:textId="77777777" w:rsidR="005E09B9" w:rsidRPr="00A34F8A" w:rsidRDefault="005E09B9" w:rsidP="005E09B9">
      <w:pPr>
        <w:pStyle w:val="BlueLineTop"/>
        <w:rPr>
          <w:rFonts w:asciiTheme="minorHAnsi" w:hAnsiTheme="minorHAnsi" w:cstheme="minorHAnsi"/>
          <w:sz w:val="22"/>
          <w:szCs w:val="22"/>
        </w:rPr>
      </w:pPr>
    </w:p>
    <w:p w14:paraId="3738758C" w14:textId="59FD0AB1" w:rsidR="005E09B9" w:rsidRPr="00A34F8A" w:rsidRDefault="005E09B9" w:rsidP="005E09B9">
      <w:pPr>
        <w:pStyle w:val="Caption"/>
        <w:keepNext/>
        <w:rPr>
          <w:rFonts w:asciiTheme="minorHAnsi" w:hAnsiTheme="minorHAnsi" w:cstheme="minorHAnsi"/>
          <w:sz w:val="22"/>
          <w:szCs w:val="22"/>
        </w:rPr>
      </w:pPr>
      <w:bookmarkStart w:id="188" w:name="_Ref131494292"/>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28</w:t>
      </w:r>
      <w:r w:rsidRPr="00A34F8A">
        <w:rPr>
          <w:rFonts w:asciiTheme="minorHAnsi" w:hAnsiTheme="minorHAnsi" w:cstheme="minorHAnsi"/>
          <w:noProof/>
          <w:sz w:val="22"/>
          <w:szCs w:val="22"/>
        </w:rPr>
        <w:fldChar w:fldCharType="end"/>
      </w:r>
      <w:bookmarkEnd w:id="188"/>
      <w:r w:rsidRPr="00A34F8A">
        <w:rPr>
          <w:rFonts w:asciiTheme="minorHAnsi" w:hAnsiTheme="minorHAnsi" w:cstheme="minorHAnsi"/>
          <w:sz w:val="22"/>
          <w:szCs w:val="22"/>
        </w:rPr>
        <w:t>: Distribution of EPS by product class and efficiency level (combination of public registration data and insights from interviews).</w:t>
      </w:r>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1815"/>
        <w:gridCol w:w="1815"/>
        <w:gridCol w:w="1814"/>
        <w:gridCol w:w="1814"/>
        <w:gridCol w:w="1814"/>
      </w:tblGrid>
      <w:tr w:rsidR="00DA1EBB" w:rsidRPr="00A34F8A" w14:paraId="52E0347A" w14:textId="77777777" w:rsidTr="00CA72A3">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right w:val="single" w:sz="4" w:space="0" w:color="C4BC96" w:themeColor="background2" w:themeShade="BF"/>
            </w:tcBorders>
            <w:tcMar>
              <w:top w:w="57" w:type="dxa"/>
              <w:left w:w="57" w:type="dxa"/>
              <w:bottom w:w="57" w:type="dxa"/>
              <w:right w:w="57" w:type="dxa"/>
            </w:tcMar>
            <w:vAlign w:val="top"/>
          </w:tcPr>
          <w:p w14:paraId="0C024345"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Product class</w:t>
            </w:r>
          </w:p>
        </w:tc>
        <w:tc>
          <w:tcPr>
            <w:tcW w:w="0" w:type="dxa"/>
            <w:tcBorders>
              <w:left w:val="single" w:sz="4" w:space="0" w:color="C4BC96" w:themeColor="background2" w:themeShade="BF"/>
            </w:tcBorders>
            <w:tcMar>
              <w:top w:w="57" w:type="dxa"/>
              <w:left w:w="57" w:type="dxa"/>
              <w:bottom w:w="57" w:type="dxa"/>
              <w:right w:w="57" w:type="dxa"/>
            </w:tcMar>
            <w:vAlign w:val="top"/>
          </w:tcPr>
          <w:p w14:paraId="4DDB6583"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Mark III</w:t>
            </w:r>
          </w:p>
        </w:tc>
        <w:tc>
          <w:tcPr>
            <w:tcW w:w="0" w:type="dxa"/>
            <w:tcBorders>
              <w:left w:val="single" w:sz="4" w:space="0" w:color="C4BC96" w:themeColor="background2" w:themeShade="BF"/>
            </w:tcBorders>
            <w:tcMar>
              <w:top w:w="57" w:type="dxa"/>
              <w:left w:w="57" w:type="dxa"/>
              <w:bottom w:w="57" w:type="dxa"/>
              <w:right w:w="57" w:type="dxa"/>
            </w:tcMar>
            <w:vAlign w:val="top"/>
          </w:tcPr>
          <w:p w14:paraId="74D23C50"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Mark IV</w:t>
            </w:r>
          </w:p>
        </w:tc>
        <w:tc>
          <w:tcPr>
            <w:tcW w:w="0" w:type="dxa"/>
            <w:tcBorders>
              <w:left w:val="single" w:sz="4" w:space="0" w:color="C4BC96" w:themeColor="background2" w:themeShade="BF"/>
            </w:tcBorders>
            <w:tcMar>
              <w:top w:w="57" w:type="dxa"/>
              <w:left w:w="57" w:type="dxa"/>
              <w:bottom w:w="57" w:type="dxa"/>
              <w:right w:w="57" w:type="dxa"/>
            </w:tcMar>
            <w:vAlign w:val="top"/>
          </w:tcPr>
          <w:p w14:paraId="4060AE37"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Mark V</w:t>
            </w:r>
          </w:p>
        </w:tc>
        <w:tc>
          <w:tcPr>
            <w:tcW w:w="0"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58085636"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Mark VI</w:t>
            </w:r>
          </w:p>
        </w:tc>
      </w:tr>
      <w:tr w:rsidR="00045634" w:rsidRPr="00A34F8A" w14:paraId="72C46EE8" w14:textId="77777777" w:rsidTr="00CA72A3">
        <w:trPr>
          <w:cantSplit/>
          <w:trHeight w:val="91"/>
        </w:trPr>
        <w:tc>
          <w:tcPr>
            <w:tcW w:w="0" w:type="dxa"/>
            <w:tcBorders>
              <w:right w:val="single" w:sz="4" w:space="0" w:color="C4BC96" w:themeColor="background2" w:themeShade="BF"/>
            </w:tcBorders>
            <w:tcMar>
              <w:top w:w="57" w:type="dxa"/>
              <w:left w:w="57" w:type="dxa"/>
              <w:bottom w:w="57" w:type="dxa"/>
              <w:right w:w="57" w:type="dxa"/>
            </w:tcMar>
            <w:vAlign w:val="top"/>
          </w:tcPr>
          <w:p w14:paraId="7E4A0482"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(2.5W)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89BE76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0098E7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9AB7E0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72%</w:t>
            </w:r>
          </w:p>
        </w:tc>
        <w:tc>
          <w:tcPr>
            <w:tcW w:w="0" w:type="dxa"/>
            <w:tcBorders>
              <w:top w:val="single" w:sz="12" w:space="0" w:color="BFBFBF" w:themeColor="background1" w:themeShade="BF"/>
              <w:left w:val="single" w:sz="4" w:space="0" w:color="BFBFBF" w:themeColor="background1" w:themeShade="BF"/>
              <w:bottom w:val="single" w:sz="12" w:space="0" w:color="BFBFBF" w:themeColor="background1" w:themeShade="BF"/>
              <w:right w:val="nil"/>
            </w:tcBorders>
            <w:tcMar>
              <w:top w:w="57" w:type="dxa"/>
              <w:left w:w="57" w:type="dxa"/>
              <w:bottom w:w="57" w:type="dxa"/>
              <w:right w:w="57" w:type="dxa"/>
            </w:tcMar>
            <w:vAlign w:val="top"/>
          </w:tcPr>
          <w:p w14:paraId="230E32E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22%</w:t>
            </w:r>
          </w:p>
        </w:tc>
      </w:tr>
      <w:tr w:rsidR="00045634" w:rsidRPr="00A34F8A" w14:paraId="5D60EB4C"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74DFBF0D"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(12W)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46B150D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0.5%</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B76BFA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0.9%</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5A2BC4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w:t>
            </w:r>
          </w:p>
        </w:tc>
        <w:tc>
          <w:tcPr>
            <w:tcW w:w="0" w:type="dxa"/>
            <w:tcBorders>
              <w:top w:val="single" w:sz="12" w:space="0" w:color="BFBFBF" w:themeColor="background1" w:themeShade="BF"/>
              <w:left w:val="single" w:sz="4" w:space="0" w:color="BFBFBF" w:themeColor="background1" w:themeShade="BF"/>
              <w:bottom w:val="single" w:sz="12" w:space="0" w:color="BFBFBF" w:themeColor="background1" w:themeShade="BF"/>
              <w:right w:val="nil"/>
            </w:tcBorders>
            <w:tcMar>
              <w:top w:w="57" w:type="dxa"/>
              <w:left w:w="57" w:type="dxa"/>
              <w:bottom w:w="57" w:type="dxa"/>
              <w:right w:w="57" w:type="dxa"/>
            </w:tcMar>
            <w:vAlign w:val="top"/>
          </w:tcPr>
          <w:p w14:paraId="3F1D2D5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71%</w:t>
            </w:r>
          </w:p>
        </w:tc>
      </w:tr>
      <w:tr w:rsidR="00045634" w:rsidRPr="00A34F8A" w14:paraId="59DFA81A"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6A2F9F25"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(24W)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3FF934C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66B2E3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8D9692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17%</w:t>
            </w:r>
          </w:p>
        </w:tc>
        <w:tc>
          <w:tcPr>
            <w:tcW w:w="0" w:type="dxa"/>
            <w:tcBorders>
              <w:top w:val="single" w:sz="12" w:space="0" w:color="BFBFBF" w:themeColor="background1" w:themeShade="BF"/>
              <w:left w:val="single" w:sz="4" w:space="0" w:color="BFBFBF" w:themeColor="background1" w:themeShade="BF"/>
              <w:bottom w:val="single" w:sz="12" w:space="0" w:color="BFBFBF" w:themeColor="background1" w:themeShade="BF"/>
              <w:right w:val="nil"/>
            </w:tcBorders>
            <w:tcMar>
              <w:top w:w="57" w:type="dxa"/>
              <w:left w:w="57" w:type="dxa"/>
              <w:bottom w:w="57" w:type="dxa"/>
              <w:right w:w="57" w:type="dxa"/>
            </w:tcMar>
            <w:vAlign w:val="top"/>
          </w:tcPr>
          <w:p w14:paraId="77A396D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83%</w:t>
            </w:r>
          </w:p>
        </w:tc>
      </w:tr>
      <w:tr w:rsidR="00DA1EBB" w:rsidRPr="00A34F8A" w14:paraId="15FEA860"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7440C52F"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 xml:space="preserve">SV EPS AC-DC Basic (60W) </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3D990C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C95556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7FA222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p>
        </w:tc>
        <w:tc>
          <w:tcPr>
            <w:tcW w:w="0" w:type="dxa"/>
            <w:tcBorders>
              <w:top w:val="single" w:sz="12" w:space="0" w:color="BFBFBF" w:themeColor="background1" w:themeShade="BF"/>
              <w:left w:val="single" w:sz="4" w:space="0" w:color="BFBFBF" w:themeColor="background1" w:themeShade="BF"/>
              <w:right w:val="nil"/>
            </w:tcBorders>
            <w:tcMar>
              <w:top w:w="57" w:type="dxa"/>
              <w:left w:w="57" w:type="dxa"/>
              <w:bottom w:w="57" w:type="dxa"/>
              <w:right w:w="57" w:type="dxa"/>
            </w:tcMar>
            <w:vAlign w:val="top"/>
          </w:tcPr>
          <w:p w14:paraId="21FD85B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95%</w:t>
            </w:r>
          </w:p>
        </w:tc>
      </w:tr>
      <w:tr w:rsidR="00DA1EBB" w:rsidRPr="00A34F8A" w14:paraId="38DD826F"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658E32E1"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Basic (120W)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1B42D0E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D56299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0.1%</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D85FAE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0.1%</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37F7CF6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99.8%</w:t>
            </w:r>
          </w:p>
        </w:tc>
      </w:tr>
      <w:tr w:rsidR="00DA1EBB" w:rsidRPr="00A34F8A" w14:paraId="377F9107"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24E19D24"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(5W)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E56261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0.01%</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A016E5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0.5%</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3F3F6C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23%</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314ECF9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77%</w:t>
            </w:r>
          </w:p>
        </w:tc>
      </w:tr>
      <w:tr w:rsidR="00DA1EBB" w:rsidRPr="00A34F8A" w14:paraId="2A49A6E8"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33EB8EF6"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(10W)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ED84FE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B7E374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0.2%</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41B30B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30%</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12282CC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70%</w:t>
            </w:r>
          </w:p>
        </w:tc>
      </w:tr>
      <w:tr w:rsidR="00DA1EBB" w:rsidRPr="00A34F8A" w14:paraId="4C678B13"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6694CDFF"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(12W)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5AFA6E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EA38C2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3451EC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37%</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5DBA3A9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63%</w:t>
            </w:r>
          </w:p>
        </w:tc>
      </w:tr>
      <w:tr w:rsidR="00DA1EBB" w:rsidRPr="00A34F8A" w14:paraId="171AFBC6"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3B4F4346"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AC-DC Low (24W)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6AD4B96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DDAAB7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8F0F3D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5EC7191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100%</w:t>
            </w:r>
          </w:p>
        </w:tc>
      </w:tr>
      <w:tr w:rsidR="00DA1EBB" w:rsidRPr="00A34F8A" w14:paraId="2ECB9300" w14:textId="77777777" w:rsidTr="00CA72A3">
        <w:trPr>
          <w:cantSplit/>
        </w:trPr>
        <w:tc>
          <w:tcPr>
            <w:tcW w:w="0" w:type="dxa"/>
            <w:tcBorders>
              <w:bottom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0139A20A"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(3.6W)</w:t>
            </w:r>
          </w:p>
        </w:tc>
        <w:tc>
          <w:tcPr>
            <w:tcW w:w="0" w:type="dxa"/>
            <w:tcBorders>
              <w:left w:val="single" w:sz="4" w:space="0" w:color="C4BC96" w:themeColor="background2"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B0A1B9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DD083E2"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100%</w:t>
            </w:r>
          </w:p>
        </w:tc>
        <w:tc>
          <w:tcPr>
            <w:tcW w:w="0" w:type="dxa"/>
            <w:tcBorders>
              <w:left w:val="single" w:sz="4" w:space="0" w:color="BFBFBF" w:themeColor="background1" w:themeShade="BF"/>
              <w:bottom w:val="single" w:sz="12"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3606441"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bottom w:val="single" w:sz="12" w:space="0" w:color="BFBFBF" w:themeColor="background1" w:themeShade="BF"/>
              <w:right w:val="nil"/>
            </w:tcBorders>
            <w:tcMar>
              <w:top w:w="57" w:type="dxa"/>
              <w:left w:w="57" w:type="dxa"/>
              <w:bottom w:w="57" w:type="dxa"/>
              <w:right w:w="57" w:type="dxa"/>
            </w:tcMar>
            <w:vAlign w:val="top"/>
          </w:tcPr>
          <w:p w14:paraId="53F31077"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54DABA17" w14:textId="77777777" w:rsidTr="00CA72A3">
        <w:trPr>
          <w:cantSplit/>
        </w:trPr>
        <w:tc>
          <w:tcPr>
            <w:tcW w:w="0" w:type="dxa"/>
            <w:tcBorders>
              <w:top w:val="single" w:sz="12" w:space="0" w:color="BFBFBF" w:themeColor="background1" w:themeShade="BF"/>
              <w:bottom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52D344CF"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(24W)</w:t>
            </w:r>
          </w:p>
        </w:tc>
        <w:tc>
          <w:tcPr>
            <w:tcW w:w="0" w:type="dxa"/>
            <w:tcBorders>
              <w:top w:val="single" w:sz="12" w:space="0" w:color="BFBFBF" w:themeColor="background1" w:themeShade="BF"/>
              <w:left w:val="single" w:sz="4" w:space="0" w:color="C4BC96" w:themeColor="background2"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E03A2E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C8E1CE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100%</w:t>
            </w:r>
          </w:p>
        </w:tc>
        <w:tc>
          <w:tcPr>
            <w:tcW w:w="0"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32F7128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top w:val="single" w:sz="12" w:space="0" w:color="BFBFBF" w:themeColor="background1" w:themeShade="BF"/>
              <w:left w:val="single" w:sz="4" w:space="0" w:color="BFBFBF" w:themeColor="background1" w:themeShade="BF"/>
              <w:bottom w:val="single" w:sz="4" w:space="0" w:color="BFBFBF" w:themeColor="background1" w:themeShade="BF"/>
              <w:right w:val="nil"/>
            </w:tcBorders>
            <w:tcMar>
              <w:top w:w="57" w:type="dxa"/>
              <w:left w:w="57" w:type="dxa"/>
              <w:bottom w:w="57" w:type="dxa"/>
              <w:right w:w="57" w:type="dxa"/>
            </w:tcMar>
            <w:vAlign w:val="top"/>
          </w:tcPr>
          <w:p w14:paraId="4B8F55C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6B22CD3D" w14:textId="77777777" w:rsidTr="00CA72A3">
        <w:trPr>
          <w:cantSplit/>
        </w:trPr>
        <w:tc>
          <w:tcPr>
            <w:tcW w:w="0" w:type="dxa"/>
            <w:tcBorders>
              <w:top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6621D56D"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Basic (40W)</w:t>
            </w:r>
          </w:p>
        </w:tc>
        <w:tc>
          <w:tcPr>
            <w:tcW w:w="0" w:type="dxa"/>
            <w:tcBorders>
              <w:top w:val="single" w:sz="4" w:space="0" w:color="BFBFBF" w:themeColor="background1" w:themeShade="BF"/>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3B05A4F8"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29686E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100%</w:t>
            </w:r>
          </w:p>
        </w:tc>
        <w:tc>
          <w:tcPr>
            <w:tcW w:w="0" w:type="dxa"/>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3C2FAD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top w:val="single" w:sz="4" w:space="0" w:color="BFBFBF" w:themeColor="background1" w:themeShade="BF"/>
              <w:left w:val="single" w:sz="4" w:space="0" w:color="BFBFBF" w:themeColor="background1" w:themeShade="BF"/>
              <w:right w:val="nil"/>
            </w:tcBorders>
            <w:tcMar>
              <w:top w:w="57" w:type="dxa"/>
              <w:left w:w="57" w:type="dxa"/>
              <w:bottom w:w="57" w:type="dxa"/>
              <w:right w:w="57" w:type="dxa"/>
            </w:tcMar>
            <w:vAlign w:val="top"/>
          </w:tcPr>
          <w:p w14:paraId="2A1E655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7E07F03C"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3128890F"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SV EPS AC-AC Low (12W)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7B1ECD8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7BEAB8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8C70F9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100%</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27AEF55E"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6F089F68"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11982CE1"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(17W)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15FE699D"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C26768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A9D6E8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100%</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14A73E2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6B4C8433"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38D843EE"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EPS AC-AC Low (24W)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5BB2D1B5"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7623FB32"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D68A353"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100%</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124E923A"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3B31A821"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71787D27"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(18W)</w:t>
            </w:r>
          </w:p>
        </w:tc>
        <w:tc>
          <w:tcPr>
            <w:tcW w:w="0" w:type="dxa"/>
            <w:tcBorders>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36663F4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B962EE2"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p>
        </w:tc>
        <w:tc>
          <w:tcPr>
            <w:tcW w:w="0" w:type="dxa"/>
            <w:tcBorders>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1B914E6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95%</w:t>
            </w:r>
          </w:p>
        </w:tc>
        <w:tc>
          <w:tcPr>
            <w:tcW w:w="0" w:type="dxa"/>
            <w:tcBorders>
              <w:left w:val="single" w:sz="4" w:space="0" w:color="BFBFBF" w:themeColor="background1" w:themeShade="BF"/>
              <w:right w:val="nil"/>
            </w:tcBorders>
            <w:tcMar>
              <w:top w:w="57" w:type="dxa"/>
              <w:left w:w="57" w:type="dxa"/>
              <w:bottom w:w="57" w:type="dxa"/>
              <w:right w:w="57" w:type="dxa"/>
            </w:tcMar>
            <w:vAlign w:val="top"/>
          </w:tcPr>
          <w:p w14:paraId="30795EA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56DFF882"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7B0BC3F0"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(30W)</w:t>
            </w:r>
          </w:p>
        </w:tc>
        <w:tc>
          <w:tcPr>
            <w:tcW w:w="0" w:type="dxa"/>
            <w:tcBorders>
              <w:left w:val="single" w:sz="4" w:space="0" w:color="C4BC96" w:themeColor="background2"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D68D91C"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0A5DB1A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p>
        </w:tc>
        <w:tc>
          <w:tcPr>
            <w:tcW w:w="0"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4775537F"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95%</w:t>
            </w:r>
          </w:p>
        </w:tc>
        <w:tc>
          <w:tcPr>
            <w:tcW w:w="0" w:type="dxa"/>
            <w:tcBorders>
              <w:left w:val="single" w:sz="4" w:space="0" w:color="BFBFBF" w:themeColor="background1" w:themeShade="BF"/>
              <w:bottom w:val="single" w:sz="4" w:space="0" w:color="BFBFBF" w:themeColor="background1" w:themeShade="BF"/>
              <w:right w:val="nil"/>
            </w:tcBorders>
            <w:tcMar>
              <w:top w:w="57" w:type="dxa"/>
              <w:left w:w="57" w:type="dxa"/>
              <w:bottom w:w="57" w:type="dxa"/>
              <w:right w:w="57" w:type="dxa"/>
            </w:tcMar>
            <w:vAlign w:val="top"/>
          </w:tcPr>
          <w:p w14:paraId="7B110454"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r w:rsidR="00DA1EBB" w:rsidRPr="00A34F8A" w14:paraId="0D4F2EAF"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694D85F1"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EPS (90W)</w:t>
            </w:r>
          </w:p>
        </w:tc>
        <w:tc>
          <w:tcPr>
            <w:tcW w:w="0" w:type="dxa"/>
            <w:tcBorders>
              <w:top w:val="single" w:sz="4" w:space="0" w:color="BFBFBF" w:themeColor="background1" w:themeShade="BF"/>
              <w:left w:val="single" w:sz="4" w:space="0" w:color="C4BC96" w:themeColor="background2" w:themeShade="BF"/>
              <w:right w:val="single" w:sz="4" w:space="0" w:color="BFBFBF" w:themeColor="background1" w:themeShade="BF"/>
            </w:tcBorders>
            <w:tcMar>
              <w:top w:w="57" w:type="dxa"/>
              <w:left w:w="57" w:type="dxa"/>
              <w:bottom w:w="57" w:type="dxa"/>
              <w:right w:w="57" w:type="dxa"/>
            </w:tcMar>
            <w:vAlign w:val="top"/>
          </w:tcPr>
          <w:p w14:paraId="5E184BE9"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c>
          <w:tcPr>
            <w:tcW w:w="0" w:type="dxa"/>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65250FEB"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w:t>
            </w:r>
          </w:p>
        </w:tc>
        <w:tc>
          <w:tcPr>
            <w:tcW w:w="0" w:type="dxa"/>
            <w:tcBorders>
              <w:top w:val="single" w:sz="4" w:space="0" w:color="BFBFBF" w:themeColor="background1" w:themeShade="BF"/>
              <w:left w:val="single" w:sz="4" w:space="0" w:color="BFBFBF" w:themeColor="background1" w:themeShade="BF"/>
              <w:right w:val="single" w:sz="4" w:space="0" w:color="BFBFBF" w:themeColor="background1" w:themeShade="BF"/>
            </w:tcBorders>
            <w:tcMar>
              <w:top w:w="57" w:type="dxa"/>
              <w:left w:w="57" w:type="dxa"/>
              <w:bottom w:w="57" w:type="dxa"/>
              <w:right w:w="57" w:type="dxa"/>
            </w:tcMar>
            <w:vAlign w:val="top"/>
          </w:tcPr>
          <w:p w14:paraId="59E0A840"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95%</w:t>
            </w:r>
          </w:p>
        </w:tc>
        <w:tc>
          <w:tcPr>
            <w:tcW w:w="0" w:type="dxa"/>
            <w:tcBorders>
              <w:top w:val="single" w:sz="4" w:space="0" w:color="BFBFBF" w:themeColor="background1" w:themeShade="BF"/>
              <w:left w:val="single" w:sz="4" w:space="0" w:color="BFBFBF" w:themeColor="background1" w:themeShade="BF"/>
              <w:bottom w:val="nil"/>
              <w:right w:val="nil"/>
            </w:tcBorders>
            <w:tcMar>
              <w:top w:w="57" w:type="dxa"/>
              <w:left w:w="57" w:type="dxa"/>
              <w:bottom w:w="57" w:type="dxa"/>
              <w:right w:w="57" w:type="dxa"/>
            </w:tcMar>
            <w:vAlign w:val="top"/>
          </w:tcPr>
          <w:p w14:paraId="1AA37F16" w14:textId="77777777" w:rsidR="005E09B9" w:rsidRPr="00A34F8A" w:rsidRDefault="005E09B9"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p>
        </w:tc>
      </w:tr>
    </w:tbl>
    <w:p w14:paraId="31BEB230" w14:textId="77777777" w:rsidR="005E09B9" w:rsidRPr="00A34F8A" w:rsidRDefault="005E09B9" w:rsidP="005E09B9">
      <w:pPr>
        <w:pStyle w:val="BlueLineBottom"/>
        <w:rPr>
          <w:rFonts w:asciiTheme="minorHAnsi" w:hAnsiTheme="minorHAnsi" w:cstheme="minorHAnsi"/>
          <w:sz w:val="22"/>
          <w:szCs w:val="22"/>
        </w:rPr>
      </w:pPr>
    </w:p>
    <w:p w14:paraId="7BC6A144" w14:textId="4877705E" w:rsidR="005E09B9" w:rsidRPr="00A34F8A" w:rsidRDefault="005E09B9" w:rsidP="005E09B9">
      <w:pPr>
        <w:rPr>
          <w:rFonts w:asciiTheme="minorHAnsi" w:hAnsiTheme="minorHAnsi" w:cstheme="minorHAnsi"/>
          <w:szCs w:val="22"/>
        </w:rPr>
      </w:pPr>
      <w:r w:rsidRPr="00A34F8A">
        <w:rPr>
          <w:rFonts w:asciiTheme="minorHAnsi" w:hAnsiTheme="minorHAnsi" w:cstheme="minorHAnsi"/>
          <w:szCs w:val="22"/>
        </w:rPr>
        <w:t xml:space="preserve">For Scenario 2 – no regulations, we assumed that the efficiency of mark V and VI products would remain the same over time, as these products are already exceeding the existing standard. We assumed that the efficiency of mark III and IV products would decrease when regulations were removed. We extrapolated the product class power-efficiency curves to define a “mark II” level for each product class and assumed that existing mark III and IV devices would drop to that level when regulations were removed. The “mark II” efficiency levels are defined in </w:t>
      </w:r>
      <w:r w:rsidRPr="00A34F8A">
        <w:rPr>
          <w:rFonts w:asciiTheme="minorHAnsi" w:hAnsiTheme="minorHAnsi" w:cstheme="minorHAnsi"/>
          <w:szCs w:val="22"/>
          <w:highlight w:val="yellow"/>
        </w:rPr>
        <w:fldChar w:fldCharType="begin" w:fldLock="1"/>
      </w:r>
      <w:r w:rsidRPr="00A34F8A">
        <w:rPr>
          <w:rFonts w:asciiTheme="minorHAnsi" w:hAnsiTheme="minorHAnsi" w:cstheme="minorHAnsi"/>
          <w:szCs w:val="22"/>
        </w:rPr>
        <w:instrText xml:space="preserve"> REF _Ref141865726 \h </w:instrText>
      </w:r>
      <w:r w:rsidR="00A34F8A" w:rsidRPr="00A34F8A">
        <w:rPr>
          <w:rFonts w:asciiTheme="minorHAnsi" w:hAnsiTheme="minorHAnsi" w:cstheme="minorHAnsi"/>
          <w:szCs w:val="22"/>
          <w:highlight w:val="yellow"/>
        </w:rPr>
        <w:instrText xml:space="preserve"> \* MERGEFORMAT </w:instrText>
      </w:r>
      <w:r w:rsidRPr="00A34F8A">
        <w:rPr>
          <w:rFonts w:asciiTheme="minorHAnsi" w:hAnsiTheme="minorHAnsi" w:cstheme="minorHAnsi"/>
          <w:szCs w:val="22"/>
          <w:highlight w:val="yellow"/>
        </w:rPr>
      </w:r>
      <w:r w:rsidRPr="00A34F8A">
        <w:rPr>
          <w:rFonts w:asciiTheme="minorHAnsi" w:hAnsiTheme="minorHAnsi" w:cstheme="minorHAnsi"/>
          <w:szCs w:val="22"/>
          <w:highlight w:val="yellow"/>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11</w:t>
      </w:r>
      <w:r w:rsidRPr="00A34F8A">
        <w:rPr>
          <w:rFonts w:asciiTheme="minorHAnsi" w:hAnsiTheme="minorHAnsi" w:cstheme="minorHAnsi"/>
          <w:szCs w:val="22"/>
          <w:highlight w:val="yellow"/>
        </w:rPr>
        <w:fldChar w:fldCharType="end"/>
      </w:r>
      <w:r w:rsidRPr="00A34F8A">
        <w:rPr>
          <w:rFonts w:asciiTheme="minorHAnsi" w:hAnsiTheme="minorHAnsi" w:cstheme="minorHAnsi"/>
          <w:szCs w:val="22"/>
        </w:rPr>
        <w:t xml:space="preserve"> below.</w:t>
      </w:r>
    </w:p>
    <w:p w14:paraId="0E25B900" w14:textId="77777777" w:rsidR="005E09B9" w:rsidRPr="00A34F8A" w:rsidRDefault="005E09B9" w:rsidP="005E09B9">
      <w:pPr>
        <w:pStyle w:val="BlueLineTop"/>
        <w:rPr>
          <w:rFonts w:asciiTheme="minorHAnsi" w:hAnsiTheme="minorHAnsi" w:cstheme="minorHAnsi"/>
          <w:sz w:val="22"/>
          <w:szCs w:val="22"/>
        </w:rPr>
      </w:pPr>
    </w:p>
    <w:p w14:paraId="5836DBE3" w14:textId="448653BD" w:rsidR="005E09B9" w:rsidRPr="00A34F8A" w:rsidRDefault="005E09B9" w:rsidP="005E09B9">
      <w:pPr>
        <w:pStyle w:val="Caption"/>
        <w:keepNext/>
        <w:rPr>
          <w:rFonts w:asciiTheme="minorHAnsi" w:hAnsiTheme="minorHAnsi" w:cstheme="minorHAnsi"/>
          <w:sz w:val="22"/>
          <w:szCs w:val="22"/>
        </w:rPr>
      </w:pPr>
      <w:bookmarkStart w:id="189" w:name="_Ref141865726"/>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29</w:t>
      </w:r>
      <w:r w:rsidRPr="00A34F8A">
        <w:rPr>
          <w:rFonts w:asciiTheme="minorHAnsi" w:hAnsiTheme="minorHAnsi" w:cstheme="minorHAnsi"/>
          <w:noProof/>
          <w:sz w:val="22"/>
          <w:szCs w:val="22"/>
        </w:rPr>
        <w:fldChar w:fldCharType="end"/>
      </w:r>
      <w:bookmarkEnd w:id="189"/>
      <w:r w:rsidRPr="00A34F8A">
        <w:rPr>
          <w:rFonts w:asciiTheme="minorHAnsi" w:hAnsiTheme="minorHAnsi" w:cstheme="minorHAnsi"/>
          <w:sz w:val="22"/>
          <w:szCs w:val="22"/>
        </w:rPr>
        <w:t>: Average active efficiency and no-load for “mark II” – no regulations scenario 2</w:t>
      </w:r>
    </w:p>
    <w:tbl>
      <w:tblPr>
        <w:tblStyle w:val="ComCap4-nested"/>
        <w:tblW w:w="8931" w:type="dxa"/>
        <w:tblInd w:w="-567" w:type="dxa"/>
        <w:tblBorders>
          <w:insideV w:val="single" w:sz="4" w:space="0" w:color="auto"/>
        </w:tblBorders>
        <w:tblLayout w:type="fixed"/>
        <w:tblLook w:val="04A0" w:firstRow="1" w:lastRow="0" w:firstColumn="1" w:lastColumn="0" w:noHBand="0" w:noVBand="1"/>
      </w:tblPr>
      <w:tblGrid>
        <w:gridCol w:w="2977"/>
        <w:gridCol w:w="2977"/>
        <w:gridCol w:w="2977"/>
      </w:tblGrid>
      <w:tr w:rsidR="00DA1EBB" w:rsidRPr="00761FEC" w14:paraId="1F63DA4F" w14:textId="77777777" w:rsidTr="00CA72A3">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right w:val="single" w:sz="4" w:space="0" w:color="C4BC96" w:themeColor="background2" w:themeShade="BF"/>
            </w:tcBorders>
            <w:tcMar>
              <w:top w:w="57" w:type="dxa"/>
              <w:left w:w="57" w:type="dxa"/>
              <w:bottom w:w="57" w:type="dxa"/>
              <w:right w:w="57" w:type="dxa"/>
            </w:tcMar>
            <w:vAlign w:val="top"/>
          </w:tcPr>
          <w:p w14:paraId="4B9E77B8" w14:textId="77777777" w:rsidR="005E09B9" w:rsidRPr="00761FEC" w:rsidRDefault="005E09B9" w:rsidP="005D3977">
            <w:pPr>
              <w:pStyle w:val="Table1-columnheadingdata"/>
              <w:rPr>
                <w:rFonts w:asciiTheme="minorHAnsi" w:hAnsiTheme="minorHAnsi" w:cstheme="minorHAnsi"/>
                <w:sz w:val="22"/>
                <w:szCs w:val="22"/>
              </w:rPr>
            </w:pPr>
            <w:r w:rsidRPr="00761FEC">
              <w:rPr>
                <w:rFonts w:asciiTheme="minorHAnsi" w:hAnsiTheme="minorHAnsi" w:cstheme="minorHAnsi"/>
                <w:sz w:val="22"/>
                <w:szCs w:val="22"/>
              </w:rPr>
              <w:t>Product class</w:t>
            </w:r>
          </w:p>
        </w:tc>
        <w:tc>
          <w:tcPr>
            <w:tcW w:w="0" w:type="dxa"/>
            <w:tcBorders>
              <w:left w:val="single" w:sz="4" w:space="0" w:color="C4BC96" w:themeColor="background2" w:themeShade="BF"/>
            </w:tcBorders>
            <w:tcMar>
              <w:top w:w="57" w:type="dxa"/>
              <w:left w:w="57" w:type="dxa"/>
              <w:bottom w:w="57" w:type="dxa"/>
              <w:right w:w="57" w:type="dxa"/>
            </w:tcMar>
            <w:vAlign w:val="top"/>
          </w:tcPr>
          <w:p w14:paraId="1963A909" w14:textId="77777777" w:rsidR="005E09B9" w:rsidRPr="00761FEC" w:rsidRDefault="005E09B9" w:rsidP="005D3977">
            <w:pPr>
              <w:pStyle w:val="Table1-columnheadingdata"/>
              <w:rPr>
                <w:rFonts w:asciiTheme="minorHAnsi" w:hAnsiTheme="minorHAnsi" w:cstheme="minorHAnsi"/>
                <w:sz w:val="22"/>
                <w:szCs w:val="22"/>
              </w:rPr>
            </w:pPr>
            <w:r w:rsidRPr="00761FEC">
              <w:rPr>
                <w:rFonts w:asciiTheme="minorHAnsi" w:hAnsiTheme="minorHAnsi" w:cstheme="minorHAnsi"/>
                <w:sz w:val="22"/>
                <w:szCs w:val="22"/>
              </w:rPr>
              <w:t>Average active efficiency</w:t>
            </w:r>
          </w:p>
        </w:tc>
        <w:tc>
          <w:tcPr>
            <w:tcW w:w="0" w:type="dxa"/>
            <w:tcBorders>
              <w:left w:val="single" w:sz="4" w:space="0" w:color="C4BC96" w:themeColor="background2" w:themeShade="BF"/>
              <w:bottom w:val="single" w:sz="12" w:space="0" w:color="BFBFBF" w:themeColor="background1" w:themeShade="BF"/>
            </w:tcBorders>
            <w:tcMar>
              <w:top w:w="57" w:type="dxa"/>
              <w:left w:w="57" w:type="dxa"/>
              <w:bottom w:w="57" w:type="dxa"/>
              <w:right w:w="57" w:type="dxa"/>
            </w:tcMar>
            <w:vAlign w:val="top"/>
          </w:tcPr>
          <w:p w14:paraId="1F5873EC" w14:textId="77777777" w:rsidR="005E09B9" w:rsidRPr="00761FEC" w:rsidRDefault="005E09B9" w:rsidP="005D3977">
            <w:pPr>
              <w:pStyle w:val="Table1-columnheadingdata"/>
              <w:rPr>
                <w:rFonts w:asciiTheme="minorHAnsi" w:hAnsiTheme="minorHAnsi" w:cstheme="minorHAnsi"/>
                <w:sz w:val="22"/>
                <w:szCs w:val="22"/>
              </w:rPr>
            </w:pPr>
            <w:r w:rsidRPr="00761FEC">
              <w:rPr>
                <w:rFonts w:asciiTheme="minorHAnsi" w:hAnsiTheme="minorHAnsi" w:cstheme="minorHAnsi"/>
                <w:sz w:val="22"/>
                <w:szCs w:val="22"/>
              </w:rPr>
              <w:t>No-load power</w:t>
            </w:r>
          </w:p>
        </w:tc>
      </w:tr>
      <w:tr w:rsidR="00DA1EBB" w:rsidRPr="00761FEC" w14:paraId="582D1B1D" w14:textId="77777777" w:rsidTr="00CA72A3">
        <w:trPr>
          <w:cantSplit/>
          <w:trHeight w:val="91"/>
        </w:trPr>
        <w:tc>
          <w:tcPr>
            <w:tcW w:w="0" w:type="dxa"/>
            <w:tcBorders>
              <w:right w:val="single" w:sz="4" w:space="0" w:color="C4BC96" w:themeColor="background2" w:themeShade="BF"/>
            </w:tcBorders>
            <w:tcMar>
              <w:top w:w="57" w:type="dxa"/>
              <w:left w:w="57" w:type="dxa"/>
              <w:bottom w:w="57" w:type="dxa"/>
              <w:right w:w="57" w:type="dxa"/>
            </w:tcMar>
            <w:vAlign w:val="top"/>
          </w:tcPr>
          <w:p w14:paraId="54BADDAB"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Basic (2.5W)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1FD6C237"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0.51</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0CE56A56"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493270B9"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55761860"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Basic (12W)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2E9209D8"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0.68</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33907DAF"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5AD749AC"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2F1B545B"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Basic (24W)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467FF728"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0.74</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36399A0A"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4E026AA0"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103235BC"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 xml:space="preserve">SV EPS AC-DC Basic (60W) </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71443680"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0.82</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60EBB818"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1</w:t>
            </w:r>
          </w:p>
        </w:tc>
      </w:tr>
      <w:tr w:rsidR="00DA1EBB" w:rsidRPr="00761FEC" w14:paraId="527AC860"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4DC16A45"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Basic (120W)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1016B35C"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0.82</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51EB7F2D"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1</w:t>
            </w:r>
          </w:p>
        </w:tc>
      </w:tr>
      <w:tr w:rsidR="00DA1EBB" w:rsidRPr="00761FEC" w14:paraId="646B81D4"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4B65DB59"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Low (5W)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1D9CC252"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0.6</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21D7873A"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7EB8FA07"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0B607FFB"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Low (10W)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101A6B1F"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0.65</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608C3ACF"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0C7DE5ED"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195CCECA"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Low (12W)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1875D2C2"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0.68</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7B2318DE"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133653F8"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54EA7084"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AC-DC Low (24W)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40EB535E"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0.75</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1EEA07B4"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106DB851" w14:textId="77777777" w:rsidTr="00CA72A3">
        <w:trPr>
          <w:cantSplit/>
        </w:trPr>
        <w:tc>
          <w:tcPr>
            <w:tcW w:w="0" w:type="dxa"/>
            <w:tcBorders>
              <w:bottom w:val="single" w:sz="12"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264000D3"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AC-AC Basic (3.6W)</w:t>
            </w:r>
          </w:p>
        </w:tc>
        <w:tc>
          <w:tcPr>
            <w:tcW w:w="0" w:type="dxa"/>
            <w:tcBorders>
              <w:left w:val="single" w:sz="4" w:space="0" w:color="AEAAAA"/>
              <w:bottom w:val="single" w:sz="12" w:space="0" w:color="BFBFBF" w:themeColor="background1" w:themeShade="BF"/>
              <w:right w:val="single" w:sz="4" w:space="0" w:color="BFBFBF"/>
            </w:tcBorders>
            <w:tcMar>
              <w:top w:w="57" w:type="dxa"/>
              <w:left w:w="57" w:type="dxa"/>
              <w:bottom w:w="57" w:type="dxa"/>
              <w:right w:w="57" w:type="dxa"/>
            </w:tcMar>
            <w:vAlign w:val="top"/>
          </w:tcPr>
          <w:p w14:paraId="006C6D2E"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0.55</w:t>
            </w:r>
          </w:p>
        </w:tc>
        <w:tc>
          <w:tcPr>
            <w:tcW w:w="0" w:type="dxa"/>
            <w:tcBorders>
              <w:top w:val="single" w:sz="12" w:space="0" w:color="BFBFBF" w:themeColor="background1" w:themeShade="BF"/>
              <w:left w:val="single" w:sz="4" w:space="0" w:color="BFBFBF"/>
              <w:bottom w:val="single" w:sz="4" w:space="0" w:color="BFBFBF"/>
              <w:right w:val="nil"/>
            </w:tcBorders>
            <w:tcMar>
              <w:top w:w="57" w:type="dxa"/>
              <w:left w:w="57" w:type="dxa"/>
              <w:bottom w:w="57" w:type="dxa"/>
              <w:right w:w="57" w:type="dxa"/>
            </w:tcMar>
            <w:vAlign w:val="top"/>
          </w:tcPr>
          <w:p w14:paraId="5AA53EF9"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3925C440" w14:textId="77777777" w:rsidTr="00CA72A3">
        <w:trPr>
          <w:cantSplit/>
        </w:trPr>
        <w:tc>
          <w:tcPr>
            <w:tcW w:w="0" w:type="dxa"/>
            <w:tcBorders>
              <w:top w:val="single" w:sz="12" w:space="0" w:color="BFBFBF" w:themeColor="background1" w:themeShade="BF"/>
              <w:bottom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5C44C2E8"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AC-AC Basic (24W)</w:t>
            </w:r>
          </w:p>
        </w:tc>
        <w:tc>
          <w:tcPr>
            <w:tcW w:w="0" w:type="dxa"/>
            <w:tcBorders>
              <w:top w:val="single" w:sz="12" w:space="0" w:color="BFBFBF" w:themeColor="background1" w:themeShade="BF"/>
              <w:left w:val="single" w:sz="4" w:space="0" w:color="AEAAAA"/>
              <w:bottom w:val="single" w:sz="4" w:space="0" w:color="BFBFBF" w:themeColor="background1" w:themeShade="BF"/>
              <w:right w:val="single" w:sz="4" w:space="0" w:color="BFBFBF"/>
            </w:tcBorders>
            <w:tcMar>
              <w:top w:w="57" w:type="dxa"/>
              <w:left w:w="57" w:type="dxa"/>
              <w:bottom w:w="57" w:type="dxa"/>
              <w:right w:w="57" w:type="dxa"/>
            </w:tcMar>
            <w:vAlign w:val="top"/>
          </w:tcPr>
          <w:p w14:paraId="54F6230F"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0.74</w:t>
            </w:r>
          </w:p>
        </w:tc>
        <w:tc>
          <w:tcPr>
            <w:tcW w:w="0" w:type="dxa"/>
            <w:tcBorders>
              <w:top w:val="single" w:sz="4" w:space="0" w:color="BFBF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01ABDC0E"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17D62643" w14:textId="77777777" w:rsidTr="00CA72A3">
        <w:trPr>
          <w:cantSplit/>
        </w:trPr>
        <w:tc>
          <w:tcPr>
            <w:tcW w:w="0" w:type="dxa"/>
            <w:tcBorders>
              <w:top w:val="single" w:sz="4" w:space="0" w:color="BFBFBF" w:themeColor="background1" w:themeShade="BF"/>
              <w:right w:val="single" w:sz="4" w:space="0" w:color="C4BC96" w:themeColor="background2" w:themeShade="BF"/>
            </w:tcBorders>
            <w:tcMar>
              <w:top w:w="57" w:type="dxa"/>
              <w:left w:w="57" w:type="dxa"/>
              <w:bottom w:w="57" w:type="dxa"/>
              <w:right w:w="57" w:type="dxa"/>
            </w:tcMar>
            <w:vAlign w:val="top"/>
          </w:tcPr>
          <w:p w14:paraId="78E6A9CF"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AC-AC Basic (40W)</w:t>
            </w:r>
          </w:p>
        </w:tc>
        <w:tc>
          <w:tcPr>
            <w:tcW w:w="0" w:type="dxa"/>
            <w:tcBorders>
              <w:top w:val="single" w:sz="4" w:space="0" w:color="BFBFBF" w:themeColor="background1" w:themeShade="BF"/>
              <w:left w:val="single" w:sz="4" w:space="0" w:color="AEAAAA"/>
              <w:right w:val="single" w:sz="4" w:space="0" w:color="BFBFBF"/>
            </w:tcBorders>
            <w:tcMar>
              <w:top w:w="57" w:type="dxa"/>
              <w:left w:w="57" w:type="dxa"/>
              <w:bottom w:w="57" w:type="dxa"/>
              <w:right w:w="57" w:type="dxa"/>
            </w:tcMar>
            <w:vAlign w:val="top"/>
          </w:tcPr>
          <w:p w14:paraId="440D63E2"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0.8</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50BDAE57"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3F0BCEF1"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0D8685F9"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AC-AC Low (12W)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7CCE6CAF"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0.68</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162C5D81"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04794BEC"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430ECC6A"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AC-AC Low (17W)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29C4E8AF"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0.71</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021F43D1"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026435DC"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3C62498B"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SV EPS AC-AC Low (24W)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21AC3BCB"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0.75</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677EB149"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0.9</w:t>
            </w:r>
          </w:p>
        </w:tc>
      </w:tr>
      <w:tr w:rsidR="00DA1EBB" w:rsidRPr="00761FEC" w14:paraId="201A444A"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5972E175"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lastRenderedPageBreak/>
              <w:t>MV EPS (18W)</w:t>
            </w:r>
          </w:p>
        </w:tc>
        <w:tc>
          <w:tcPr>
            <w:tcW w:w="0" w:type="dxa"/>
            <w:tcBorders>
              <w:left w:val="single" w:sz="4" w:space="0" w:color="AEAAAA"/>
              <w:right w:val="single" w:sz="4" w:space="0" w:color="BFBFBF"/>
            </w:tcBorders>
            <w:tcMar>
              <w:top w:w="57" w:type="dxa"/>
              <w:left w:w="57" w:type="dxa"/>
              <w:bottom w:w="57" w:type="dxa"/>
              <w:right w:w="57" w:type="dxa"/>
            </w:tcMar>
            <w:vAlign w:val="top"/>
          </w:tcPr>
          <w:p w14:paraId="2740299D"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0.65</w:t>
            </w:r>
          </w:p>
        </w:tc>
        <w:tc>
          <w:tcPr>
            <w:tcW w:w="0" w:type="dxa"/>
            <w:tcBorders>
              <w:top w:val="single" w:sz="12" w:space="0" w:color="BFBFBF" w:themeColor="background1" w:themeShade="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638929ED"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1.08</w:t>
            </w:r>
          </w:p>
        </w:tc>
      </w:tr>
      <w:tr w:rsidR="00DA1EBB" w:rsidRPr="00761FEC" w14:paraId="3402A947"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2ABA8088"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MV EPS (30W)</w:t>
            </w:r>
          </w:p>
        </w:tc>
        <w:tc>
          <w:tcPr>
            <w:tcW w:w="0" w:type="dxa"/>
            <w:tcBorders>
              <w:left w:val="single" w:sz="4" w:space="0" w:color="AEAAAA"/>
              <w:bottom w:val="single" w:sz="4" w:space="0" w:color="BFBFBF"/>
              <w:right w:val="single" w:sz="4" w:space="0" w:color="BFBFBF"/>
            </w:tcBorders>
            <w:tcMar>
              <w:top w:w="57" w:type="dxa"/>
              <w:left w:w="57" w:type="dxa"/>
              <w:bottom w:w="57" w:type="dxa"/>
              <w:right w:w="57" w:type="dxa"/>
            </w:tcMar>
            <w:vAlign w:val="top"/>
          </w:tcPr>
          <w:p w14:paraId="4FE1BD58"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0.7</w:t>
            </w:r>
          </w:p>
        </w:tc>
        <w:tc>
          <w:tcPr>
            <w:tcW w:w="0" w:type="dxa"/>
            <w:tcBorders>
              <w:top w:val="single" w:sz="12" w:space="0" w:color="BFBFBF" w:themeColor="background1" w:themeShade="BF"/>
              <w:left w:val="single" w:sz="4" w:space="0" w:color="BFBFBF"/>
              <w:bottom w:val="single" w:sz="4" w:space="0" w:color="BFBFBF"/>
              <w:right w:val="nil"/>
            </w:tcBorders>
            <w:tcMar>
              <w:top w:w="57" w:type="dxa"/>
              <w:left w:w="57" w:type="dxa"/>
              <w:bottom w:w="57" w:type="dxa"/>
              <w:right w:w="57" w:type="dxa"/>
            </w:tcMar>
            <w:vAlign w:val="top"/>
          </w:tcPr>
          <w:p w14:paraId="2229ADF1"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1.8</w:t>
            </w:r>
          </w:p>
        </w:tc>
      </w:tr>
      <w:tr w:rsidR="00DA1EBB" w:rsidRPr="00761FEC" w14:paraId="530185B9" w14:textId="77777777" w:rsidTr="00CA72A3">
        <w:trPr>
          <w:cantSplit/>
        </w:trPr>
        <w:tc>
          <w:tcPr>
            <w:tcW w:w="0" w:type="dxa"/>
            <w:tcBorders>
              <w:right w:val="single" w:sz="4" w:space="0" w:color="C4BC96" w:themeColor="background2" w:themeShade="BF"/>
            </w:tcBorders>
            <w:tcMar>
              <w:top w:w="57" w:type="dxa"/>
              <w:left w:w="57" w:type="dxa"/>
              <w:bottom w:w="57" w:type="dxa"/>
              <w:right w:w="57" w:type="dxa"/>
            </w:tcMar>
            <w:vAlign w:val="top"/>
          </w:tcPr>
          <w:p w14:paraId="6524E182" w14:textId="77777777" w:rsidR="005E09B9" w:rsidRPr="00761FEC" w:rsidRDefault="005E09B9" w:rsidP="005D3977">
            <w:pPr>
              <w:pStyle w:val="Table2-Rowheadingdata"/>
              <w:rPr>
                <w:rFonts w:asciiTheme="minorHAnsi" w:hAnsiTheme="minorHAnsi" w:cstheme="minorHAnsi"/>
                <w:sz w:val="22"/>
                <w:szCs w:val="22"/>
              </w:rPr>
            </w:pPr>
            <w:r w:rsidRPr="00761FEC">
              <w:rPr>
                <w:rFonts w:asciiTheme="minorHAnsi" w:hAnsiTheme="minorHAnsi" w:cstheme="minorHAnsi"/>
                <w:sz w:val="22"/>
                <w:szCs w:val="22"/>
              </w:rPr>
              <w:t>MV EPS (90W)</w:t>
            </w:r>
          </w:p>
        </w:tc>
        <w:tc>
          <w:tcPr>
            <w:tcW w:w="0" w:type="dxa"/>
            <w:tcBorders>
              <w:top w:val="single" w:sz="4" w:space="0" w:color="BFBFBF"/>
              <w:left w:val="single" w:sz="4" w:space="0" w:color="AEAAAA"/>
              <w:right w:val="single" w:sz="4" w:space="0" w:color="BFBFBF"/>
            </w:tcBorders>
            <w:tcMar>
              <w:top w:w="57" w:type="dxa"/>
              <w:left w:w="57" w:type="dxa"/>
              <w:bottom w:w="57" w:type="dxa"/>
              <w:right w:w="57" w:type="dxa"/>
            </w:tcMar>
            <w:vAlign w:val="top"/>
          </w:tcPr>
          <w:p w14:paraId="52EC1476"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0.75</w:t>
            </w:r>
          </w:p>
        </w:tc>
        <w:tc>
          <w:tcPr>
            <w:tcW w:w="0" w:type="dxa"/>
            <w:tcBorders>
              <w:top w:val="single" w:sz="4" w:space="0" w:color="BFBFBF"/>
              <w:left w:val="single" w:sz="4" w:space="0" w:color="BFBFBF"/>
              <w:bottom w:val="single" w:sz="12" w:space="0" w:color="BFBFBF" w:themeColor="background1" w:themeShade="BF"/>
              <w:right w:val="nil"/>
            </w:tcBorders>
            <w:tcMar>
              <w:top w:w="57" w:type="dxa"/>
              <w:left w:w="57" w:type="dxa"/>
              <w:bottom w:w="57" w:type="dxa"/>
              <w:right w:w="57" w:type="dxa"/>
            </w:tcMar>
            <w:vAlign w:val="top"/>
          </w:tcPr>
          <w:p w14:paraId="45D9E3B6" w14:textId="77777777" w:rsidR="005E09B9" w:rsidRPr="00761FEC" w:rsidRDefault="005E09B9" w:rsidP="005D3977">
            <w:pPr>
              <w:pStyle w:val="Table3-Normaldata-centred"/>
              <w:rPr>
                <w:rFonts w:asciiTheme="minorHAnsi" w:hAnsiTheme="minorHAnsi" w:cstheme="minorHAnsi"/>
                <w:sz w:val="22"/>
                <w:szCs w:val="22"/>
              </w:rPr>
            </w:pPr>
            <w:r w:rsidRPr="00761FEC">
              <w:rPr>
                <w:rFonts w:asciiTheme="minorHAnsi" w:hAnsiTheme="minorHAnsi" w:cstheme="minorHAnsi"/>
                <w:sz w:val="22"/>
                <w:szCs w:val="22"/>
              </w:rPr>
              <w:t>5.4</w:t>
            </w:r>
          </w:p>
        </w:tc>
      </w:tr>
    </w:tbl>
    <w:p w14:paraId="7C73E46B" w14:textId="77777777" w:rsidR="005E09B9" w:rsidRPr="00A34F8A" w:rsidRDefault="005E09B9" w:rsidP="005E09B9">
      <w:pPr>
        <w:pStyle w:val="BlueLineBottom"/>
        <w:rPr>
          <w:rFonts w:asciiTheme="minorHAnsi" w:hAnsiTheme="minorHAnsi" w:cstheme="minorHAnsi"/>
          <w:sz w:val="22"/>
          <w:szCs w:val="22"/>
        </w:rPr>
      </w:pPr>
    </w:p>
    <w:p w14:paraId="050ED163" w14:textId="36BD2E27" w:rsidR="005E09B9" w:rsidRPr="00A34F8A" w:rsidRDefault="005E09B9" w:rsidP="005E09B9">
      <w:pPr>
        <w:rPr>
          <w:rFonts w:asciiTheme="minorHAnsi" w:hAnsiTheme="minorHAnsi" w:cstheme="minorHAnsi"/>
          <w:szCs w:val="22"/>
        </w:rPr>
      </w:pPr>
      <w:r w:rsidRPr="00A34F8A">
        <w:rPr>
          <w:rFonts w:asciiTheme="minorHAnsi" w:hAnsiTheme="minorHAnsi" w:cstheme="minorHAnsi"/>
          <w:szCs w:val="22"/>
        </w:rPr>
        <w:t xml:space="preserve">To calculate the energy consumption across the market, we needed to also understand the market distribution by product class and application. Our assumptions are shown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_Ref132295483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12</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They are based on the US market distribution by product class and product application provided in the DOE’s EERE cost benefit analysis </w:t>
      </w:r>
      <w:sdt>
        <w:sdtPr>
          <w:rPr>
            <w:rFonts w:asciiTheme="minorHAnsi" w:hAnsiTheme="minorHAnsi" w:cstheme="minorHAnsi"/>
            <w:szCs w:val="22"/>
          </w:rPr>
          <w:id w:val="-1394112718"/>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CITATION Placeholder1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(US Department of Energy,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p>
    <w:p w14:paraId="248387D3" w14:textId="77777777" w:rsidR="005E09B9" w:rsidRPr="00A34F8A" w:rsidRDefault="005E09B9" w:rsidP="005E09B9">
      <w:pPr>
        <w:pStyle w:val="BlueLineTop"/>
        <w:rPr>
          <w:rFonts w:asciiTheme="minorHAnsi" w:hAnsiTheme="minorHAnsi" w:cstheme="minorHAnsi"/>
          <w:sz w:val="22"/>
          <w:szCs w:val="22"/>
        </w:rPr>
      </w:pPr>
    </w:p>
    <w:p w14:paraId="64FE80B8" w14:textId="4F67443A" w:rsidR="005E09B9" w:rsidRPr="00A34F8A" w:rsidRDefault="005E09B9" w:rsidP="005E09B9">
      <w:pPr>
        <w:pStyle w:val="Caption"/>
        <w:keepNext/>
        <w:rPr>
          <w:rFonts w:asciiTheme="minorHAnsi" w:hAnsiTheme="minorHAnsi" w:cstheme="minorHAnsi"/>
          <w:sz w:val="22"/>
          <w:szCs w:val="22"/>
        </w:rPr>
      </w:pPr>
      <w:bookmarkStart w:id="190" w:name="_Ref132295483"/>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30</w:t>
      </w:r>
      <w:r w:rsidRPr="00A34F8A">
        <w:rPr>
          <w:rFonts w:asciiTheme="minorHAnsi" w:hAnsiTheme="minorHAnsi" w:cstheme="minorHAnsi"/>
          <w:noProof/>
          <w:sz w:val="22"/>
          <w:szCs w:val="22"/>
        </w:rPr>
        <w:fldChar w:fldCharType="end"/>
      </w:r>
      <w:bookmarkEnd w:id="190"/>
      <w:r w:rsidRPr="00A34F8A">
        <w:rPr>
          <w:rFonts w:asciiTheme="minorHAnsi" w:hAnsiTheme="minorHAnsi" w:cstheme="minorHAnsi"/>
          <w:sz w:val="22"/>
          <w:szCs w:val="22"/>
        </w:rPr>
        <w:t xml:space="preserve">: EPS market distribution by product application and product category, adapted from US DOE analysis </w:t>
      </w:r>
      <w:sdt>
        <w:sdtPr>
          <w:rPr>
            <w:rFonts w:asciiTheme="minorHAnsi" w:hAnsiTheme="minorHAnsi" w:cstheme="minorHAnsi"/>
            <w:sz w:val="22"/>
            <w:szCs w:val="22"/>
          </w:rPr>
          <w:id w:val="1979190918"/>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p>
    <w:tbl>
      <w:tblPr>
        <w:tblStyle w:val="ComCap4-nested"/>
        <w:tblW w:w="5335" w:type="pct"/>
        <w:tblInd w:w="-567" w:type="dxa"/>
        <w:tblBorders>
          <w:insideV w:val="single" w:sz="4" w:space="0" w:color="auto"/>
        </w:tblBorders>
        <w:tblLook w:val="04A0" w:firstRow="1" w:lastRow="0" w:firstColumn="1" w:lastColumn="0" w:noHBand="0" w:noVBand="1"/>
      </w:tblPr>
      <w:tblGrid>
        <w:gridCol w:w="2210"/>
        <w:gridCol w:w="2003"/>
        <w:gridCol w:w="2725"/>
        <w:gridCol w:w="2088"/>
      </w:tblGrid>
      <w:tr w:rsidR="00DA1EBB" w:rsidRPr="00A34F8A" w14:paraId="2C688D44" w14:textId="77777777" w:rsidTr="00CA72A3">
        <w:trPr>
          <w:cnfStyle w:val="100000000000" w:firstRow="1" w:lastRow="0" w:firstColumn="0" w:lastColumn="0" w:oddVBand="0" w:evenVBand="0" w:oddHBand="0" w:evenHBand="0" w:firstRowFirstColumn="0" w:firstRowLastColumn="0" w:lastRowFirstColumn="0" w:lastRowLastColumn="0"/>
          <w:cantSplit/>
          <w:tblHeader/>
        </w:trPr>
        <w:tc>
          <w:tcPr>
            <w:tcW w:w="0" w:type="pct"/>
            <w:tcBorders>
              <w:right w:val="single" w:sz="4" w:space="0" w:color="C4BC96" w:themeColor="background2" w:themeShade="BF"/>
            </w:tcBorders>
            <w:tcMar>
              <w:top w:w="57" w:type="dxa"/>
              <w:left w:w="57" w:type="dxa"/>
              <w:bottom w:w="57" w:type="dxa"/>
              <w:right w:w="57" w:type="dxa"/>
            </w:tcMar>
          </w:tcPr>
          <w:p w14:paraId="129CEF3C"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 xml:space="preserve">Product category </w:t>
            </w:r>
          </w:p>
        </w:tc>
        <w:tc>
          <w:tcPr>
            <w:tcW w:w="0" w:type="pct"/>
            <w:tcBorders>
              <w:right w:val="single" w:sz="4" w:space="0" w:color="C4BC96" w:themeColor="background2" w:themeShade="BF"/>
            </w:tcBorders>
            <w:tcMar>
              <w:top w:w="57" w:type="dxa"/>
              <w:left w:w="57" w:type="dxa"/>
              <w:bottom w:w="57" w:type="dxa"/>
              <w:right w:w="57" w:type="dxa"/>
            </w:tcMar>
          </w:tcPr>
          <w:p w14:paraId="299282DA"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Range</w:t>
            </w:r>
          </w:p>
        </w:tc>
        <w:tc>
          <w:tcPr>
            <w:tcW w:w="0" w:type="pct"/>
            <w:tcBorders>
              <w:left w:val="single" w:sz="4" w:space="0" w:color="C4BC96" w:themeColor="background2" w:themeShade="BF"/>
            </w:tcBorders>
            <w:tcMar>
              <w:top w:w="57" w:type="dxa"/>
              <w:left w:w="57" w:type="dxa"/>
              <w:bottom w:w="57" w:type="dxa"/>
              <w:right w:w="57" w:type="dxa"/>
            </w:tcMar>
          </w:tcPr>
          <w:p w14:paraId="74B2A58E" w14:textId="77777777" w:rsidR="005E09B9" w:rsidRPr="00A34F8A" w:rsidRDefault="005E09B9"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Product applications</w:t>
            </w:r>
          </w:p>
        </w:tc>
        <w:tc>
          <w:tcPr>
            <w:tcW w:w="0" w:type="pct"/>
            <w:tcBorders>
              <w:left w:val="single" w:sz="4" w:space="0" w:color="C4BC96" w:themeColor="background2" w:themeShade="BF"/>
            </w:tcBorders>
            <w:tcMar>
              <w:top w:w="57" w:type="dxa"/>
              <w:left w:w="57" w:type="dxa"/>
              <w:bottom w:w="57" w:type="dxa"/>
              <w:right w:w="57" w:type="dxa"/>
            </w:tcMar>
          </w:tcPr>
          <w:p w14:paraId="048639EB" w14:textId="77777777" w:rsidR="005E09B9" w:rsidRPr="00A34F8A" w:rsidRDefault="005E09B9" w:rsidP="005D3977">
            <w:pPr>
              <w:pStyle w:val="Table1-columnheadingdata"/>
              <w:rPr>
                <w:rFonts w:asciiTheme="minorHAnsi" w:hAnsiTheme="minorHAnsi" w:cstheme="minorHAnsi"/>
                <w:sz w:val="22"/>
                <w:szCs w:val="22"/>
                <w:highlight w:val="yellow"/>
              </w:rPr>
            </w:pPr>
            <w:r w:rsidRPr="00A34F8A">
              <w:rPr>
                <w:rFonts w:asciiTheme="minorHAnsi" w:hAnsiTheme="minorHAnsi" w:cstheme="minorHAnsi"/>
                <w:sz w:val="22"/>
                <w:szCs w:val="22"/>
              </w:rPr>
              <w:t xml:space="preserve">Market share </w:t>
            </w:r>
          </w:p>
        </w:tc>
      </w:tr>
      <w:tr w:rsidR="009C2DCC" w:rsidRPr="00A34F8A" w14:paraId="6B087C19" w14:textId="77777777" w:rsidTr="00CA72A3">
        <w:trPr>
          <w:cantSplit/>
          <w:trHeight w:val="23"/>
        </w:trPr>
        <w:tc>
          <w:tcPr>
            <w:tcW w:w="0" w:type="pct"/>
            <w:vMerge w:val="restart"/>
            <w:tcBorders>
              <w:right w:val="single" w:sz="4" w:space="0" w:color="C4BC96" w:themeColor="background2" w:themeShade="BF"/>
            </w:tcBorders>
            <w:tcMar>
              <w:top w:w="57" w:type="dxa"/>
              <w:left w:w="57" w:type="dxa"/>
              <w:bottom w:w="57" w:type="dxa"/>
              <w:right w:w="57" w:type="dxa"/>
            </w:tcMar>
          </w:tcPr>
          <w:p w14:paraId="42003994"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Basic (2.5W)</w:t>
            </w:r>
          </w:p>
        </w:tc>
        <w:tc>
          <w:tcPr>
            <w:tcW w:w="0" w:type="pct"/>
            <w:vMerge w:val="restart"/>
            <w:tcBorders>
              <w:right w:val="single" w:sz="4" w:space="0" w:color="AEAAAA"/>
            </w:tcBorders>
            <w:tcMar>
              <w:top w:w="57" w:type="dxa"/>
              <w:left w:w="57" w:type="dxa"/>
              <w:bottom w:w="57" w:type="dxa"/>
              <w:right w:w="57" w:type="dxa"/>
            </w:tcMar>
          </w:tcPr>
          <w:p w14:paraId="1DADAE5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0W &lt;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7.25W</w:t>
            </w:r>
          </w:p>
        </w:tc>
        <w:tc>
          <w:tcPr>
            <w:tcW w:w="0" w:type="pct"/>
            <w:tcBorders>
              <w:left w:val="single" w:sz="4" w:space="0" w:color="AEAAAA"/>
            </w:tcBorders>
            <w:tcMar>
              <w:top w:w="57" w:type="dxa"/>
              <w:left w:w="57" w:type="dxa"/>
              <w:bottom w:w="57" w:type="dxa"/>
              <w:right w:w="57" w:type="dxa"/>
            </w:tcMar>
          </w:tcPr>
          <w:p w14:paraId="2B07308E"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Consumer two-way radio (commercial)</w:t>
            </w:r>
          </w:p>
        </w:tc>
        <w:tc>
          <w:tcPr>
            <w:tcW w:w="0" w:type="pct"/>
            <w:tcBorders>
              <w:left w:val="single" w:sz="4" w:space="0" w:color="AEAAAA"/>
            </w:tcBorders>
            <w:tcMar>
              <w:top w:w="57" w:type="dxa"/>
              <w:left w:w="57" w:type="dxa"/>
              <w:bottom w:w="57" w:type="dxa"/>
              <w:right w:w="57" w:type="dxa"/>
            </w:tcMar>
          </w:tcPr>
          <w:p w14:paraId="4DDE7A5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34%</w:t>
            </w:r>
          </w:p>
        </w:tc>
      </w:tr>
      <w:tr w:rsidR="009C2DCC" w:rsidRPr="00A34F8A" w14:paraId="74ADEC84"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3F8DCE22"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3E29BC5A"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622BA5E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Toys: radio/remote control (residential)</w:t>
            </w:r>
          </w:p>
        </w:tc>
        <w:tc>
          <w:tcPr>
            <w:tcW w:w="0" w:type="pct"/>
            <w:tcBorders>
              <w:left w:val="single" w:sz="4" w:space="0" w:color="AEAAAA"/>
            </w:tcBorders>
            <w:tcMar>
              <w:top w:w="57" w:type="dxa"/>
              <w:left w:w="57" w:type="dxa"/>
              <w:bottom w:w="57" w:type="dxa"/>
              <w:right w:w="57" w:type="dxa"/>
            </w:tcMar>
          </w:tcPr>
          <w:p w14:paraId="3F888D9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17%</w:t>
            </w:r>
          </w:p>
        </w:tc>
      </w:tr>
      <w:tr w:rsidR="009C2DCC" w:rsidRPr="00A34F8A" w14:paraId="493A7F63"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4F578966"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6C3EFB39"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738AC7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Consumer two-way radio (residential)</w:t>
            </w:r>
          </w:p>
        </w:tc>
        <w:tc>
          <w:tcPr>
            <w:tcW w:w="0" w:type="pct"/>
            <w:tcBorders>
              <w:left w:val="single" w:sz="4" w:space="0" w:color="AEAAAA"/>
            </w:tcBorders>
            <w:tcMar>
              <w:top w:w="57" w:type="dxa"/>
              <w:left w:w="57" w:type="dxa"/>
              <w:bottom w:w="57" w:type="dxa"/>
              <w:right w:w="57" w:type="dxa"/>
            </w:tcMar>
          </w:tcPr>
          <w:p w14:paraId="643E687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17%</w:t>
            </w:r>
          </w:p>
        </w:tc>
      </w:tr>
      <w:tr w:rsidR="009C2DCC" w:rsidRPr="00A34F8A" w14:paraId="7C834B27"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6435D0DB"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7F9A3DDE"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5B44657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Baby monitors (residential)</w:t>
            </w:r>
          </w:p>
        </w:tc>
        <w:tc>
          <w:tcPr>
            <w:tcW w:w="0" w:type="pct"/>
            <w:tcBorders>
              <w:left w:val="single" w:sz="4" w:space="0" w:color="AEAAAA"/>
            </w:tcBorders>
            <w:tcMar>
              <w:top w:w="57" w:type="dxa"/>
              <w:left w:w="57" w:type="dxa"/>
              <w:bottom w:w="57" w:type="dxa"/>
              <w:right w:w="57" w:type="dxa"/>
            </w:tcMar>
          </w:tcPr>
          <w:p w14:paraId="69F5246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16%</w:t>
            </w:r>
          </w:p>
        </w:tc>
      </w:tr>
      <w:tr w:rsidR="009C2DCC" w:rsidRPr="00A34F8A" w14:paraId="72F8DF55"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53E7040A"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6092CA9F"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7A74318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Aquarium accessories (residential)</w:t>
            </w:r>
          </w:p>
        </w:tc>
        <w:tc>
          <w:tcPr>
            <w:tcW w:w="0" w:type="pct"/>
            <w:tcBorders>
              <w:left w:val="single" w:sz="4" w:space="0" w:color="AEAAAA"/>
            </w:tcBorders>
            <w:tcMar>
              <w:top w:w="57" w:type="dxa"/>
              <w:left w:w="57" w:type="dxa"/>
              <w:bottom w:w="57" w:type="dxa"/>
              <w:right w:w="57" w:type="dxa"/>
            </w:tcMar>
          </w:tcPr>
          <w:p w14:paraId="569D7E0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13%</w:t>
            </w:r>
          </w:p>
        </w:tc>
      </w:tr>
      <w:tr w:rsidR="009C2DCC" w:rsidRPr="00A34F8A" w14:paraId="4F01DC84"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509CA555"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247F859F"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B35F323"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Other</w:t>
            </w:r>
          </w:p>
        </w:tc>
        <w:tc>
          <w:tcPr>
            <w:tcW w:w="0" w:type="pct"/>
            <w:tcBorders>
              <w:left w:val="single" w:sz="4" w:space="0" w:color="AEAAAA"/>
            </w:tcBorders>
            <w:tcMar>
              <w:top w:w="57" w:type="dxa"/>
              <w:left w:w="57" w:type="dxa"/>
              <w:bottom w:w="57" w:type="dxa"/>
              <w:right w:w="57" w:type="dxa"/>
            </w:tcMar>
          </w:tcPr>
          <w:p w14:paraId="6FBD5F6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w:t>
            </w:r>
          </w:p>
        </w:tc>
      </w:tr>
      <w:tr w:rsidR="009C2DCC" w:rsidRPr="00A34F8A" w14:paraId="49913CCE" w14:textId="77777777" w:rsidTr="00CA72A3">
        <w:trPr>
          <w:cantSplit/>
          <w:trHeight w:val="48"/>
        </w:trPr>
        <w:tc>
          <w:tcPr>
            <w:tcW w:w="0" w:type="pct"/>
            <w:vMerge w:val="restart"/>
            <w:tcBorders>
              <w:right w:val="single" w:sz="4" w:space="0" w:color="C4BC96" w:themeColor="background2" w:themeShade="BF"/>
            </w:tcBorders>
            <w:tcMar>
              <w:top w:w="57" w:type="dxa"/>
              <w:left w:w="57" w:type="dxa"/>
              <w:bottom w:w="57" w:type="dxa"/>
              <w:right w:w="57" w:type="dxa"/>
            </w:tcMar>
          </w:tcPr>
          <w:p w14:paraId="15759596"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Basic (12W)</w:t>
            </w:r>
          </w:p>
        </w:tc>
        <w:tc>
          <w:tcPr>
            <w:tcW w:w="0" w:type="pct"/>
            <w:vMerge w:val="restart"/>
            <w:tcBorders>
              <w:right w:val="single" w:sz="4" w:space="0" w:color="AEAAAA"/>
            </w:tcBorders>
            <w:tcMar>
              <w:top w:w="57" w:type="dxa"/>
              <w:left w:w="57" w:type="dxa"/>
              <w:bottom w:w="57" w:type="dxa"/>
              <w:right w:w="57" w:type="dxa"/>
            </w:tcMar>
          </w:tcPr>
          <w:p w14:paraId="5AF868F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7.25W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18W </w:t>
            </w:r>
          </w:p>
        </w:tc>
        <w:tc>
          <w:tcPr>
            <w:tcW w:w="0" w:type="pct"/>
            <w:tcBorders>
              <w:left w:val="single" w:sz="4" w:space="0" w:color="AEAAAA"/>
            </w:tcBorders>
            <w:tcMar>
              <w:top w:w="57" w:type="dxa"/>
              <w:left w:w="57" w:type="dxa"/>
              <w:bottom w:w="57" w:type="dxa"/>
              <w:right w:w="57" w:type="dxa"/>
            </w:tcMar>
          </w:tcPr>
          <w:p w14:paraId="06DFC4E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Smart speakers (residential)</w:t>
            </w:r>
          </w:p>
        </w:tc>
        <w:tc>
          <w:tcPr>
            <w:tcW w:w="0" w:type="pct"/>
            <w:tcBorders>
              <w:left w:val="single" w:sz="4" w:space="0" w:color="AEAAAA"/>
            </w:tcBorders>
            <w:tcMar>
              <w:top w:w="57" w:type="dxa"/>
              <w:left w:w="57" w:type="dxa"/>
              <w:bottom w:w="57" w:type="dxa"/>
              <w:right w:w="57" w:type="dxa"/>
            </w:tcMar>
          </w:tcPr>
          <w:p w14:paraId="51912DA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42%</w:t>
            </w:r>
          </w:p>
        </w:tc>
      </w:tr>
      <w:tr w:rsidR="009C2DCC" w:rsidRPr="00A34F8A" w14:paraId="28F92A3E"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63D67C35"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3667E122"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A34B41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LAN equipment (residential)</w:t>
            </w:r>
          </w:p>
        </w:tc>
        <w:tc>
          <w:tcPr>
            <w:tcW w:w="0" w:type="pct"/>
            <w:tcBorders>
              <w:left w:val="single" w:sz="4" w:space="0" w:color="AEAAAA"/>
            </w:tcBorders>
            <w:tcMar>
              <w:top w:w="57" w:type="dxa"/>
              <w:left w:w="57" w:type="dxa"/>
              <w:bottom w:w="57" w:type="dxa"/>
              <w:right w:w="57" w:type="dxa"/>
            </w:tcMar>
          </w:tcPr>
          <w:p w14:paraId="62EC9411"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33%</w:t>
            </w:r>
          </w:p>
        </w:tc>
      </w:tr>
      <w:tr w:rsidR="009C2DCC" w:rsidRPr="00A34F8A" w14:paraId="32CD936E"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79D64CBC"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2D4ABBB0"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270F1E4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Streaming media players</w:t>
            </w:r>
          </w:p>
        </w:tc>
        <w:tc>
          <w:tcPr>
            <w:tcW w:w="0" w:type="pct"/>
            <w:tcBorders>
              <w:left w:val="single" w:sz="4" w:space="0" w:color="AEAAAA"/>
            </w:tcBorders>
            <w:tcMar>
              <w:top w:w="57" w:type="dxa"/>
              <w:left w:w="57" w:type="dxa"/>
              <w:bottom w:w="57" w:type="dxa"/>
              <w:right w:w="57" w:type="dxa"/>
            </w:tcMar>
          </w:tcPr>
          <w:p w14:paraId="0A09BE13"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9%</w:t>
            </w:r>
          </w:p>
        </w:tc>
      </w:tr>
      <w:tr w:rsidR="009C2DCC" w:rsidRPr="00A34F8A" w14:paraId="71B15D7E"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139DA31A"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2186E281"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EAC425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LAN equipment (commercial)</w:t>
            </w:r>
          </w:p>
        </w:tc>
        <w:tc>
          <w:tcPr>
            <w:tcW w:w="0" w:type="pct"/>
            <w:tcBorders>
              <w:left w:val="single" w:sz="4" w:space="0" w:color="AEAAAA"/>
            </w:tcBorders>
            <w:tcMar>
              <w:top w:w="57" w:type="dxa"/>
              <w:left w:w="57" w:type="dxa"/>
              <w:bottom w:w="57" w:type="dxa"/>
              <w:right w:w="57" w:type="dxa"/>
            </w:tcMar>
          </w:tcPr>
          <w:p w14:paraId="41799E0E"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w:t>
            </w:r>
          </w:p>
        </w:tc>
      </w:tr>
      <w:tr w:rsidR="009C2DCC" w:rsidRPr="00A34F8A" w14:paraId="3D9995E9"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3C5CA5E2"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4954935C"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CA61C7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Computer printers (residential)</w:t>
            </w:r>
          </w:p>
        </w:tc>
        <w:tc>
          <w:tcPr>
            <w:tcW w:w="0" w:type="pct"/>
            <w:tcBorders>
              <w:left w:val="single" w:sz="4" w:space="0" w:color="AEAAAA"/>
            </w:tcBorders>
            <w:tcMar>
              <w:top w:w="57" w:type="dxa"/>
              <w:left w:w="57" w:type="dxa"/>
              <w:bottom w:w="57" w:type="dxa"/>
              <w:right w:w="57" w:type="dxa"/>
            </w:tcMar>
          </w:tcPr>
          <w:p w14:paraId="1B9EFE9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w:t>
            </w:r>
          </w:p>
        </w:tc>
      </w:tr>
      <w:tr w:rsidR="009C2DCC" w:rsidRPr="00A34F8A" w14:paraId="7D1DB629"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4818E82E"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7E90130F"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78382B4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Other</w:t>
            </w:r>
          </w:p>
        </w:tc>
        <w:tc>
          <w:tcPr>
            <w:tcW w:w="0" w:type="pct"/>
            <w:tcBorders>
              <w:left w:val="single" w:sz="4" w:space="0" w:color="AEAAAA"/>
            </w:tcBorders>
            <w:tcMar>
              <w:top w:w="57" w:type="dxa"/>
              <w:left w:w="57" w:type="dxa"/>
              <w:bottom w:w="57" w:type="dxa"/>
              <w:right w:w="57" w:type="dxa"/>
            </w:tcMar>
          </w:tcPr>
          <w:p w14:paraId="1DE1DE66"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w:t>
            </w:r>
          </w:p>
        </w:tc>
      </w:tr>
      <w:tr w:rsidR="009C2DCC" w:rsidRPr="00A34F8A" w14:paraId="7C863049" w14:textId="77777777" w:rsidTr="00CA72A3">
        <w:trPr>
          <w:cantSplit/>
          <w:trHeight w:val="48"/>
        </w:trPr>
        <w:tc>
          <w:tcPr>
            <w:tcW w:w="0" w:type="pct"/>
            <w:vMerge w:val="restart"/>
            <w:tcBorders>
              <w:right w:val="single" w:sz="4" w:space="0" w:color="C4BC96" w:themeColor="background2" w:themeShade="BF"/>
            </w:tcBorders>
            <w:tcMar>
              <w:top w:w="57" w:type="dxa"/>
              <w:left w:w="57" w:type="dxa"/>
              <w:bottom w:w="57" w:type="dxa"/>
              <w:right w:w="57" w:type="dxa"/>
            </w:tcMar>
          </w:tcPr>
          <w:p w14:paraId="77E22B31"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Basic (24W)</w:t>
            </w:r>
          </w:p>
        </w:tc>
        <w:tc>
          <w:tcPr>
            <w:tcW w:w="0" w:type="pct"/>
            <w:vMerge w:val="restart"/>
            <w:tcBorders>
              <w:right w:val="single" w:sz="4" w:space="0" w:color="AEAAAA"/>
            </w:tcBorders>
            <w:tcMar>
              <w:top w:w="57" w:type="dxa"/>
              <w:left w:w="57" w:type="dxa"/>
              <w:bottom w:w="57" w:type="dxa"/>
              <w:right w:w="57" w:type="dxa"/>
            </w:tcMar>
          </w:tcPr>
          <w:p w14:paraId="3A9FF102"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18W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54W</w:t>
            </w:r>
          </w:p>
        </w:tc>
        <w:tc>
          <w:tcPr>
            <w:tcW w:w="0" w:type="pct"/>
            <w:tcBorders>
              <w:left w:val="single" w:sz="4" w:space="0" w:color="AEAAAA"/>
            </w:tcBorders>
            <w:tcMar>
              <w:top w:w="57" w:type="dxa"/>
              <w:left w:w="57" w:type="dxa"/>
              <w:bottom w:w="57" w:type="dxa"/>
              <w:right w:w="57" w:type="dxa"/>
            </w:tcMar>
          </w:tcPr>
          <w:p w14:paraId="24EDBD7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Smartphone (residential)</w:t>
            </w:r>
          </w:p>
        </w:tc>
        <w:tc>
          <w:tcPr>
            <w:tcW w:w="0" w:type="pct"/>
            <w:tcBorders>
              <w:left w:val="single" w:sz="4" w:space="0" w:color="AEAAAA"/>
            </w:tcBorders>
            <w:tcMar>
              <w:top w:w="57" w:type="dxa"/>
              <w:left w:w="57" w:type="dxa"/>
              <w:bottom w:w="57" w:type="dxa"/>
              <w:right w:w="57" w:type="dxa"/>
            </w:tcMar>
          </w:tcPr>
          <w:p w14:paraId="4F8A024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33%</w:t>
            </w:r>
          </w:p>
        </w:tc>
      </w:tr>
      <w:tr w:rsidR="009C2DCC" w:rsidRPr="00A34F8A" w14:paraId="716ED126"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42F76033"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27324BC9"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F922DE4"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LAN equipment (residential)</w:t>
            </w:r>
          </w:p>
        </w:tc>
        <w:tc>
          <w:tcPr>
            <w:tcW w:w="0" w:type="pct"/>
            <w:tcBorders>
              <w:left w:val="single" w:sz="4" w:space="0" w:color="AEAAAA"/>
            </w:tcBorders>
            <w:tcMar>
              <w:top w:w="57" w:type="dxa"/>
              <w:left w:w="57" w:type="dxa"/>
              <w:bottom w:w="57" w:type="dxa"/>
              <w:right w:w="57" w:type="dxa"/>
            </w:tcMar>
          </w:tcPr>
          <w:p w14:paraId="35F775C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14%</w:t>
            </w:r>
          </w:p>
        </w:tc>
      </w:tr>
      <w:tr w:rsidR="009C2DCC" w:rsidRPr="00A34F8A" w14:paraId="2E5336E3"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435A87EE"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031D894F"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1F2958FE"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Media tablets (residential)</w:t>
            </w:r>
          </w:p>
        </w:tc>
        <w:tc>
          <w:tcPr>
            <w:tcW w:w="0" w:type="pct"/>
            <w:tcBorders>
              <w:left w:val="single" w:sz="4" w:space="0" w:color="AEAAAA"/>
            </w:tcBorders>
            <w:tcMar>
              <w:top w:w="57" w:type="dxa"/>
              <w:left w:w="57" w:type="dxa"/>
              <w:bottom w:w="57" w:type="dxa"/>
              <w:right w:w="57" w:type="dxa"/>
            </w:tcMar>
          </w:tcPr>
          <w:p w14:paraId="1047D21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14%</w:t>
            </w:r>
          </w:p>
        </w:tc>
      </w:tr>
      <w:tr w:rsidR="009C2DCC" w:rsidRPr="00A34F8A" w14:paraId="2EEA484D"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496D7257"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06C83F36"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B2DB8A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Smartphone (commercial)</w:t>
            </w:r>
          </w:p>
        </w:tc>
        <w:tc>
          <w:tcPr>
            <w:tcW w:w="0" w:type="pct"/>
            <w:tcBorders>
              <w:left w:val="single" w:sz="4" w:space="0" w:color="AEAAAA"/>
            </w:tcBorders>
            <w:tcMar>
              <w:top w:w="57" w:type="dxa"/>
              <w:left w:w="57" w:type="dxa"/>
              <w:bottom w:w="57" w:type="dxa"/>
              <w:right w:w="57" w:type="dxa"/>
            </w:tcMar>
          </w:tcPr>
          <w:p w14:paraId="3411EE2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9%</w:t>
            </w:r>
          </w:p>
        </w:tc>
      </w:tr>
      <w:tr w:rsidR="009C2DCC" w:rsidRPr="00A34F8A" w14:paraId="590B1B88"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6CE48EA8"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1741B753"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F229B0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Cordless vacuum (residential)</w:t>
            </w:r>
          </w:p>
        </w:tc>
        <w:tc>
          <w:tcPr>
            <w:tcW w:w="0" w:type="pct"/>
            <w:tcBorders>
              <w:left w:val="single" w:sz="4" w:space="0" w:color="AEAAAA"/>
            </w:tcBorders>
            <w:tcMar>
              <w:top w:w="57" w:type="dxa"/>
              <w:left w:w="57" w:type="dxa"/>
              <w:bottom w:w="57" w:type="dxa"/>
              <w:right w:w="57" w:type="dxa"/>
            </w:tcMar>
          </w:tcPr>
          <w:p w14:paraId="7DA25E5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w:t>
            </w:r>
          </w:p>
        </w:tc>
      </w:tr>
      <w:tr w:rsidR="009C2DCC" w:rsidRPr="00A34F8A" w14:paraId="13EB4AAD"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1A2C1317"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27E5154D"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1A6EEA71"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Other</w:t>
            </w:r>
          </w:p>
        </w:tc>
        <w:tc>
          <w:tcPr>
            <w:tcW w:w="0" w:type="pct"/>
            <w:tcBorders>
              <w:left w:val="single" w:sz="4" w:space="0" w:color="AEAAAA"/>
            </w:tcBorders>
            <w:tcMar>
              <w:top w:w="57" w:type="dxa"/>
              <w:left w:w="57" w:type="dxa"/>
              <w:bottom w:w="57" w:type="dxa"/>
              <w:right w:w="57" w:type="dxa"/>
            </w:tcMar>
          </w:tcPr>
          <w:p w14:paraId="2C249EC2"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21%</w:t>
            </w:r>
          </w:p>
        </w:tc>
      </w:tr>
      <w:tr w:rsidR="009C2DCC" w:rsidRPr="00A34F8A" w14:paraId="49F9FD89" w14:textId="77777777" w:rsidTr="00CA72A3">
        <w:trPr>
          <w:cantSplit/>
          <w:trHeight w:val="48"/>
        </w:trPr>
        <w:tc>
          <w:tcPr>
            <w:tcW w:w="0" w:type="pct"/>
            <w:vMerge w:val="restart"/>
            <w:tcBorders>
              <w:right w:val="single" w:sz="4" w:space="0" w:color="C4BC96" w:themeColor="background2" w:themeShade="BF"/>
            </w:tcBorders>
            <w:tcMar>
              <w:top w:w="57" w:type="dxa"/>
              <w:left w:w="57" w:type="dxa"/>
              <w:bottom w:w="57" w:type="dxa"/>
              <w:right w:w="57" w:type="dxa"/>
            </w:tcMar>
          </w:tcPr>
          <w:p w14:paraId="449C8C4A"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Basic (60W)</w:t>
            </w:r>
          </w:p>
        </w:tc>
        <w:tc>
          <w:tcPr>
            <w:tcW w:w="0" w:type="pct"/>
            <w:vMerge w:val="restart"/>
            <w:tcBorders>
              <w:right w:val="single" w:sz="4" w:space="0" w:color="AEAAAA"/>
            </w:tcBorders>
            <w:tcMar>
              <w:top w:w="57" w:type="dxa"/>
              <w:left w:w="57" w:type="dxa"/>
              <w:bottom w:w="57" w:type="dxa"/>
              <w:right w:w="57" w:type="dxa"/>
            </w:tcMar>
          </w:tcPr>
          <w:p w14:paraId="44BECAA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54W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90W</w:t>
            </w:r>
          </w:p>
        </w:tc>
        <w:tc>
          <w:tcPr>
            <w:tcW w:w="0" w:type="pct"/>
            <w:tcBorders>
              <w:left w:val="single" w:sz="4" w:space="0" w:color="AEAAAA"/>
            </w:tcBorders>
            <w:tcMar>
              <w:top w:w="57" w:type="dxa"/>
              <w:left w:w="57" w:type="dxa"/>
              <w:bottom w:w="57" w:type="dxa"/>
              <w:right w:w="57" w:type="dxa"/>
            </w:tcMar>
          </w:tcPr>
          <w:p w14:paraId="66702A7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Notebooks (commercial)</w:t>
            </w:r>
          </w:p>
        </w:tc>
        <w:tc>
          <w:tcPr>
            <w:tcW w:w="0" w:type="pct"/>
            <w:tcBorders>
              <w:left w:val="single" w:sz="4" w:space="0" w:color="AEAAAA"/>
            </w:tcBorders>
            <w:tcMar>
              <w:top w:w="57" w:type="dxa"/>
              <w:left w:w="57" w:type="dxa"/>
              <w:bottom w:w="57" w:type="dxa"/>
              <w:right w:w="57" w:type="dxa"/>
            </w:tcMar>
          </w:tcPr>
          <w:p w14:paraId="781B4A3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34%</w:t>
            </w:r>
          </w:p>
        </w:tc>
      </w:tr>
      <w:tr w:rsidR="009C2DCC" w:rsidRPr="00A34F8A" w14:paraId="0FED7A70"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16805267"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53E606E5"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3AA351F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Video game consoles (residential)</w:t>
            </w:r>
          </w:p>
        </w:tc>
        <w:tc>
          <w:tcPr>
            <w:tcW w:w="0" w:type="pct"/>
            <w:tcBorders>
              <w:left w:val="single" w:sz="4" w:space="0" w:color="AEAAAA"/>
            </w:tcBorders>
            <w:tcMar>
              <w:top w:w="57" w:type="dxa"/>
              <w:left w:w="57" w:type="dxa"/>
              <w:bottom w:w="57" w:type="dxa"/>
              <w:right w:w="57" w:type="dxa"/>
            </w:tcMar>
          </w:tcPr>
          <w:p w14:paraId="268D25B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31%</w:t>
            </w:r>
          </w:p>
        </w:tc>
      </w:tr>
      <w:tr w:rsidR="009C2DCC" w:rsidRPr="00A34F8A" w14:paraId="4E0E744A"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247EC5B3"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2E73218B"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11DAB03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Notebooks (residential)</w:t>
            </w:r>
          </w:p>
        </w:tc>
        <w:tc>
          <w:tcPr>
            <w:tcW w:w="0" w:type="pct"/>
            <w:tcBorders>
              <w:left w:val="single" w:sz="4" w:space="0" w:color="AEAAAA"/>
            </w:tcBorders>
            <w:tcMar>
              <w:top w:w="57" w:type="dxa"/>
              <w:left w:w="57" w:type="dxa"/>
              <w:bottom w:w="57" w:type="dxa"/>
              <w:right w:w="57" w:type="dxa"/>
            </w:tcMar>
          </w:tcPr>
          <w:p w14:paraId="0DA6AB83"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23%</w:t>
            </w:r>
          </w:p>
        </w:tc>
      </w:tr>
      <w:tr w:rsidR="009C2DCC" w:rsidRPr="00A34F8A" w14:paraId="4BBAAD76"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1B902176"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036078E6"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270AB88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Security cameras (residential)</w:t>
            </w:r>
          </w:p>
        </w:tc>
        <w:tc>
          <w:tcPr>
            <w:tcW w:w="0" w:type="pct"/>
            <w:tcBorders>
              <w:left w:val="single" w:sz="4" w:space="0" w:color="AEAAAA"/>
            </w:tcBorders>
            <w:tcMar>
              <w:top w:w="57" w:type="dxa"/>
              <w:left w:w="57" w:type="dxa"/>
              <w:bottom w:w="57" w:type="dxa"/>
              <w:right w:w="57" w:type="dxa"/>
            </w:tcMar>
          </w:tcPr>
          <w:p w14:paraId="61566DA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w:t>
            </w:r>
          </w:p>
        </w:tc>
      </w:tr>
      <w:tr w:rsidR="009C2DCC" w:rsidRPr="00A34F8A" w14:paraId="1F6F13D4"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539D6E5E"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599FF892"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690FCC82"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Electric scooters (residential)</w:t>
            </w:r>
          </w:p>
        </w:tc>
        <w:tc>
          <w:tcPr>
            <w:tcW w:w="0" w:type="pct"/>
            <w:tcBorders>
              <w:left w:val="single" w:sz="4" w:space="0" w:color="AEAAAA"/>
            </w:tcBorders>
            <w:tcMar>
              <w:top w:w="57" w:type="dxa"/>
              <w:left w:w="57" w:type="dxa"/>
              <w:bottom w:w="57" w:type="dxa"/>
              <w:right w:w="57" w:type="dxa"/>
            </w:tcMar>
          </w:tcPr>
          <w:p w14:paraId="1E257E6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w:t>
            </w:r>
          </w:p>
        </w:tc>
      </w:tr>
      <w:tr w:rsidR="009C2DCC" w:rsidRPr="00A34F8A" w14:paraId="679E5E45" w14:textId="77777777" w:rsidTr="00CA72A3">
        <w:trPr>
          <w:cantSplit/>
          <w:trHeight w:val="48"/>
        </w:trPr>
        <w:tc>
          <w:tcPr>
            <w:tcW w:w="0" w:type="pct"/>
            <w:vMerge/>
            <w:tcBorders>
              <w:right w:val="single" w:sz="4" w:space="0" w:color="C4BC96" w:themeColor="background2" w:themeShade="BF"/>
            </w:tcBorders>
            <w:tcMar>
              <w:top w:w="57" w:type="dxa"/>
              <w:left w:w="57" w:type="dxa"/>
              <w:bottom w:w="57" w:type="dxa"/>
              <w:right w:w="57" w:type="dxa"/>
            </w:tcMar>
          </w:tcPr>
          <w:p w14:paraId="035880C3"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75507D06"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2BD93442"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Other</w:t>
            </w:r>
          </w:p>
        </w:tc>
        <w:tc>
          <w:tcPr>
            <w:tcW w:w="0" w:type="pct"/>
            <w:tcBorders>
              <w:left w:val="single" w:sz="4" w:space="0" w:color="AEAAAA"/>
            </w:tcBorders>
            <w:tcMar>
              <w:top w:w="57" w:type="dxa"/>
              <w:left w:w="57" w:type="dxa"/>
              <w:bottom w:w="57" w:type="dxa"/>
              <w:right w:w="57" w:type="dxa"/>
            </w:tcMar>
          </w:tcPr>
          <w:p w14:paraId="46B6A32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w:t>
            </w:r>
          </w:p>
        </w:tc>
      </w:tr>
      <w:tr w:rsidR="009C2DCC" w:rsidRPr="00A34F8A" w14:paraId="3C2D2870" w14:textId="77777777" w:rsidTr="00CA72A3">
        <w:trPr>
          <w:cantSplit/>
          <w:trHeight w:val="72"/>
        </w:trPr>
        <w:tc>
          <w:tcPr>
            <w:tcW w:w="0" w:type="pct"/>
            <w:vMerge w:val="restart"/>
            <w:tcBorders>
              <w:right w:val="single" w:sz="4" w:space="0" w:color="C4BC96" w:themeColor="background2" w:themeShade="BF"/>
            </w:tcBorders>
            <w:tcMar>
              <w:top w:w="57" w:type="dxa"/>
              <w:left w:w="57" w:type="dxa"/>
              <w:bottom w:w="57" w:type="dxa"/>
              <w:right w:w="57" w:type="dxa"/>
            </w:tcMar>
          </w:tcPr>
          <w:p w14:paraId="41935901"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Basic (120W)</w:t>
            </w:r>
          </w:p>
        </w:tc>
        <w:tc>
          <w:tcPr>
            <w:tcW w:w="0" w:type="pct"/>
            <w:vMerge w:val="restart"/>
            <w:tcBorders>
              <w:right w:val="single" w:sz="4" w:space="0" w:color="AEAAAA"/>
            </w:tcBorders>
            <w:tcMar>
              <w:top w:w="57" w:type="dxa"/>
              <w:left w:w="57" w:type="dxa"/>
              <w:bottom w:w="57" w:type="dxa"/>
              <w:right w:w="57" w:type="dxa"/>
            </w:tcMar>
          </w:tcPr>
          <w:p w14:paraId="4CCA505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 90W</w:t>
            </w:r>
          </w:p>
        </w:tc>
        <w:tc>
          <w:tcPr>
            <w:tcW w:w="0" w:type="pct"/>
            <w:tcBorders>
              <w:left w:val="single" w:sz="4" w:space="0" w:color="AEAAAA"/>
            </w:tcBorders>
            <w:tcMar>
              <w:top w:w="57" w:type="dxa"/>
              <w:left w:w="57" w:type="dxa"/>
              <w:bottom w:w="57" w:type="dxa"/>
              <w:right w:w="57" w:type="dxa"/>
            </w:tcMar>
          </w:tcPr>
          <w:p w14:paraId="0878A5F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Notebooks (commercial)</w:t>
            </w:r>
          </w:p>
        </w:tc>
        <w:tc>
          <w:tcPr>
            <w:tcW w:w="0" w:type="pct"/>
            <w:tcBorders>
              <w:left w:val="single" w:sz="4" w:space="0" w:color="AEAAAA"/>
            </w:tcBorders>
            <w:tcMar>
              <w:top w:w="57" w:type="dxa"/>
              <w:left w:w="57" w:type="dxa"/>
              <w:bottom w:w="57" w:type="dxa"/>
              <w:right w:w="57" w:type="dxa"/>
            </w:tcMar>
          </w:tcPr>
          <w:p w14:paraId="1783F3D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46%</w:t>
            </w:r>
          </w:p>
        </w:tc>
      </w:tr>
      <w:tr w:rsidR="009C2DCC" w:rsidRPr="00A34F8A" w14:paraId="2CABE145" w14:textId="77777777" w:rsidTr="00CA72A3">
        <w:trPr>
          <w:cantSplit/>
          <w:trHeight w:val="72"/>
        </w:trPr>
        <w:tc>
          <w:tcPr>
            <w:tcW w:w="0" w:type="pct"/>
            <w:vMerge/>
            <w:tcBorders>
              <w:right w:val="single" w:sz="4" w:space="0" w:color="C4BC96" w:themeColor="background2" w:themeShade="BF"/>
            </w:tcBorders>
            <w:tcMar>
              <w:top w:w="57" w:type="dxa"/>
              <w:left w:w="57" w:type="dxa"/>
              <w:bottom w:w="57" w:type="dxa"/>
              <w:right w:w="57" w:type="dxa"/>
            </w:tcMar>
          </w:tcPr>
          <w:p w14:paraId="2B751B2B" w14:textId="77777777" w:rsidR="005E09B9" w:rsidRPr="00A34F8A" w:rsidRDefault="005E09B9" w:rsidP="005D3977">
            <w:pPr>
              <w:pStyle w:val="Table2-Rowheadingdata"/>
              <w:rPr>
                <w:rFonts w:asciiTheme="minorHAnsi" w:hAnsiTheme="minorHAnsi" w:cstheme="minorHAnsi"/>
                <w:sz w:val="22"/>
                <w:szCs w:val="22"/>
                <w:highlight w:val="yellow"/>
              </w:rPr>
            </w:pPr>
          </w:p>
        </w:tc>
        <w:tc>
          <w:tcPr>
            <w:tcW w:w="0" w:type="pct"/>
            <w:vMerge/>
            <w:tcBorders>
              <w:right w:val="single" w:sz="4" w:space="0" w:color="AEAAAA"/>
            </w:tcBorders>
            <w:tcMar>
              <w:top w:w="57" w:type="dxa"/>
              <w:left w:w="57" w:type="dxa"/>
              <w:bottom w:w="57" w:type="dxa"/>
              <w:right w:w="57" w:type="dxa"/>
            </w:tcMar>
          </w:tcPr>
          <w:p w14:paraId="46A0093A" w14:textId="77777777" w:rsidR="005E09B9" w:rsidRPr="00A34F8A" w:rsidRDefault="005E09B9" w:rsidP="005D3977">
            <w:pPr>
              <w:pStyle w:val="Table3-Normaldata"/>
              <w:rPr>
                <w:rFonts w:asciiTheme="minorHAnsi" w:hAnsiTheme="minorHAnsi" w:cstheme="minorHAnsi"/>
                <w:sz w:val="22"/>
                <w:szCs w:val="22"/>
                <w:highlight w:val="yellow"/>
              </w:rPr>
            </w:pPr>
          </w:p>
        </w:tc>
        <w:tc>
          <w:tcPr>
            <w:tcW w:w="0" w:type="pct"/>
            <w:tcBorders>
              <w:left w:val="single" w:sz="4" w:space="0" w:color="AEAAAA"/>
            </w:tcBorders>
            <w:tcMar>
              <w:top w:w="57" w:type="dxa"/>
              <w:left w:w="57" w:type="dxa"/>
              <w:bottom w:w="57" w:type="dxa"/>
              <w:right w:w="57" w:type="dxa"/>
            </w:tcMar>
          </w:tcPr>
          <w:p w14:paraId="048ED04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Notebooks (residential)</w:t>
            </w:r>
          </w:p>
        </w:tc>
        <w:tc>
          <w:tcPr>
            <w:tcW w:w="0" w:type="pct"/>
            <w:tcBorders>
              <w:left w:val="single" w:sz="4" w:space="0" w:color="AEAAAA"/>
            </w:tcBorders>
            <w:tcMar>
              <w:top w:w="57" w:type="dxa"/>
              <w:left w:w="57" w:type="dxa"/>
              <w:bottom w:w="57" w:type="dxa"/>
              <w:right w:w="57" w:type="dxa"/>
            </w:tcMar>
          </w:tcPr>
          <w:p w14:paraId="75D94EA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31%</w:t>
            </w:r>
          </w:p>
        </w:tc>
      </w:tr>
      <w:tr w:rsidR="009C2DCC" w:rsidRPr="00A34F8A" w14:paraId="15E031E0" w14:textId="77777777" w:rsidTr="00CA72A3">
        <w:trPr>
          <w:cantSplit/>
          <w:trHeight w:val="72"/>
        </w:trPr>
        <w:tc>
          <w:tcPr>
            <w:tcW w:w="0" w:type="pct"/>
            <w:vMerge/>
            <w:tcBorders>
              <w:right w:val="single" w:sz="4" w:space="0" w:color="C4BC96" w:themeColor="background2" w:themeShade="BF"/>
            </w:tcBorders>
            <w:tcMar>
              <w:top w:w="57" w:type="dxa"/>
              <w:left w:w="57" w:type="dxa"/>
              <w:bottom w:w="57" w:type="dxa"/>
              <w:right w:w="57" w:type="dxa"/>
            </w:tcMar>
          </w:tcPr>
          <w:p w14:paraId="58EDE450" w14:textId="77777777" w:rsidR="005E09B9" w:rsidRPr="00A34F8A" w:rsidRDefault="005E09B9" w:rsidP="005D3977">
            <w:pPr>
              <w:pStyle w:val="Table2-Rowheadingdata"/>
              <w:rPr>
                <w:rFonts w:asciiTheme="minorHAnsi" w:hAnsiTheme="minorHAnsi" w:cstheme="minorHAnsi"/>
                <w:sz w:val="22"/>
                <w:szCs w:val="22"/>
                <w:highlight w:val="yellow"/>
              </w:rPr>
            </w:pPr>
          </w:p>
        </w:tc>
        <w:tc>
          <w:tcPr>
            <w:tcW w:w="0" w:type="pct"/>
            <w:vMerge/>
            <w:tcBorders>
              <w:right w:val="single" w:sz="4" w:space="0" w:color="AEAAAA"/>
            </w:tcBorders>
            <w:tcMar>
              <w:top w:w="57" w:type="dxa"/>
              <w:left w:w="57" w:type="dxa"/>
              <w:bottom w:w="57" w:type="dxa"/>
              <w:right w:w="57" w:type="dxa"/>
            </w:tcMar>
          </w:tcPr>
          <w:p w14:paraId="395CBF82" w14:textId="77777777" w:rsidR="005E09B9" w:rsidRPr="00A34F8A" w:rsidRDefault="005E09B9" w:rsidP="005D3977">
            <w:pPr>
              <w:pStyle w:val="Table3-Normaldata"/>
              <w:rPr>
                <w:rFonts w:asciiTheme="minorHAnsi" w:hAnsiTheme="minorHAnsi" w:cstheme="minorHAnsi"/>
                <w:sz w:val="22"/>
                <w:szCs w:val="22"/>
                <w:highlight w:val="yellow"/>
              </w:rPr>
            </w:pPr>
          </w:p>
        </w:tc>
        <w:tc>
          <w:tcPr>
            <w:tcW w:w="0" w:type="pct"/>
            <w:tcBorders>
              <w:left w:val="single" w:sz="4" w:space="0" w:color="AEAAAA"/>
            </w:tcBorders>
            <w:tcMar>
              <w:top w:w="57" w:type="dxa"/>
              <w:left w:w="57" w:type="dxa"/>
              <w:bottom w:w="57" w:type="dxa"/>
              <w:right w:w="57" w:type="dxa"/>
            </w:tcMar>
          </w:tcPr>
          <w:p w14:paraId="362BAE0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Hairdryers (residential)</w:t>
            </w:r>
          </w:p>
        </w:tc>
        <w:tc>
          <w:tcPr>
            <w:tcW w:w="0" w:type="pct"/>
            <w:tcBorders>
              <w:left w:val="single" w:sz="4" w:space="0" w:color="AEAAAA"/>
            </w:tcBorders>
            <w:tcMar>
              <w:top w:w="57" w:type="dxa"/>
              <w:left w:w="57" w:type="dxa"/>
              <w:bottom w:w="57" w:type="dxa"/>
              <w:right w:w="57" w:type="dxa"/>
            </w:tcMar>
          </w:tcPr>
          <w:p w14:paraId="44C0072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22%</w:t>
            </w:r>
          </w:p>
        </w:tc>
      </w:tr>
      <w:tr w:rsidR="009C2DCC" w:rsidRPr="00A34F8A" w14:paraId="409F021B" w14:textId="77777777" w:rsidTr="00CA72A3">
        <w:trPr>
          <w:cantSplit/>
          <w:trHeight w:val="72"/>
        </w:trPr>
        <w:tc>
          <w:tcPr>
            <w:tcW w:w="0" w:type="pct"/>
            <w:vMerge/>
            <w:tcBorders>
              <w:right w:val="single" w:sz="4" w:space="0" w:color="C4BC96" w:themeColor="background2" w:themeShade="BF"/>
            </w:tcBorders>
            <w:tcMar>
              <w:top w:w="57" w:type="dxa"/>
              <w:left w:w="57" w:type="dxa"/>
              <w:bottom w:w="57" w:type="dxa"/>
              <w:right w:w="57" w:type="dxa"/>
            </w:tcMar>
          </w:tcPr>
          <w:p w14:paraId="54E620C3" w14:textId="77777777" w:rsidR="005E09B9" w:rsidRPr="00A34F8A" w:rsidRDefault="005E09B9" w:rsidP="005D3977">
            <w:pPr>
              <w:pStyle w:val="Table2-Rowheadingdata"/>
              <w:rPr>
                <w:rFonts w:asciiTheme="minorHAnsi" w:hAnsiTheme="minorHAnsi" w:cstheme="minorHAnsi"/>
                <w:sz w:val="22"/>
                <w:szCs w:val="22"/>
                <w:highlight w:val="yellow"/>
              </w:rPr>
            </w:pPr>
          </w:p>
        </w:tc>
        <w:tc>
          <w:tcPr>
            <w:tcW w:w="0" w:type="pct"/>
            <w:vMerge/>
            <w:tcBorders>
              <w:right w:val="single" w:sz="4" w:space="0" w:color="AEAAAA"/>
            </w:tcBorders>
            <w:tcMar>
              <w:top w:w="57" w:type="dxa"/>
              <w:left w:w="57" w:type="dxa"/>
              <w:bottom w:w="57" w:type="dxa"/>
              <w:right w:w="57" w:type="dxa"/>
            </w:tcMar>
          </w:tcPr>
          <w:p w14:paraId="1B83B022" w14:textId="77777777" w:rsidR="005E09B9" w:rsidRPr="00A34F8A" w:rsidRDefault="005E09B9" w:rsidP="005D3977">
            <w:pPr>
              <w:pStyle w:val="Table3-Normaldata"/>
              <w:rPr>
                <w:rFonts w:asciiTheme="minorHAnsi" w:hAnsiTheme="minorHAnsi" w:cstheme="minorHAnsi"/>
                <w:sz w:val="22"/>
                <w:szCs w:val="22"/>
                <w:highlight w:val="yellow"/>
              </w:rPr>
            </w:pPr>
          </w:p>
        </w:tc>
        <w:tc>
          <w:tcPr>
            <w:tcW w:w="0" w:type="pct"/>
            <w:tcBorders>
              <w:left w:val="single" w:sz="4" w:space="0" w:color="AEAAAA"/>
            </w:tcBorders>
            <w:tcMar>
              <w:top w:w="57" w:type="dxa"/>
              <w:left w:w="57" w:type="dxa"/>
              <w:bottom w:w="57" w:type="dxa"/>
              <w:right w:w="57" w:type="dxa"/>
            </w:tcMar>
          </w:tcPr>
          <w:p w14:paraId="2608D34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Electric bicycles</w:t>
            </w:r>
          </w:p>
        </w:tc>
        <w:tc>
          <w:tcPr>
            <w:tcW w:w="0" w:type="pct"/>
            <w:tcBorders>
              <w:left w:val="single" w:sz="4" w:space="0" w:color="AEAAAA"/>
            </w:tcBorders>
            <w:tcMar>
              <w:top w:w="57" w:type="dxa"/>
              <w:left w:w="57" w:type="dxa"/>
              <w:bottom w:w="57" w:type="dxa"/>
              <w:right w:w="57" w:type="dxa"/>
            </w:tcMar>
          </w:tcPr>
          <w:p w14:paraId="3B9E3D36"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w:t>
            </w:r>
          </w:p>
        </w:tc>
      </w:tr>
      <w:tr w:rsidR="009C2DCC" w:rsidRPr="00A34F8A" w14:paraId="4EC86EBA" w14:textId="77777777" w:rsidTr="00CA72A3">
        <w:trPr>
          <w:cantSplit/>
          <w:trHeight w:val="23"/>
        </w:trPr>
        <w:tc>
          <w:tcPr>
            <w:tcW w:w="0" w:type="pct"/>
            <w:vMerge w:val="restart"/>
            <w:tcBorders>
              <w:right w:val="single" w:sz="4" w:space="0" w:color="C4BC96" w:themeColor="background2" w:themeShade="BF"/>
            </w:tcBorders>
            <w:tcMar>
              <w:top w:w="57" w:type="dxa"/>
              <w:left w:w="57" w:type="dxa"/>
              <w:bottom w:w="57" w:type="dxa"/>
              <w:right w:w="57" w:type="dxa"/>
            </w:tcMar>
          </w:tcPr>
          <w:p w14:paraId="2F209635"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Low (5W)</w:t>
            </w:r>
          </w:p>
        </w:tc>
        <w:tc>
          <w:tcPr>
            <w:tcW w:w="0" w:type="pct"/>
            <w:vMerge w:val="restart"/>
            <w:tcBorders>
              <w:right w:val="single" w:sz="4" w:space="0" w:color="AEAAAA"/>
            </w:tcBorders>
            <w:tcMar>
              <w:top w:w="57" w:type="dxa"/>
              <w:left w:w="57" w:type="dxa"/>
              <w:bottom w:w="57" w:type="dxa"/>
              <w:right w:w="57" w:type="dxa"/>
            </w:tcMar>
          </w:tcPr>
          <w:p w14:paraId="102F4546"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0W &lt;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7.5W</w:t>
            </w:r>
          </w:p>
        </w:tc>
        <w:tc>
          <w:tcPr>
            <w:tcW w:w="0" w:type="pct"/>
            <w:tcBorders>
              <w:left w:val="single" w:sz="4" w:space="0" w:color="AEAAAA"/>
            </w:tcBorders>
            <w:tcMar>
              <w:top w:w="57" w:type="dxa"/>
              <w:left w:w="57" w:type="dxa"/>
              <w:bottom w:w="57" w:type="dxa"/>
              <w:right w:w="57" w:type="dxa"/>
            </w:tcMar>
          </w:tcPr>
          <w:p w14:paraId="008155FE"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Smartphone (residential)</w:t>
            </w:r>
          </w:p>
        </w:tc>
        <w:tc>
          <w:tcPr>
            <w:tcW w:w="0" w:type="pct"/>
            <w:tcBorders>
              <w:left w:val="single" w:sz="4" w:space="0" w:color="AEAAAA"/>
            </w:tcBorders>
            <w:tcMar>
              <w:top w:w="57" w:type="dxa"/>
              <w:left w:w="57" w:type="dxa"/>
              <w:bottom w:w="57" w:type="dxa"/>
              <w:right w:w="57" w:type="dxa"/>
            </w:tcMar>
          </w:tcPr>
          <w:p w14:paraId="7CCC904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36%</w:t>
            </w:r>
          </w:p>
        </w:tc>
      </w:tr>
      <w:tr w:rsidR="009C2DCC" w:rsidRPr="00A34F8A" w14:paraId="583C4EAD"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7A4CC715"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6E7E77F2"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04CC80E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Bluetooth headphones (residential)</w:t>
            </w:r>
          </w:p>
        </w:tc>
        <w:tc>
          <w:tcPr>
            <w:tcW w:w="0" w:type="pct"/>
            <w:tcBorders>
              <w:left w:val="single" w:sz="4" w:space="0" w:color="AEAAAA"/>
            </w:tcBorders>
            <w:tcMar>
              <w:top w:w="57" w:type="dxa"/>
              <w:left w:w="57" w:type="dxa"/>
              <w:bottom w:w="57" w:type="dxa"/>
              <w:right w:w="57" w:type="dxa"/>
            </w:tcMar>
          </w:tcPr>
          <w:p w14:paraId="347A708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17%</w:t>
            </w:r>
          </w:p>
        </w:tc>
      </w:tr>
      <w:tr w:rsidR="009C2DCC" w:rsidRPr="00A34F8A" w14:paraId="3B7DD32D"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1CA315F2"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378DA940"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50A2C8E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Wireless speakers (residential)</w:t>
            </w:r>
          </w:p>
        </w:tc>
        <w:tc>
          <w:tcPr>
            <w:tcW w:w="0" w:type="pct"/>
            <w:tcBorders>
              <w:left w:val="single" w:sz="4" w:space="0" w:color="AEAAAA"/>
            </w:tcBorders>
            <w:tcMar>
              <w:top w:w="57" w:type="dxa"/>
              <w:left w:w="57" w:type="dxa"/>
              <w:bottom w:w="57" w:type="dxa"/>
              <w:right w:w="57" w:type="dxa"/>
            </w:tcMar>
          </w:tcPr>
          <w:p w14:paraId="100218C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16%</w:t>
            </w:r>
          </w:p>
        </w:tc>
      </w:tr>
      <w:tr w:rsidR="009C2DCC" w:rsidRPr="00A34F8A" w14:paraId="5715F3D3"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651B3E5C"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61344788"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2DA90CC4"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Smart watches/Wrist bands (residential)</w:t>
            </w:r>
          </w:p>
        </w:tc>
        <w:tc>
          <w:tcPr>
            <w:tcW w:w="0" w:type="pct"/>
            <w:tcBorders>
              <w:left w:val="single" w:sz="4" w:space="0" w:color="AEAAAA"/>
            </w:tcBorders>
            <w:tcMar>
              <w:top w:w="57" w:type="dxa"/>
              <w:left w:w="57" w:type="dxa"/>
              <w:bottom w:w="57" w:type="dxa"/>
              <w:right w:w="57" w:type="dxa"/>
            </w:tcMar>
          </w:tcPr>
          <w:p w14:paraId="495B854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w:t>
            </w:r>
          </w:p>
        </w:tc>
      </w:tr>
      <w:tr w:rsidR="009C2DCC" w:rsidRPr="00A34F8A" w14:paraId="7CB9ACEC"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0037D47A"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78DEF23B"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1BFFBE31"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Rechargeable dental care (residential)</w:t>
            </w:r>
          </w:p>
        </w:tc>
        <w:tc>
          <w:tcPr>
            <w:tcW w:w="0" w:type="pct"/>
            <w:tcBorders>
              <w:left w:val="single" w:sz="4" w:space="0" w:color="AEAAAA"/>
            </w:tcBorders>
            <w:tcMar>
              <w:top w:w="57" w:type="dxa"/>
              <w:left w:w="57" w:type="dxa"/>
              <w:bottom w:w="57" w:type="dxa"/>
              <w:right w:w="57" w:type="dxa"/>
            </w:tcMar>
          </w:tcPr>
          <w:p w14:paraId="3D30304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w:t>
            </w:r>
          </w:p>
        </w:tc>
      </w:tr>
      <w:tr w:rsidR="009C2DCC" w:rsidRPr="00A34F8A" w14:paraId="3E95C217" w14:textId="77777777" w:rsidTr="00CA72A3">
        <w:trPr>
          <w:cantSplit/>
          <w:trHeight w:val="23"/>
        </w:trPr>
        <w:tc>
          <w:tcPr>
            <w:tcW w:w="0" w:type="pct"/>
            <w:vMerge/>
            <w:tcBorders>
              <w:right w:val="single" w:sz="4" w:space="0" w:color="C4BC96" w:themeColor="background2" w:themeShade="BF"/>
            </w:tcBorders>
            <w:tcMar>
              <w:top w:w="57" w:type="dxa"/>
              <w:left w:w="57" w:type="dxa"/>
              <w:bottom w:w="57" w:type="dxa"/>
              <w:right w:w="57" w:type="dxa"/>
            </w:tcMar>
          </w:tcPr>
          <w:p w14:paraId="7A2BC75A"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7C8BBE01"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1805256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Other</w:t>
            </w:r>
          </w:p>
        </w:tc>
        <w:tc>
          <w:tcPr>
            <w:tcW w:w="0" w:type="pct"/>
            <w:tcBorders>
              <w:left w:val="single" w:sz="4" w:space="0" w:color="AEAAAA"/>
            </w:tcBorders>
            <w:tcMar>
              <w:top w:w="57" w:type="dxa"/>
              <w:left w:w="57" w:type="dxa"/>
              <w:bottom w:w="57" w:type="dxa"/>
              <w:right w:w="57" w:type="dxa"/>
            </w:tcMar>
          </w:tcPr>
          <w:p w14:paraId="187794D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17%</w:t>
            </w:r>
          </w:p>
        </w:tc>
      </w:tr>
      <w:tr w:rsidR="009C2DCC" w:rsidRPr="00A34F8A" w14:paraId="41D17BD6" w14:textId="77777777" w:rsidTr="00CA72A3">
        <w:trPr>
          <w:cantSplit/>
          <w:trHeight w:val="30"/>
        </w:trPr>
        <w:tc>
          <w:tcPr>
            <w:tcW w:w="0" w:type="pct"/>
            <w:vMerge w:val="restart"/>
            <w:tcBorders>
              <w:right w:val="single" w:sz="4" w:space="0" w:color="C4BC96" w:themeColor="background2" w:themeShade="BF"/>
            </w:tcBorders>
            <w:tcMar>
              <w:top w:w="57" w:type="dxa"/>
              <w:left w:w="57" w:type="dxa"/>
              <w:bottom w:w="57" w:type="dxa"/>
              <w:right w:w="57" w:type="dxa"/>
            </w:tcMar>
          </w:tcPr>
          <w:p w14:paraId="1243B8DC"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Low (10W)</w:t>
            </w:r>
          </w:p>
        </w:tc>
        <w:tc>
          <w:tcPr>
            <w:tcW w:w="0" w:type="pct"/>
            <w:vMerge w:val="restart"/>
            <w:tcBorders>
              <w:right w:val="single" w:sz="4" w:space="0" w:color="AEAAAA"/>
            </w:tcBorders>
            <w:tcMar>
              <w:top w:w="57" w:type="dxa"/>
              <w:left w:w="57" w:type="dxa"/>
              <w:bottom w:w="57" w:type="dxa"/>
              <w:right w:w="57" w:type="dxa"/>
            </w:tcMar>
          </w:tcPr>
          <w:p w14:paraId="4B1794D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7.5W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11W</w:t>
            </w:r>
          </w:p>
        </w:tc>
        <w:tc>
          <w:tcPr>
            <w:tcW w:w="0" w:type="pct"/>
            <w:tcBorders>
              <w:left w:val="single" w:sz="4" w:space="0" w:color="AEAAAA"/>
            </w:tcBorders>
            <w:tcMar>
              <w:top w:w="57" w:type="dxa"/>
              <w:left w:w="57" w:type="dxa"/>
              <w:bottom w:w="57" w:type="dxa"/>
              <w:right w:w="57" w:type="dxa"/>
            </w:tcMar>
          </w:tcPr>
          <w:p w14:paraId="62B6739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E-books (residential)</w:t>
            </w:r>
          </w:p>
        </w:tc>
        <w:tc>
          <w:tcPr>
            <w:tcW w:w="0" w:type="pct"/>
            <w:tcBorders>
              <w:left w:val="single" w:sz="4" w:space="0" w:color="AEAAAA"/>
            </w:tcBorders>
            <w:tcMar>
              <w:top w:w="57" w:type="dxa"/>
              <w:left w:w="57" w:type="dxa"/>
              <w:bottom w:w="57" w:type="dxa"/>
              <w:right w:w="57" w:type="dxa"/>
            </w:tcMar>
          </w:tcPr>
          <w:p w14:paraId="0C7D667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69%</w:t>
            </w:r>
          </w:p>
        </w:tc>
      </w:tr>
      <w:tr w:rsidR="009C2DCC" w:rsidRPr="00A34F8A" w14:paraId="33B59E78" w14:textId="77777777" w:rsidTr="00CA72A3">
        <w:trPr>
          <w:cantSplit/>
          <w:trHeight w:val="27"/>
        </w:trPr>
        <w:tc>
          <w:tcPr>
            <w:tcW w:w="0" w:type="pct"/>
            <w:vMerge/>
            <w:tcBorders>
              <w:right w:val="single" w:sz="4" w:space="0" w:color="C4BC96" w:themeColor="background2" w:themeShade="BF"/>
            </w:tcBorders>
            <w:tcMar>
              <w:top w:w="57" w:type="dxa"/>
              <w:left w:w="57" w:type="dxa"/>
              <w:bottom w:w="57" w:type="dxa"/>
              <w:right w:w="57" w:type="dxa"/>
            </w:tcMar>
          </w:tcPr>
          <w:p w14:paraId="1C88A3F3"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410667A3"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2DC2A132"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Power strips with USBs (residential)</w:t>
            </w:r>
          </w:p>
        </w:tc>
        <w:tc>
          <w:tcPr>
            <w:tcW w:w="0" w:type="pct"/>
            <w:tcBorders>
              <w:left w:val="single" w:sz="4" w:space="0" w:color="AEAAAA"/>
            </w:tcBorders>
            <w:tcMar>
              <w:top w:w="57" w:type="dxa"/>
              <w:left w:w="57" w:type="dxa"/>
              <w:bottom w:w="57" w:type="dxa"/>
              <w:right w:w="57" w:type="dxa"/>
            </w:tcMar>
          </w:tcPr>
          <w:p w14:paraId="1EAED1D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22%</w:t>
            </w:r>
          </w:p>
        </w:tc>
      </w:tr>
      <w:tr w:rsidR="009C2DCC" w:rsidRPr="00A34F8A" w14:paraId="7C141EDA" w14:textId="77777777" w:rsidTr="00CA72A3">
        <w:trPr>
          <w:cantSplit/>
          <w:trHeight w:val="27"/>
        </w:trPr>
        <w:tc>
          <w:tcPr>
            <w:tcW w:w="0" w:type="pct"/>
            <w:vMerge/>
            <w:tcBorders>
              <w:right w:val="single" w:sz="4" w:space="0" w:color="C4BC96" w:themeColor="background2" w:themeShade="BF"/>
            </w:tcBorders>
            <w:tcMar>
              <w:top w:w="57" w:type="dxa"/>
              <w:left w:w="57" w:type="dxa"/>
              <w:bottom w:w="57" w:type="dxa"/>
              <w:right w:w="57" w:type="dxa"/>
            </w:tcMar>
          </w:tcPr>
          <w:p w14:paraId="598D2840"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174E041B"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2700460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USB wall adapter (residential)</w:t>
            </w:r>
          </w:p>
        </w:tc>
        <w:tc>
          <w:tcPr>
            <w:tcW w:w="0" w:type="pct"/>
            <w:tcBorders>
              <w:left w:val="single" w:sz="4" w:space="0" w:color="AEAAAA"/>
            </w:tcBorders>
            <w:tcMar>
              <w:top w:w="57" w:type="dxa"/>
              <w:left w:w="57" w:type="dxa"/>
              <w:bottom w:w="57" w:type="dxa"/>
              <w:right w:w="57" w:type="dxa"/>
            </w:tcMar>
          </w:tcPr>
          <w:p w14:paraId="508AE8D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5%</w:t>
            </w:r>
          </w:p>
        </w:tc>
      </w:tr>
      <w:tr w:rsidR="009C2DCC" w:rsidRPr="00A34F8A" w14:paraId="46352851" w14:textId="77777777" w:rsidTr="00CA72A3">
        <w:trPr>
          <w:cantSplit/>
          <w:trHeight w:val="27"/>
        </w:trPr>
        <w:tc>
          <w:tcPr>
            <w:tcW w:w="0" w:type="pct"/>
            <w:vMerge/>
            <w:tcBorders>
              <w:right w:val="single" w:sz="4" w:space="0" w:color="C4BC96" w:themeColor="background2" w:themeShade="BF"/>
            </w:tcBorders>
            <w:tcMar>
              <w:top w:w="57" w:type="dxa"/>
              <w:left w:w="57" w:type="dxa"/>
              <w:bottom w:w="57" w:type="dxa"/>
              <w:right w:w="57" w:type="dxa"/>
            </w:tcMar>
          </w:tcPr>
          <w:p w14:paraId="2AF096B8"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6AD2DEB1"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36B621F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Clock radio (residential)</w:t>
            </w:r>
          </w:p>
        </w:tc>
        <w:tc>
          <w:tcPr>
            <w:tcW w:w="0" w:type="pct"/>
            <w:tcBorders>
              <w:left w:val="single" w:sz="4" w:space="0" w:color="AEAAAA"/>
            </w:tcBorders>
            <w:tcMar>
              <w:top w:w="57" w:type="dxa"/>
              <w:left w:w="57" w:type="dxa"/>
              <w:bottom w:w="57" w:type="dxa"/>
              <w:right w:w="57" w:type="dxa"/>
            </w:tcMar>
          </w:tcPr>
          <w:p w14:paraId="0440D4E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5%</w:t>
            </w:r>
          </w:p>
        </w:tc>
      </w:tr>
      <w:tr w:rsidR="009C2DCC" w:rsidRPr="00A34F8A" w14:paraId="18CCCC76" w14:textId="77777777" w:rsidTr="00CA72A3">
        <w:trPr>
          <w:cantSplit/>
          <w:trHeight w:val="27"/>
        </w:trPr>
        <w:tc>
          <w:tcPr>
            <w:tcW w:w="0" w:type="pct"/>
            <w:vMerge/>
            <w:tcBorders>
              <w:right w:val="single" w:sz="4" w:space="0" w:color="C4BC96" w:themeColor="background2" w:themeShade="BF"/>
            </w:tcBorders>
            <w:tcMar>
              <w:top w:w="57" w:type="dxa"/>
              <w:left w:w="57" w:type="dxa"/>
              <w:bottom w:w="57" w:type="dxa"/>
              <w:right w:w="57" w:type="dxa"/>
            </w:tcMar>
          </w:tcPr>
          <w:p w14:paraId="00588951"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5F988C64"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7A4EB95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Clock radio (commercial)</w:t>
            </w:r>
          </w:p>
        </w:tc>
        <w:tc>
          <w:tcPr>
            <w:tcW w:w="0" w:type="pct"/>
            <w:tcBorders>
              <w:left w:val="single" w:sz="4" w:space="0" w:color="AEAAAA"/>
            </w:tcBorders>
            <w:tcMar>
              <w:top w:w="57" w:type="dxa"/>
              <w:left w:w="57" w:type="dxa"/>
              <w:bottom w:w="57" w:type="dxa"/>
              <w:right w:w="57" w:type="dxa"/>
            </w:tcMar>
          </w:tcPr>
          <w:p w14:paraId="3929EF44"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0.04%</w:t>
            </w:r>
          </w:p>
        </w:tc>
      </w:tr>
      <w:tr w:rsidR="009C2DCC" w:rsidRPr="00A34F8A" w14:paraId="2A1D8C05" w14:textId="77777777" w:rsidTr="00CA72A3">
        <w:trPr>
          <w:cantSplit/>
          <w:trHeight w:val="69"/>
        </w:trPr>
        <w:tc>
          <w:tcPr>
            <w:tcW w:w="0" w:type="pct"/>
            <w:vMerge w:val="restart"/>
            <w:tcBorders>
              <w:right w:val="single" w:sz="4" w:space="0" w:color="C4BC96" w:themeColor="background2" w:themeShade="BF"/>
            </w:tcBorders>
            <w:tcMar>
              <w:top w:w="57" w:type="dxa"/>
              <w:left w:w="57" w:type="dxa"/>
              <w:bottom w:w="57" w:type="dxa"/>
              <w:right w:w="57" w:type="dxa"/>
            </w:tcMar>
          </w:tcPr>
          <w:p w14:paraId="03CC8CA9"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Low (12W)</w:t>
            </w:r>
          </w:p>
        </w:tc>
        <w:tc>
          <w:tcPr>
            <w:tcW w:w="0" w:type="pct"/>
            <w:vMerge w:val="restart"/>
            <w:tcBorders>
              <w:right w:val="single" w:sz="4" w:space="0" w:color="AEAAAA"/>
            </w:tcBorders>
            <w:tcMar>
              <w:top w:w="57" w:type="dxa"/>
              <w:left w:w="57" w:type="dxa"/>
              <w:bottom w:w="57" w:type="dxa"/>
              <w:right w:w="57" w:type="dxa"/>
            </w:tcMar>
          </w:tcPr>
          <w:p w14:paraId="593CCEF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11W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18W</w:t>
            </w:r>
          </w:p>
        </w:tc>
        <w:tc>
          <w:tcPr>
            <w:tcW w:w="0" w:type="pct"/>
            <w:tcBorders>
              <w:left w:val="single" w:sz="4" w:space="0" w:color="AEAAAA"/>
            </w:tcBorders>
            <w:tcMar>
              <w:top w:w="57" w:type="dxa"/>
              <w:left w:w="57" w:type="dxa"/>
              <w:bottom w:w="57" w:type="dxa"/>
              <w:right w:w="57" w:type="dxa"/>
            </w:tcMar>
          </w:tcPr>
          <w:p w14:paraId="0CDBB916"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Media tablets (residential)</w:t>
            </w:r>
          </w:p>
        </w:tc>
        <w:tc>
          <w:tcPr>
            <w:tcW w:w="0" w:type="pct"/>
            <w:tcBorders>
              <w:left w:val="single" w:sz="4" w:space="0" w:color="AEAAAA"/>
            </w:tcBorders>
            <w:tcMar>
              <w:top w:w="57" w:type="dxa"/>
              <w:left w:w="57" w:type="dxa"/>
              <w:bottom w:w="57" w:type="dxa"/>
              <w:right w:w="57" w:type="dxa"/>
            </w:tcMar>
          </w:tcPr>
          <w:p w14:paraId="64584A0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86%</w:t>
            </w:r>
          </w:p>
        </w:tc>
      </w:tr>
      <w:tr w:rsidR="009C2DCC" w:rsidRPr="00A34F8A" w14:paraId="7CC1D472" w14:textId="77777777" w:rsidTr="00CA72A3">
        <w:trPr>
          <w:cantSplit/>
          <w:trHeight w:val="69"/>
        </w:trPr>
        <w:tc>
          <w:tcPr>
            <w:tcW w:w="0" w:type="pct"/>
            <w:vMerge/>
            <w:tcBorders>
              <w:right w:val="single" w:sz="4" w:space="0" w:color="C4BC96" w:themeColor="background2" w:themeShade="BF"/>
            </w:tcBorders>
            <w:tcMar>
              <w:top w:w="57" w:type="dxa"/>
              <w:left w:w="57" w:type="dxa"/>
              <w:bottom w:w="57" w:type="dxa"/>
              <w:right w:w="57" w:type="dxa"/>
            </w:tcMar>
          </w:tcPr>
          <w:p w14:paraId="4A91779A"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49A63C57"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0965B6F1"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Media tablets (commercial)</w:t>
            </w:r>
          </w:p>
        </w:tc>
        <w:tc>
          <w:tcPr>
            <w:tcW w:w="0" w:type="pct"/>
            <w:tcBorders>
              <w:left w:val="single" w:sz="4" w:space="0" w:color="AEAAAA"/>
            </w:tcBorders>
            <w:tcMar>
              <w:top w:w="57" w:type="dxa"/>
              <w:left w:w="57" w:type="dxa"/>
              <w:bottom w:w="57" w:type="dxa"/>
              <w:right w:w="57" w:type="dxa"/>
            </w:tcMar>
          </w:tcPr>
          <w:p w14:paraId="1E27ED2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15%</w:t>
            </w:r>
          </w:p>
        </w:tc>
      </w:tr>
      <w:tr w:rsidR="009C2DCC" w:rsidRPr="00A34F8A" w14:paraId="4D8B4C11" w14:textId="77777777" w:rsidTr="00CA72A3">
        <w:trPr>
          <w:cantSplit/>
          <w:trHeight w:val="69"/>
        </w:trPr>
        <w:tc>
          <w:tcPr>
            <w:tcW w:w="0" w:type="pct"/>
            <w:vMerge w:val="restart"/>
            <w:tcBorders>
              <w:right w:val="single" w:sz="4" w:space="0" w:color="C4BC96" w:themeColor="background2" w:themeShade="BF"/>
            </w:tcBorders>
            <w:tcMar>
              <w:top w:w="57" w:type="dxa"/>
              <w:left w:w="57" w:type="dxa"/>
              <w:bottom w:w="57" w:type="dxa"/>
              <w:right w:w="57" w:type="dxa"/>
            </w:tcMar>
          </w:tcPr>
          <w:p w14:paraId="33000D1B"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AC-DC Low (24W)</w:t>
            </w:r>
          </w:p>
        </w:tc>
        <w:tc>
          <w:tcPr>
            <w:tcW w:w="0" w:type="pct"/>
            <w:vMerge w:val="restart"/>
            <w:tcBorders>
              <w:right w:val="single" w:sz="4" w:space="0" w:color="AEAAAA"/>
            </w:tcBorders>
            <w:tcMar>
              <w:top w:w="57" w:type="dxa"/>
              <w:left w:w="57" w:type="dxa"/>
              <w:bottom w:w="57" w:type="dxa"/>
              <w:right w:w="57" w:type="dxa"/>
            </w:tcMar>
          </w:tcPr>
          <w:p w14:paraId="240389A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 18W</w:t>
            </w:r>
          </w:p>
        </w:tc>
        <w:tc>
          <w:tcPr>
            <w:tcW w:w="0" w:type="pct"/>
            <w:tcBorders>
              <w:left w:val="single" w:sz="4" w:space="0" w:color="AEAAAA"/>
            </w:tcBorders>
            <w:tcMar>
              <w:top w:w="57" w:type="dxa"/>
              <w:left w:w="57" w:type="dxa"/>
              <w:bottom w:w="57" w:type="dxa"/>
              <w:right w:w="57" w:type="dxa"/>
            </w:tcMar>
          </w:tcPr>
          <w:p w14:paraId="36C53C3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Power strips with USBs (residential)</w:t>
            </w:r>
          </w:p>
        </w:tc>
        <w:tc>
          <w:tcPr>
            <w:tcW w:w="0" w:type="pct"/>
            <w:tcBorders>
              <w:left w:val="single" w:sz="4" w:space="0" w:color="AEAAAA"/>
            </w:tcBorders>
            <w:tcMar>
              <w:top w:w="57" w:type="dxa"/>
              <w:left w:w="57" w:type="dxa"/>
              <w:bottom w:w="57" w:type="dxa"/>
              <w:right w:w="57" w:type="dxa"/>
            </w:tcMar>
          </w:tcPr>
          <w:p w14:paraId="47A2D9D3"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81%</w:t>
            </w:r>
          </w:p>
        </w:tc>
      </w:tr>
      <w:tr w:rsidR="009C2DCC" w:rsidRPr="00A34F8A" w14:paraId="1AD51737" w14:textId="77777777" w:rsidTr="00CA72A3">
        <w:trPr>
          <w:cantSplit/>
          <w:trHeight w:val="69"/>
        </w:trPr>
        <w:tc>
          <w:tcPr>
            <w:tcW w:w="0" w:type="pct"/>
            <w:vMerge/>
            <w:tcBorders>
              <w:right w:val="single" w:sz="4" w:space="0" w:color="C4BC96" w:themeColor="background2" w:themeShade="BF"/>
            </w:tcBorders>
            <w:tcMar>
              <w:top w:w="57" w:type="dxa"/>
              <w:left w:w="57" w:type="dxa"/>
              <w:bottom w:w="57" w:type="dxa"/>
              <w:right w:w="57" w:type="dxa"/>
            </w:tcMar>
          </w:tcPr>
          <w:p w14:paraId="73F20EE6"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28328EE2"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36A03B5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USB wall adapter (residential)</w:t>
            </w:r>
          </w:p>
        </w:tc>
        <w:tc>
          <w:tcPr>
            <w:tcW w:w="0" w:type="pct"/>
            <w:tcBorders>
              <w:left w:val="single" w:sz="4" w:space="0" w:color="AEAAAA"/>
            </w:tcBorders>
            <w:tcMar>
              <w:top w:w="57" w:type="dxa"/>
              <w:left w:w="57" w:type="dxa"/>
              <w:bottom w:w="57" w:type="dxa"/>
              <w:right w:w="57" w:type="dxa"/>
            </w:tcMar>
          </w:tcPr>
          <w:p w14:paraId="3C12084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19%</w:t>
            </w:r>
          </w:p>
        </w:tc>
      </w:tr>
      <w:tr w:rsidR="009C2DCC" w:rsidRPr="00A34F8A" w14:paraId="15BAD624" w14:textId="77777777" w:rsidTr="00CA72A3">
        <w:trPr>
          <w:cantSplit/>
          <w:trHeight w:val="46"/>
        </w:trPr>
        <w:tc>
          <w:tcPr>
            <w:tcW w:w="0" w:type="pct"/>
            <w:vMerge w:val="restart"/>
            <w:tcBorders>
              <w:right w:val="single" w:sz="4" w:space="0" w:color="C4BC96" w:themeColor="background2" w:themeShade="BF"/>
            </w:tcBorders>
            <w:tcMar>
              <w:top w:w="57" w:type="dxa"/>
              <w:left w:w="57" w:type="dxa"/>
              <w:bottom w:w="57" w:type="dxa"/>
              <w:right w:w="57" w:type="dxa"/>
            </w:tcMar>
          </w:tcPr>
          <w:p w14:paraId="7BE85705"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SV AC-AC Basic (3.6W)</w:t>
            </w:r>
          </w:p>
        </w:tc>
        <w:tc>
          <w:tcPr>
            <w:tcW w:w="0" w:type="pct"/>
            <w:vMerge w:val="restart"/>
            <w:tcBorders>
              <w:right w:val="single" w:sz="4" w:space="0" w:color="AEAAAA"/>
            </w:tcBorders>
            <w:tcMar>
              <w:top w:w="57" w:type="dxa"/>
              <w:left w:w="57" w:type="dxa"/>
              <w:bottom w:w="57" w:type="dxa"/>
              <w:right w:w="57" w:type="dxa"/>
            </w:tcMar>
          </w:tcPr>
          <w:p w14:paraId="1B5F43F2"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0W &lt;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13.8W</w:t>
            </w:r>
          </w:p>
        </w:tc>
        <w:tc>
          <w:tcPr>
            <w:tcW w:w="0" w:type="pct"/>
            <w:tcBorders>
              <w:left w:val="single" w:sz="4" w:space="0" w:color="AEAAAA"/>
            </w:tcBorders>
            <w:tcMar>
              <w:top w:w="57" w:type="dxa"/>
              <w:left w:w="57" w:type="dxa"/>
              <w:bottom w:w="57" w:type="dxa"/>
              <w:right w:w="57" w:type="dxa"/>
            </w:tcMar>
          </w:tcPr>
          <w:p w14:paraId="30BE4866"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Indoor fountains (residential)</w:t>
            </w:r>
          </w:p>
        </w:tc>
        <w:tc>
          <w:tcPr>
            <w:tcW w:w="0" w:type="pct"/>
            <w:tcBorders>
              <w:left w:val="single" w:sz="4" w:space="0" w:color="AEAAAA"/>
            </w:tcBorders>
            <w:tcMar>
              <w:top w:w="57" w:type="dxa"/>
              <w:left w:w="57" w:type="dxa"/>
              <w:bottom w:w="57" w:type="dxa"/>
              <w:right w:w="57" w:type="dxa"/>
            </w:tcMar>
          </w:tcPr>
          <w:p w14:paraId="0EEC2E5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67%</w:t>
            </w:r>
          </w:p>
        </w:tc>
      </w:tr>
      <w:tr w:rsidR="009C2DCC" w:rsidRPr="00A34F8A" w14:paraId="54D76DC2" w14:textId="77777777" w:rsidTr="00CA72A3">
        <w:trPr>
          <w:cantSplit/>
          <w:trHeight w:val="46"/>
        </w:trPr>
        <w:tc>
          <w:tcPr>
            <w:tcW w:w="0" w:type="pct"/>
            <w:vMerge/>
            <w:tcBorders>
              <w:right w:val="single" w:sz="4" w:space="0" w:color="C4BC96" w:themeColor="background2" w:themeShade="BF"/>
            </w:tcBorders>
            <w:tcMar>
              <w:top w:w="57" w:type="dxa"/>
              <w:left w:w="57" w:type="dxa"/>
              <w:bottom w:w="57" w:type="dxa"/>
              <w:right w:w="57" w:type="dxa"/>
            </w:tcMar>
          </w:tcPr>
          <w:p w14:paraId="3BB5D355"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49793CD2"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B1F0F11"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Cordless phone (residential)</w:t>
            </w:r>
          </w:p>
        </w:tc>
        <w:tc>
          <w:tcPr>
            <w:tcW w:w="0" w:type="pct"/>
            <w:tcBorders>
              <w:left w:val="single" w:sz="4" w:space="0" w:color="AEAAAA"/>
            </w:tcBorders>
            <w:tcMar>
              <w:top w:w="57" w:type="dxa"/>
              <w:left w:w="57" w:type="dxa"/>
              <w:bottom w:w="57" w:type="dxa"/>
              <w:right w:w="57" w:type="dxa"/>
            </w:tcMar>
          </w:tcPr>
          <w:p w14:paraId="0191E3A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19%</w:t>
            </w:r>
          </w:p>
        </w:tc>
      </w:tr>
      <w:tr w:rsidR="009C2DCC" w:rsidRPr="00A34F8A" w14:paraId="0096FE99" w14:textId="77777777" w:rsidTr="00CA72A3">
        <w:trPr>
          <w:cantSplit/>
          <w:trHeight w:val="46"/>
        </w:trPr>
        <w:tc>
          <w:tcPr>
            <w:tcW w:w="0" w:type="pct"/>
            <w:vMerge/>
            <w:tcBorders>
              <w:right w:val="single" w:sz="4" w:space="0" w:color="C4BC96" w:themeColor="background2" w:themeShade="BF"/>
            </w:tcBorders>
            <w:tcMar>
              <w:top w:w="57" w:type="dxa"/>
              <w:left w:w="57" w:type="dxa"/>
              <w:bottom w:w="57" w:type="dxa"/>
              <w:right w:w="57" w:type="dxa"/>
            </w:tcMar>
          </w:tcPr>
          <w:p w14:paraId="679AA17D"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323220F0"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48265993"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Home security systems (residential)</w:t>
            </w:r>
          </w:p>
        </w:tc>
        <w:tc>
          <w:tcPr>
            <w:tcW w:w="0" w:type="pct"/>
            <w:tcBorders>
              <w:left w:val="single" w:sz="4" w:space="0" w:color="AEAAAA"/>
            </w:tcBorders>
            <w:tcMar>
              <w:top w:w="57" w:type="dxa"/>
              <w:left w:w="57" w:type="dxa"/>
              <w:bottom w:w="57" w:type="dxa"/>
              <w:right w:w="57" w:type="dxa"/>
            </w:tcMar>
          </w:tcPr>
          <w:p w14:paraId="024733B3"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13%</w:t>
            </w:r>
          </w:p>
        </w:tc>
      </w:tr>
      <w:tr w:rsidR="009C2DCC" w:rsidRPr="00A34F8A" w14:paraId="0DDB1B2A" w14:textId="77777777" w:rsidTr="00CA72A3">
        <w:trPr>
          <w:cantSplit/>
          <w:trHeight w:val="144"/>
        </w:trPr>
        <w:tc>
          <w:tcPr>
            <w:tcW w:w="0" w:type="pct"/>
            <w:vMerge w:val="restart"/>
            <w:tcBorders>
              <w:right w:val="single" w:sz="4" w:space="0" w:color="C4BC96" w:themeColor="background2" w:themeShade="BF"/>
            </w:tcBorders>
            <w:tcMar>
              <w:top w:w="57" w:type="dxa"/>
              <w:left w:w="57" w:type="dxa"/>
              <w:bottom w:w="57" w:type="dxa"/>
              <w:right w:w="57" w:type="dxa"/>
            </w:tcMar>
          </w:tcPr>
          <w:p w14:paraId="3BB1D946"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AC-AC Basic (24W)</w:t>
            </w:r>
          </w:p>
        </w:tc>
        <w:tc>
          <w:tcPr>
            <w:tcW w:w="0" w:type="pct"/>
            <w:vMerge w:val="restart"/>
            <w:tcBorders>
              <w:right w:val="single" w:sz="4" w:space="0" w:color="AEAAAA"/>
            </w:tcBorders>
            <w:tcMar>
              <w:top w:w="57" w:type="dxa"/>
              <w:left w:w="57" w:type="dxa"/>
              <w:bottom w:w="57" w:type="dxa"/>
              <w:right w:w="57" w:type="dxa"/>
            </w:tcMar>
          </w:tcPr>
          <w:p w14:paraId="30E92AE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13.8W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32W</w:t>
            </w:r>
          </w:p>
        </w:tc>
        <w:tc>
          <w:tcPr>
            <w:tcW w:w="0" w:type="pct"/>
            <w:tcBorders>
              <w:left w:val="single" w:sz="4" w:space="0" w:color="AEAAAA"/>
            </w:tcBorders>
            <w:tcMar>
              <w:top w:w="57" w:type="dxa"/>
              <w:left w:w="57" w:type="dxa"/>
              <w:bottom w:w="57" w:type="dxa"/>
              <w:right w:w="57" w:type="dxa"/>
            </w:tcMar>
          </w:tcPr>
          <w:p w14:paraId="7C202D9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Aquarium accessories (residential)</w:t>
            </w:r>
          </w:p>
        </w:tc>
        <w:tc>
          <w:tcPr>
            <w:tcW w:w="0" w:type="pct"/>
            <w:tcBorders>
              <w:left w:val="single" w:sz="4" w:space="0" w:color="AEAAAA"/>
            </w:tcBorders>
            <w:tcMar>
              <w:top w:w="57" w:type="dxa"/>
              <w:left w:w="57" w:type="dxa"/>
              <w:bottom w:w="57" w:type="dxa"/>
              <w:right w:w="57" w:type="dxa"/>
            </w:tcMar>
          </w:tcPr>
          <w:p w14:paraId="79821135"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76%</w:t>
            </w:r>
          </w:p>
        </w:tc>
      </w:tr>
      <w:tr w:rsidR="009C2DCC" w:rsidRPr="00A34F8A" w14:paraId="19286ACF" w14:textId="77777777" w:rsidTr="00CA72A3">
        <w:trPr>
          <w:cantSplit/>
          <w:trHeight w:val="144"/>
        </w:trPr>
        <w:tc>
          <w:tcPr>
            <w:tcW w:w="0" w:type="pct"/>
            <w:vMerge/>
            <w:tcBorders>
              <w:right w:val="single" w:sz="4" w:space="0" w:color="C4BC96" w:themeColor="background2" w:themeShade="BF"/>
            </w:tcBorders>
            <w:tcMar>
              <w:top w:w="57" w:type="dxa"/>
              <w:left w:w="57" w:type="dxa"/>
              <w:bottom w:w="57" w:type="dxa"/>
              <w:right w:w="57" w:type="dxa"/>
            </w:tcMar>
          </w:tcPr>
          <w:p w14:paraId="29ADC5F1"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0A8F846C"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3ED7DCD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Aquarium accessories (commercial)</w:t>
            </w:r>
          </w:p>
        </w:tc>
        <w:tc>
          <w:tcPr>
            <w:tcW w:w="0" w:type="pct"/>
            <w:tcBorders>
              <w:left w:val="single" w:sz="4" w:space="0" w:color="AEAAAA"/>
            </w:tcBorders>
            <w:tcMar>
              <w:top w:w="57" w:type="dxa"/>
              <w:left w:w="57" w:type="dxa"/>
              <w:bottom w:w="57" w:type="dxa"/>
              <w:right w:w="57" w:type="dxa"/>
            </w:tcMar>
          </w:tcPr>
          <w:p w14:paraId="7A408B2E"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24%</w:t>
            </w:r>
          </w:p>
        </w:tc>
      </w:tr>
      <w:tr w:rsidR="009C2DCC" w:rsidRPr="00A34F8A" w14:paraId="2F8D2F66" w14:textId="77777777" w:rsidTr="00CA72A3">
        <w:trPr>
          <w:cantSplit/>
          <w:trHeight w:val="96"/>
        </w:trPr>
        <w:tc>
          <w:tcPr>
            <w:tcW w:w="0" w:type="pct"/>
            <w:vMerge w:val="restart"/>
            <w:tcBorders>
              <w:right w:val="single" w:sz="4" w:space="0" w:color="C4BC96" w:themeColor="background2" w:themeShade="BF"/>
            </w:tcBorders>
            <w:tcMar>
              <w:top w:w="57" w:type="dxa"/>
              <w:left w:w="57" w:type="dxa"/>
              <w:bottom w:w="57" w:type="dxa"/>
              <w:right w:w="57" w:type="dxa"/>
            </w:tcMar>
          </w:tcPr>
          <w:p w14:paraId="3E964DDB"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AC-AC Basic (40W)</w:t>
            </w:r>
          </w:p>
        </w:tc>
        <w:tc>
          <w:tcPr>
            <w:tcW w:w="0" w:type="pct"/>
            <w:vMerge w:val="restart"/>
            <w:tcBorders>
              <w:right w:val="single" w:sz="4" w:space="0" w:color="AEAAAA"/>
            </w:tcBorders>
            <w:tcMar>
              <w:top w:w="57" w:type="dxa"/>
              <w:left w:w="57" w:type="dxa"/>
              <w:bottom w:w="57" w:type="dxa"/>
              <w:right w:w="57" w:type="dxa"/>
            </w:tcMar>
          </w:tcPr>
          <w:p w14:paraId="2735AF6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P</w:t>
            </w:r>
            <w:r w:rsidRPr="00A34F8A">
              <w:rPr>
                <w:rFonts w:asciiTheme="minorHAnsi" w:hAnsiTheme="minorHAnsi" w:cstheme="minorHAnsi"/>
                <w:sz w:val="22"/>
                <w:szCs w:val="22"/>
                <w:vertAlign w:val="subscript"/>
              </w:rPr>
              <w:t xml:space="preserve">out </w:t>
            </w:r>
            <w:r w:rsidRPr="00A34F8A">
              <w:rPr>
                <w:rFonts w:asciiTheme="minorHAnsi" w:hAnsiTheme="minorHAnsi" w:cstheme="minorHAnsi"/>
                <w:sz w:val="22"/>
                <w:szCs w:val="22"/>
              </w:rPr>
              <w:t>≥ 32W</w:t>
            </w:r>
          </w:p>
        </w:tc>
        <w:tc>
          <w:tcPr>
            <w:tcW w:w="0" w:type="pct"/>
            <w:tcBorders>
              <w:left w:val="single" w:sz="4" w:space="0" w:color="AEAAAA"/>
            </w:tcBorders>
            <w:tcMar>
              <w:top w:w="57" w:type="dxa"/>
              <w:left w:w="57" w:type="dxa"/>
              <w:bottom w:w="57" w:type="dxa"/>
              <w:right w:w="57" w:type="dxa"/>
            </w:tcMar>
          </w:tcPr>
          <w:p w14:paraId="51973BB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Home security systems (residential)</w:t>
            </w:r>
          </w:p>
        </w:tc>
        <w:tc>
          <w:tcPr>
            <w:tcW w:w="0" w:type="pct"/>
            <w:tcBorders>
              <w:left w:val="single" w:sz="4" w:space="0" w:color="AEAAAA"/>
            </w:tcBorders>
            <w:tcMar>
              <w:top w:w="57" w:type="dxa"/>
              <w:left w:w="57" w:type="dxa"/>
              <w:bottom w:w="57" w:type="dxa"/>
              <w:right w:w="57" w:type="dxa"/>
            </w:tcMar>
          </w:tcPr>
          <w:p w14:paraId="31DABCE3"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28%</w:t>
            </w:r>
          </w:p>
        </w:tc>
      </w:tr>
      <w:tr w:rsidR="009C2DCC" w:rsidRPr="00A34F8A" w14:paraId="584B2CED" w14:textId="77777777" w:rsidTr="00CA72A3">
        <w:trPr>
          <w:cantSplit/>
          <w:trHeight w:val="96"/>
        </w:trPr>
        <w:tc>
          <w:tcPr>
            <w:tcW w:w="0" w:type="pct"/>
            <w:vMerge/>
            <w:tcBorders>
              <w:right w:val="single" w:sz="4" w:space="0" w:color="C4BC96" w:themeColor="background2" w:themeShade="BF"/>
            </w:tcBorders>
            <w:tcMar>
              <w:top w:w="57" w:type="dxa"/>
              <w:left w:w="57" w:type="dxa"/>
              <w:bottom w:w="57" w:type="dxa"/>
              <w:right w:w="57" w:type="dxa"/>
            </w:tcMar>
          </w:tcPr>
          <w:p w14:paraId="56603B36"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44CC7AAE"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738B4CE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Lighting products (commercial)</w:t>
            </w:r>
          </w:p>
        </w:tc>
        <w:tc>
          <w:tcPr>
            <w:tcW w:w="0" w:type="pct"/>
            <w:tcBorders>
              <w:left w:val="single" w:sz="4" w:space="0" w:color="AEAAAA"/>
            </w:tcBorders>
            <w:tcMar>
              <w:top w:w="57" w:type="dxa"/>
              <w:left w:w="57" w:type="dxa"/>
              <w:bottom w:w="57" w:type="dxa"/>
              <w:right w:w="57" w:type="dxa"/>
            </w:tcMar>
          </w:tcPr>
          <w:p w14:paraId="42126F7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36%</w:t>
            </w:r>
          </w:p>
        </w:tc>
      </w:tr>
      <w:tr w:rsidR="009C2DCC" w:rsidRPr="00A34F8A" w14:paraId="6F0B9626" w14:textId="77777777" w:rsidTr="00CA72A3">
        <w:trPr>
          <w:cantSplit/>
          <w:trHeight w:val="96"/>
        </w:trPr>
        <w:tc>
          <w:tcPr>
            <w:tcW w:w="0" w:type="pct"/>
            <w:vMerge/>
            <w:tcBorders>
              <w:right w:val="single" w:sz="4" w:space="0" w:color="C4BC96" w:themeColor="background2" w:themeShade="BF"/>
            </w:tcBorders>
            <w:tcMar>
              <w:top w:w="57" w:type="dxa"/>
              <w:left w:w="57" w:type="dxa"/>
              <w:bottom w:w="57" w:type="dxa"/>
              <w:right w:w="57" w:type="dxa"/>
            </w:tcMar>
          </w:tcPr>
          <w:p w14:paraId="5707743C"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54031077"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149B89F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Lighting products (residential)</w:t>
            </w:r>
          </w:p>
        </w:tc>
        <w:tc>
          <w:tcPr>
            <w:tcW w:w="0" w:type="pct"/>
            <w:tcBorders>
              <w:left w:val="single" w:sz="4" w:space="0" w:color="AEAAAA"/>
            </w:tcBorders>
            <w:tcMar>
              <w:top w:w="57" w:type="dxa"/>
              <w:left w:w="57" w:type="dxa"/>
              <w:bottom w:w="57" w:type="dxa"/>
              <w:right w:w="57" w:type="dxa"/>
            </w:tcMar>
          </w:tcPr>
          <w:p w14:paraId="2E077476"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36%</w:t>
            </w:r>
          </w:p>
        </w:tc>
      </w:tr>
      <w:tr w:rsidR="009C2DCC" w:rsidRPr="00A34F8A" w14:paraId="791569EF" w14:textId="77777777" w:rsidTr="00CA72A3">
        <w:trPr>
          <w:cantSplit/>
          <w:trHeight w:val="96"/>
        </w:trPr>
        <w:tc>
          <w:tcPr>
            <w:tcW w:w="0" w:type="pct"/>
            <w:tcBorders>
              <w:right w:val="single" w:sz="4" w:space="0" w:color="C4BC96" w:themeColor="background2" w:themeShade="BF"/>
            </w:tcBorders>
            <w:tcMar>
              <w:top w:w="57" w:type="dxa"/>
              <w:left w:w="57" w:type="dxa"/>
              <w:bottom w:w="57" w:type="dxa"/>
              <w:right w:w="57" w:type="dxa"/>
            </w:tcMar>
          </w:tcPr>
          <w:p w14:paraId="2A8C345B"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AC-AC Low (12W)</w:t>
            </w:r>
          </w:p>
        </w:tc>
        <w:tc>
          <w:tcPr>
            <w:tcW w:w="0" w:type="pct"/>
            <w:tcBorders>
              <w:right w:val="single" w:sz="4" w:space="0" w:color="AEAAAA"/>
            </w:tcBorders>
            <w:tcMar>
              <w:top w:w="57" w:type="dxa"/>
              <w:left w:w="57" w:type="dxa"/>
              <w:bottom w:w="57" w:type="dxa"/>
              <w:right w:w="57" w:type="dxa"/>
            </w:tcMar>
          </w:tcPr>
          <w:p w14:paraId="5FC146F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0W &lt;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14.5W</w:t>
            </w:r>
          </w:p>
        </w:tc>
        <w:tc>
          <w:tcPr>
            <w:tcW w:w="0" w:type="pct"/>
            <w:tcBorders>
              <w:left w:val="single" w:sz="4" w:space="0" w:color="AEAAAA"/>
            </w:tcBorders>
            <w:tcMar>
              <w:top w:w="57" w:type="dxa"/>
              <w:left w:w="57" w:type="dxa"/>
              <w:bottom w:w="57" w:type="dxa"/>
              <w:right w:w="57" w:type="dxa"/>
            </w:tcMar>
          </w:tcPr>
          <w:p w14:paraId="14CC95FA"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Home security systems (residential)</w:t>
            </w:r>
          </w:p>
        </w:tc>
        <w:tc>
          <w:tcPr>
            <w:tcW w:w="0" w:type="pct"/>
            <w:tcBorders>
              <w:left w:val="single" w:sz="4" w:space="0" w:color="AEAAAA"/>
            </w:tcBorders>
            <w:tcMar>
              <w:top w:w="57" w:type="dxa"/>
              <w:left w:w="57" w:type="dxa"/>
              <w:bottom w:w="57" w:type="dxa"/>
              <w:right w:w="57" w:type="dxa"/>
            </w:tcMar>
          </w:tcPr>
          <w:p w14:paraId="07A2514B"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100%</w:t>
            </w:r>
          </w:p>
        </w:tc>
      </w:tr>
      <w:tr w:rsidR="009C2DCC" w:rsidRPr="00A34F8A" w14:paraId="701E7F39" w14:textId="77777777" w:rsidTr="00CA72A3">
        <w:trPr>
          <w:cantSplit/>
          <w:trHeight w:val="96"/>
        </w:trPr>
        <w:tc>
          <w:tcPr>
            <w:tcW w:w="0" w:type="pct"/>
            <w:tcBorders>
              <w:right w:val="single" w:sz="4" w:space="0" w:color="C4BC96" w:themeColor="background2" w:themeShade="BF"/>
            </w:tcBorders>
            <w:tcMar>
              <w:top w:w="57" w:type="dxa"/>
              <w:left w:w="57" w:type="dxa"/>
              <w:bottom w:w="57" w:type="dxa"/>
              <w:right w:w="57" w:type="dxa"/>
            </w:tcMar>
          </w:tcPr>
          <w:p w14:paraId="458DDECC"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AC-AC Low (17W)</w:t>
            </w:r>
          </w:p>
        </w:tc>
        <w:tc>
          <w:tcPr>
            <w:tcW w:w="0" w:type="pct"/>
            <w:tcBorders>
              <w:right w:val="single" w:sz="4" w:space="0" w:color="AEAAAA"/>
            </w:tcBorders>
            <w:tcMar>
              <w:top w:w="57" w:type="dxa"/>
              <w:left w:w="57" w:type="dxa"/>
              <w:bottom w:w="57" w:type="dxa"/>
              <w:right w:w="57" w:type="dxa"/>
            </w:tcMar>
          </w:tcPr>
          <w:p w14:paraId="6EA92461"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14.5W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20.5W</w:t>
            </w:r>
          </w:p>
        </w:tc>
        <w:tc>
          <w:tcPr>
            <w:tcW w:w="0" w:type="pct"/>
            <w:tcBorders>
              <w:left w:val="single" w:sz="4" w:space="0" w:color="AEAAAA"/>
            </w:tcBorders>
            <w:tcMar>
              <w:top w:w="57" w:type="dxa"/>
              <w:left w:w="57" w:type="dxa"/>
              <w:bottom w:w="57" w:type="dxa"/>
              <w:right w:w="57" w:type="dxa"/>
            </w:tcMar>
          </w:tcPr>
          <w:p w14:paraId="69E58922"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Home security systems (residential)</w:t>
            </w:r>
          </w:p>
        </w:tc>
        <w:tc>
          <w:tcPr>
            <w:tcW w:w="0" w:type="pct"/>
            <w:tcBorders>
              <w:left w:val="single" w:sz="4" w:space="0" w:color="AEAAAA"/>
            </w:tcBorders>
            <w:tcMar>
              <w:top w:w="57" w:type="dxa"/>
              <w:left w:w="57" w:type="dxa"/>
              <w:bottom w:w="57" w:type="dxa"/>
              <w:right w:w="57" w:type="dxa"/>
            </w:tcMar>
          </w:tcPr>
          <w:p w14:paraId="25CACCC6"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100%</w:t>
            </w:r>
          </w:p>
        </w:tc>
      </w:tr>
      <w:tr w:rsidR="009C2DCC" w:rsidRPr="00A34F8A" w14:paraId="449038B8" w14:textId="77777777" w:rsidTr="00CA72A3">
        <w:trPr>
          <w:cantSplit/>
          <w:trHeight w:val="96"/>
        </w:trPr>
        <w:tc>
          <w:tcPr>
            <w:tcW w:w="0" w:type="pct"/>
            <w:tcBorders>
              <w:right w:val="single" w:sz="4" w:space="0" w:color="C4BC96" w:themeColor="background2" w:themeShade="BF"/>
            </w:tcBorders>
            <w:tcMar>
              <w:top w:w="57" w:type="dxa"/>
              <w:left w:w="57" w:type="dxa"/>
              <w:bottom w:w="57" w:type="dxa"/>
              <w:right w:w="57" w:type="dxa"/>
            </w:tcMar>
          </w:tcPr>
          <w:p w14:paraId="5D03AFDB"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SV AC-AC Low (24W)</w:t>
            </w:r>
          </w:p>
        </w:tc>
        <w:tc>
          <w:tcPr>
            <w:tcW w:w="0" w:type="pct"/>
            <w:tcBorders>
              <w:right w:val="single" w:sz="4" w:space="0" w:color="AEAAAA"/>
            </w:tcBorders>
            <w:tcMar>
              <w:top w:w="57" w:type="dxa"/>
              <w:left w:w="57" w:type="dxa"/>
              <w:bottom w:w="57" w:type="dxa"/>
              <w:right w:w="57" w:type="dxa"/>
            </w:tcMar>
          </w:tcPr>
          <w:p w14:paraId="717E5207"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 20.5W</w:t>
            </w:r>
          </w:p>
        </w:tc>
        <w:tc>
          <w:tcPr>
            <w:tcW w:w="0" w:type="pct"/>
            <w:tcBorders>
              <w:left w:val="single" w:sz="4" w:space="0" w:color="AEAAAA"/>
            </w:tcBorders>
            <w:tcMar>
              <w:top w:w="57" w:type="dxa"/>
              <w:left w:w="57" w:type="dxa"/>
              <w:bottom w:w="57" w:type="dxa"/>
              <w:right w:w="57" w:type="dxa"/>
            </w:tcMar>
          </w:tcPr>
          <w:p w14:paraId="161DBED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Home security systems (residential)</w:t>
            </w:r>
          </w:p>
        </w:tc>
        <w:tc>
          <w:tcPr>
            <w:tcW w:w="0" w:type="pct"/>
            <w:tcBorders>
              <w:left w:val="single" w:sz="4" w:space="0" w:color="AEAAAA"/>
            </w:tcBorders>
            <w:tcMar>
              <w:top w:w="57" w:type="dxa"/>
              <w:left w:w="57" w:type="dxa"/>
              <w:bottom w:w="57" w:type="dxa"/>
              <w:right w:w="57" w:type="dxa"/>
            </w:tcMar>
          </w:tcPr>
          <w:p w14:paraId="0E2F3851"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100%</w:t>
            </w:r>
          </w:p>
        </w:tc>
      </w:tr>
      <w:tr w:rsidR="009C2DCC" w:rsidRPr="00A34F8A" w14:paraId="4D9F41C1" w14:textId="77777777" w:rsidTr="00CA72A3">
        <w:trPr>
          <w:cantSplit/>
          <w:trHeight w:val="96"/>
        </w:trPr>
        <w:tc>
          <w:tcPr>
            <w:tcW w:w="0" w:type="pct"/>
            <w:tcBorders>
              <w:right w:val="single" w:sz="4" w:space="0" w:color="C4BC96" w:themeColor="background2" w:themeShade="BF"/>
            </w:tcBorders>
            <w:tcMar>
              <w:top w:w="57" w:type="dxa"/>
              <w:left w:w="57" w:type="dxa"/>
              <w:bottom w:w="57" w:type="dxa"/>
              <w:right w:w="57" w:type="dxa"/>
            </w:tcMar>
          </w:tcPr>
          <w:p w14:paraId="6BDCB4A5"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(18W)</w:t>
            </w:r>
          </w:p>
        </w:tc>
        <w:tc>
          <w:tcPr>
            <w:tcW w:w="0" w:type="pct"/>
            <w:tcBorders>
              <w:right w:val="single" w:sz="4" w:space="0" w:color="AEAAAA"/>
            </w:tcBorders>
            <w:tcMar>
              <w:top w:w="57" w:type="dxa"/>
              <w:left w:w="57" w:type="dxa"/>
              <w:bottom w:w="57" w:type="dxa"/>
              <w:right w:w="57" w:type="dxa"/>
            </w:tcMar>
          </w:tcPr>
          <w:p w14:paraId="0D0B1AE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0W &lt;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&lt;24W</w:t>
            </w:r>
          </w:p>
        </w:tc>
        <w:tc>
          <w:tcPr>
            <w:tcW w:w="0" w:type="pct"/>
            <w:tcBorders>
              <w:left w:val="single" w:sz="4" w:space="0" w:color="AEAAAA"/>
            </w:tcBorders>
            <w:tcMar>
              <w:top w:w="57" w:type="dxa"/>
              <w:left w:w="57" w:type="dxa"/>
              <w:bottom w:w="57" w:type="dxa"/>
              <w:right w:w="57" w:type="dxa"/>
            </w:tcMar>
          </w:tcPr>
          <w:p w14:paraId="7E14A8A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USB wall adapter (residential)</w:t>
            </w:r>
          </w:p>
        </w:tc>
        <w:tc>
          <w:tcPr>
            <w:tcW w:w="0" w:type="pct"/>
            <w:tcBorders>
              <w:left w:val="single" w:sz="4" w:space="0" w:color="AEAAAA"/>
            </w:tcBorders>
            <w:tcMar>
              <w:top w:w="57" w:type="dxa"/>
              <w:left w:w="57" w:type="dxa"/>
              <w:bottom w:w="57" w:type="dxa"/>
              <w:right w:w="57" w:type="dxa"/>
            </w:tcMar>
          </w:tcPr>
          <w:p w14:paraId="7997BF9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100%</w:t>
            </w:r>
          </w:p>
        </w:tc>
      </w:tr>
      <w:tr w:rsidR="009C2DCC" w:rsidRPr="00A34F8A" w14:paraId="55B48959" w14:textId="77777777" w:rsidTr="00CA72A3">
        <w:trPr>
          <w:cantSplit/>
          <w:trHeight w:val="96"/>
        </w:trPr>
        <w:tc>
          <w:tcPr>
            <w:tcW w:w="0" w:type="pct"/>
            <w:tcBorders>
              <w:right w:val="single" w:sz="4" w:space="0" w:color="C4BC96" w:themeColor="background2" w:themeShade="BF"/>
            </w:tcBorders>
            <w:tcMar>
              <w:top w:w="57" w:type="dxa"/>
              <w:left w:w="57" w:type="dxa"/>
              <w:bottom w:w="57" w:type="dxa"/>
              <w:right w:w="57" w:type="dxa"/>
            </w:tcMar>
          </w:tcPr>
          <w:p w14:paraId="71AA60DA"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(30W)</w:t>
            </w:r>
          </w:p>
        </w:tc>
        <w:tc>
          <w:tcPr>
            <w:tcW w:w="0" w:type="pct"/>
            <w:tcBorders>
              <w:right w:val="single" w:sz="4" w:space="0" w:color="AEAAAA"/>
            </w:tcBorders>
            <w:tcMar>
              <w:top w:w="57" w:type="dxa"/>
              <w:left w:w="57" w:type="dxa"/>
              <w:bottom w:w="57" w:type="dxa"/>
              <w:right w:w="57" w:type="dxa"/>
            </w:tcMar>
          </w:tcPr>
          <w:p w14:paraId="30527FEF"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24W ≤ 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&lt; 60W</w:t>
            </w:r>
          </w:p>
        </w:tc>
        <w:tc>
          <w:tcPr>
            <w:tcW w:w="0" w:type="pct"/>
            <w:tcBorders>
              <w:left w:val="single" w:sz="4" w:space="0" w:color="AEAAAA"/>
            </w:tcBorders>
            <w:tcMar>
              <w:top w:w="57" w:type="dxa"/>
              <w:left w:w="57" w:type="dxa"/>
              <w:bottom w:w="57" w:type="dxa"/>
              <w:right w:w="57" w:type="dxa"/>
            </w:tcMar>
          </w:tcPr>
          <w:p w14:paraId="6802CDA9"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USB wall adapter (residential)</w:t>
            </w:r>
          </w:p>
        </w:tc>
        <w:tc>
          <w:tcPr>
            <w:tcW w:w="0" w:type="pct"/>
            <w:tcBorders>
              <w:left w:val="single" w:sz="4" w:space="0" w:color="AEAAAA"/>
            </w:tcBorders>
            <w:tcMar>
              <w:top w:w="57" w:type="dxa"/>
              <w:left w:w="57" w:type="dxa"/>
              <w:bottom w:w="57" w:type="dxa"/>
              <w:right w:w="57" w:type="dxa"/>
            </w:tcMar>
          </w:tcPr>
          <w:p w14:paraId="4E98C46E"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100%</w:t>
            </w:r>
          </w:p>
        </w:tc>
      </w:tr>
      <w:tr w:rsidR="009C2DCC" w:rsidRPr="00A34F8A" w14:paraId="4EA2825A" w14:textId="77777777" w:rsidTr="00CA72A3">
        <w:trPr>
          <w:cantSplit/>
          <w:trHeight w:val="69"/>
        </w:trPr>
        <w:tc>
          <w:tcPr>
            <w:tcW w:w="0" w:type="pct"/>
            <w:vMerge w:val="restart"/>
            <w:tcBorders>
              <w:right w:val="single" w:sz="4" w:space="0" w:color="C4BC96" w:themeColor="background2" w:themeShade="BF"/>
            </w:tcBorders>
            <w:tcMar>
              <w:top w:w="57" w:type="dxa"/>
              <w:left w:w="57" w:type="dxa"/>
              <w:bottom w:w="57" w:type="dxa"/>
              <w:right w:w="57" w:type="dxa"/>
            </w:tcMar>
          </w:tcPr>
          <w:p w14:paraId="0A060FED" w14:textId="77777777" w:rsidR="005E09B9" w:rsidRPr="00A34F8A" w:rsidRDefault="005E09B9"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MV (90W)</w:t>
            </w:r>
          </w:p>
        </w:tc>
        <w:tc>
          <w:tcPr>
            <w:tcW w:w="0" w:type="pct"/>
            <w:vMerge w:val="restart"/>
            <w:tcBorders>
              <w:right w:val="single" w:sz="4" w:space="0" w:color="AEAAAA"/>
            </w:tcBorders>
            <w:tcMar>
              <w:top w:w="57" w:type="dxa"/>
              <w:left w:w="57" w:type="dxa"/>
              <w:bottom w:w="57" w:type="dxa"/>
              <w:right w:w="57" w:type="dxa"/>
            </w:tcMar>
          </w:tcPr>
          <w:p w14:paraId="259D9C7D"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P</w:t>
            </w:r>
            <w:r w:rsidRPr="00A34F8A">
              <w:rPr>
                <w:rFonts w:asciiTheme="minorHAnsi" w:hAnsiTheme="minorHAnsi" w:cstheme="minorHAnsi"/>
                <w:sz w:val="22"/>
                <w:szCs w:val="22"/>
                <w:vertAlign w:val="subscript"/>
              </w:rPr>
              <w:t>out</w:t>
            </w:r>
            <w:r w:rsidRPr="00A34F8A">
              <w:rPr>
                <w:rFonts w:asciiTheme="minorHAnsi" w:hAnsiTheme="minorHAnsi" w:cstheme="minorHAnsi"/>
                <w:sz w:val="22"/>
                <w:szCs w:val="22"/>
              </w:rPr>
              <w:t xml:space="preserve"> ≥ 60W</w:t>
            </w:r>
          </w:p>
        </w:tc>
        <w:tc>
          <w:tcPr>
            <w:tcW w:w="0" w:type="pct"/>
            <w:tcBorders>
              <w:left w:val="single" w:sz="4" w:space="0" w:color="AEAAAA"/>
            </w:tcBorders>
            <w:tcMar>
              <w:top w:w="57" w:type="dxa"/>
              <w:left w:w="57" w:type="dxa"/>
              <w:bottom w:w="57" w:type="dxa"/>
              <w:right w:w="57" w:type="dxa"/>
            </w:tcMar>
          </w:tcPr>
          <w:p w14:paraId="2A893364"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Notebook (commercial)</w:t>
            </w:r>
          </w:p>
        </w:tc>
        <w:tc>
          <w:tcPr>
            <w:tcW w:w="0" w:type="pct"/>
            <w:tcBorders>
              <w:left w:val="single" w:sz="4" w:space="0" w:color="AEAAAA"/>
            </w:tcBorders>
            <w:tcMar>
              <w:top w:w="57" w:type="dxa"/>
              <w:left w:w="57" w:type="dxa"/>
              <w:bottom w:w="57" w:type="dxa"/>
              <w:right w:w="57" w:type="dxa"/>
            </w:tcMar>
          </w:tcPr>
          <w:p w14:paraId="6C853DD8"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59%</w:t>
            </w:r>
          </w:p>
        </w:tc>
      </w:tr>
      <w:tr w:rsidR="009C2DCC" w:rsidRPr="00A34F8A" w14:paraId="540150E1" w14:textId="77777777" w:rsidTr="00CA72A3">
        <w:trPr>
          <w:cantSplit/>
          <w:trHeight w:val="69"/>
        </w:trPr>
        <w:tc>
          <w:tcPr>
            <w:tcW w:w="0" w:type="pct"/>
            <w:vMerge/>
            <w:tcBorders>
              <w:right w:val="single" w:sz="4" w:space="0" w:color="C4BC96" w:themeColor="background2" w:themeShade="BF"/>
            </w:tcBorders>
            <w:tcMar>
              <w:top w:w="57" w:type="dxa"/>
              <w:left w:w="57" w:type="dxa"/>
              <w:bottom w:w="57" w:type="dxa"/>
              <w:right w:w="57" w:type="dxa"/>
            </w:tcMar>
          </w:tcPr>
          <w:p w14:paraId="4B6F8C57" w14:textId="77777777" w:rsidR="005E09B9" w:rsidRPr="00A34F8A" w:rsidRDefault="005E09B9" w:rsidP="005D3977">
            <w:pPr>
              <w:pStyle w:val="Table2-Rowheadingdata"/>
              <w:rPr>
                <w:rFonts w:asciiTheme="minorHAnsi" w:hAnsiTheme="minorHAnsi" w:cstheme="minorHAnsi"/>
                <w:sz w:val="22"/>
                <w:szCs w:val="22"/>
              </w:rPr>
            </w:pPr>
          </w:p>
        </w:tc>
        <w:tc>
          <w:tcPr>
            <w:tcW w:w="0" w:type="pct"/>
            <w:vMerge/>
            <w:tcBorders>
              <w:right w:val="single" w:sz="4" w:space="0" w:color="AEAAAA"/>
            </w:tcBorders>
            <w:tcMar>
              <w:top w:w="57" w:type="dxa"/>
              <w:left w:w="57" w:type="dxa"/>
              <w:bottom w:w="57" w:type="dxa"/>
              <w:right w:w="57" w:type="dxa"/>
            </w:tcMar>
          </w:tcPr>
          <w:p w14:paraId="1167B0B0" w14:textId="77777777" w:rsidR="005E09B9" w:rsidRPr="00A34F8A" w:rsidRDefault="005E09B9" w:rsidP="005D3977">
            <w:pPr>
              <w:pStyle w:val="Table3-Normaldata"/>
              <w:rPr>
                <w:rFonts w:asciiTheme="minorHAnsi" w:hAnsiTheme="minorHAnsi" w:cstheme="minorHAnsi"/>
                <w:sz w:val="22"/>
                <w:szCs w:val="22"/>
              </w:rPr>
            </w:pPr>
          </w:p>
        </w:tc>
        <w:tc>
          <w:tcPr>
            <w:tcW w:w="0" w:type="pct"/>
            <w:tcBorders>
              <w:left w:val="single" w:sz="4" w:space="0" w:color="AEAAAA"/>
            </w:tcBorders>
            <w:tcMar>
              <w:top w:w="57" w:type="dxa"/>
              <w:left w:w="57" w:type="dxa"/>
              <w:bottom w:w="57" w:type="dxa"/>
              <w:right w:w="57" w:type="dxa"/>
            </w:tcMar>
          </w:tcPr>
          <w:p w14:paraId="51F20390"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Notebook (residential)</w:t>
            </w:r>
          </w:p>
        </w:tc>
        <w:tc>
          <w:tcPr>
            <w:tcW w:w="0" w:type="pct"/>
            <w:tcBorders>
              <w:left w:val="single" w:sz="4" w:space="0" w:color="AEAAAA"/>
            </w:tcBorders>
            <w:tcMar>
              <w:top w:w="57" w:type="dxa"/>
              <w:left w:w="57" w:type="dxa"/>
              <w:bottom w:w="57" w:type="dxa"/>
              <w:right w:w="57" w:type="dxa"/>
            </w:tcMar>
          </w:tcPr>
          <w:p w14:paraId="4C7F8AEC" w14:textId="77777777" w:rsidR="005E09B9" w:rsidRPr="00A34F8A" w:rsidRDefault="005E09B9"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41%</w:t>
            </w:r>
          </w:p>
        </w:tc>
      </w:tr>
    </w:tbl>
    <w:p w14:paraId="3206095F" w14:textId="77777777" w:rsidR="009065EA" w:rsidRDefault="009065EA" w:rsidP="009065EA">
      <w:pPr>
        <w:pStyle w:val="BlueLineBottom"/>
      </w:pPr>
      <w:bookmarkStart w:id="191" w:name="_Toc168660749"/>
    </w:p>
    <w:p w14:paraId="189B5BE1" w14:textId="21E6E5AE" w:rsidR="008A2112" w:rsidRPr="008652BC" w:rsidRDefault="008A2112" w:rsidP="008A2112">
      <w:pPr>
        <w:pStyle w:val="Heading1"/>
        <w:rPr>
          <w:rFonts w:asciiTheme="minorHAnsi" w:hAnsiTheme="minorHAnsi" w:cstheme="minorHAnsi"/>
          <w:sz w:val="28"/>
        </w:rPr>
      </w:pPr>
      <w:bookmarkStart w:id="192" w:name="_Toc183163298"/>
      <w:r w:rsidRPr="008652BC">
        <w:rPr>
          <w:rFonts w:asciiTheme="minorHAnsi" w:hAnsiTheme="minorHAnsi" w:cstheme="minorHAnsi"/>
          <w:sz w:val="28"/>
        </w:rPr>
        <w:t>Market change</w:t>
      </w:r>
      <w:bookmarkEnd w:id="191"/>
      <w:bookmarkEnd w:id="192"/>
    </w:p>
    <w:p w14:paraId="41B5468B" w14:textId="164B85D4" w:rsidR="00D66404" w:rsidRPr="00A34F8A" w:rsidRDefault="00D66404" w:rsidP="00D66404">
      <w:pPr>
        <w:rPr>
          <w:rFonts w:asciiTheme="minorHAnsi" w:hAnsiTheme="minorHAnsi" w:cstheme="minorHAnsi"/>
          <w:szCs w:val="22"/>
        </w:rPr>
      </w:pPr>
      <w:r w:rsidRPr="00A34F8A">
        <w:rPr>
          <w:rFonts w:asciiTheme="minorHAnsi" w:hAnsiTheme="minorHAnsi" w:cstheme="minorHAnsi"/>
          <w:szCs w:val="22"/>
        </w:rPr>
        <w:t xml:space="preserve">The annual New Zealand EPS sales (regulated models only) and the corresponding growth rate are shown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_Ref131688889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1</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w:t>
      </w:r>
    </w:p>
    <w:p w14:paraId="6260160A" w14:textId="77777777" w:rsidR="00D66404" w:rsidRPr="00A34F8A" w:rsidRDefault="00D66404" w:rsidP="00D66404">
      <w:pPr>
        <w:keepNext/>
        <w:rPr>
          <w:rFonts w:asciiTheme="minorHAnsi" w:hAnsiTheme="minorHAnsi" w:cstheme="minorHAnsi"/>
          <w:szCs w:val="22"/>
        </w:rPr>
      </w:pPr>
      <w:r w:rsidRPr="00A34F8A">
        <w:rPr>
          <w:rFonts w:asciiTheme="minorHAnsi" w:hAnsiTheme="minorHAnsi" w:cstheme="minorHAnsi"/>
          <w:noProof/>
          <w:szCs w:val="22"/>
        </w:rPr>
        <w:lastRenderedPageBreak/>
        <w:drawing>
          <wp:inline distT="0" distB="0" distL="0" distR="0" wp14:anchorId="5C0B647B" wp14:editId="3CBB3B67">
            <wp:extent cx="5395942" cy="3337560"/>
            <wp:effectExtent l="0" t="0" r="1905" b="2540"/>
            <wp:docPr id="5" name="Picture 5" descr="A bar chart showing sales of external power supplies in New Zealand between 2012 and 2022 and a line showing the year on year growth in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showing sales of external power supplies in New Zealand between 2012 and 2022 and a line showing the year on year growth in sales."/>
                    <pic:cNvPicPr/>
                  </pic:nvPicPr>
                  <pic:blipFill rotWithShape="1">
                    <a:blip r:embed="rId38"/>
                    <a:srcRect l="1362" t="1376" r="1752" b="1696"/>
                    <a:stretch/>
                  </pic:blipFill>
                  <pic:spPr bwMode="auto">
                    <a:xfrm>
                      <a:off x="0" y="0"/>
                      <a:ext cx="5406694" cy="3344210"/>
                    </a:xfrm>
                    <a:prstGeom prst="rect">
                      <a:avLst/>
                    </a:prstGeom>
                    <a:ln>
                      <a:noFill/>
                    </a:ln>
                    <a:extLst>
                      <a:ext uri="{53640926-AAD7-44D8-BBD7-CCE9431645EC}">
                        <a14:shadowObscured xmlns:a14="http://schemas.microsoft.com/office/drawing/2010/main"/>
                      </a:ext>
                    </a:extLst>
                  </pic:spPr>
                </pic:pic>
              </a:graphicData>
            </a:graphic>
          </wp:inline>
        </w:drawing>
      </w:r>
    </w:p>
    <w:p w14:paraId="1B3A6BC8" w14:textId="2065F8DF" w:rsidR="00D66404" w:rsidRPr="00A34F8A" w:rsidRDefault="00D66404" w:rsidP="00D66404">
      <w:pPr>
        <w:pStyle w:val="Caption"/>
        <w:rPr>
          <w:rFonts w:asciiTheme="minorHAnsi" w:hAnsiTheme="minorHAnsi" w:cstheme="minorHAnsi"/>
          <w:sz w:val="22"/>
          <w:szCs w:val="22"/>
        </w:rPr>
      </w:pPr>
      <w:bookmarkStart w:id="193" w:name="_Ref131688889"/>
      <w:bookmarkStart w:id="194" w:name="_Ref131688881"/>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Figure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10</w:t>
      </w:r>
      <w:r w:rsidRPr="00A34F8A">
        <w:rPr>
          <w:rFonts w:asciiTheme="minorHAnsi" w:hAnsiTheme="minorHAnsi" w:cstheme="minorHAnsi"/>
          <w:noProof/>
          <w:sz w:val="22"/>
          <w:szCs w:val="22"/>
        </w:rPr>
        <w:fldChar w:fldCharType="end"/>
      </w:r>
      <w:bookmarkEnd w:id="193"/>
      <w:r w:rsidRPr="00A34F8A">
        <w:rPr>
          <w:rFonts w:asciiTheme="minorHAnsi" w:hAnsiTheme="minorHAnsi" w:cstheme="minorHAnsi"/>
          <w:sz w:val="22"/>
          <w:szCs w:val="22"/>
        </w:rPr>
        <w:t>:</w:t>
      </w:r>
      <w:bookmarkEnd w:id="194"/>
      <w:r w:rsidRPr="00A34F8A">
        <w:rPr>
          <w:rFonts w:asciiTheme="minorHAnsi" w:hAnsiTheme="minorHAnsi" w:cstheme="minorHAnsi"/>
          <w:sz w:val="22"/>
          <w:szCs w:val="22"/>
        </w:rPr>
        <w:t xml:space="preserve"> Annual New Zealand EPS sales (regulated models) and the corresponding growth rate</w:t>
      </w:r>
    </w:p>
    <w:p w14:paraId="2B458B95" w14:textId="77777777" w:rsidR="00D66404" w:rsidRPr="00A34F8A" w:rsidRDefault="00D66404" w:rsidP="00D66404">
      <w:pPr>
        <w:rPr>
          <w:rFonts w:asciiTheme="minorHAnsi" w:hAnsiTheme="minorHAnsi" w:cstheme="minorHAnsi"/>
          <w:szCs w:val="22"/>
        </w:rPr>
      </w:pPr>
    </w:p>
    <w:p w14:paraId="2608A840" w14:textId="77777777" w:rsidR="00D66404" w:rsidRPr="00A34F8A" w:rsidRDefault="00D66404" w:rsidP="00D66404">
      <w:pPr>
        <w:rPr>
          <w:rFonts w:asciiTheme="minorHAnsi" w:hAnsiTheme="minorHAnsi" w:cstheme="minorHAnsi"/>
          <w:szCs w:val="22"/>
        </w:rPr>
      </w:pPr>
      <w:r w:rsidRPr="00A34F8A">
        <w:rPr>
          <w:rFonts w:asciiTheme="minorHAnsi" w:hAnsiTheme="minorHAnsi" w:cstheme="minorHAnsi"/>
          <w:szCs w:val="22"/>
        </w:rPr>
        <w:t xml:space="preserve">It is difficult to ascertain a trend from this data. This may be the result of inconsistencies in the sales reported to EECA between years or inconsistencies in the number of EPS sales each year. Sales appear relatively stable from 2012 to 2018. There was a sizeable drop in 2019 which is difficult to explain. It appears that the COVID-19 pandemic may have had some impact on the market in 2020 and 2021, which has then corrected in 2022. </w:t>
      </w:r>
    </w:p>
    <w:p w14:paraId="7530C97D" w14:textId="3A8F392A" w:rsidR="00935C37" w:rsidRDefault="00D66404" w:rsidP="00935C37">
      <w:pPr>
        <w:rPr>
          <w:rFonts w:asciiTheme="minorHAnsi" w:hAnsiTheme="minorHAnsi" w:cstheme="minorHAnsi"/>
          <w:szCs w:val="22"/>
        </w:rPr>
      </w:pPr>
      <w:r w:rsidRPr="00A34F8A">
        <w:rPr>
          <w:rFonts w:asciiTheme="minorHAnsi" w:hAnsiTheme="minorHAnsi" w:cstheme="minorHAnsi"/>
          <w:szCs w:val="22"/>
        </w:rPr>
        <w:t xml:space="preserve">As a result of this unclear trend, we will assume growth in EPS sales based on population. We will assume the medium case under the New Zealand National population projections: 2022(base)-2073 </w:t>
      </w:r>
      <w:sdt>
        <w:sdtPr>
          <w:rPr>
            <w:rFonts w:asciiTheme="minorHAnsi" w:hAnsiTheme="minorHAnsi" w:cstheme="minorHAnsi"/>
            <w:szCs w:val="22"/>
          </w:rPr>
          <w:id w:val="-231705048"/>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Sta22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(Stats NZ,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For Australia, we will assume the medium series under the ABS Population Projections, Australia </w:t>
      </w:r>
      <w:sdt>
        <w:sdtPr>
          <w:rPr>
            <w:rFonts w:asciiTheme="minorHAnsi" w:hAnsiTheme="minorHAnsi" w:cstheme="minorHAnsi"/>
            <w:szCs w:val="22"/>
          </w:rPr>
          <w:id w:val="735984320"/>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Aus18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(Australian Bureau of Statistics, 2018)</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We will assume the same growth rate applies across all product categories. This was the same approach taken by the DOE for their recent impact assessment.</w:t>
      </w:r>
    </w:p>
    <w:p w14:paraId="16426E23" w14:textId="77777777" w:rsidR="006F3F57" w:rsidRPr="00A34F8A" w:rsidRDefault="006F3F57" w:rsidP="00935C37">
      <w:pPr>
        <w:rPr>
          <w:rFonts w:asciiTheme="minorHAnsi" w:hAnsiTheme="minorHAnsi" w:cstheme="minorHAnsi"/>
          <w:szCs w:val="22"/>
        </w:rPr>
      </w:pPr>
    </w:p>
    <w:p w14:paraId="630EB94A" w14:textId="1A274D6B" w:rsidR="00D66404" w:rsidRPr="008652BC" w:rsidRDefault="00CE58B4" w:rsidP="00D66404">
      <w:pPr>
        <w:pStyle w:val="Heading1"/>
        <w:rPr>
          <w:rFonts w:asciiTheme="minorHAnsi" w:hAnsiTheme="minorHAnsi" w:cstheme="minorHAnsi"/>
          <w:sz w:val="28"/>
        </w:rPr>
      </w:pPr>
      <w:bookmarkStart w:id="195" w:name="_Toc168660750"/>
      <w:bookmarkStart w:id="196" w:name="_Toc183163299"/>
      <w:r w:rsidRPr="008652BC">
        <w:rPr>
          <w:rFonts w:asciiTheme="minorHAnsi" w:hAnsiTheme="minorHAnsi" w:cstheme="minorHAnsi"/>
          <w:sz w:val="28"/>
        </w:rPr>
        <w:t>Participant costs and benefits</w:t>
      </w:r>
      <w:bookmarkEnd w:id="195"/>
      <w:bookmarkEnd w:id="196"/>
    </w:p>
    <w:p w14:paraId="3732AB00" w14:textId="27BBB6F2" w:rsidR="00CE58B4" w:rsidRPr="00A34F8A" w:rsidRDefault="00CE58B4" w:rsidP="00CE58B4">
      <w:pPr>
        <w:pStyle w:val="Heading2"/>
        <w:rPr>
          <w:rFonts w:asciiTheme="minorHAnsi" w:hAnsiTheme="minorHAnsi" w:cstheme="minorHAnsi"/>
          <w:sz w:val="22"/>
          <w:szCs w:val="22"/>
        </w:rPr>
      </w:pPr>
      <w:bookmarkStart w:id="197" w:name="_Toc168660665"/>
      <w:bookmarkStart w:id="198" w:name="_Toc183163300"/>
      <w:r w:rsidRPr="00A34F8A">
        <w:rPr>
          <w:rFonts w:asciiTheme="minorHAnsi" w:hAnsiTheme="minorHAnsi" w:cstheme="minorHAnsi"/>
          <w:sz w:val="22"/>
          <w:szCs w:val="22"/>
        </w:rPr>
        <w:t>Cost to industry</w:t>
      </w:r>
      <w:bookmarkEnd w:id="197"/>
      <w:bookmarkEnd w:id="198"/>
    </w:p>
    <w:p w14:paraId="49778B8E" w14:textId="6A59C9A4" w:rsidR="002E4F32" w:rsidRDefault="002E4F32" w:rsidP="002E4F32">
      <w:pPr>
        <w:rPr>
          <w:rFonts w:asciiTheme="minorHAnsi" w:hAnsiTheme="minorHAnsi" w:cstheme="minorHAnsi"/>
          <w:szCs w:val="22"/>
        </w:rPr>
      </w:pPr>
      <w:r w:rsidRPr="00A34F8A">
        <w:rPr>
          <w:rFonts w:asciiTheme="minorHAnsi" w:hAnsiTheme="minorHAnsi" w:cstheme="minorHAnsi"/>
          <w:szCs w:val="22"/>
        </w:rPr>
        <w:t xml:space="preserve">The assumed annual costs to business for complying with the current regulation are shown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_Ref141868475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13</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These costs were determined through interviews with suppliers. </w:t>
      </w:r>
    </w:p>
    <w:p w14:paraId="0DF6E9CD" w14:textId="77777777" w:rsidR="006F3F57" w:rsidRDefault="006F3F57" w:rsidP="002E4F32">
      <w:pPr>
        <w:rPr>
          <w:rFonts w:asciiTheme="minorHAnsi" w:hAnsiTheme="minorHAnsi" w:cstheme="minorHAnsi"/>
          <w:szCs w:val="22"/>
        </w:rPr>
      </w:pPr>
    </w:p>
    <w:p w14:paraId="5E9A9F03" w14:textId="77777777" w:rsidR="006F3F57" w:rsidRPr="00A34F8A" w:rsidRDefault="006F3F57" w:rsidP="002E4F32">
      <w:pPr>
        <w:rPr>
          <w:rFonts w:asciiTheme="minorHAnsi" w:hAnsiTheme="minorHAnsi" w:cstheme="minorHAnsi"/>
          <w:szCs w:val="22"/>
        </w:rPr>
      </w:pPr>
    </w:p>
    <w:p w14:paraId="0A319BA2" w14:textId="77777777" w:rsidR="002E4F32" w:rsidRPr="00A34F8A" w:rsidRDefault="002E4F32" w:rsidP="002E4F32">
      <w:pPr>
        <w:pStyle w:val="BlueLineTop"/>
        <w:rPr>
          <w:rFonts w:asciiTheme="minorHAnsi" w:hAnsiTheme="minorHAnsi" w:cstheme="minorHAnsi"/>
          <w:sz w:val="22"/>
          <w:szCs w:val="22"/>
        </w:rPr>
      </w:pPr>
    </w:p>
    <w:p w14:paraId="2C2C4F8C" w14:textId="11BD0366" w:rsidR="002E4F32" w:rsidRPr="00A34F8A" w:rsidRDefault="002E4F32" w:rsidP="002E4F32">
      <w:pPr>
        <w:pStyle w:val="Caption"/>
        <w:keepNext/>
        <w:rPr>
          <w:rFonts w:asciiTheme="minorHAnsi" w:hAnsiTheme="minorHAnsi" w:cstheme="minorHAnsi"/>
          <w:sz w:val="22"/>
          <w:szCs w:val="22"/>
        </w:rPr>
      </w:pPr>
      <w:bookmarkStart w:id="199" w:name="_Ref141868475"/>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31</w:t>
      </w:r>
      <w:r w:rsidRPr="00A34F8A">
        <w:rPr>
          <w:rFonts w:asciiTheme="minorHAnsi" w:hAnsiTheme="minorHAnsi" w:cstheme="minorHAnsi"/>
          <w:noProof/>
          <w:sz w:val="22"/>
          <w:szCs w:val="22"/>
        </w:rPr>
        <w:fldChar w:fldCharType="end"/>
      </w:r>
      <w:bookmarkEnd w:id="199"/>
      <w:r w:rsidRPr="00A34F8A">
        <w:rPr>
          <w:rFonts w:asciiTheme="minorHAnsi" w:hAnsiTheme="minorHAnsi" w:cstheme="minorHAnsi"/>
          <w:sz w:val="22"/>
          <w:szCs w:val="22"/>
        </w:rPr>
        <w:t>: Annual costs to business for current regulation (Scenario 1, 2 and 3)</w:t>
      </w:r>
    </w:p>
    <w:tbl>
      <w:tblPr>
        <w:tblStyle w:val="ComCap4-nested"/>
        <w:tblW w:w="9072" w:type="dxa"/>
        <w:tblInd w:w="-567" w:type="dxa"/>
        <w:tblBorders>
          <w:insideV w:val="single" w:sz="4" w:space="0" w:color="auto"/>
        </w:tblBorders>
        <w:tblLook w:val="04A0" w:firstRow="1" w:lastRow="0" w:firstColumn="1" w:lastColumn="0" w:noHBand="0" w:noVBand="1"/>
      </w:tblPr>
      <w:tblGrid>
        <w:gridCol w:w="3024"/>
        <w:gridCol w:w="3024"/>
        <w:gridCol w:w="3024"/>
      </w:tblGrid>
      <w:tr w:rsidR="00045634" w:rsidRPr="00A34F8A" w14:paraId="5CA2CBE7" w14:textId="77777777" w:rsidTr="005D3977">
        <w:trPr>
          <w:cnfStyle w:val="100000000000" w:firstRow="1" w:lastRow="0" w:firstColumn="0" w:lastColumn="0" w:oddVBand="0" w:evenVBand="0" w:oddHBand="0" w:evenHBand="0" w:firstRowFirstColumn="0" w:firstRowLastColumn="0" w:lastRowFirstColumn="0" w:lastRowLastColumn="0"/>
        </w:trPr>
        <w:tc>
          <w:tcPr>
            <w:tcW w:w="3024" w:type="dxa"/>
            <w:tcBorders>
              <w:right w:val="single" w:sz="4" w:space="0" w:color="C4BC96" w:themeColor="background2" w:themeShade="BF"/>
            </w:tcBorders>
          </w:tcPr>
          <w:p w14:paraId="3AF48274" w14:textId="77777777" w:rsidR="002E4F32" w:rsidRPr="00A34F8A" w:rsidRDefault="002E4F3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administrative cost</w:t>
            </w:r>
          </w:p>
        </w:tc>
        <w:tc>
          <w:tcPr>
            <w:tcW w:w="3024" w:type="dxa"/>
            <w:tcBorders>
              <w:left w:val="single" w:sz="4" w:space="0" w:color="C4BC96" w:themeColor="background2" w:themeShade="BF"/>
            </w:tcBorders>
          </w:tcPr>
          <w:p w14:paraId="513D78C0" w14:textId="77777777" w:rsidR="002E4F32" w:rsidRPr="00A34F8A" w:rsidRDefault="002E4F3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 xml:space="preserve">Annual registration fees </w:t>
            </w:r>
          </w:p>
        </w:tc>
        <w:tc>
          <w:tcPr>
            <w:tcW w:w="3024" w:type="dxa"/>
            <w:tcBorders>
              <w:left w:val="single" w:sz="4" w:space="0" w:color="C4BC96" w:themeColor="background2" w:themeShade="BF"/>
            </w:tcBorders>
          </w:tcPr>
          <w:p w14:paraId="3E4E4B12" w14:textId="77777777" w:rsidR="002E4F32" w:rsidRPr="00A34F8A" w:rsidRDefault="002E4F3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testing cost</w:t>
            </w:r>
          </w:p>
        </w:tc>
      </w:tr>
      <w:tr w:rsidR="009C2DCC" w:rsidRPr="00A34F8A" w14:paraId="24164379" w14:textId="77777777" w:rsidTr="005D3977">
        <w:tc>
          <w:tcPr>
            <w:tcW w:w="3024" w:type="dxa"/>
            <w:tcBorders>
              <w:right w:val="single" w:sz="4" w:space="0" w:color="C4BC96" w:themeColor="background2" w:themeShade="BF"/>
            </w:tcBorders>
          </w:tcPr>
          <w:p w14:paraId="6C753901" w14:textId="77777777" w:rsidR="002E4F32" w:rsidRPr="00A34F8A" w:rsidRDefault="002E4F3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$77,630</w:t>
            </w:r>
          </w:p>
        </w:tc>
        <w:tc>
          <w:tcPr>
            <w:tcW w:w="3024" w:type="dxa"/>
            <w:tcBorders>
              <w:left w:val="single" w:sz="4" w:space="0" w:color="C4BC96" w:themeColor="background2" w:themeShade="BF"/>
              <w:right w:val="single" w:sz="4" w:space="0" w:color="C4BC96" w:themeColor="background2" w:themeShade="BF"/>
            </w:tcBorders>
          </w:tcPr>
          <w:p w14:paraId="6818BE44" w14:textId="77777777" w:rsidR="002E4F32" w:rsidRPr="00A34F8A" w:rsidRDefault="002E4F3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$487,960</w:t>
            </w:r>
          </w:p>
        </w:tc>
        <w:tc>
          <w:tcPr>
            <w:tcW w:w="3024" w:type="dxa"/>
            <w:tcBorders>
              <w:left w:val="single" w:sz="4" w:space="0" w:color="C4BC96" w:themeColor="background2" w:themeShade="BF"/>
            </w:tcBorders>
          </w:tcPr>
          <w:p w14:paraId="18482DEB" w14:textId="77777777" w:rsidR="002E4F32" w:rsidRPr="00A34F8A" w:rsidRDefault="002E4F3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$984,729</w:t>
            </w:r>
          </w:p>
        </w:tc>
      </w:tr>
    </w:tbl>
    <w:p w14:paraId="05274E28" w14:textId="77777777" w:rsidR="002E4F32" w:rsidRPr="00A34F8A" w:rsidRDefault="002E4F32" w:rsidP="002E4F32">
      <w:pPr>
        <w:pStyle w:val="BlueLineBottom"/>
        <w:rPr>
          <w:rFonts w:asciiTheme="minorHAnsi" w:hAnsiTheme="minorHAnsi" w:cstheme="minorHAnsi"/>
          <w:sz w:val="22"/>
          <w:szCs w:val="22"/>
        </w:rPr>
      </w:pPr>
    </w:p>
    <w:p w14:paraId="4FEDF5CC" w14:textId="11997831" w:rsidR="002E4F32" w:rsidRPr="00A34F8A" w:rsidRDefault="002E4F32" w:rsidP="002E4F32">
      <w:pPr>
        <w:rPr>
          <w:rFonts w:asciiTheme="minorHAnsi" w:hAnsiTheme="minorHAnsi" w:cstheme="minorHAnsi"/>
          <w:szCs w:val="22"/>
        </w:rPr>
      </w:pP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_Ref142051209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14</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shows the assumed costs to industry for the expanded scope scenarios (4 and 5).</w:t>
      </w:r>
    </w:p>
    <w:p w14:paraId="76FB85D2" w14:textId="77777777" w:rsidR="002E4F32" w:rsidRPr="00A34F8A" w:rsidRDefault="002E4F32" w:rsidP="002E4F32">
      <w:pPr>
        <w:pStyle w:val="BlueLineTop"/>
        <w:rPr>
          <w:rFonts w:asciiTheme="minorHAnsi" w:hAnsiTheme="minorHAnsi" w:cstheme="minorHAnsi"/>
          <w:sz w:val="22"/>
          <w:szCs w:val="22"/>
        </w:rPr>
      </w:pPr>
    </w:p>
    <w:p w14:paraId="2A49CD04" w14:textId="08A2881D" w:rsidR="002E4F32" w:rsidRPr="00A34F8A" w:rsidRDefault="002E4F32" w:rsidP="002E4F32">
      <w:pPr>
        <w:pStyle w:val="Caption"/>
        <w:keepNext/>
        <w:rPr>
          <w:rFonts w:asciiTheme="minorHAnsi" w:hAnsiTheme="minorHAnsi" w:cstheme="minorHAnsi"/>
          <w:sz w:val="22"/>
          <w:szCs w:val="22"/>
        </w:rPr>
      </w:pPr>
      <w:bookmarkStart w:id="200" w:name="_Ref142051209"/>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32</w:t>
      </w:r>
      <w:r w:rsidRPr="00A34F8A">
        <w:rPr>
          <w:rFonts w:asciiTheme="minorHAnsi" w:hAnsiTheme="minorHAnsi" w:cstheme="minorHAnsi"/>
          <w:noProof/>
          <w:sz w:val="22"/>
          <w:szCs w:val="22"/>
        </w:rPr>
        <w:fldChar w:fldCharType="end"/>
      </w:r>
      <w:bookmarkEnd w:id="200"/>
      <w:r w:rsidRPr="00A34F8A">
        <w:rPr>
          <w:rFonts w:asciiTheme="minorHAnsi" w:hAnsiTheme="minorHAnsi" w:cstheme="minorHAnsi"/>
          <w:sz w:val="22"/>
          <w:szCs w:val="22"/>
        </w:rPr>
        <w:t>: Annual costs to business for expanded scope regulation (Scenario 4 and 5)</w:t>
      </w:r>
    </w:p>
    <w:tbl>
      <w:tblPr>
        <w:tblStyle w:val="ComCap4-nested"/>
        <w:tblW w:w="9072" w:type="dxa"/>
        <w:tblInd w:w="-567" w:type="dxa"/>
        <w:tblBorders>
          <w:insideV w:val="single" w:sz="4" w:space="0" w:color="auto"/>
        </w:tblBorders>
        <w:tblLook w:val="04A0" w:firstRow="1" w:lastRow="0" w:firstColumn="1" w:lastColumn="0" w:noHBand="0" w:noVBand="1"/>
      </w:tblPr>
      <w:tblGrid>
        <w:gridCol w:w="3024"/>
        <w:gridCol w:w="3024"/>
        <w:gridCol w:w="3024"/>
      </w:tblGrid>
      <w:tr w:rsidR="00045634" w:rsidRPr="00A34F8A" w14:paraId="53896B0E" w14:textId="77777777" w:rsidTr="006421C0">
        <w:trPr>
          <w:cnfStyle w:val="100000000000" w:firstRow="1" w:lastRow="0" w:firstColumn="0" w:lastColumn="0" w:oddVBand="0" w:evenVBand="0" w:oddHBand="0" w:evenHBand="0" w:firstRowFirstColumn="0" w:firstRowLastColumn="0" w:lastRowFirstColumn="0" w:lastRowLastColumn="0"/>
        </w:trPr>
        <w:tc>
          <w:tcPr>
            <w:tcW w:w="3024" w:type="dxa"/>
            <w:tcBorders>
              <w:right w:val="single" w:sz="4" w:space="0" w:color="C4BC96" w:themeColor="background2" w:themeShade="BF"/>
            </w:tcBorders>
          </w:tcPr>
          <w:p w14:paraId="6C4AD284" w14:textId="77777777" w:rsidR="002E4F32" w:rsidRPr="00A34F8A" w:rsidRDefault="002E4F3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administrative cost</w:t>
            </w:r>
          </w:p>
        </w:tc>
        <w:tc>
          <w:tcPr>
            <w:tcW w:w="3024" w:type="dxa"/>
            <w:tcBorders>
              <w:left w:val="single" w:sz="4" w:space="0" w:color="C4BC96" w:themeColor="background2" w:themeShade="BF"/>
            </w:tcBorders>
          </w:tcPr>
          <w:p w14:paraId="0D7AF769" w14:textId="77777777" w:rsidR="002E4F32" w:rsidRPr="00A34F8A" w:rsidRDefault="002E4F3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 xml:space="preserve">Annual registration fees </w:t>
            </w:r>
          </w:p>
        </w:tc>
        <w:tc>
          <w:tcPr>
            <w:tcW w:w="3024" w:type="dxa"/>
            <w:tcBorders>
              <w:left w:val="single" w:sz="4" w:space="0" w:color="C4BC96" w:themeColor="background2" w:themeShade="BF"/>
            </w:tcBorders>
          </w:tcPr>
          <w:p w14:paraId="41722886" w14:textId="77777777" w:rsidR="002E4F32" w:rsidRPr="00A34F8A" w:rsidRDefault="002E4F32"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Annual testing cost</w:t>
            </w:r>
          </w:p>
        </w:tc>
      </w:tr>
      <w:tr w:rsidR="009C2DCC" w:rsidRPr="00A34F8A" w14:paraId="373CDCD3" w14:textId="77777777" w:rsidTr="006421C0">
        <w:tc>
          <w:tcPr>
            <w:tcW w:w="3024" w:type="dxa"/>
            <w:tcBorders>
              <w:right w:val="single" w:sz="4" w:space="0" w:color="C4BC96" w:themeColor="background2" w:themeShade="BF"/>
            </w:tcBorders>
          </w:tcPr>
          <w:p w14:paraId="59DCD1C6" w14:textId="77777777" w:rsidR="002E4F32" w:rsidRPr="00A34F8A" w:rsidRDefault="002E4F3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$463,456</w:t>
            </w:r>
          </w:p>
        </w:tc>
        <w:tc>
          <w:tcPr>
            <w:tcW w:w="3024" w:type="dxa"/>
            <w:tcBorders>
              <w:left w:val="single" w:sz="4" w:space="0" w:color="C4BC96" w:themeColor="background2" w:themeShade="BF"/>
              <w:right w:val="single" w:sz="4" w:space="0" w:color="AEAAAA"/>
            </w:tcBorders>
          </w:tcPr>
          <w:p w14:paraId="07688308" w14:textId="77777777" w:rsidR="002E4F32" w:rsidRPr="00A34F8A" w:rsidRDefault="002E4F3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$2,913,152</w:t>
            </w:r>
          </w:p>
        </w:tc>
        <w:tc>
          <w:tcPr>
            <w:tcW w:w="3024" w:type="dxa"/>
            <w:tcBorders>
              <w:left w:val="single" w:sz="4" w:space="0" w:color="AEAAAA"/>
            </w:tcBorders>
          </w:tcPr>
          <w:p w14:paraId="4F77852D" w14:textId="77777777" w:rsidR="002E4F32" w:rsidRPr="00A34F8A" w:rsidRDefault="002E4F32"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w:t>
            </w:r>
          </w:p>
        </w:tc>
      </w:tr>
    </w:tbl>
    <w:p w14:paraId="34F05D73" w14:textId="77777777" w:rsidR="002E4F32" w:rsidRPr="00A34F8A" w:rsidRDefault="002E4F32" w:rsidP="002E4F32">
      <w:pPr>
        <w:pStyle w:val="BlueLineBottom"/>
        <w:rPr>
          <w:rFonts w:asciiTheme="minorHAnsi" w:hAnsiTheme="minorHAnsi" w:cstheme="minorHAnsi"/>
          <w:sz w:val="22"/>
          <w:szCs w:val="22"/>
        </w:rPr>
      </w:pPr>
    </w:p>
    <w:p w14:paraId="043DD39B" w14:textId="77777777" w:rsidR="002E4F32" w:rsidRPr="00A34F8A" w:rsidRDefault="002E4F32" w:rsidP="002E4F32">
      <w:pPr>
        <w:rPr>
          <w:rFonts w:asciiTheme="minorHAnsi" w:hAnsiTheme="minorHAnsi" w:cstheme="minorHAnsi"/>
          <w:szCs w:val="22"/>
        </w:rPr>
      </w:pPr>
      <w:r w:rsidRPr="00A34F8A">
        <w:rPr>
          <w:rFonts w:asciiTheme="minorHAnsi" w:hAnsiTheme="minorHAnsi" w:cstheme="minorHAnsi"/>
          <w:szCs w:val="22"/>
        </w:rPr>
        <w:t>The administrative cost was based on the formula below:</w:t>
      </w:r>
    </w:p>
    <w:p w14:paraId="52EB9815" w14:textId="77777777" w:rsidR="002E4F32" w:rsidRPr="00A34F8A" w:rsidRDefault="002E4F32" w:rsidP="002E4F32">
      <w:pPr>
        <w:rPr>
          <w:rFonts w:asciiTheme="minorHAnsi" w:hAnsiTheme="minorHAnsi" w:cstheme="minorHAnsi"/>
          <w:szCs w:val="22"/>
        </w:rPr>
      </w:pPr>
      <w:r w:rsidRPr="00A34F8A">
        <w:rPr>
          <w:rFonts w:asciiTheme="minorHAnsi" w:hAnsiTheme="minorHAnsi" w:cstheme="minorHAnsi"/>
          <w:szCs w:val="22"/>
        </w:rPr>
        <w:t>Administrative cost = input cost x time x population</w:t>
      </w:r>
    </w:p>
    <w:p w14:paraId="33362F01" w14:textId="77777777" w:rsidR="002E4F32" w:rsidRPr="00A34F8A" w:rsidRDefault="002E4F32" w:rsidP="002E4F32">
      <w:pPr>
        <w:rPr>
          <w:rFonts w:asciiTheme="minorHAnsi" w:hAnsiTheme="minorHAnsi" w:cstheme="minorHAnsi"/>
          <w:szCs w:val="22"/>
        </w:rPr>
      </w:pPr>
      <w:r w:rsidRPr="00A34F8A">
        <w:rPr>
          <w:rFonts w:asciiTheme="minorHAnsi" w:hAnsiTheme="minorHAnsi" w:cstheme="minorHAnsi"/>
          <w:szCs w:val="22"/>
        </w:rPr>
        <w:t>Where:</w:t>
      </w:r>
    </w:p>
    <w:p w14:paraId="40B5F6E1" w14:textId="77777777" w:rsidR="002E4F32" w:rsidRPr="00A34F8A" w:rsidRDefault="002E4F32" w:rsidP="002E4F32">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Inputs = $70 hourly cost (wages, overhead and non-wage costs)</w:t>
      </w:r>
    </w:p>
    <w:p w14:paraId="1FCCF473" w14:textId="77777777" w:rsidR="002E4F32" w:rsidRPr="00A34F8A" w:rsidRDefault="002E4F32" w:rsidP="002E4F32">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Time = 1 hour to complete the registration</w:t>
      </w:r>
    </w:p>
    <w:p w14:paraId="14CAAA09" w14:textId="77777777" w:rsidR="002E4F32" w:rsidRPr="00A34F8A" w:rsidRDefault="002E4F32" w:rsidP="002E4F32">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Population (current scope) = 1,109 registrations per year</w:t>
      </w:r>
    </w:p>
    <w:p w14:paraId="3DE9CEF8" w14:textId="77777777" w:rsidR="002E4F32" w:rsidRPr="00A34F8A" w:rsidRDefault="002E4F32" w:rsidP="002E4F32">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Population (expanded scope) = 6,620 registrations per year</w:t>
      </w:r>
    </w:p>
    <w:p w14:paraId="4DB5E6AC" w14:textId="77777777" w:rsidR="002E4F32" w:rsidRPr="00A34F8A" w:rsidRDefault="002E4F32" w:rsidP="002E4F32">
      <w:pPr>
        <w:rPr>
          <w:rFonts w:asciiTheme="minorHAnsi" w:hAnsiTheme="minorHAnsi" w:cstheme="minorHAnsi"/>
          <w:szCs w:val="22"/>
        </w:rPr>
      </w:pPr>
      <w:r w:rsidRPr="00A34F8A">
        <w:rPr>
          <w:rFonts w:asciiTheme="minorHAnsi" w:hAnsiTheme="minorHAnsi" w:cstheme="minorHAnsi"/>
          <w:szCs w:val="22"/>
        </w:rPr>
        <w:t xml:space="preserve">The average cost of testing an EPS is assumed to be $888 AUD ($600 USD quoted by supplier in interviews) and all registered products are assumed to require testing. Registration fees are $440 per registration. Note that registrations last for five years. For Scenario 4 and 5 we have assumed that the regulation has been amended to adopt international testing standards so that additional testing is not required to register a product in Australia or New Zealand. </w:t>
      </w:r>
    </w:p>
    <w:p w14:paraId="565F2182" w14:textId="77777777" w:rsidR="002E4F32" w:rsidRPr="00A34F8A" w:rsidRDefault="002E4F32" w:rsidP="002E4F32">
      <w:pPr>
        <w:rPr>
          <w:rFonts w:asciiTheme="minorHAnsi" w:hAnsiTheme="minorHAnsi" w:cstheme="minorHAnsi"/>
          <w:szCs w:val="22"/>
        </w:rPr>
      </w:pPr>
      <w:r w:rsidRPr="00A34F8A">
        <w:rPr>
          <w:rFonts w:asciiTheme="minorHAnsi" w:hAnsiTheme="minorHAnsi" w:cstheme="minorHAnsi"/>
          <w:szCs w:val="22"/>
        </w:rPr>
        <w:t xml:space="preserve">Note that approximately 2% of products are registered in New Zealand. The above costs have been applied to 2% of registrations to calculate the New Zealand industry costs. </w:t>
      </w:r>
    </w:p>
    <w:p w14:paraId="7AF472C0" w14:textId="6A368435" w:rsidR="002E4F32" w:rsidRPr="00A34F8A" w:rsidRDefault="002E4F32" w:rsidP="002E4F32">
      <w:pPr>
        <w:pStyle w:val="Heading2"/>
        <w:rPr>
          <w:rFonts w:asciiTheme="minorHAnsi" w:hAnsiTheme="minorHAnsi" w:cstheme="minorHAnsi"/>
          <w:sz w:val="22"/>
          <w:szCs w:val="22"/>
        </w:rPr>
      </w:pPr>
      <w:bookmarkStart w:id="201" w:name="_Toc168660666"/>
      <w:bookmarkStart w:id="202" w:name="_Toc183163301"/>
      <w:r w:rsidRPr="00A34F8A">
        <w:rPr>
          <w:rFonts w:asciiTheme="minorHAnsi" w:hAnsiTheme="minorHAnsi" w:cstheme="minorHAnsi"/>
          <w:sz w:val="22"/>
          <w:szCs w:val="22"/>
        </w:rPr>
        <w:t>Incremental product cost for increased efficiency</w:t>
      </w:r>
      <w:bookmarkEnd w:id="201"/>
      <w:bookmarkEnd w:id="202"/>
    </w:p>
    <w:p w14:paraId="3B69BF0C" w14:textId="47A49A96" w:rsidR="006A4B11" w:rsidRPr="00A34F8A" w:rsidRDefault="006A4B11" w:rsidP="006A4B11">
      <w:pPr>
        <w:rPr>
          <w:rFonts w:asciiTheme="minorHAnsi" w:hAnsiTheme="minorHAnsi" w:cstheme="minorHAnsi"/>
          <w:szCs w:val="22"/>
        </w:rPr>
      </w:pPr>
      <w:r w:rsidRPr="00A34F8A">
        <w:rPr>
          <w:rFonts w:asciiTheme="minorHAnsi" w:hAnsiTheme="minorHAnsi" w:cstheme="minorHAnsi"/>
          <w:szCs w:val="22"/>
        </w:rPr>
        <w:t xml:space="preserve">We have extrapolated the cost efficiency curves that were developed for the different product categories in the US DOE analysis. Mark VI was the baseline scenario in the US analysis; hence we have had to readjust our cost baseline to Mark III for this analysis (see example for SV AC-DC Basic Voltage (24W) devices in </w:t>
      </w:r>
      <w:r w:rsidRPr="00A34F8A">
        <w:rPr>
          <w:rFonts w:asciiTheme="minorHAnsi" w:hAnsiTheme="minorHAnsi" w:cstheme="minorHAnsi"/>
          <w:i/>
          <w:iCs/>
          <w:szCs w:val="22"/>
        </w:rPr>
        <w:fldChar w:fldCharType="begin" w:fldLock="1"/>
      </w:r>
      <w:r w:rsidRPr="00A34F8A">
        <w:rPr>
          <w:rFonts w:asciiTheme="minorHAnsi" w:hAnsiTheme="minorHAnsi" w:cstheme="minorHAnsi"/>
          <w:szCs w:val="22"/>
        </w:rPr>
        <w:instrText xml:space="preserve"> REF _Ref141868431 \h </w:instrText>
      </w:r>
      <w:r w:rsidR="00A34F8A" w:rsidRPr="00A34F8A">
        <w:rPr>
          <w:rFonts w:asciiTheme="minorHAnsi" w:hAnsiTheme="minorHAnsi" w:cstheme="minorHAnsi"/>
          <w:i/>
          <w:iCs/>
          <w:szCs w:val="22"/>
        </w:rPr>
        <w:instrText xml:space="preserve"> \* MERGEFORMAT </w:instrText>
      </w:r>
      <w:r w:rsidRPr="00A34F8A">
        <w:rPr>
          <w:rFonts w:asciiTheme="minorHAnsi" w:hAnsiTheme="minorHAnsi" w:cstheme="minorHAnsi"/>
          <w:i/>
          <w:iCs/>
          <w:szCs w:val="22"/>
        </w:rPr>
      </w:r>
      <w:r w:rsidRPr="00A34F8A">
        <w:rPr>
          <w:rFonts w:asciiTheme="minorHAnsi" w:hAnsiTheme="minorHAnsi" w:cstheme="minorHAnsi"/>
          <w:i/>
          <w:iCs/>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2</w:t>
      </w:r>
      <w:r w:rsidRPr="00A34F8A">
        <w:rPr>
          <w:rFonts w:asciiTheme="minorHAnsi" w:hAnsiTheme="minorHAnsi" w:cstheme="minorHAnsi"/>
          <w:i/>
          <w:iCs/>
          <w:szCs w:val="22"/>
        </w:rPr>
        <w:fldChar w:fldCharType="end"/>
      </w:r>
      <w:r w:rsidRPr="00A34F8A">
        <w:rPr>
          <w:rFonts w:asciiTheme="minorHAnsi" w:hAnsiTheme="minorHAnsi" w:cstheme="minorHAnsi"/>
          <w:i/>
          <w:iCs/>
          <w:szCs w:val="22"/>
        </w:rPr>
        <w:t xml:space="preserve"> </w:t>
      </w:r>
      <w:r w:rsidRPr="00A34F8A">
        <w:rPr>
          <w:rFonts w:asciiTheme="minorHAnsi" w:hAnsiTheme="minorHAnsi" w:cstheme="minorHAnsi"/>
          <w:szCs w:val="22"/>
        </w:rPr>
        <w:t>below). This process has been followed for each of the product classes.</w:t>
      </w:r>
    </w:p>
    <w:p w14:paraId="62D30573" w14:textId="77777777" w:rsidR="006A4B11" w:rsidRPr="00A34F8A" w:rsidRDefault="006A4B11" w:rsidP="006A4B11">
      <w:pPr>
        <w:keepNext/>
        <w:rPr>
          <w:rFonts w:asciiTheme="minorHAnsi" w:hAnsiTheme="minorHAnsi" w:cstheme="minorHAnsi"/>
          <w:szCs w:val="22"/>
        </w:rPr>
      </w:pPr>
      <w:r w:rsidRPr="00A34F8A">
        <w:rPr>
          <w:rFonts w:asciiTheme="minorHAnsi" w:hAnsiTheme="minorHAnsi" w:cstheme="minorHAnsi"/>
          <w:noProof/>
          <w:szCs w:val="22"/>
        </w:rPr>
        <w:lastRenderedPageBreak/>
        <w:drawing>
          <wp:inline distT="0" distB="0" distL="0" distR="0" wp14:anchorId="32A9D5C8" wp14:editId="13A54DC8">
            <wp:extent cx="5371465" cy="3628390"/>
            <wp:effectExtent l="0" t="0" r="635" b="3810"/>
            <wp:docPr id="1534012600" name="Picture 1534012600" descr="A graph depicting the estimated incremental increase in cost for producing external power supplies with higher effici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12600" name="Picture 1534012600" descr="A graph depicting the estimated incremental increase in cost for producing external power supplies with higher efficiencies."/>
                    <pic:cNvPicPr/>
                  </pic:nvPicPr>
                  <pic:blipFill>
                    <a:blip r:embed="rId26">
                      <a:extLst>
                        <a:ext uri="{28A0092B-C50C-407E-A947-70E740481C1C}">
                          <a14:useLocalDpi xmlns:a14="http://schemas.microsoft.com/office/drawing/2010/main" val="0"/>
                        </a:ext>
                      </a:extLst>
                    </a:blip>
                    <a:stretch>
                      <a:fillRect/>
                    </a:stretch>
                  </pic:blipFill>
                  <pic:spPr>
                    <a:xfrm>
                      <a:off x="0" y="0"/>
                      <a:ext cx="5371465" cy="3628390"/>
                    </a:xfrm>
                    <a:prstGeom prst="rect">
                      <a:avLst/>
                    </a:prstGeom>
                  </pic:spPr>
                </pic:pic>
              </a:graphicData>
            </a:graphic>
          </wp:inline>
        </w:drawing>
      </w:r>
    </w:p>
    <w:p w14:paraId="548501AA" w14:textId="705CA94B" w:rsidR="006A4B11" w:rsidRPr="00A34F8A" w:rsidRDefault="006A4B11" w:rsidP="006A4B11">
      <w:pPr>
        <w:pStyle w:val="Caption"/>
        <w:rPr>
          <w:rFonts w:asciiTheme="minorHAnsi" w:hAnsiTheme="minorHAnsi" w:cstheme="minorHAnsi"/>
          <w:sz w:val="22"/>
          <w:szCs w:val="22"/>
        </w:rPr>
      </w:pPr>
      <w:bookmarkStart w:id="203" w:name="_Ref141868431"/>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Figure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11</w:t>
      </w:r>
      <w:r w:rsidRPr="00A34F8A">
        <w:rPr>
          <w:rFonts w:asciiTheme="minorHAnsi" w:hAnsiTheme="minorHAnsi" w:cstheme="minorHAnsi"/>
          <w:noProof/>
          <w:sz w:val="22"/>
          <w:szCs w:val="22"/>
        </w:rPr>
        <w:fldChar w:fldCharType="end"/>
      </w:r>
      <w:bookmarkEnd w:id="203"/>
      <w:r w:rsidRPr="00A34F8A">
        <w:rPr>
          <w:rFonts w:asciiTheme="minorHAnsi" w:hAnsiTheme="minorHAnsi" w:cstheme="minorHAnsi"/>
          <w:sz w:val="22"/>
          <w:szCs w:val="22"/>
        </w:rPr>
        <w:t xml:space="preserve">:Cost-efficiency curve extrapolated from US DOE analysis </w:t>
      </w:r>
      <w:sdt>
        <w:sdtPr>
          <w:rPr>
            <w:rFonts w:asciiTheme="minorHAnsi" w:hAnsiTheme="minorHAnsi" w:cstheme="minorHAnsi"/>
            <w:sz w:val="22"/>
            <w:szCs w:val="22"/>
          </w:rPr>
          <w:id w:val="-1633248950"/>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CITATION Placeholder1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(US Department of Energy, 2022)</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 Blue crosses represent mark III, mark IV and mark V efficiency levels, red dots represent the US efficiency scenarios tested (including mark VI and the proposed 2027 updated regulation)</w:t>
      </w:r>
    </w:p>
    <w:p w14:paraId="0D9DBE63" w14:textId="77777777" w:rsidR="006A4B11" w:rsidRPr="00A34F8A" w:rsidRDefault="006A4B11" w:rsidP="006A4B11">
      <w:pPr>
        <w:pStyle w:val="Caption"/>
        <w:rPr>
          <w:rFonts w:asciiTheme="minorHAnsi" w:hAnsiTheme="minorHAnsi" w:cstheme="minorHAnsi"/>
          <w:sz w:val="22"/>
          <w:szCs w:val="22"/>
        </w:rPr>
      </w:pPr>
    </w:p>
    <w:p w14:paraId="779D9774" w14:textId="77777777" w:rsidR="006A4B11" w:rsidRPr="00A34F8A" w:rsidRDefault="006A4B11" w:rsidP="006A4B11">
      <w:pPr>
        <w:rPr>
          <w:rFonts w:asciiTheme="minorHAnsi" w:hAnsiTheme="minorHAnsi" w:cstheme="minorHAnsi"/>
          <w:szCs w:val="22"/>
        </w:rPr>
      </w:pPr>
      <w:r w:rsidRPr="00A34F8A">
        <w:rPr>
          <w:rFonts w:asciiTheme="minorHAnsi" w:hAnsiTheme="minorHAnsi" w:cstheme="minorHAnsi"/>
          <w:szCs w:val="22"/>
        </w:rPr>
        <w:t>We have also included an industry learning factor to account for reduced product manufacturing costs to achieve mark VI since the original implementation of the mark III MEPS level. This reflects stakeholder feedback that the current additional cost to manufacture a mark VI efficiency level is low for most products.</w:t>
      </w:r>
    </w:p>
    <w:p w14:paraId="73C845E2" w14:textId="77777777" w:rsidR="006A4B11" w:rsidRPr="00A34F8A" w:rsidRDefault="006A4B11" w:rsidP="006A4B11">
      <w:pPr>
        <w:rPr>
          <w:rFonts w:asciiTheme="minorHAnsi" w:hAnsiTheme="minorHAnsi" w:cstheme="minorHAnsi"/>
          <w:szCs w:val="22"/>
        </w:rPr>
      </w:pPr>
      <w:r w:rsidRPr="00A34F8A">
        <w:rPr>
          <w:rFonts w:asciiTheme="minorHAnsi" w:hAnsiTheme="minorHAnsi" w:cstheme="minorHAnsi"/>
          <w:szCs w:val="22"/>
        </w:rPr>
        <w:t>These costs are included as a private industry cost in the Australian analysis. For New Zealand, 50% of the incremental manufacturing costs for compliant products are included as a societal cost to reflect the avoidable economic burden to the community.</w:t>
      </w:r>
    </w:p>
    <w:p w14:paraId="5A13EFBC" w14:textId="77777777" w:rsidR="006A4B11" w:rsidRPr="00A34F8A" w:rsidRDefault="006A4B11" w:rsidP="006A4B11">
      <w:pPr>
        <w:rPr>
          <w:rFonts w:asciiTheme="minorHAnsi" w:hAnsiTheme="minorHAnsi" w:cstheme="minorHAnsi"/>
          <w:szCs w:val="22"/>
        </w:rPr>
        <w:sectPr w:rsidR="006A4B11" w:rsidRPr="00A34F8A" w:rsidSect="00CE6210">
          <w:pgSz w:w="11906" w:h="16838"/>
          <w:pgMar w:top="1440" w:right="1440" w:bottom="1440" w:left="2007" w:header="709" w:footer="709" w:gutter="0"/>
          <w:cols w:space="708"/>
          <w:docGrid w:linePitch="360"/>
        </w:sectPr>
      </w:pPr>
    </w:p>
    <w:p w14:paraId="1ED02F33" w14:textId="77777777" w:rsidR="006A4B11" w:rsidRPr="00A34F8A" w:rsidRDefault="006A4B11" w:rsidP="006A4B11">
      <w:pPr>
        <w:pStyle w:val="BlueLineTop"/>
        <w:rPr>
          <w:rFonts w:asciiTheme="minorHAnsi" w:hAnsiTheme="minorHAnsi" w:cstheme="minorHAnsi"/>
          <w:sz w:val="22"/>
          <w:szCs w:val="22"/>
        </w:rPr>
      </w:pPr>
    </w:p>
    <w:p w14:paraId="33AF6DB4" w14:textId="2633B48D" w:rsidR="006A4B11" w:rsidRPr="00A34F8A" w:rsidRDefault="006A4B11" w:rsidP="006A4B11">
      <w:pPr>
        <w:pStyle w:val="Caption"/>
        <w:keepNext/>
        <w:rPr>
          <w:rFonts w:asciiTheme="minorHAnsi" w:hAnsiTheme="minorHAnsi" w:cstheme="minorHAnsi"/>
          <w:sz w:val="22"/>
          <w:szCs w:val="22"/>
        </w:rPr>
      </w:pPr>
      <w:bookmarkStart w:id="204" w:name="_Ref132809915"/>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33</w:t>
      </w:r>
      <w:r w:rsidRPr="00A34F8A">
        <w:rPr>
          <w:rFonts w:asciiTheme="minorHAnsi" w:hAnsiTheme="minorHAnsi" w:cstheme="minorHAnsi"/>
          <w:noProof/>
          <w:sz w:val="22"/>
          <w:szCs w:val="22"/>
        </w:rPr>
        <w:fldChar w:fldCharType="end"/>
      </w:r>
      <w:bookmarkEnd w:id="204"/>
      <w:r w:rsidRPr="00A34F8A">
        <w:rPr>
          <w:rFonts w:asciiTheme="minorHAnsi" w:hAnsiTheme="minorHAnsi" w:cstheme="minorHAnsi"/>
          <w:sz w:val="22"/>
          <w:szCs w:val="22"/>
        </w:rPr>
        <w:t xml:space="preserve">: AC-DC Basic voltage EPS incremental mark-up for active mode efficiency increases. Costs in AUD (2023 pricing). </w:t>
      </w:r>
    </w:p>
    <w:tbl>
      <w:tblPr>
        <w:tblStyle w:val="ComCap4-nested"/>
        <w:tblW w:w="5203" w:type="pct"/>
        <w:tblInd w:w="-567" w:type="dxa"/>
        <w:tblBorders>
          <w:insideV w:val="single" w:sz="4" w:space="0" w:color="auto"/>
        </w:tblBorders>
        <w:tblLook w:val="04A0" w:firstRow="1" w:lastRow="0" w:firstColumn="1" w:lastColumn="0" w:noHBand="0" w:noVBand="1"/>
      </w:tblPr>
      <w:tblGrid>
        <w:gridCol w:w="1215"/>
        <w:gridCol w:w="1490"/>
        <w:gridCol w:w="1172"/>
        <w:gridCol w:w="1490"/>
        <w:gridCol w:w="1172"/>
        <w:gridCol w:w="1490"/>
        <w:gridCol w:w="1172"/>
        <w:gridCol w:w="1490"/>
        <w:gridCol w:w="1172"/>
        <w:gridCol w:w="1490"/>
        <w:gridCol w:w="1172"/>
      </w:tblGrid>
      <w:tr w:rsidR="00F01F11" w:rsidRPr="00A34F8A" w14:paraId="77AE6C16" w14:textId="77777777" w:rsidTr="00CA72A3">
        <w:trPr>
          <w:cnfStyle w:val="100000000000" w:firstRow="1" w:lastRow="0" w:firstColumn="0" w:lastColumn="0" w:oddVBand="0" w:evenVBand="0" w:oddHBand="0" w:evenHBand="0" w:firstRowFirstColumn="0" w:firstRowLastColumn="0" w:lastRowFirstColumn="0" w:lastRowLastColumn="0"/>
          <w:trHeight w:val="392"/>
        </w:trPr>
        <w:tc>
          <w:tcPr>
            <w:tcW w:w="0" w:type="pct"/>
            <w:tcBorders>
              <w:right w:val="single" w:sz="4" w:space="0" w:color="C4BC96" w:themeColor="background2" w:themeShade="BF"/>
            </w:tcBorders>
            <w:tcMar>
              <w:top w:w="57" w:type="dxa"/>
              <w:left w:w="57" w:type="dxa"/>
              <w:bottom w:w="57" w:type="dxa"/>
              <w:right w:w="57" w:type="dxa"/>
            </w:tcMar>
            <w:vAlign w:val="top"/>
          </w:tcPr>
          <w:p w14:paraId="6C105261" w14:textId="77777777" w:rsidR="006A4B11" w:rsidRPr="00A34F8A" w:rsidRDefault="006A4B11" w:rsidP="005D3977">
            <w:pPr>
              <w:pStyle w:val="Table1-columnheadingdata"/>
              <w:rPr>
                <w:rFonts w:asciiTheme="minorHAnsi" w:hAnsiTheme="minorHAnsi" w:cstheme="minorHAnsi"/>
                <w:sz w:val="22"/>
                <w:szCs w:val="22"/>
              </w:rPr>
            </w:pP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493531B9"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2.5W</w:t>
            </w:r>
          </w:p>
        </w:tc>
        <w:tc>
          <w:tcPr>
            <w:tcW w:w="0" w:type="pct"/>
            <w:gridSpan w:val="2"/>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8C161FF"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12W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4DD93AAB"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24W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21AC9375"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60W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74A1A11B"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120W</w:t>
            </w:r>
          </w:p>
        </w:tc>
      </w:tr>
      <w:tr w:rsidR="000D6E27" w:rsidRPr="00A34F8A" w14:paraId="288D7249" w14:textId="77777777" w:rsidTr="006F3F57">
        <w:trPr>
          <w:trHeight w:val="91"/>
        </w:trPr>
        <w:tc>
          <w:tcPr>
            <w:tcW w:w="0" w:type="pct"/>
            <w:tcBorders>
              <w:right w:val="single" w:sz="4" w:space="0" w:color="C4BC96" w:themeColor="background2" w:themeShade="BF"/>
            </w:tcBorders>
            <w:shd w:val="clear" w:color="auto" w:fill="D1D8E0"/>
            <w:tcMar>
              <w:top w:w="57" w:type="dxa"/>
              <w:left w:w="57" w:type="dxa"/>
              <w:bottom w:w="57" w:type="dxa"/>
              <w:right w:w="57" w:type="dxa"/>
            </w:tcMar>
            <w:vAlign w:val="top"/>
          </w:tcPr>
          <w:p w14:paraId="79757BC1" w14:textId="77777777" w:rsidR="006A4B11" w:rsidRPr="00A34F8A" w:rsidRDefault="006A4B11" w:rsidP="005D3977">
            <w:pPr>
              <w:pStyle w:val="Table2-Rowheadingdata"/>
              <w:rPr>
                <w:rFonts w:asciiTheme="minorHAnsi" w:hAnsiTheme="minorHAnsi" w:cstheme="minorHAnsi"/>
                <w:sz w:val="22"/>
                <w:szCs w:val="22"/>
              </w:rPr>
            </w:pPr>
          </w:p>
        </w:tc>
        <w:tc>
          <w:tcPr>
            <w:tcW w:w="0" w:type="pct"/>
            <w:tcBorders>
              <w:left w:val="single" w:sz="4" w:space="0" w:color="C4BC96" w:themeColor="background2" w:themeShade="BF"/>
              <w:right w:val="single" w:sz="4" w:space="0" w:color="AEAAAA"/>
            </w:tcBorders>
            <w:shd w:val="clear" w:color="auto" w:fill="D1D8E0"/>
            <w:tcMar>
              <w:top w:w="57" w:type="dxa"/>
              <w:left w:w="57" w:type="dxa"/>
              <w:bottom w:w="57" w:type="dxa"/>
              <w:right w:w="57" w:type="dxa"/>
            </w:tcMar>
            <w:vAlign w:val="top"/>
          </w:tcPr>
          <w:p w14:paraId="2B198D6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0E519C3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6BE33CA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079BB05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7AC9887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208555A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3633136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607B167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6D192C0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79BB7BE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r>
      <w:tr w:rsidR="00CA72A3" w:rsidRPr="00A34F8A" w14:paraId="5C8857FB"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55662FDD"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C4706DA"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51.00%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BDEC3AB"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-$0.68</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C05553C"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68.00%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3A397AB"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-$0.37</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5FE4FC9"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74.00%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847DBF7"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-$0.60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7CE55A4"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82.00%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1B8564A"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-$0.77</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17D302F7"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82.00%</w:t>
            </w:r>
          </w:p>
        </w:tc>
        <w:tc>
          <w:tcPr>
            <w:tcW w:w="0" w:type="pct"/>
            <w:tcBorders>
              <w:left w:val="single" w:sz="4" w:space="0" w:color="AEAAAA"/>
            </w:tcBorders>
            <w:tcMar>
              <w:top w:w="57" w:type="dxa"/>
              <w:left w:w="57" w:type="dxa"/>
              <w:bottom w:w="57" w:type="dxa"/>
              <w:right w:w="57" w:type="dxa"/>
            </w:tcMar>
            <w:vAlign w:val="top"/>
          </w:tcPr>
          <w:p w14:paraId="15258C69"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-$0.78</w:t>
            </w:r>
          </w:p>
        </w:tc>
      </w:tr>
      <w:tr w:rsidR="00CA72A3" w:rsidRPr="00A34F8A" w14:paraId="5B30186C"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75A42F18"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36AF8FAD"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57.25%</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8279F51"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3179421"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71.36%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6A9AAE8C"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B2714BD"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77.60%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553755F"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DCA87C4"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84.00%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DC74444"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092CB48"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84.00%</w:t>
            </w:r>
          </w:p>
        </w:tc>
        <w:tc>
          <w:tcPr>
            <w:tcW w:w="0" w:type="pct"/>
            <w:tcBorders>
              <w:left w:val="single" w:sz="4" w:space="0" w:color="AEAAAA"/>
            </w:tcBorders>
            <w:tcMar>
              <w:top w:w="57" w:type="dxa"/>
              <w:left w:w="57" w:type="dxa"/>
              <w:bottom w:w="57" w:type="dxa"/>
              <w:right w:w="57" w:type="dxa"/>
            </w:tcMar>
            <w:vAlign w:val="top"/>
          </w:tcPr>
          <w:p w14:paraId="3A8D562F"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$0.00</w:t>
            </w:r>
          </w:p>
        </w:tc>
      </w:tr>
      <w:tr w:rsidR="00CA72A3" w:rsidRPr="00A34F8A" w14:paraId="64CEB507"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5F25CEC9"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87ACFE8"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58.25%</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A86DDC9"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$0.13</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12F72E1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72.36%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FAF88BD"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$0.15</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C1D7B78"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78.60%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1216AF5F"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$0.24</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B527DE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85.00%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6B47E60"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$0.48</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5610DF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85.00%</w:t>
            </w:r>
          </w:p>
        </w:tc>
        <w:tc>
          <w:tcPr>
            <w:tcW w:w="0" w:type="pct"/>
            <w:tcBorders>
              <w:left w:val="single" w:sz="4" w:space="0" w:color="AEAAAA"/>
            </w:tcBorders>
            <w:tcMar>
              <w:top w:w="57" w:type="dxa"/>
              <w:left w:w="57" w:type="dxa"/>
              <w:bottom w:w="57" w:type="dxa"/>
              <w:right w:w="57" w:type="dxa"/>
            </w:tcMar>
            <w:vAlign w:val="top"/>
          </w:tcPr>
          <w:p w14:paraId="776124D3"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$0.49</w:t>
            </w:r>
          </w:p>
        </w:tc>
      </w:tr>
      <w:tr w:rsidR="00CA72A3" w:rsidRPr="00A34F8A" w14:paraId="4E580F66"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6903A97A"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C89A8A7"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67.93%</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817E7C2"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$1.98</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822D632"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77.76%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B7FF209"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$1.44</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675341C"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82.09%</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695D0523"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$1.43</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09B104B"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87.00%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7CCDB6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$1.66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19099CD7"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87.00%</w:t>
            </w:r>
          </w:p>
        </w:tc>
        <w:tc>
          <w:tcPr>
            <w:tcW w:w="0" w:type="pct"/>
            <w:tcBorders>
              <w:left w:val="single" w:sz="4" w:space="0" w:color="AEAAAA"/>
            </w:tcBorders>
            <w:tcMar>
              <w:top w:w="57" w:type="dxa"/>
              <w:left w:w="57" w:type="dxa"/>
              <w:bottom w:w="57" w:type="dxa"/>
              <w:right w:w="57" w:type="dxa"/>
            </w:tcMar>
            <w:vAlign w:val="top"/>
          </w:tcPr>
          <w:p w14:paraId="20D2B43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$1.75</w:t>
            </w:r>
          </w:p>
        </w:tc>
      </w:tr>
      <w:tr w:rsidR="00CA72A3" w:rsidRPr="00A34F8A" w14:paraId="57C58CD5"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23539419"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86546F7"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73.16%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060614D"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$3.53</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C818C3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82.96%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0ECA0CD"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$4.05</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0E1A041"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86.20%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ACDB7E7"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$3.97</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114EE0A"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88.00%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AFCB64C"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$2.39</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BEA5216"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88.00%</w:t>
            </w:r>
          </w:p>
        </w:tc>
        <w:tc>
          <w:tcPr>
            <w:tcW w:w="0" w:type="pct"/>
            <w:tcBorders>
              <w:left w:val="single" w:sz="4" w:space="0" w:color="AEAAAA"/>
            </w:tcBorders>
            <w:tcMar>
              <w:top w:w="57" w:type="dxa"/>
              <w:left w:w="57" w:type="dxa"/>
              <w:bottom w:w="57" w:type="dxa"/>
              <w:right w:w="57" w:type="dxa"/>
            </w:tcMar>
            <w:vAlign w:val="top"/>
          </w:tcPr>
          <w:p w14:paraId="375BCC9E"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$2.54</w:t>
            </w:r>
          </w:p>
        </w:tc>
      </w:tr>
      <w:tr w:rsidR="00CA72A3" w:rsidRPr="00A34F8A" w14:paraId="5A119925"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50B8B380"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8CB137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73.22%</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1B6672B"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$3.55</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DA0932B"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83.26%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43ABB7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$4.27</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C363205"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86.80%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629E4B3"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$4.50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0377CAB"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89.00%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BB69D8F"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$3.23</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7C7774E"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89.00%</w:t>
            </w:r>
          </w:p>
        </w:tc>
        <w:tc>
          <w:tcPr>
            <w:tcW w:w="0" w:type="pct"/>
            <w:tcBorders>
              <w:left w:val="single" w:sz="4" w:space="0" w:color="AEAAAA"/>
            </w:tcBorders>
            <w:tcMar>
              <w:top w:w="57" w:type="dxa"/>
              <w:left w:w="57" w:type="dxa"/>
              <w:bottom w:w="57" w:type="dxa"/>
              <w:right w:w="57" w:type="dxa"/>
            </w:tcMar>
            <w:vAlign w:val="top"/>
          </w:tcPr>
          <w:p w14:paraId="2A38A4A8" w14:textId="77777777" w:rsidR="006A4B11" w:rsidRPr="00A34F8A" w:rsidRDefault="006A4B11" w:rsidP="005D3977">
            <w:pPr>
              <w:pStyle w:val="Table3-Normaldata"/>
              <w:jc w:val="center"/>
              <w:rPr>
                <w:rFonts w:asciiTheme="minorHAnsi" w:hAnsiTheme="minorHAnsi" w:cstheme="minorHAnsi"/>
                <w:sz w:val="22"/>
                <w:szCs w:val="22"/>
              </w:rPr>
            </w:pPr>
            <w:r w:rsidRPr="00A34F8A">
              <w:rPr>
                <w:rFonts w:asciiTheme="minorHAnsi" w:hAnsiTheme="minorHAnsi" w:cstheme="minorHAnsi"/>
                <w:sz w:val="22"/>
                <w:szCs w:val="22"/>
              </w:rPr>
              <w:t>$3.46</w:t>
            </w:r>
          </w:p>
        </w:tc>
      </w:tr>
    </w:tbl>
    <w:p w14:paraId="702D11A8" w14:textId="77777777" w:rsidR="006A4B11" w:rsidRPr="00A34F8A" w:rsidRDefault="006A4B11" w:rsidP="006A4B11">
      <w:pPr>
        <w:pStyle w:val="BlueLineBottom"/>
        <w:rPr>
          <w:rFonts w:asciiTheme="minorHAnsi" w:hAnsiTheme="minorHAnsi" w:cstheme="minorHAnsi"/>
          <w:sz w:val="22"/>
          <w:szCs w:val="22"/>
        </w:rPr>
      </w:pPr>
    </w:p>
    <w:p w14:paraId="0C0B457B" w14:textId="4269FA1A" w:rsidR="00B043B9" w:rsidRDefault="00B043B9" w:rsidP="006A4B11">
      <w:pPr>
        <w:pStyle w:val="BlueLineTop"/>
        <w:rPr>
          <w:rFonts w:asciiTheme="minorHAnsi" w:hAnsiTheme="minorHAnsi" w:cstheme="minorHAnsi"/>
          <w:szCs w:val="22"/>
        </w:rPr>
      </w:pPr>
      <w:r>
        <w:rPr>
          <w:rFonts w:asciiTheme="minorHAnsi" w:hAnsiTheme="minorHAnsi" w:cstheme="minorHAnsi"/>
          <w:szCs w:val="22"/>
        </w:rPr>
        <w:br w:type="page"/>
      </w:r>
    </w:p>
    <w:p w14:paraId="66F6B4E0" w14:textId="77777777" w:rsidR="006A4B11" w:rsidRPr="00A34F8A" w:rsidRDefault="006A4B11" w:rsidP="006A4B11">
      <w:pPr>
        <w:pStyle w:val="BlueLineTop"/>
        <w:rPr>
          <w:rFonts w:asciiTheme="minorHAnsi" w:hAnsiTheme="minorHAnsi" w:cstheme="minorHAnsi"/>
          <w:sz w:val="22"/>
          <w:szCs w:val="22"/>
        </w:rPr>
      </w:pPr>
    </w:p>
    <w:p w14:paraId="2185D835" w14:textId="2BB631DC" w:rsidR="006A4B11" w:rsidRPr="00A34F8A" w:rsidRDefault="006A4B11" w:rsidP="006A4B11">
      <w:pPr>
        <w:pStyle w:val="Caption"/>
        <w:keepNext/>
        <w:rPr>
          <w:rFonts w:asciiTheme="minorHAnsi" w:hAnsiTheme="minorHAnsi" w:cstheme="minorHAnsi"/>
          <w:sz w:val="22"/>
          <w:szCs w:val="22"/>
        </w:rPr>
      </w:pPr>
      <w:bookmarkStart w:id="205" w:name="_Ref132809918"/>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34</w:t>
      </w:r>
      <w:r w:rsidRPr="00A34F8A">
        <w:rPr>
          <w:rFonts w:asciiTheme="minorHAnsi" w:hAnsiTheme="minorHAnsi" w:cstheme="minorHAnsi"/>
          <w:noProof/>
          <w:sz w:val="22"/>
          <w:szCs w:val="22"/>
        </w:rPr>
        <w:fldChar w:fldCharType="end"/>
      </w:r>
      <w:bookmarkEnd w:id="205"/>
      <w:r w:rsidRPr="00A34F8A">
        <w:rPr>
          <w:rFonts w:asciiTheme="minorHAnsi" w:hAnsiTheme="minorHAnsi" w:cstheme="minorHAnsi"/>
          <w:sz w:val="22"/>
          <w:szCs w:val="22"/>
        </w:rPr>
        <w:t>: AC-DC Low voltage EPS incremental mark-up for active mode efficiency increases. Costs in AUD (2023 pricing)</w:t>
      </w:r>
    </w:p>
    <w:tbl>
      <w:tblPr>
        <w:tblStyle w:val="ComCap4-nested"/>
        <w:tblW w:w="5362" w:type="pct"/>
        <w:tblInd w:w="-567" w:type="dxa"/>
        <w:tblBorders>
          <w:insideV w:val="single" w:sz="4" w:space="0" w:color="auto"/>
        </w:tblBorders>
        <w:tblLook w:val="04A0" w:firstRow="1" w:lastRow="0" w:firstColumn="1" w:lastColumn="0" w:noHBand="0" w:noVBand="1"/>
      </w:tblPr>
      <w:tblGrid>
        <w:gridCol w:w="1561"/>
        <w:gridCol w:w="1835"/>
        <w:gridCol w:w="1517"/>
        <w:gridCol w:w="1835"/>
        <w:gridCol w:w="1517"/>
        <w:gridCol w:w="1835"/>
        <w:gridCol w:w="1517"/>
        <w:gridCol w:w="1835"/>
        <w:gridCol w:w="1517"/>
      </w:tblGrid>
      <w:tr w:rsidR="00F01F11" w:rsidRPr="00A34F8A" w14:paraId="5790E705" w14:textId="77777777" w:rsidTr="00CA72A3">
        <w:trPr>
          <w:cnfStyle w:val="100000000000" w:firstRow="1" w:lastRow="0" w:firstColumn="0" w:lastColumn="0" w:oddVBand="0" w:evenVBand="0" w:oddHBand="0" w:evenHBand="0" w:firstRowFirstColumn="0" w:firstRowLastColumn="0" w:lastRowFirstColumn="0" w:lastRowLastColumn="0"/>
          <w:trHeight w:val="392"/>
        </w:trPr>
        <w:tc>
          <w:tcPr>
            <w:tcW w:w="0" w:type="pct"/>
            <w:tcBorders>
              <w:right w:val="single" w:sz="4" w:space="0" w:color="C4BC96" w:themeColor="background2" w:themeShade="BF"/>
            </w:tcBorders>
            <w:tcMar>
              <w:top w:w="57" w:type="dxa"/>
              <w:left w:w="57" w:type="dxa"/>
              <w:bottom w:w="57" w:type="dxa"/>
              <w:right w:w="57" w:type="dxa"/>
            </w:tcMar>
            <w:vAlign w:val="top"/>
          </w:tcPr>
          <w:p w14:paraId="26C43323" w14:textId="77777777" w:rsidR="006A4B11" w:rsidRPr="00A34F8A" w:rsidRDefault="006A4B11" w:rsidP="005D3977">
            <w:pPr>
              <w:pStyle w:val="Table1-columnheadingdata"/>
              <w:rPr>
                <w:rFonts w:asciiTheme="minorHAnsi" w:hAnsiTheme="minorHAnsi" w:cstheme="minorHAnsi"/>
                <w:sz w:val="22"/>
                <w:szCs w:val="22"/>
              </w:rPr>
            </w:pP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4FEA7CF0"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5W</w:t>
            </w:r>
          </w:p>
        </w:tc>
        <w:tc>
          <w:tcPr>
            <w:tcW w:w="0" w:type="pct"/>
            <w:gridSpan w:val="2"/>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71C7D801"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10W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1AB68FE2"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12W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68BA8BC5"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24W</w:t>
            </w:r>
          </w:p>
        </w:tc>
      </w:tr>
      <w:tr w:rsidR="000D6E27" w:rsidRPr="00A34F8A" w14:paraId="4BFC3733" w14:textId="77777777" w:rsidTr="00B043B9">
        <w:trPr>
          <w:trHeight w:val="508"/>
        </w:trPr>
        <w:tc>
          <w:tcPr>
            <w:tcW w:w="0" w:type="pct"/>
            <w:tcBorders>
              <w:right w:val="single" w:sz="4" w:space="0" w:color="C4BC96" w:themeColor="background2" w:themeShade="BF"/>
            </w:tcBorders>
            <w:shd w:val="clear" w:color="auto" w:fill="D1D8E0"/>
            <w:tcMar>
              <w:top w:w="57" w:type="dxa"/>
              <w:left w:w="57" w:type="dxa"/>
              <w:bottom w:w="57" w:type="dxa"/>
              <w:right w:w="57" w:type="dxa"/>
            </w:tcMar>
            <w:vAlign w:val="top"/>
          </w:tcPr>
          <w:p w14:paraId="6CFB9E94" w14:textId="77777777" w:rsidR="006A4B11" w:rsidRPr="00A34F8A" w:rsidRDefault="006A4B11" w:rsidP="005D3977">
            <w:pPr>
              <w:pStyle w:val="Table2-Rowheadingdata"/>
              <w:rPr>
                <w:rFonts w:asciiTheme="minorHAnsi" w:hAnsiTheme="minorHAnsi" w:cstheme="minorHAnsi"/>
                <w:sz w:val="22"/>
                <w:szCs w:val="22"/>
              </w:rPr>
            </w:pPr>
          </w:p>
        </w:tc>
        <w:tc>
          <w:tcPr>
            <w:tcW w:w="0" w:type="pct"/>
            <w:tcBorders>
              <w:left w:val="single" w:sz="4" w:space="0" w:color="C4BC96" w:themeColor="background2" w:themeShade="BF"/>
              <w:right w:val="single" w:sz="4" w:space="0" w:color="AEAAAA"/>
            </w:tcBorders>
            <w:shd w:val="clear" w:color="auto" w:fill="D1D8E0"/>
            <w:tcMar>
              <w:top w:w="57" w:type="dxa"/>
              <w:left w:w="57" w:type="dxa"/>
              <w:bottom w:w="57" w:type="dxa"/>
              <w:right w:w="57" w:type="dxa"/>
            </w:tcMar>
            <w:vAlign w:val="top"/>
          </w:tcPr>
          <w:p w14:paraId="0BFF85F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64C2DAF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2256790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6A6E498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2407922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517F321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17B19E9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141D882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r>
      <w:tr w:rsidR="00CA72A3" w:rsidRPr="00A34F8A" w14:paraId="23E81A3A"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25DE77DF"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62A95F6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60.00%</w:t>
            </w:r>
          </w:p>
        </w:tc>
        <w:tc>
          <w:tcPr>
            <w:tcW w:w="0" w:type="pct"/>
            <w:tcBorders>
              <w:left w:val="single" w:sz="4" w:space="0" w:color="AEAAAA"/>
            </w:tcBorders>
            <w:tcMar>
              <w:top w:w="57" w:type="dxa"/>
              <w:left w:w="57" w:type="dxa"/>
              <w:bottom w:w="57" w:type="dxa"/>
              <w:right w:w="57" w:type="dxa"/>
            </w:tcMar>
            <w:vAlign w:val="top"/>
          </w:tcPr>
          <w:p w14:paraId="16BDF7DE"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-$0.60</w:t>
            </w:r>
          </w:p>
        </w:tc>
        <w:tc>
          <w:tcPr>
            <w:tcW w:w="0" w:type="pct"/>
            <w:tcBorders>
              <w:left w:val="single" w:sz="4" w:space="0" w:color="AEAAAA"/>
            </w:tcBorders>
            <w:tcMar>
              <w:top w:w="57" w:type="dxa"/>
              <w:left w:w="57" w:type="dxa"/>
              <w:bottom w:w="57" w:type="dxa"/>
              <w:right w:w="57" w:type="dxa"/>
            </w:tcMar>
            <w:vAlign w:val="top"/>
          </w:tcPr>
          <w:p w14:paraId="10DAC66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65.00%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3F9631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-$0.82</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15A1EE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68.00%</w:t>
            </w:r>
          </w:p>
        </w:tc>
        <w:tc>
          <w:tcPr>
            <w:tcW w:w="0" w:type="pct"/>
            <w:tcBorders>
              <w:left w:val="single" w:sz="4" w:space="0" w:color="AEAAAA"/>
            </w:tcBorders>
            <w:tcMar>
              <w:top w:w="57" w:type="dxa"/>
              <w:left w:w="57" w:type="dxa"/>
              <w:bottom w:w="57" w:type="dxa"/>
              <w:right w:w="57" w:type="dxa"/>
            </w:tcMar>
            <w:vAlign w:val="top"/>
          </w:tcPr>
          <w:p w14:paraId="79603F5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-$0.67</w:t>
            </w:r>
          </w:p>
        </w:tc>
        <w:tc>
          <w:tcPr>
            <w:tcW w:w="0" w:type="pct"/>
            <w:tcBorders>
              <w:left w:val="single" w:sz="4" w:space="0" w:color="AEAAAA"/>
            </w:tcBorders>
            <w:tcMar>
              <w:top w:w="57" w:type="dxa"/>
              <w:left w:w="57" w:type="dxa"/>
              <w:bottom w:w="57" w:type="dxa"/>
              <w:right w:w="57" w:type="dxa"/>
            </w:tcMar>
            <w:vAlign w:val="top"/>
          </w:tcPr>
          <w:p w14:paraId="7C6AA1A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75.00%</w:t>
            </w:r>
          </w:p>
        </w:tc>
        <w:tc>
          <w:tcPr>
            <w:tcW w:w="0" w:type="pct"/>
            <w:tcBorders>
              <w:left w:val="single" w:sz="4" w:space="0" w:color="AEAAAA"/>
            </w:tcBorders>
            <w:tcMar>
              <w:top w:w="57" w:type="dxa"/>
              <w:left w:w="57" w:type="dxa"/>
              <w:bottom w:w="57" w:type="dxa"/>
              <w:right w:w="57" w:type="dxa"/>
            </w:tcMar>
            <w:vAlign w:val="top"/>
          </w:tcPr>
          <w:p w14:paraId="21C8802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-$0.72</w:t>
            </w:r>
          </w:p>
        </w:tc>
      </w:tr>
      <w:tr w:rsidR="00CA72A3" w:rsidRPr="00A34F8A" w14:paraId="00A92386"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1A42EB4E"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1449C6B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63.48%</w:t>
            </w:r>
          </w:p>
        </w:tc>
        <w:tc>
          <w:tcPr>
            <w:tcW w:w="0" w:type="pct"/>
            <w:tcBorders>
              <w:left w:val="single" w:sz="4" w:space="0" w:color="AEAAAA"/>
            </w:tcBorders>
            <w:tcMar>
              <w:top w:w="57" w:type="dxa"/>
              <w:left w:w="57" w:type="dxa"/>
              <w:bottom w:w="57" w:type="dxa"/>
              <w:right w:w="57" w:type="dxa"/>
            </w:tcMar>
            <w:vAlign w:val="top"/>
          </w:tcPr>
          <w:p w14:paraId="6D58F08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080F948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69.72%</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8C0D44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89CA99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71.36%</w:t>
            </w:r>
          </w:p>
        </w:tc>
        <w:tc>
          <w:tcPr>
            <w:tcW w:w="0" w:type="pct"/>
            <w:tcBorders>
              <w:left w:val="single" w:sz="4" w:space="0" w:color="AEAAAA"/>
            </w:tcBorders>
            <w:tcMar>
              <w:top w:w="57" w:type="dxa"/>
              <w:left w:w="57" w:type="dxa"/>
              <w:bottom w:w="57" w:type="dxa"/>
              <w:right w:w="57" w:type="dxa"/>
            </w:tcMar>
            <w:vAlign w:val="top"/>
          </w:tcPr>
          <w:p w14:paraId="2D22109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0EE366D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77.60%</w:t>
            </w:r>
          </w:p>
        </w:tc>
        <w:tc>
          <w:tcPr>
            <w:tcW w:w="0" w:type="pct"/>
            <w:tcBorders>
              <w:left w:val="single" w:sz="4" w:space="0" w:color="AEAAAA"/>
            </w:tcBorders>
            <w:tcMar>
              <w:top w:w="57" w:type="dxa"/>
              <w:left w:w="57" w:type="dxa"/>
              <w:bottom w:w="57" w:type="dxa"/>
              <w:right w:w="57" w:type="dxa"/>
            </w:tcMar>
            <w:vAlign w:val="top"/>
          </w:tcPr>
          <w:p w14:paraId="44EE2FB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r>
      <w:tr w:rsidR="00CA72A3" w:rsidRPr="00A34F8A" w14:paraId="090BD425"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73C48D50"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66E3AC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64.48%</w:t>
            </w:r>
          </w:p>
        </w:tc>
        <w:tc>
          <w:tcPr>
            <w:tcW w:w="0" w:type="pct"/>
            <w:tcBorders>
              <w:left w:val="single" w:sz="4" w:space="0" w:color="AEAAAA"/>
            </w:tcBorders>
            <w:tcMar>
              <w:top w:w="57" w:type="dxa"/>
              <w:left w:w="57" w:type="dxa"/>
              <w:bottom w:w="57" w:type="dxa"/>
              <w:right w:w="57" w:type="dxa"/>
            </w:tcMar>
            <w:vAlign w:val="top"/>
          </w:tcPr>
          <w:p w14:paraId="5DD1243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$0.20</w:t>
            </w:r>
          </w:p>
        </w:tc>
        <w:tc>
          <w:tcPr>
            <w:tcW w:w="0" w:type="pct"/>
            <w:tcBorders>
              <w:left w:val="single" w:sz="4" w:space="0" w:color="AEAAAA"/>
            </w:tcBorders>
            <w:tcMar>
              <w:top w:w="57" w:type="dxa"/>
              <w:left w:w="57" w:type="dxa"/>
              <w:bottom w:w="57" w:type="dxa"/>
              <w:right w:w="57" w:type="dxa"/>
            </w:tcMar>
            <w:vAlign w:val="top"/>
          </w:tcPr>
          <w:p w14:paraId="3B67B9A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70.72%</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154A542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$0.24</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F8B01C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72.36%</w:t>
            </w:r>
          </w:p>
        </w:tc>
        <w:tc>
          <w:tcPr>
            <w:tcW w:w="0" w:type="pct"/>
            <w:tcBorders>
              <w:left w:val="single" w:sz="4" w:space="0" w:color="AEAAAA"/>
            </w:tcBorders>
            <w:tcMar>
              <w:top w:w="57" w:type="dxa"/>
              <w:left w:w="57" w:type="dxa"/>
              <w:bottom w:w="57" w:type="dxa"/>
              <w:right w:w="57" w:type="dxa"/>
            </w:tcMar>
            <w:vAlign w:val="top"/>
          </w:tcPr>
          <w:p w14:paraId="72D0368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$0.25</w:t>
            </w:r>
          </w:p>
        </w:tc>
        <w:tc>
          <w:tcPr>
            <w:tcW w:w="0" w:type="pct"/>
            <w:tcBorders>
              <w:left w:val="single" w:sz="4" w:space="0" w:color="AEAAAA"/>
            </w:tcBorders>
            <w:tcMar>
              <w:top w:w="57" w:type="dxa"/>
              <w:left w:w="57" w:type="dxa"/>
              <w:bottom w:w="57" w:type="dxa"/>
              <w:right w:w="57" w:type="dxa"/>
            </w:tcMar>
            <w:vAlign w:val="top"/>
          </w:tcPr>
          <w:p w14:paraId="38C920A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78.60%</w:t>
            </w:r>
          </w:p>
        </w:tc>
        <w:tc>
          <w:tcPr>
            <w:tcW w:w="0" w:type="pct"/>
            <w:tcBorders>
              <w:left w:val="single" w:sz="4" w:space="0" w:color="AEAAAA"/>
            </w:tcBorders>
            <w:tcMar>
              <w:top w:w="57" w:type="dxa"/>
              <w:left w:w="57" w:type="dxa"/>
              <w:bottom w:w="57" w:type="dxa"/>
              <w:right w:w="57" w:type="dxa"/>
            </w:tcMar>
            <w:vAlign w:val="top"/>
          </w:tcPr>
          <w:p w14:paraId="16F67C5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$0.35</w:t>
            </w:r>
          </w:p>
        </w:tc>
      </w:tr>
      <w:tr w:rsidR="00CA72A3" w:rsidRPr="00A34F8A" w14:paraId="78D26C22"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25D64312"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27D7C2C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68.17%</w:t>
            </w:r>
          </w:p>
        </w:tc>
        <w:tc>
          <w:tcPr>
            <w:tcW w:w="0" w:type="pct"/>
            <w:tcBorders>
              <w:left w:val="single" w:sz="4" w:space="0" w:color="AEAAAA"/>
            </w:tcBorders>
            <w:tcMar>
              <w:top w:w="57" w:type="dxa"/>
              <w:left w:w="57" w:type="dxa"/>
              <w:bottom w:w="57" w:type="dxa"/>
              <w:right w:w="57" w:type="dxa"/>
            </w:tcMar>
            <w:vAlign w:val="top"/>
          </w:tcPr>
          <w:p w14:paraId="1B586A2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$1.10</w:t>
            </w:r>
          </w:p>
        </w:tc>
        <w:tc>
          <w:tcPr>
            <w:tcW w:w="0" w:type="pct"/>
            <w:tcBorders>
              <w:left w:val="single" w:sz="4" w:space="0" w:color="AEAAAA"/>
            </w:tcBorders>
            <w:tcMar>
              <w:top w:w="57" w:type="dxa"/>
              <w:left w:w="57" w:type="dxa"/>
              <w:bottom w:w="57" w:type="dxa"/>
              <w:right w:w="57" w:type="dxa"/>
            </w:tcMar>
            <w:vAlign w:val="top"/>
          </w:tcPr>
          <w:p w14:paraId="29EDC29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73.37%</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14F2C4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$1.02</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563026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74.73%</w:t>
            </w:r>
          </w:p>
        </w:tc>
        <w:tc>
          <w:tcPr>
            <w:tcW w:w="0" w:type="pct"/>
            <w:tcBorders>
              <w:left w:val="single" w:sz="4" w:space="0" w:color="AEAAAA"/>
            </w:tcBorders>
            <w:tcMar>
              <w:top w:w="57" w:type="dxa"/>
              <w:left w:w="57" w:type="dxa"/>
              <w:bottom w:w="57" w:type="dxa"/>
              <w:right w:w="57" w:type="dxa"/>
            </w:tcMar>
            <w:vAlign w:val="top"/>
          </w:tcPr>
          <w:p w14:paraId="725F018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$0.97</w:t>
            </w:r>
          </w:p>
        </w:tc>
        <w:tc>
          <w:tcPr>
            <w:tcW w:w="0" w:type="pct"/>
            <w:tcBorders>
              <w:left w:val="single" w:sz="4" w:space="0" w:color="AEAAAA"/>
            </w:tcBorders>
            <w:tcMar>
              <w:top w:w="57" w:type="dxa"/>
              <w:left w:w="57" w:type="dxa"/>
              <w:bottom w:w="57" w:type="dxa"/>
              <w:right w:w="57" w:type="dxa"/>
            </w:tcMar>
            <w:vAlign w:val="top"/>
          </w:tcPr>
          <w:p w14:paraId="41C9899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79.93%</w:t>
            </w:r>
          </w:p>
        </w:tc>
        <w:tc>
          <w:tcPr>
            <w:tcW w:w="0" w:type="pct"/>
            <w:tcBorders>
              <w:left w:val="single" w:sz="4" w:space="0" w:color="AEAAAA"/>
            </w:tcBorders>
            <w:tcMar>
              <w:top w:w="57" w:type="dxa"/>
              <w:left w:w="57" w:type="dxa"/>
              <w:bottom w:w="57" w:type="dxa"/>
              <w:right w:w="57" w:type="dxa"/>
            </w:tcMar>
            <w:vAlign w:val="top"/>
          </w:tcPr>
          <w:p w14:paraId="6BB0CDC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$0.91</w:t>
            </w:r>
          </w:p>
        </w:tc>
      </w:tr>
      <w:tr w:rsidR="00CA72A3" w:rsidRPr="00A34F8A" w14:paraId="711A9875"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3B8B3A7B"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674F4A5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73.62%</w:t>
            </w:r>
          </w:p>
        </w:tc>
        <w:tc>
          <w:tcPr>
            <w:tcW w:w="0" w:type="pct"/>
            <w:tcBorders>
              <w:left w:val="single" w:sz="4" w:space="0" w:color="AEAAAA"/>
            </w:tcBorders>
            <w:tcMar>
              <w:top w:w="57" w:type="dxa"/>
              <w:left w:w="57" w:type="dxa"/>
              <w:bottom w:w="57" w:type="dxa"/>
              <w:right w:w="57" w:type="dxa"/>
            </w:tcMar>
            <w:vAlign w:val="top"/>
          </w:tcPr>
          <w:p w14:paraId="67E3B44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$3.00</w:t>
            </w:r>
          </w:p>
        </w:tc>
        <w:tc>
          <w:tcPr>
            <w:tcW w:w="0" w:type="pct"/>
            <w:tcBorders>
              <w:left w:val="single" w:sz="4" w:space="0" w:color="AEAAAA"/>
            </w:tcBorders>
            <w:tcMar>
              <w:top w:w="57" w:type="dxa"/>
              <w:left w:w="57" w:type="dxa"/>
              <w:bottom w:w="57" w:type="dxa"/>
              <w:right w:w="57" w:type="dxa"/>
            </w:tcMar>
            <w:vAlign w:val="top"/>
          </w:tcPr>
          <w:p w14:paraId="258835B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78.70%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581046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$3.53</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7193686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79.94%</w:t>
            </w:r>
          </w:p>
        </w:tc>
        <w:tc>
          <w:tcPr>
            <w:tcW w:w="0" w:type="pct"/>
            <w:tcBorders>
              <w:left w:val="single" w:sz="4" w:space="0" w:color="AEAAAA"/>
            </w:tcBorders>
            <w:tcMar>
              <w:top w:w="57" w:type="dxa"/>
              <w:left w:w="57" w:type="dxa"/>
              <w:bottom w:w="57" w:type="dxa"/>
              <w:right w:w="57" w:type="dxa"/>
            </w:tcMar>
            <w:vAlign w:val="top"/>
          </w:tcPr>
          <w:p w14:paraId="3F18B75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$3.35</w:t>
            </w:r>
          </w:p>
        </w:tc>
        <w:tc>
          <w:tcPr>
            <w:tcW w:w="0" w:type="pct"/>
            <w:tcBorders>
              <w:left w:val="single" w:sz="4" w:space="0" w:color="AEAAAA"/>
            </w:tcBorders>
            <w:tcMar>
              <w:top w:w="57" w:type="dxa"/>
              <w:left w:w="57" w:type="dxa"/>
              <w:bottom w:w="57" w:type="dxa"/>
              <w:right w:w="57" w:type="dxa"/>
            </w:tcMar>
            <w:vAlign w:val="top"/>
          </w:tcPr>
          <w:p w14:paraId="323E7DE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84.04%</w:t>
            </w:r>
          </w:p>
        </w:tc>
        <w:tc>
          <w:tcPr>
            <w:tcW w:w="0" w:type="pct"/>
            <w:tcBorders>
              <w:left w:val="single" w:sz="4" w:space="0" w:color="AEAAAA"/>
            </w:tcBorders>
            <w:tcMar>
              <w:top w:w="57" w:type="dxa"/>
              <w:left w:w="57" w:type="dxa"/>
              <w:bottom w:w="57" w:type="dxa"/>
              <w:right w:w="57" w:type="dxa"/>
            </w:tcMar>
            <w:vAlign w:val="top"/>
          </w:tcPr>
          <w:p w14:paraId="227156C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$3.42</w:t>
            </w:r>
          </w:p>
        </w:tc>
      </w:tr>
      <w:tr w:rsidR="00CA72A3" w:rsidRPr="00A34F8A" w14:paraId="367AA017"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2457B8FE"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4609EB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73.77%</w:t>
            </w:r>
          </w:p>
        </w:tc>
        <w:tc>
          <w:tcPr>
            <w:tcW w:w="0" w:type="pct"/>
            <w:tcBorders>
              <w:left w:val="single" w:sz="4" w:space="0" w:color="AEAAAA"/>
            </w:tcBorders>
            <w:tcMar>
              <w:top w:w="57" w:type="dxa"/>
              <w:left w:w="57" w:type="dxa"/>
              <w:bottom w:w="57" w:type="dxa"/>
              <w:right w:w="57" w:type="dxa"/>
            </w:tcMar>
            <w:vAlign w:val="top"/>
          </w:tcPr>
          <w:p w14:paraId="19B6E14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$3.07</w:t>
            </w:r>
          </w:p>
        </w:tc>
        <w:tc>
          <w:tcPr>
            <w:tcW w:w="0" w:type="pct"/>
            <w:tcBorders>
              <w:left w:val="single" w:sz="4" w:space="0" w:color="AEAAAA"/>
            </w:tcBorders>
            <w:tcMar>
              <w:top w:w="57" w:type="dxa"/>
              <w:left w:w="57" w:type="dxa"/>
              <w:bottom w:w="57" w:type="dxa"/>
              <w:right w:w="57" w:type="dxa"/>
            </w:tcMar>
            <w:vAlign w:val="top"/>
          </w:tcPr>
          <w:p w14:paraId="17EC224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79.00%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8EACE7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$3.72</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2FF5D3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80.30%</w:t>
            </w:r>
          </w:p>
        </w:tc>
        <w:tc>
          <w:tcPr>
            <w:tcW w:w="0" w:type="pct"/>
            <w:tcBorders>
              <w:left w:val="single" w:sz="4" w:space="0" w:color="AEAAAA"/>
            </w:tcBorders>
            <w:tcMar>
              <w:top w:w="57" w:type="dxa"/>
              <w:left w:w="57" w:type="dxa"/>
              <w:bottom w:w="57" w:type="dxa"/>
              <w:right w:w="57" w:type="dxa"/>
            </w:tcMar>
            <w:vAlign w:val="top"/>
          </w:tcPr>
          <w:p w14:paraId="59A79A0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$3.57</w:t>
            </w:r>
          </w:p>
        </w:tc>
        <w:tc>
          <w:tcPr>
            <w:tcW w:w="0" w:type="pct"/>
            <w:tcBorders>
              <w:left w:val="single" w:sz="4" w:space="0" w:color="AEAAAA"/>
            </w:tcBorders>
            <w:tcMar>
              <w:top w:w="57" w:type="dxa"/>
              <w:left w:w="57" w:type="dxa"/>
              <w:bottom w:w="57" w:type="dxa"/>
              <w:right w:w="57" w:type="dxa"/>
            </w:tcMar>
            <w:vAlign w:val="top"/>
          </w:tcPr>
          <w:p w14:paraId="0DCC442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84.76%</w:t>
            </w:r>
          </w:p>
        </w:tc>
        <w:tc>
          <w:tcPr>
            <w:tcW w:w="0" w:type="pct"/>
            <w:tcBorders>
              <w:left w:val="single" w:sz="4" w:space="0" w:color="AEAAAA"/>
            </w:tcBorders>
            <w:tcMar>
              <w:top w:w="57" w:type="dxa"/>
              <w:left w:w="57" w:type="dxa"/>
              <w:bottom w:w="57" w:type="dxa"/>
              <w:right w:w="57" w:type="dxa"/>
            </w:tcMar>
            <w:vAlign w:val="top"/>
          </w:tcPr>
          <w:p w14:paraId="7060391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$4.03</w:t>
            </w:r>
          </w:p>
        </w:tc>
      </w:tr>
    </w:tbl>
    <w:p w14:paraId="195C5485" w14:textId="77777777" w:rsidR="006A4B11" w:rsidRPr="00A34F8A" w:rsidRDefault="006A4B11" w:rsidP="006A4B11">
      <w:pPr>
        <w:pStyle w:val="BlueLineBottom"/>
        <w:rPr>
          <w:rFonts w:asciiTheme="minorHAnsi" w:hAnsiTheme="minorHAnsi" w:cstheme="minorHAnsi"/>
          <w:sz w:val="22"/>
          <w:szCs w:val="22"/>
        </w:rPr>
      </w:pPr>
    </w:p>
    <w:p w14:paraId="062334B5" w14:textId="6BC1041B" w:rsidR="00B043B9" w:rsidRDefault="00B043B9" w:rsidP="006A4B11">
      <w:pPr>
        <w:pStyle w:val="BlueLineTop"/>
        <w:rPr>
          <w:rFonts w:asciiTheme="minorHAnsi" w:hAnsiTheme="minorHAnsi" w:cstheme="minorHAnsi"/>
          <w:szCs w:val="22"/>
        </w:rPr>
      </w:pPr>
      <w:r>
        <w:rPr>
          <w:rFonts w:asciiTheme="minorHAnsi" w:hAnsiTheme="minorHAnsi" w:cstheme="minorHAnsi"/>
          <w:szCs w:val="22"/>
        </w:rPr>
        <w:br w:type="page"/>
      </w:r>
    </w:p>
    <w:p w14:paraId="5E21E830" w14:textId="77777777" w:rsidR="006A4B11" w:rsidRPr="00A34F8A" w:rsidRDefault="006A4B11" w:rsidP="006A4B11">
      <w:pPr>
        <w:pStyle w:val="BlueLineTop"/>
        <w:rPr>
          <w:rFonts w:asciiTheme="minorHAnsi" w:hAnsiTheme="minorHAnsi" w:cstheme="minorHAnsi"/>
          <w:sz w:val="22"/>
          <w:szCs w:val="22"/>
        </w:rPr>
      </w:pPr>
    </w:p>
    <w:p w14:paraId="55D571B2" w14:textId="0B7D7E4B" w:rsidR="006A4B11" w:rsidRPr="00A34F8A" w:rsidRDefault="006A4B11" w:rsidP="006A4B11">
      <w:pPr>
        <w:pStyle w:val="Caption"/>
        <w:keepNext/>
        <w:rPr>
          <w:rFonts w:asciiTheme="minorHAnsi" w:hAnsiTheme="minorHAnsi" w:cstheme="minorHAnsi"/>
          <w:sz w:val="22"/>
          <w:szCs w:val="22"/>
        </w:rPr>
      </w:pPr>
      <w:bookmarkStart w:id="206" w:name="_Ref132809920"/>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35</w:t>
      </w:r>
      <w:r w:rsidRPr="00A34F8A">
        <w:rPr>
          <w:rFonts w:asciiTheme="minorHAnsi" w:hAnsiTheme="minorHAnsi" w:cstheme="minorHAnsi"/>
          <w:noProof/>
          <w:sz w:val="22"/>
          <w:szCs w:val="22"/>
        </w:rPr>
        <w:fldChar w:fldCharType="end"/>
      </w:r>
      <w:bookmarkEnd w:id="206"/>
      <w:r w:rsidRPr="00A34F8A">
        <w:rPr>
          <w:rFonts w:asciiTheme="minorHAnsi" w:hAnsiTheme="minorHAnsi" w:cstheme="minorHAnsi"/>
          <w:sz w:val="22"/>
          <w:szCs w:val="22"/>
        </w:rPr>
        <w:t>: AC-AC Basic voltage EPS incremental mark-up for active mode efficiency increases. Costs in AUD (2023 pricing)</w:t>
      </w:r>
    </w:p>
    <w:tbl>
      <w:tblPr>
        <w:tblStyle w:val="ComCap4-nested"/>
        <w:tblW w:w="5203" w:type="pct"/>
        <w:tblInd w:w="-567" w:type="dxa"/>
        <w:tblBorders>
          <w:insideV w:val="single" w:sz="4" w:space="0" w:color="auto"/>
        </w:tblBorders>
        <w:tblLook w:val="04A0" w:firstRow="1" w:lastRow="0" w:firstColumn="1" w:lastColumn="0" w:noHBand="0" w:noVBand="1"/>
      </w:tblPr>
      <w:tblGrid>
        <w:gridCol w:w="1976"/>
        <w:gridCol w:w="2251"/>
        <w:gridCol w:w="1933"/>
        <w:gridCol w:w="2251"/>
        <w:gridCol w:w="1932"/>
        <w:gridCol w:w="2250"/>
        <w:gridCol w:w="1932"/>
      </w:tblGrid>
      <w:tr w:rsidR="00CA72A3" w:rsidRPr="00A34F8A" w14:paraId="5EB8B7A4" w14:textId="77777777" w:rsidTr="00CA72A3">
        <w:trPr>
          <w:cnfStyle w:val="100000000000" w:firstRow="1" w:lastRow="0" w:firstColumn="0" w:lastColumn="0" w:oddVBand="0" w:evenVBand="0" w:oddHBand="0" w:evenHBand="0" w:firstRowFirstColumn="0" w:firstRowLastColumn="0" w:lastRowFirstColumn="0" w:lastRowLastColumn="0"/>
          <w:trHeight w:val="392"/>
        </w:trPr>
        <w:tc>
          <w:tcPr>
            <w:tcW w:w="0" w:type="pct"/>
            <w:tcBorders>
              <w:right w:val="single" w:sz="4" w:space="0" w:color="C4BC96" w:themeColor="background2" w:themeShade="BF"/>
            </w:tcBorders>
            <w:tcMar>
              <w:top w:w="57" w:type="dxa"/>
              <w:left w:w="57" w:type="dxa"/>
              <w:bottom w:w="57" w:type="dxa"/>
              <w:right w:w="57" w:type="dxa"/>
            </w:tcMar>
            <w:vAlign w:val="top"/>
          </w:tcPr>
          <w:p w14:paraId="7877A7F5" w14:textId="77777777" w:rsidR="006A4B11" w:rsidRPr="00A34F8A" w:rsidRDefault="006A4B11" w:rsidP="005D3977">
            <w:pPr>
              <w:pStyle w:val="Table1-columnheadingdata"/>
              <w:rPr>
                <w:rFonts w:asciiTheme="minorHAnsi" w:hAnsiTheme="minorHAnsi" w:cstheme="minorHAnsi"/>
                <w:sz w:val="22"/>
                <w:szCs w:val="22"/>
              </w:rPr>
            </w:pP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21734A3B"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3.6W</w:t>
            </w:r>
          </w:p>
        </w:tc>
        <w:tc>
          <w:tcPr>
            <w:tcW w:w="0" w:type="pct"/>
            <w:gridSpan w:val="2"/>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5EF38662"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24W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3F774C59"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40W</w:t>
            </w:r>
          </w:p>
        </w:tc>
      </w:tr>
      <w:tr w:rsidR="000D6E27" w:rsidRPr="00A34F8A" w14:paraId="5F130449" w14:textId="77777777" w:rsidTr="00B043B9">
        <w:trPr>
          <w:trHeight w:val="508"/>
        </w:trPr>
        <w:tc>
          <w:tcPr>
            <w:tcW w:w="0" w:type="pct"/>
            <w:tcBorders>
              <w:right w:val="single" w:sz="4" w:space="0" w:color="C4BC96" w:themeColor="background2" w:themeShade="BF"/>
            </w:tcBorders>
            <w:shd w:val="clear" w:color="auto" w:fill="D1D8E0"/>
            <w:tcMar>
              <w:top w:w="57" w:type="dxa"/>
              <w:left w:w="57" w:type="dxa"/>
              <w:bottom w:w="57" w:type="dxa"/>
              <w:right w:w="57" w:type="dxa"/>
            </w:tcMar>
            <w:vAlign w:val="top"/>
          </w:tcPr>
          <w:p w14:paraId="6F69E917" w14:textId="77777777" w:rsidR="006A4B11" w:rsidRPr="00A34F8A" w:rsidRDefault="006A4B11" w:rsidP="005D3977">
            <w:pPr>
              <w:pStyle w:val="Table2-Rowheadingdata"/>
              <w:rPr>
                <w:rFonts w:asciiTheme="minorHAnsi" w:hAnsiTheme="minorHAnsi" w:cstheme="minorHAnsi"/>
                <w:sz w:val="22"/>
                <w:szCs w:val="22"/>
              </w:rPr>
            </w:pPr>
          </w:p>
        </w:tc>
        <w:tc>
          <w:tcPr>
            <w:tcW w:w="0" w:type="pct"/>
            <w:tcBorders>
              <w:left w:val="single" w:sz="4" w:space="0" w:color="C4BC96" w:themeColor="background2" w:themeShade="BF"/>
              <w:right w:val="single" w:sz="4" w:space="0" w:color="AEAAAA"/>
            </w:tcBorders>
            <w:shd w:val="clear" w:color="auto" w:fill="D1D8E0"/>
            <w:tcMar>
              <w:top w:w="57" w:type="dxa"/>
              <w:left w:w="57" w:type="dxa"/>
              <w:bottom w:w="57" w:type="dxa"/>
              <w:right w:w="57" w:type="dxa"/>
            </w:tcMar>
            <w:vAlign w:val="top"/>
          </w:tcPr>
          <w:p w14:paraId="4D20016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5FE1C0F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72B50F6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271C174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7BB55E7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77F7235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r>
      <w:tr w:rsidR="00CA72A3" w:rsidRPr="00A34F8A" w14:paraId="563CCFE6"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77985C54"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2B1AED5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55.00%</w:t>
            </w:r>
          </w:p>
        </w:tc>
        <w:tc>
          <w:tcPr>
            <w:tcW w:w="0" w:type="pct"/>
            <w:tcBorders>
              <w:left w:val="single" w:sz="4" w:space="0" w:color="AEAAAA"/>
            </w:tcBorders>
            <w:tcMar>
              <w:top w:w="57" w:type="dxa"/>
              <w:left w:w="57" w:type="dxa"/>
              <w:bottom w:w="57" w:type="dxa"/>
              <w:right w:w="57" w:type="dxa"/>
            </w:tcMar>
            <w:vAlign w:val="top"/>
          </w:tcPr>
          <w:p w14:paraId="4310E38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-$0.61</w:t>
            </w:r>
          </w:p>
        </w:tc>
        <w:tc>
          <w:tcPr>
            <w:tcW w:w="0" w:type="pct"/>
            <w:tcBorders>
              <w:left w:val="single" w:sz="4" w:space="0" w:color="AEAAAA"/>
            </w:tcBorders>
            <w:tcMar>
              <w:top w:w="57" w:type="dxa"/>
              <w:left w:w="57" w:type="dxa"/>
              <w:bottom w:w="57" w:type="dxa"/>
              <w:right w:w="57" w:type="dxa"/>
            </w:tcMar>
            <w:vAlign w:val="top"/>
          </w:tcPr>
          <w:p w14:paraId="79F5643E"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74.00%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613933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-$0.71</w:t>
            </w:r>
          </w:p>
        </w:tc>
        <w:tc>
          <w:tcPr>
            <w:tcW w:w="0" w:type="pct"/>
            <w:tcBorders>
              <w:left w:val="single" w:sz="4" w:space="0" w:color="AEAAAA"/>
            </w:tcBorders>
            <w:tcMar>
              <w:top w:w="57" w:type="dxa"/>
              <w:left w:w="57" w:type="dxa"/>
              <w:bottom w:w="57" w:type="dxa"/>
              <w:right w:w="57" w:type="dxa"/>
            </w:tcMar>
            <w:vAlign w:val="top"/>
          </w:tcPr>
          <w:p w14:paraId="48026B3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80.00%</w:t>
            </w:r>
          </w:p>
        </w:tc>
        <w:tc>
          <w:tcPr>
            <w:tcW w:w="0" w:type="pct"/>
            <w:tcBorders>
              <w:left w:val="single" w:sz="4" w:space="0" w:color="AEAAAA"/>
            </w:tcBorders>
            <w:tcMar>
              <w:top w:w="57" w:type="dxa"/>
              <w:left w:w="57" w:type="dxa"/>
              <w:bottom w:w="57" w:type="dxa"/>
              <w:right w:w="57" w:type="dxa"/>
            </w:tcMar>
            <w:vAlign w:val="top"/>
          </w:tcPr>
          <w:p w14:paraId="1FD8ABA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-$0.72</w:t>
            </w:r>
          </w:p>
        </w:tc>
      </w:tr>
      <w:tr w:rsidR="00CA72A3" w:rsidRPr="00A34F8A" w14:paraId="25178D2E"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76007BED"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0B9F16F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60.53%</w:t>
            </w:r>
          </w:p>
        </w:tc>
        <w:tc>
          <w:tcPr>
            <w:tcW w:w="0" w:type="pct"/>
            <w:tcBorders>
              <w:left w:val="single" w:sz="4" w:space="0" w:color="AEAAAA"/>
            </w:tcBorders>
            <w:tcMar>
              <w:top w:w="57" w:type="dxa"/>
              <w:left w:w="57" w:type="dxa"/>
              <w:bottom w:w="57" w:type="dxa"/>
              <w:right w:w="57" w:type="dxa"/>
            </w:tcMar>
            <w:vAlign w:val="top"/>
          </w:tcPr>
          <w:p w14:paraId="7141539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7231328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77.60%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646C615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2CDF7A5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82.20%</w:t>
            </w:r>
          </w:p>
        </w:tc>
        <w:tc>
          <w:tcPr>
            <w:tcW w:w="0" w:type="pct"/>
            <w:tcBorders>
              <w:left w:val="single" w:sz="4" w:space="0" w:color="AEAAAA"/>
            </w:tcBorders>
            <w:tcMar>
              <w:top w:w="57" w:type="dxa"/>
              <w:left w:w="57" w:type="dxa"/>
              <w:bottom w:w="57" w:type="dxa"/>
              <w:right w:w="57" w:type="dxa"/>
            </w:tcMar>
            <w:vAlign w:val="top"/>
          </w:tcPr>
          <w:p w14:paraId="1465EBE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r>
      <w:tr w:rsidR="00CA72A3" w:rsidRPr="00A34F8A" w14:paraId="125506F8"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138FE126"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11BD349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61.53%</w:t>
            </w:r>
          </w:p>
        </w:tc>
        <w:tc>
          <w:tcPr>
            <w:tcW w:w="0" w:type="pct"/>
            <w:tcBorders>
              <w:left w:val="single" w:sz="4" w:space="0" w:color="AEAAAA"/>
            </w:tcBorders>
            <w:tcMar>
              <w:top w:w="57" w:type="dxa"/>
              <w:left w:w="57" w:type="dxa"/>
              <w:bottom w:w="57" w:type="dxa"/>
              <w:right w:w="57" w:type="dxa"/>
            </w:tcMar>
            <w:vAlign w:val="top"/>
          </w:tcPr>
          <w:p w14:paraId="2296564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$0.14</w:t>
            </w:r>
          </w:p>
        </w:tc>
        <w:tc>
          <w:tcPr>
            <w:tcW w:w="0" w:type="pct"/>
            <w:tcBorders>
              <w:left w:val="single" w:sz="4" w:space="0" w:color="AEAAAA"/>
            </w:tcBorders>
            <w:tcMar>
              <w:top w:w="57" w:type="dxa"/>
              <w:left w:w="57" w:type="dxa"/>
              <w:bottom w:w="57" w:type="dxa"/>
              <w:right w:w="57" w:type="dxa"/>
            </w:tcMar>
            <w:vAlign w:val="top"/>
          </w:tcPr>
          <w:p w14:paraId="7C788CB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78.60%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7BB987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$0.26</w:t>
            </w:r>
          </w:p>
        </w:tc>
        <w:tc>
          <w:tcPr>
            <w:tcW w:w="0" w:type="pct"/>
            <w:tcBorders>
              <w:left w:val="single" w:sz="4" w:space="0" w:color="AEAAAA"/>
            </w:tcBorders>
            <w:tcMar>
              <w:top w:w="57" w:type="dxa"/>
              <w:left w:w="57" w:type="dxa"/>
              <w:bottom w:w="57" w:type="dxa"/>
              <w:right w:w="57" w:type="dxa"/>
            </w:tcMar>
            <w:vAlign w:val="top"/>
          </w:tcPr>
          <w:p w14:paraId="32D5898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83.20%</w:t>
            </w:r>
          </w:p>
        </w:tc>
        <w:tc>
          <w:tcPr>
            <w:tcW w:w="0" w:type="pct"/>
            <w:tcBorders>
              <w:left w:val="single" w:sz="4" w:space="0" w:color="AEAAAA"/>
            </w:tcBorders>
            <w:tcMar>
              <w:top w:w="57" w:type="dxa"/>
              <w:left w:w="57" w:type="dxa"/>
              <w:bottom w:w="57" w:type="dxa"/>
              <w:right w:w="57" w:type="dxa"/>
            </w:tcMar>
            <w:vAlign w:val="top"/>
          </w:tcPr>
          <w:p w14:paraId="450956D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$0.44</w:t>
            </w:r>
          </w:p>
        </w:tc>
      </w:tr>
      <w:tr w:rsidR="00CA72A3" w:rsidRPr="00A34F8A" w14:paraId="58D5EC89"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62F9068C"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067D1A6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70.22%</w:t>
            </w:r>
          </w:p>
        </w:tc>
        <w:tc>
          <w:tcPr>
            <w:tcW w:w="0" w:type="pct"/>
            <w:tcBorders>
              <w:left w:val="single" w:sz="4" w:space="0" w:color="AEAAAA"/>
            </w:tcBorders>
            <w:tcMar>
              <w:top w:w="57" w:type="dxa"/>
              <w:left w:w="57" w:type="dxa"/>
              <w:bottom w:w="57" w:type="dxa"/>
              <w:right w:w="57" w:type="dxa"/>
            </w:tcMar>
            <w:vAlign w:val="top"/>
          </w:tcPr>
          <w:p w14:paraId="0869B5D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$1.87</w:t>
            </w:r>
          </w:p>
        </w:tc>
        <w:tc>
          <w:tcPr>
            <w:tcW w:w="0" w:type="pct"/>
            <w:tcBorders>
              <w:left w:val="single" w:sz="4" w:space="0" w:color="AEAAAA"/>
            </w:tcBorders>
            <w:tcMar>
              <w:top w:w="57" w:type="dxa"/>
              <w:left w:w="57" w:type="dxa"/>
              <w:bottom w:w="57" w:type="dxa"/>
              <w:right w:w="57" w:type="dxa"/>
            </w:tcMar>
            <w:vAlign w:val="top"/>
          </w:tcPr>
          <w:p w14:paraId="5A7187D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82.09%</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076212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$1.51</w:t>
            </w:r>
          </w:p>
        </w:tc>
        <w:tc>
          <w:tcPr>
            <w:tcW w:w="0" w:type="pct"/>
            <w:tcBorders>
              <w:left w:val="single" w:sz="4" w:space="0" w:color="AEAAAA"/>
            </w:tcBorders>
            <w:tcMar>
              <w:top w:w="57" w:type="dxa"/>
              <w:left w:w="57" w:type="dxa"/>
              <w:bottom w:w="57" w:type="dxa"/>
              <w:right w:w="57" w:type="dxa"/>
            </w:tcMar>
            <w:vAlign w:val="top"/>
          </w:tcPr>
          <w:p w14:paraId="5EE3607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85.29%</w:t>
            </w:r>
          </w:p>
        </w:tc>
        <w:tc>
          <w:tcPr>
            <w:tcW w:w="0" w:type="pct"/>
            <w:tcBorders>
              <w:left w:val="single" w:sz="4" w:space="0" w:color="AEAAAA"/>
            </w:tcBorders>
            <w:tcMar>
              <w:top w:w="57" w:type="dxa"/>
              <w:left w:w="57" w:type="dxa"/>
              <w:bottom w:w="57" w:type="dxa"/>
              <w:right w:w="57" w:type="dxa"/>
            </w:tcMar>
            <w:vAlign w:val="top"/>
          </w:tcPr>
          <w:p w14:paraId="53F77F2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$1.66</w:t>
            </w:r>
          </w:p>
        </w:tc>
      </w:tr>
      <w:tr w:rsidR="00CA72A3" w:rsidRPr="00A34F8A" w14:paraId="65E34733"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21E016CB"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2CD7271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75.59%</w:t>
            </w:r>
          </w:p>
        </w:tc>
        <w:tc>
          <w:tcPr>
            <w:tcW w:w="0" w:type="pct"/>
            <w:tcBorders>
              <w:left w:val="single" w:sz="4" w:space="0" w:color="AEAAAA"/>
            </w:tcBorders>
            <w:tcMar>
              <w:top w:w="57" w:type="dxa"/>
              <w:left w:w="57" w:type="dxa"/>
              <w:bottom w:w="57" w:type="dxa"/>
              <w:right w:w="57" w:type="dxa"/>
            </w:tcMar>
            <w:vAlign w:val="top"/>
          </w:tcPr>
          <w:p w14:paraId="5504544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$3.62</w:t>
            </w:r>
          </w:p>
        </w:tc>
        <w:tc>
          <w:tcPr>
            <w:tcW w:w="0" w:type="pct"/>
            <w:tcBorders>
              <w:left w:val="single" w:sz="4" w:space="0" w:color="AEAAAA"/>
            </w:tcBorders>
            <w:tcMar>
              <w:top w:w="57" w:type="dxa"/>
              <w:left w:w="57" w:type="dxa"/>
              <w:bottom w:w="57" w:type="dxa"/>
              <w:right w:w="57" w:type="dxa"/>
            </w:tcMar>
            <w:vAlign w:val="top"/>
          </w:tcPr>
          <w:p w14:paraId="22232D3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86.21%</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A89B07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$3.93</w:t>
            </w:r>
          </w:p>
        </w:tc>
        <w:tc>
          <w:tcPr>
            <w:tcW w:w="0" w:type="pct"/>
            <w:tcBorders>
              <w:left w:val="single" w:sz="4" w:space="0" w:color="AEAAAA"/>
            </w:tcBorders>
            <w:tcMar>
              <w:top w:w="57" w:type="dxa"/>
              <w:left w:w="57" w:type="dxa"/>
              <w:bottom w:w="57" w:type="dxa"/>
              <w:right w:w="57" w:type="dxa"/>
            </w:tcMar>
            <w:vAlign w:val="top"/>
          </w:tcPr>
          <w:p w14:paraId="4F4425F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87.59%</w:t>
            </w:r>
          </w:p>
        </w:tc>
        <w:tc>
          <w:tcPr>
            <w:tcW w:w="0" w:type="pct"/>
            <w:tcBorders>
              <w:left w:val="single" w:sz="4" w:space="0" w:color="AEAAAA"/>
            </w:tcBorders>
            <w:tcMar>
              <w:top w:w="57" w:type="dxa"/>
              <w:left w:w="57" w:type="dxa"/>
              <w:bottom w:w="57" w:type="dxa"/>
              <w:right w:w="57" w:type="dxa"/>
            </w:tcMar>
            <w:vAlign w:val="top"/>
          </w:tcPr>
          <w:p w14:paraId="04705E6E"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$3.67</w:t>
            </w:r>
          </w:p>
        </w:tc>
      </w:tr>
      <w:tr w:rsidR="00CA72A3" w:rsidRPr="00A34F8A" w14:paraId="01177247"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5B2F53EE"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1B3BA9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75.68%</w:t>
            </w:r>
          </w:p>
        </w:tc>
        <w:tc>
          <w:tcPr>
            <w:tcW w:w="0" w:type="pct"/>
            <w:tcBorders>
              <w:left w:val="single" w:sz="4" w:space="0" w:color="AEAAAA"/>
            </w:tcBorders>
            <w:tcMar>
              <w:top w:w="57" w:type="dxa"/>
              <w:left w:w="57" w:type="dxa"/>
              <w:bottom w:w="57" w:type="dxa"/>
              <w:right w:w="57" w:type="dxa"/>
            </w:tcMar>
            <w:vAlign w:val="top"/>
          </w:tcPr>
          <w:p w14:paraId="2709E04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$3.66</w:t>
            </w:r>
          </w:p>
        </w:tc>
        <w:tc>
          <w:tcPr>
            <w:tcW w:w="0" w:type="pct"/>
            <w:tcBorders>
              <w:left w:val="single" w:sz="4" w:space="0" w:color="AEAAAA"/>
            </w:tcBorders>
            <w:tcMar>
              <w:top w:w="57" w:type="dxa"/>
              <w:left w:w="57" w:type="dxa"/>
              <w:bottom w:w="57" w:type="dxa"/>
              <w:right w:w="57" w:type="dxa"/>
            </w:tcMar>
            <w:vAlign w:val="top"/>
          </w:tcPr>
          <w:p w14:paraId="40ED470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86.80%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69CAA57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$4.41</w:t>
            </w:r>
          </w:p>
        </w:tc>
        <w:tc>
          <w:tcPr>
            <w:tcW w:w="0" w:type="pct"/>
            <w:tcBorders>
              <w:left w:val="single" w:sz="4" w:space="0" w:color="AEAAAA"/>
            </w:tcBorders>
            <w:tcMar>
              <w:top w:w="57" w:type="dxa"/>
              <w:left w:w="57" w:type="dxa"/>
              <w:bottom w:w="57" w:type="dxa"/>
              <w:right w:w="57" w:type="dxa"/>
            </w:tcMar>
            <w:vAlign w:val="top"/>
          </w:tcPr>
          <w:p w14:paraId="1E3AC2D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88.59%</w:t>
            </w:r>
          </w:p>
        </w:tc>
        <w:tc>
          <w:tcPr>
            <w:tcW w:w="0" w:type="pct"/>
            <w:tcBorders>
              <w:left w:val="single" w:sz="4" w:space="0" w:color="AEAAAA"/>
            </w:tcBorders>
            <w:tcMar>
              <w:top w:w="57" w:type="dxa"/>
              <w:left w:w="57" w:type="dxa"/>
              <w:bottom w:w="57" w:type="dxa"/>
              <w:right w:w="57" w:type="dxa"/>
            </w:tcMar>
            <w:vAlign w:val="top"/>
          </w:tcPr>
          <w:p w14:paraId="4F51683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$4.84</w:t>
            </w:r>
          </w:p>
        </w:tc>
      </w:tr>
    </w:tbl>
    <w:p w14:paraId="7B87CA08" w14:textId="77777777" w:rsidR="006A4B11" w:rsidRPr="00A34F8A" w:rsidRDefault="006A4B11" w:rsidP="006A4B11">
      <w:pPr>
        <w:pStyle w:val="BlueLineBottom"/>
        <w:rPr>
          <w:rFonts w:asciiTheme="minorHAnsi" w:hAnsiTheme="minorHAnsi" w:cstheme="minorHAnsi"/>
          <w:sz w:val="22"/>
          <w:szCs w:val="22"/>
        </w:rPr>
      </w:pPr>
    </w:p>
    <w:p w14:paraId="28306642" w14:textId="683DE86A" w:rsidR="00B043B9" w:rsidRDefault="00B043B9" w:rsidP="006A4B11">
      <w:pPr>
        <w:pStyle w:val="BlueLineTop"/>
        <w:rPr>
          <w:rFonts w:asciiTheme="minorHAnsi" w:hAnsiTheme="minorHAnsi" w:cstheme="minorHAnsi"/>
          <w:szCs w:val="22"/>
        </w:rPr>
      </w:pPr>
      <w:r>
        <w:rPr>
          <w:rFonts w:asciiTheme="minorHAnsi" w:hAnsiTheme="minorHAnsi" w:cstheme="minorHAnsi"/>
          <w:szCs w:val="22"/>
        </w:rPr>
        <w:br w:type="page"/>
      </w:r>
    </w:p>
    <w:p w14:paraId="31D43040" w14:textId="77777777" w:rsidR="006A4B11" w:rsidRPr="00A34F8A" w:rsidRDefault="006A4B11" w:rsidP="006A4B11">
      <w:pPr>
        <w:pStyle w:val="BlueLineTop"/>
        <w:rPr>
          <w:rFonts w:asciiTheme="minorHAnsi" w:hAnsiTheme="minorHAnsi" w:cstheme="minorHAnsi"/>
          <w:sz w:val="22"/>
          <w:szCs w:val="22"/>
        </w:rPr>
      </w:pPr>
    </w:p>
    <w:p w14:paraId="344BDD92" w14:textId="2B72FA8D" w:rsidR="006A4B11" w:rsidRPr="00A34F8A" w:rsidRDefault="006A4B11" w:rsidP="006A4B11">
      <w:pPr>
        <w:pStyle w:val="Caption"/>
        <w:keepNext/>
        <w:rPr>
          <w:rFonts w:asciiTheme="minorHAnsi" w:hAnsiTheme="minorHAnsi" w:cstheme="minorHAnsi"/>
          <w:sz w:val="22"/>
          <w:szCs w:val="22"/>
        </w:rPr>
      </w:pPr>
      <w:bookmarkStart w:id="207" w:name="_Ref132809922"/>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36</w:t>
      </w:r>
      <w:r w:rsidRPr="00A34F8A">
        <w:rPr>
          <w:rFonts w:asciiTheme="minorHAnsi" w:hAnsiTheme="minorHAnsi" w:cstheme="minorHAnsi"/>
          <w:noProof/>
          <w:sz w:val="22"/>
          <w:szCs w:val="22"/>
        </w:rPr>
        <w:fldChar w:fldCharType="end"/>
      </w:r>
      <w:bookmarkEnd w:id="207"/>
      <w:r w:rsidRPr="00A34F8A">
        <w:rPr>
          <w:rFonts w:asciiTheme="minorHAnsi" w:hAnsiTheme="minorHAnsi" w:cstheme="minorHAnsi"/>
          <w:sz w:val="22"/>
          <w:szCs w:val="22"/>
        </w:rPr>
        <w:t>: AC-AC Low voltage EPS incremental mark-up for active mode efficiency increases. Costs in AUD (2023 pricing)</w:t>
      </w:r>
    </w:p>
    <w:tbl>
      <w:tblPr>
        <w:tblStyle w:val="ComCap4-nested"/>
        <w:tblW w:w="5203" w:type="pct"/>
        <w:tblInd w:w="-567" w:type="dxa"/>
        <w:tblBorders>
          <w:insideV w:val="single" w:sz="4" w:space="0" w:color="auto"/>
        </w:tblBorders>
        <w:tblLook w:val="04A0" w:firstRow="1" w:lastRow="0" w:firstColumn="1" w:lastColumn="0" w:noHBand="0" w:noVBand="1"/>
      </w:tblPr>
      <w:tblGrid>
        <w:gridCol w:w="2221"/>
        <w:gridCol w:w="2210"/>
        <w:gridCol w:w="1892"/>
        <w:gridCol w:w="2210"/>
        <w:gridCol w:w="1892"/>
        <w:gridCol w:w="2209"/>
        <w:gridCol w:w="1891"/>
      </w:tblGrid>
      <w:tr w:rsidR="00CA72A3" w:rsidRPr="00A34F8A" w14:paraId="0AC3F2B3" w14:textId="77777777" w:rsidTr="00CA72A3">
        <w:trPr>
          <w:cnfStyle w:val="100000000000" w:firstRow="1" w:lastRow="0" w:firstColumn="0" w:lastColumn="0" w:oddVBand="0" w:evenVBand="0" w:oddHBand="0" w:evenHBand="0" w:firstRowFirstColumn="0" w:firstRowLastColumn="0" w:lastRowFirstColumn="0" w:lastRowLastColumn="0"/>
          <w:trHeight w:val="392"/>
        </w:trPr>
        <w:tc>
          <w:tcPr>
            <w:tcW w:w="0" w:type="pct"/>
            <w:tcBorders>
              <w:right w:val="single" w:sz="4" w:space="0" w:color="C4BC96" w:themeColor="background2" w:themeShade="BF"/>
            </w:tcBorders>
            <w:tcMar>
              <w:top w:w="57" w:type="dxa"/>
              <w:left w:w="57" w:type="dxa"/>
              <w:bottom w:w="57" w:type="dxa"/>
              <w:right w:w="57" w:type="dxa"/>
            </w:tcMar>
            <w:vAlign w:val="top"/>
          </w:tcPr>
          <w:p w14:paraId="5D7FE71B" w14:textId="77777777" w:rsidR="006A4B11" w:rsidRPr="00A34F8A" w:rsidRDefault="006A4B11" w:rsidP="005D3977">
            <w:pPr>
              <w:pStyle w:val="Table1-columnheadingdata"/>
              <w:rPr>
                <w:rFonts w:asciiTheme="minorHAnsi" w:hAnsiTheme="minorHAnsi" w:cstheme="minorHAnsi"/>
                <w:sz w:val="22"/>
                <w:szCs w:val="22"/>
              </w:rPr>
            </w:pP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0ED1D213"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12W</w:t>
            </w:r>
          </w:p>
        </w:tc>
        <w:tc>
          <w:tcPr>
            <w:tcW w:w="0" w:type="pct"/>
            <w:gridSpan w:val="2"/>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2274DF85"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17W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78AFC921"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24W</w:t>
            </w:r>
          </w:p>
        </w:tc>
      </w:tr>
      <w:tr w:rsidR="000D6E27" w:rsidRPr="00A34F8A" w14:paraId="78C95250" w14:textId="77777777" w:rsidTr="00B043B9">
        <w:trPr>
          <w:trHeight w:val="508"/>
        </w:trPr>
        <w:tc>
          <w:tcPr>
            <w:tcW w:w="0" w:type="pct"/>
            <w:tcBorders>
              <w:right w:val="single" w:sz="4" w:space="0" w:color="C4BC96" w:themeColor="background2" w:themeShade="BF"/>
            </w:tcBorders>
            <w:shd w:val="clear" w:color="auto" w:fill="D1D8E0"/>
            <w:tcMar>
              <w:top w:w="57" w:type="dxa"/>
              <w:left w:w="57" w:type="dxa"/>
              <w:bottom w:w="57" w:type="dxa"/>
              <w:right w:w="57" w:type="dxa"/>
            </w:tcMar>
            <w:vAlign w:val="top"/>
          </w:tcPr>
          <w:p w14:paraId="1A426C4F" w14:textId="77777777" w:rsidR="006A4B11" w:rsidRPr="00A34F8A" w:rsidRDefault="006A4B11" w:rsidP="005D3977">
            <w:pPr>
              <w:pStyle w:val="Table2-Rowheadingdata"/>
              <w:rPr>
                <w:rFonts w:asciiTheme="minorHAnsi" w:hAnsiTheme="minorHAnsi" w:cstheme="minorHAnsi"/>
                <w:sz w:val="22"/>
                <w:szCs w:val="22"/>
              </w:rPr>
            </w:pPr>
          </w:p>
        </w:tc>
        <w:tc>
          <w:tcPr>
            <w:tcW w:w="0" w:type="pct"/>
            <w:tcBorders>
              <w:left w:val="single" w:sz="4" w:space="0" w:color="C4BC96" w:themeColor="background2" w:themeShade="BF"/>
              <w:right w:val="single" w:sz="4" w:space="0" w:color="AEAAAA"/>
            </w:tcBorders>
            <w:shd w:val="clear" w:color="auto" w:fill="D1D8E0"/>
            <w:tcMar>
              <w:top w:w="57" w:type="dxa"/>
              <w:left w:w="57" w:type="dxa"/>
              <w:bottom w:w="57" w:type="dxa"/>
              <w:right w:w="57" w:type="dxa"/>
            </w:tcMar>
            <w:vAlign w:val="top"/>
          </w:tcPr>
          <w:p w14:paraId="0141DDC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56E5F54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4EFFAAC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4146FDD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5B8401E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72491576"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r>
      <w:tr w:rsidR="00CA72A3" w:rsidRPr="00A34F8A" w14:paraId="657EAAC1"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5E67D068"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FB2FDA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68.00%</w:t>
            </w:r>
          </w:p>
        </w:tc>
        <w:tc>
          <w:tcPr>
            <w:tcW w:w="0" w:type="pct"/>
            <w:tcBorders>
              <w:left w:val="single" w:sz="4" w:space="0" w:color="AEAAAA"/>
            </w:tcBorders>
            <w:tcMar>
              <w:top w:w="57" w:type="dxa"/>
              <w:left w:w="57" w:type="dxa"/>
              <w:bottom w:w="57" w:type="dxa"/>
              <w:right w:w="57" w:type="dxa"/>
            </w:tcMar>
            <w:vAlign w:val="top"/>
          </w:tcPr>
          <w:p w14:paraId="20BA8BC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-$0.68</w:t>
            </w:r>
          </w:p>
        </w:tc>
        <w:tc>
          <w:tcPr>
            <w:tcW w:w="0" w:type="pct"/>
            <w:tcBorders>
              <w:left w:val="single" w:sz="4" w:space="0" w:color="AEAAAA"/>
            </w:tcBorders>
            <w:tcMar>
              <w:top w:w="57" w:type="dxa"/>
              <w:left w:w="57" w:type="dxa"/>
              <w:bottom w:w="57" w:type="dxa"/>
              <w:right w:w="57" w:type="dxa"/>
            </w:tcMar>
            <w:vAlign w:val="top"/>
          </w:tcPr>
          <w:p w14:paraId="2F91E28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71.00%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0AAD4C7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-$0.78</w:t>
            </w:r>
          </w:p>
        </w:tc>
        <w:tc>
          <w:tcPr>
            <w:tcW w:w="0" w:type="pct"/>
            <w:tcBorders>
              <w:left w:val="single" w:sz="4" w:space="0" w:color="AEAAAA"/>
            </w:tcBorders>
            <w:tcMar>
              <w:top w:w="57" w:type="dxa"/>
              <w:left w:w="57" w:type="dxa"/>
              <w:bottom w:w="57" w:type="dxa"/>
              <w:right w:w="57" w:type="dxa"/>
            </w:tcMar>
            <w:vAlign w:val="top"/>
          </w:tcPr>
          <w:p w14:paraId="355A18E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75.00%</w:t>
            </w:r>
          </w:p>
        </w:tc>
        <w:tc>
          <w:tcPr>
            <w:tcW w:w="0" w:type="pct"/>
            <w:tcBorders>
              <w:left w:val="single" w:sz="4" w:space="0" w:color="AEAAAA"/>
            </w:tcBorders>
            <w:tcMar>
              <w:top w:w="57" w:type="dxa"/>
              <w:left w:w="57" w:type="dxa"/>
              <w:bottom w:w="57" w:type="dxa"/>
              <w:right w:w="57" w:type="dxa"/>
            </w:tcMar>
            <w:vAlign w:val="top"/>
          </w:tcPr>
          <w:p w14:paraId="5C7A93A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-$0.71</w:t>
            </w:r>
          </w:p>
        </w:tc>
      </w:tr>
      <w:tr w:rsidR="00CA72A3" w:rsidRPr="00A34F8A" w14:paraId="2A788C20" w14:textId="77777777" w:rsidTr="00CA72A3">
        <w:trPr>
          <w:trHeight w:val="91"/>
        </w:trPr>
        <w:tc>
          <w:tcPr>
            <w:tcW w:w="0" w:type="pct"/>
            <w:tcBorders>
              <w:right w:val="single" w:sz="4" w:space="0" w:color="C4BC96" w:themeColor="background2" w:themeShade="BF"/>
            </w:tcBorders>
            <w:tcMar>
              <w:top w:w="57" w:type="dxa"/>
              <w:left w:w="57" w:type="dxa"/>
              <w:bottom w:w="57" w:type="dxa"/>
              <w:right w:w="57" w:type="dxa"/>
            </w:tcMar>
            <w:vAlign w:val="top"/>
          </w:tcPr>
          <w:p w14:paraId="4769A673"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III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3B2358A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71.36%</w:t>
            </w:r>
          </w:p>
        </w:tc>
        <w:tc>
          <w:tcPr>
            <w:tcW w:w="0" w:type="pct"/>
            <w:tcBorders>
              <w:left w:val="single" w:sz="4" w:space="0" w:color="AEAAAA"/>
            </w:tcBorders>
            <w:tcMar>
              <w:top w:w="57" w:type="dxa"/>
              <w:left w:w="57" w:type="dxa"/>
              <w:bottom w:w="57" w:type="dxa"/>
              <w:right w:w="57" w:type="dxa"/>
            </w:tcMar>
            <w:vAlign w:val="top"/>
          </w:tcPr>
          <w:p w14:paraId="560DC8F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69E305E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74.50%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565E01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705260D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77.60%</w:t>
            </w:r>
          </w:p>
        </w:tc>
        <w:tc>
          <w:tcPr>
            <w:tcW w:w="0" w:type="pct"/>
            <w:tcBorders>
              <w:left w:val="single" w:sz="4" w:space="0" w:color="AEAAAA"/>
            </w:tcBorders>
            <w:tcMar>
              <w:top w:w="57" w:type="dxa"/>
              <w:left w:w="57" w:type="dxa"/>
              <w:bottom w:w="57" w:type="dxa"/>
              <w:right w:w="57" w:type="dxa"/>
            </w:tcMar>
            <w:vAlign w:val="top"/>
          </w:tcPr>
          <w:p w14:paraId="23590DF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r>
      <w:tr w:rsidR="00CA72A3" w:rsidRPr="00A34F8A" w14:paraId="0E9449F7"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6DA47C97"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A4CAC4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72.36%</w:t>
            </w:r>
          </w:p>
        </w:tc>
        <w:tc>
          <w:tcPr>
            <w:tcW w:w="0" w:type="pct"/>
            <w:tcBorders>
              <w:left w:val="single" w:sz="4" w:space="0" w:color="AEAAAA"/>
            </w:tcBorders>
            <w:tcMar>
              <w:top w:w="57" w:type="dxa"/>
              <w:left w:w="57" w:type="dxa"/>
              <w:bottom w:w="57" w:type="dxa"/>
              <w:right w:w="57" w:type="dxa"/>
            </w:tcMar>
            <w:vAlign w:val="top"/>
          </w:tcPr>
          <w:p w14:paraId="4A7B2B7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$0.25</w:t>
            </w:r>
          </w:p>
        </w:tc>
        <w:tc>
          <w:tcPr>
            <w:tcW w:w="0" w:type="pct"/>
            <w:tcBorders>
              <w:left w:val="single" w:sz="4" w:space="0" w:color="AEAAAA"/>
            </w:tcBorders>
            <w:tcMar>
              <w:top w:w="57" w:type="dxa"/>
              <w:left w:w="57" w:type="dxa"/>
              <w:bottom w:w="57" w:type="dxa"/>
              <w:right w:w="57" w:type="dxa"/>
            </w:tcMar>
            <w:vAlign w:val="top"/>
          </w:tcPr>
          <w:p w14:paraId="72403D9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75.50%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25889CC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$0.28</w:t>
            </w:r>
          </w:p>
        </w:tc>
        <w:tc>
          <w:tcPr>
            <w:tcW w:w="0" w:type="pct"/>
            <w:tcBorders>
              <w:left w:val="single" w:sz="4" w:space="0" w:color="AEAAAA"/>
            </w:tcBorders>
            <w:tcMar>
              <w:top w:w="57" w:type="dxa"/>
              <w:left w:w="57" w:type="dxa"/>
              <w:bottom w:w="57" w:type="dxa"/>
              <w:right w:w="57" w:type="dxa"/>
            </w:tcMar>
            <w:vAlign w:val="top"/>
          </w:tcPr>
          <w:p w14:paraId="04F2878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78.60%</w:t>
            </w:r>
          </w:p>
        </w:tc>
        <w:tc>
          <w:tcPr>
            <w:tcW w:w="0" w:type="pct"/>
            <w:tcBorders>
              <w:left w:val="single" w:sz="4" w:space="0" w:color="AEAAAA"/>
            </w:tcBorders>
            <w:tcMar>
              <w:top w:w="57" w:type="dxa"/>
              <w:left w:w="57" w:type="dxa"/>
              <w:bottom w:w="57" w:type="dxa"/>
              <w:right w:w="57" w:type="dxa"/>
            </w:tcMar>
            <w:vAlign w:val="top"/>
          </w:tcPr>
          <w:p w14:paraId="67464A1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$0.35</w:t>
            </w:r>
          </w:p>
        </w:tc>
      </w:tr>
      <w:tr w:rsidR="00CA72A3" w:rsidRPr="00A34F8A" w14:paraId="34E2C5AF"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69E64FC3"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38ECD2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74.74%</w:t>
            </w:r>
          </w:p>
        </w:tc>
        <w:tc>
          <w:tcPr>
            <w:tcW w:w="0" w:type="pct"/>
            <w:tcBorders>
              <w:left w:val="single" w:sz="4" w:space="0" w:color="AEAAAA"/>
            </w:tcBorders>
            <w:tcMar>
              <w:top w:w="57" w:type="dxa"/>
              <w:left w:w="57" w:type="dxa"/>
              <w:bottom w:w="57" w:type="dxa"/>
              <w:right w:w="57" w:type="dxa"/>
            </w:tcMar>
            <w:vAlign w:val="top"/>
          </w:tcPr>
          <w:p w14:paraId="5861E8F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$0.97</w:t>
            </w:r>
          </w:p>
        </w:tc>
        <w:tc>
          <w:tcPr>
            <w:tcW w:w="0" w:type="pct"/>
            <w:tcBorders>
              <w:left w:val="single" w:sz="4" w:space="0" w:color="AEAAAA"/>
            </w:tcBorders>
            <w:tcMar>
              <w:top w:w="57" w:type="dxa"/>
              <w:left w:w="57" w:type="dxa"/>
              <w:bottom w:w="57" w:type="dxa"/>
              <w:right w:w="57" w:type="dxa"/>
            </w:tcMar>
            <w:vAlign w:val="top"/>
          </w:tcPr>
          <w:p w14:paraId="3F32958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77.35%</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12A05C4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$0.89</w:t>
            </w:r>
          </w:p>
        </w:tc>
        <w:tc>
          <w:tcPr>
            <w:tcW w:w="0" w:type="pct"/>
            <w:tcBorders>
              <w:left w:val="single" w:sz="4" w:space="0" w:color="AEAAAA"/>
            </w:tcBorders>
            <w:tcMar>
              <w:top w:w="57" w:type="dxa"/>
              <w:left w:w="57" w:type="dxa"/>
              <w:bottom w:w="57" w:type="dxa"/>
              <w:right w:w="57" w:type="dxa"/>
            </w:tcMar>
            <w:vAlign w:val="top"/>
          </w:tcPr>
          <w:p w14:paraId="2D00D4A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79.94%</w:t>
            </w:r>
          </w:p>
        </w:tc>
        <w:tc>
          <w:tcPr>
            <w:tcW w:w="0" w:type="pct"/>
            <w:tcBorders>
              <w:left w:val="single" w:sz="4" w:space="0" w:color="AEAAAA"/>
            </w:tcBorders>
            <w:tcMar>
              <w:top w:w="57" w:type="dxa"/>
              <w:left w:w="57" w:type="dxa"/>
              <w:bottom w:w="57" w:type="dxa"/>
              <w:right w:w="57" w:type="dxa"/>
            </w:tcMar>
            <w:vAlign w:val="top"/>
          </w:tcPr>
          <w:p w14:paraId="13EAE1BD"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$0.90</w:t>
            </w:r>
          </w:p>
        </w:tc>
      </w:tr>
      <w:tr w:rsidR="00CA72A3" w:rsidRPr="00A34F8A" w14:paraId="24D32D9E"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7AC6A2FD"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3167AAA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79.94%</w:t>
            </w:r>
          </w:p>
        </w:tc>
        <w:tc>
          <w:tcPr>
            <w:tcW w:w="0" w:type="pct"/>
            <w:tcBorders>
              <w:left w:val="single" w:sz="4" w:space="0" w:color="AEAAAA"/>
            </w:tcBorders>
            <w:tcMar>
              <w:top w:w="57" w:type="dxa"/>
              <w:left w:w="57" w:type="dxa"/>
              <w:bottom w:w="57" w:type="dxa"/>
              <w:right w:w="57" w:type="dxa"/>
            </w:tcMar>
            <w:vAlign w:val="top"/>
          </w:tcPr>
          <w:p w14:paraId="710A0A4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$3.33</w:t>
            </w:r>
          </w:p>
        </w:tc>
        <w:tc>
          <w:tcPr>
            <w:tcW w:w="0" w:type="pct"/>
            <w:tcBorders>
              <w:left w:val="single" w:sz="4" w:space="0" w:color="AEAAAA"/>
            </w:tcBorders>
            <w:tcMar>
              <w:top w:w="57" w:type="dxa"/>
              <w:left w:w="57" w:type="dxa"/>
              <w:bottom w:w="57" w:type="dxa"/>
              <w:right w:w="57" w:type="dxa"/>
            </w:tcMar>
            <w:vAlign w:val="top"/>
          </w:tcPr>
          <w:p w14:paraId="29382DB1"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82.15%</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6B3D9D4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$3.14</w:t>
            </w:r>
          </w:p>
        </w:tc>
        <w:tc>
          <w:tcPr>
            <w:tcW w:w="0" w:type="pct"/>
            <w:tcBorders>
              <w:left w:val="single" w:sz="4" w:space="0" w:color="AEAAAA"/>
            </w:tcBorders>
            <w:tcMar>
              <w:top w:w="57" w:type="dxa"/>
              <w:left w:w="57" w:type="dxa"/>
              <w:bottom w:w="57" w:type="dxa"/>
              <w:right w:w="57" w:type="dxa"/>
            </w:tcMar>
            <w:vAlign w:val="top"/>
          </w:tcPr>
          <w:p w14:paraId="35C71BD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84.04%</w:t>
            </w:r>
          </w:p>
        </w:tc>
        <w:tc>
          <w:tcPr>
            <w:tcW w:w="0" w:type="pct"/>
            <w:tcBorders>
              <w:left w:val="single" w:sz="4" w:space="0" w:color="AEAAAA"/>
            </w:tcBorders>
            <w:tcMar>
              <w:top w:w="57" w:type="dxa"/>
              <w:left w:w="57" w:type="dxa"/>
              <w:bottom w:w="57" w:type="dxa"/>
              <w:right w:w="57" w:type="dxa"/>
            </w:tcMar>
            <w:vAlign w:val="top"/>
          </w:tcPr>
          <w:p w14:paraId="32849EF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$3.43</w:t>
            </w:r>
          </w:p>
        </w:tc>
      </w:tr>
      <w:tr w:rsidR="00CA72A3" w:rsidRPr="00A34F8A" w14:paraId="215A708F"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5489CF9A"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Proposed US 2027</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5EE328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80.30%</w:t>
            </w:r>
          </w:p>
        </w:tc>
        <w:tc>
          <w:tcPr>
            <w:tcW w:w="0" w:type="pct"/>
            <w:tcBorders>
              <w:left w:val="single" w:sz="4" w:space="0" w:color="AEAAAA"/>
            </w:tcBorders>
            <w:tcMar>
              <w:top w:w="57" w:type="dxa"/>
              <w:left w:w="57" w:type="dxa"/>
              <w:bottom w:w="57" w:type="dxa"/>
              <w:right w:w="57" w:type="dxa"/>
            </w:tcMar>
            <w:vAlign w:val="top"/>
          </w:tcPr>
          <w:p w14:paraId="5E15D20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$3.54</w:t>
            </w:r>
          </w:p>
        </w:tc>
        <w:tc>
          <w:tcPr>
            <w:tcW w:w="0" w:type="pct"/>
            <w:tcBorders>
              <w:left w:val="single" w:sz="4" w:space="0" w:color="AEAAAA"/>
            </w:tcBorders>
            <w:tcMar>
              <w:top w:w="57" w:type="dxa"/>
              <w:left w:w="57" w:type="dxa"/>
              <w:bottom w:w="57" w:type="dxa"/>
              <w:right w:w="57" w:type="dxa"/>
            </w:tcMar>
            <w:vAlign w:val="top"/>
          </w:tcPr>
          <w:p w14:paraId="0627B7C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82.66%</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3CC2279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$3.46</w:t>
            </w:r>
          </w:p>
        </w:tc>
        <w:tc>
          <w:tcPr>
            <w:tcW w:w="0" w:type="pct"/>
            <w:tcBorders>
              <w:left w:val="single" w:sz="4" w:space="0" w:color="AEAAAA"/>
            </w:tcBorders>
            <w:tcMar>
              <w:top w:w="57" w:type="dxa"/>
              <w:left w:w="57" w:type="dxa"/>
              <w:bottom w:w="57" w:type="dxa"/>
              <w:right w:w="57" w:type="dxa"/>
            </w:tcMar>
            <w:vAlign w:val="top"/>
          </w:tcPr>
          <w:p w14:paraId="7F75543E"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84.76%</w:t>
            </w:r>
          </w:p>
        </w:tc>
        <w:tc>
          <w:tcPr>
            <w:tcW w:w="0" w:type="pct"/>
            <w:tcBorders>
              <w:left w:val="single" w:sz="4" w:space="0" w:color="AEAAAA"/>
            </w:tcBorders>
            <w:tcMar>
              <w:top w:w="57" w:type="dxa"/>
              <w:left w:w="57" w:type="dxa"/>
              <w:bottom w:w="57" w:type="dxa"/>
              <w:right w:w="57" w:type="dxa"/>
            </w:tcMar>
            <w:vAlign w:val="top"/>
          </w:tcPr>
          <w:p w14:paraId="532DDBE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$4.05</w:t>
            </w:r>
          </w:p>
        </w:tc>
      </w:tr>
    </w:tbl>
    <w:p w14:paraId="259CDB8B" w14:textId="77777777" w:rsidR="006A4B11" w:rsidRPr="00A34F8A" w:rsidRDefault="006A4B11" w:rsidP="006A4B11">
      <w:pPr>
        <w:pStyle w:val="BlueLineBottom"/>
        <w:rPr>
          <w:rFonts w:asciiTheme="minorHAnsi" w:hAnsiTheme="minorHAnsi" w:cstheme="minorHAnsi"/>
          <w:sz w:val="22"/>
          <w:szCs w:val="22"/>
        </w:rPr>
      </w:pPr>
    </w:p>
    <w:p w14:paraId="088FB681" w14:textId="32D68639" w:rsidR="00B043B9" w:rsidRDefault="00B043B9" w:rsidP="006A4B11">
      <w:pPr>
        <w:pStyle w:val="BlueLineTop"/>
        <w:rPr>
          <w:rFonts w:asciiTheme="minorHAnsi" w:hAnsiTheme="minorHAnsi" w:cstheme="minorHAnsi"/>
          <w:szCs w:val="22"/>
        </w:rPr>
      </w:pPr>
      <w:r>
        <w:rPr>
          <w:rFonts w:asciiTheme="minorHAnsi" w:hAnsiTheme="minorHAnsi" w:cstheme="minorHAnsi"/>
          <w:szCs w:val="22"/>
        </w:rPr>
        <w:br w:type="page"/>
      </w:r>
    </w:p>
    <w:p w14:paraId="53DE60BE" w14:textId="77777777" w:rsidR="006A4B11" w:rsidRPr="00A34F8A" w:rsidRDefault="006A4B11" w:rsidP="006A4B11">
      <w:pPr>
        <w:pStyle w:val="BlueLineTop"/>
        <w:rPr>
          <w:rFonts w:asciiTheme="minorHAnsi" w:hAnsiTheme="minorHAnsi" w:cstheme="minorHAnsi"/>
          <w:sz w:val="22"/>
          <w:szCs w:val="22"/>
        </w:rPr>
      </w:pPr>
    </w:p>
    <w:p w14:paraId="15322EF8" w14:textId="698B4E96" w:rsidR="006A4B11" w:rsidRPr="00A34F8A" w:rsidRDefault="006A4B11" w:rsidP="006A4B11">
      <w:pPr>
        <w:pStyle w:val="Caption"/>
        <w:keepNext/>
        <w:rPr>
          <w:rFonts w:asciiTheme="minorHAnsi" w:hAnsiTheme="minorHAnsi" w:cstheme="minorHAnsi"/>
          <w:sz w:val="22"/>
          <w:szCs w:val="22"/>
        </w:rPr>
      </w:pPr>
      <w:bookmarkStart w:id="208" w:name="_Ref132809924"/>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37</w:t>
      </w:r>
      <w:r w:rsidRPr="00A34F8A">
        <w:rPr>
          <w:rFonts w:asciiTheme="minorHAnsi" w:hAnsiTheme="minorHAnsi" w:cstheme="minorHAnsi"/>
          <w:noProof/>
          <w:sz w:val="22"/>
          <w:szCs w:val="22"/>
        </w:rPr>
        <w:fldChar w:fldCharType="end"/>
      </w:r>
      <w:bookmarkEnd w:id="208"/>
      <w:r w:rsidRPr="00A34F8A">
        <w:rPr>
          <w:rFonts w:asciiTheme="minorHAnsi" w:hAnsiTheme="minorHAnsi" w:cstheme="minorHAnsi"/>
          <w:sz w:val="22"/>
          <w:szCs w:val="22"/>
        </w:rPr>
        <w:t>: Multiple voltage EPS incremental mark-up for active mode efficiency increases. Costs in AUD (2023 pricing). Note that the lowest defined international efficiency level for multiple voltage EPS devices is Mark VI.</w:t>
      </w:r>
    </w:p>
    <w:tbl>
      <w:tblPr>
        <w:tblStyle w:val="ComCap4-nested"/>
        <w:tblW w:w="5203" w:type="pct"/>
        <w:tblInd w:w="-567" w:type="dxa"/>
        <w:tblBorders>
          <w:insideV w:val="single" w:sz="4" w:space="0" w:color="auto"/>
        </w:tblBorders>
        <w:tblLook w:val="04A0" w:firstRow="1" w:lastRow="0" w:firstColumn="1" w:lastColumn="0" w:noHBand="0" w:noVBand="1"/>
      </w:tblPr>
      <w:tblGrid>
        <w:gridCol w:w="2221"/>
        <w:gridCol w:w="2210"/>
        <w:gridCol w:w="1892"/>
        <w:gridCol w:w="2210"/>
        <w:gridCol w:w="1892"/>
        <w:gridCol w:w="2209"/>
        <w:gridCol w:w="1891"/>
      </w:tblGrid>
      <w:tr w:rsidR="00DA1EBB" w:rsidRPr="00A34F8A" w14:paraId="549FC077" w14:textId="77777777" w:rsidTr="00CA72A3">
        <w:trPr>
          <w:cnfStyle w:val="100000000000" w:firstRow="1" w:lastRow="0" w:firstColumn="0" w:lastColumn="0" w:oddVBand="0" w:evenVBand="0" w:oddHBand="0" w:evenHBand="0" w:firstRowFirstColumn="0" w:firstRowLastColumn="0" w:lastRowFirstColumn="0" w:lastRowLastColumn="0"/>
          <w:trHeight w:val="392"/>
        </w:trPr>
        <w:tc>
          <w:tcPr>
            <w:tcW w:w="0" w:type="pct"/>
            <w:tcBorders>
              <w:right w:val="single" w:sz="4" w:space="0" w:color="C4BC96" w:themeColor="background2" w:themeShade="BF"/>
            </w:tcBorders>
            <w:tcMar>
              <w:top w:w="57" w:type="dxa"/>
              <w:left w:w="57" w:type="dxa"/>
              <w:bottom w:w="57" w:type="dxa"/>
              <w:right w:w="57" w:type="dxa"/>
            </w:tcMar>
            <w:vAlign w:val="top"/>
          </w:tcPr>
          <w:p w14:paraId="4140A0AF" w14:textId="77777777" w:rsidR="006A4B11" w:rsidRPr="00A34F8A" w:rsidRDefault="006A4B11" w:rsidP="005D3977">
            <w:pPr>
              <w:pStyle w:val="Table1-columnheadingdata"/>
              <w:rPr>
                <w:rFonts w:asciiTheme="minorHAnsi" w:hAnsiTheme="minorHAnsi" w:cstheme="minorHAnsi"/>
                <w:sz w:val="22"/>
                <w:szCs w:val="22"/>
              </w:rPr>
            </w:pP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67612314"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18W</w:t>
            </w:r>
          </w:p>
        </w:tc>
        <w:tc>
          <w:tcPr>
            <w:tcW w:w="0" w:type="pct"/>
            <w:gridSpan w:val="2"/>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48B9760"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30W</w:t>
            </w:r>
          </w:p>
        </w:tc>
        <w:tc>
          <w:tcPr>
            <w:tcW w:w="0" w:type="pct"/>
            <w:gridSpan w:val="2"/>
            <w:tcBorders>
              <w:left w:val="single" w:sz="4" w:space="0" w:color="C4BC96" w:themeColor="background2" w:themeShade="BF"/>
            </w:tcBorders>
            <w:tcMar>
              <w:top w:w="57" w:type="dxa"/>
              <w:left w:w="57" w:type="dxa"/>
              <w:bottom w:w="57" w:type="dxa"/>
              <w:right w:w="57" w:type="dxa"/>
            </w:tcMar>
            <w:vAlign w:val="top"/>
          </w:tcPr>
          <w:p w14:paraId="4A3B00EF" w14:textId="77777777" w:rsidR="006A4B11" w:rsidRPr="00A34F8A" w:rsidRDefault="006A4B11" w:rsidP="005D3977">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90W</w:t>
            </w:r>
          </w:p>
        </w:tc>
      </w:tr>
      <w:tr w:rsidR="000D6E27" w:rsidRPr="00A34F8A" w14:paraId="7B27C081" w14:textId="77777777" w:rsidTr="00B043B9">
        <w:trPr>
          <w:trHeight w:val="508"/>
        </w:trPr>
        <w:tc>
          <w:tcPr>
            <w:tcW w:w="0" w:type="pct"/>
            <w:tcBorders>
              <w:right w:val="single" w:sz="4" w:space="0" w:color="C4BC96" w:themeColor="background2" w:themeShade="BF"/>
            </w:tcBorders>
            <w:shd w:val="clear" w:color="auto" w:fill="D1D8E0"/>
            <w:tcMar>
              <w:top w:w="57" w:type="dxa"/>
              <w:left w:w="57" w:type="dxa"/>
              <w:bottom w:w="57" w:type="dxa"/>
              <w:right w:w="57" w:type="dxa"/>
            </w:tcMar>
            <w:vAlign w:val="top"/>
          </w:tcPr>
          <w:p w14:paraId="0FA787CD" w14:textId="77777777" w:rsidR="006A4B11" w:rsidRPr="00A34F8A" w:rsidRDefault="006A4B11" w:rsidP="005D3977">
            <w:pPr>
              <w:pStyle w:val="Table2-Rowheadingdata"/>
              <w:rPr>
                <w:rFonts w:asciiTheme="minorHAnsi" w:hAnsiTheme="minorHAnsi" w:cstheme="minorHAnsi"/>
                <w:sz w:val="22"/>
                <w:szCs w:val="22"/>
              </w:rPr>
            </w:pPr>
          </w:p>
        </w:tc>
        <w:tc>
          <w:tcPr>
            <w:tcW w:w="0" w:type="pct"/>
            <w:tcBorders>
              <w:left w:val="single" w:sz="4" w:space="0" w:color="C4BC96" w:themeColor="background2" w:themeShade="BF"/>
              <w:right w:val="single" w:sz="4" w:space="0" w:color="AEAAAA"/>
            </w:tcBorders>
            <w:shd w:val="clear" w:color="auto" w:fill="D1D8E0"/>
            <w:tcMar>
              <w:top w:w="57" w:type="dxa"/>
              <w:left w:w="57" w:type="dxa"/>
              <w:bottom w:w="57" w:type="dxa"/>
              <w:right w:w="57" w:type="dxa"/>
            </w:tcMar>
            <w:vAlign w:val="top"/>
          </w:tcPr>
          <w:p w14:paraId="29116C8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1C7D8BEE"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176DD9DE"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right w:val="single" w:sz="4" w:space="0" w:color="AEAAAA"/>
            </w:tcBorders>
            <w:shd w:val="clear" w:color="auto" w:fill="D1D8E0"/>
            <w:tcMar>
              <w:top w:w="57" w:type="dxa"/>
              <w:left w:w="57" w:type="dxa"/>
              <w:bottom w:w="57" w:type="dxa"/>
              <w:right w:w="57" w:type="dxa"/>
            </w:tcMar>
            <w:vAlign w:val="top"/>
          </w:tcPr>
          <w:p w14:paraId="6C4BDA2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c>
          <w:tcPr>
            <w:tcW w:w="0" w:type="pct"/>
            <w:tcBorders>
              <w:left w:val="single" w:sz="4" w:space="0" w:color="AEAAAA"/>
            </w:tcBorders>
            <w:shd w:val="clear" w:color="auto" w:fill="D1D8E0"/>
            <w:tcMar>
              <w:top w:w="57" w:type="dxa"/>
              <w:left w:w="57" w:type="dxa"/>
              <w:bottom w:w="57" w:type="dxa"/>
              <w:right w:w="57" w:type="dxa"/>
            </w:tcMar>
            <w:vAlign w:val="top"/>
          </w:tcPr>
          <w:p w14:paraId="34FD3FC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Active mode efficiency</w:t>
            </w:r>
          </w:p>
        </w:tc>
        <w:tc>
          <w:tcPr>
            <w:tcW w:w="0" w:type="pct"/>
            <w:tcBorders>
              <w:left w:val="single" w:sz="4" w:space="0" w:color="AEAAAA"/>
            </w:tcBorders>
            <w:shd w:val="clear" w:color="auto" w:fill="D1D8E0"/>
            <w:tcMar>
              <w:top w:w="57" w:type="dxa"/>
              <w:left w:w="57" w:type="dxa"/>
              <w:bottom w:w="57" w:type="dxa"/>
              <w:right w:w="57" w:type="dxa"/>
            </w:tcMar>
            <w:vAlign w:val="top"/>
          </w:tcPr>
          <w:p w14:paraId="728533F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Incr. mark-up (AUD)</w:t>
            </w:r>
          </w:p>
        </w:tc>
      </w:tr>
      <w:tr w:rsidR="00DA1EBB" w:rsidRPr="00A34F8A" w14:paraId="1D300863"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3F11082E"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IV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0B73952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70.10%</w:t>
            </w:r>
          </w:p>
        </w:tc>
        <w:tc>
          <w:tcPr>
            <w:tcW w:w="0" w:type="pct"/>
            <w:tcBorders>
              <w:left w:val="single" w:sz="4" w:space="0" w:color="AEAAAA"/>
            </w:tcBorders>
            <w:tcMar>
              <w:top w:w="57" w:type="dxa"/>
              <w:left w:w="57" w:type="dxa"/>
              <w:bottom w:w="57" w:type="dxa"/>
              <w:right w:w="57" w:type="dxa"/>
            </w:tcMar>
            <w:vAlign w:val="top"/>
          </w:tcPr>
          <w:p w14:paraId="6C2E5EE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49FB73F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75.40%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4E9BF56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c>
          <w:tcPr>
            <w:tcW w:w="0" w:type="pct"/>
            <w:tcBorders>
              <w:left w:val="single" w:sz="4" w:space="0" w:color="AEAAAA"/>
            </w:tcBorders>
            <w:tcMar>
              <w:top w:w="57" w:type="dxa"/>
              <w:left w:w="57" w:type="dxa"/>
              <w:bottom w:w="57" w:type="dxa"/>
              <w:right w:w="57" w:type="dxa"/>
            </w:tcMar>
            <w:vAlign w:val="top"/>
          </w:tcPr>
          <w:p w14:paraId="5021B51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82.40%</w:t>
            </w:r>
          </w:p>
        </w:tc>
        <w:tc>
          <w:tcPr>
            <w:tcW w:w="0" w:type="pct"/>
            <w:tcBorders>
              <w:left w:val="single" w:sz="4" w:space="0" w:color="AEAAAA"/>
            </w:tcBorders>
            <w:tcMar>
              <w:top w:w="57" w:type="dxa"/>
              <w:left w:w="57" w:type="dxa"/>
              <w:bottom w:w="57" w:type="dxa"/>
              <w:right w:w="57" w:type="dxa"/>
            </w:tcMar>
            <w:vAlign w:val="top"/>
          </w:tcPr>
          <w:p w14:paraId="382C7923"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$0.00</w:t>
            </w:r>
          </w:p>
        </w:tc>
      </w:tr>
      <w:tr w:rsidR="00DA1EBB" w:rsidRPr="00A34F8A" w14:paraId="2C072AAE"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56BE7B2E"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64887CE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73.90%</w:t>
            </w:r>
          </w:p>
        </w:tc>
        <w:tc>
          <w:tcPr>
            <w:tcW w:w="0" w:type="pct"/>
            <w:tcBorders>
              <w:left w:val="single" w:sz="4" w:space="0" w:color="AEAAAA"/>
            </w:tcBorders>
            <w:tcMar>
              <w:top w:w="57" w:type="dxa"/>
              <w:left w:w="57" w:type="dxa"/>
              <w:bottom w:w="57" w:type="dxa"/>
              <w:right w:w="57" w:type="dxa"/>
            </w:tcMar>
            <w:vAlign w:val="top"/>
          </w:tcPr>
          <w:p w14:paraId="632CD162"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$0.86</w:t>
            </w:r>
          </w:p>
        </w:tc>
        <w:tc>
          <w:tcPr>
            <w:tcW w:w="0" w:type="pct"/>
            <w:tcBorders>
              <w:left w:val="single" w:sz="4" w:space="0" w:color="AEAAAA"/>
            </w:tcBorders>
            <w:tcMar>
              <w:top w:w="57" w:type="dxa"/>
              <w:left w:w="57" w:type="dxa"/>
              <w:bottom w:w="57" w:type="dxa"/>
              <w:right w:w="57" w:type="dxa"/>
            </w:tcMar>
            <w:vAlign w:val="top"/>
          </w:tcPr>
          <w:p w14:paraId="4969752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79.80%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6DC0C0EB"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$1.38</w:t>
            </w:r>
          </w:p>
        </w:tc>
        <w:tc>
          <w:tcPr>
            <w:tcW w:w="0" w:type="pct"/>
            <w:tcBorders>
              <w:left w:val="single" w:sz="4" w:space="0" w:color="AEAAAA"/>
            </w:tcBorders>
            <w:tcMar>
              <w:top w:w="57" w:type="dxa"/>
              <w:left w:w="57" w:type="dxa"/>
              <w:bottom w:w="57" w:type="dxa"/>
              <w:right w:w="57" w:type="dxa"/>
            </w:tcMar>
            <w:vAlign w:val="top"/>
          </w:tcPr>
          <w:p w14:paraId="16B5F075"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84.20%</w:t>
            </w:r>
          </w:p>
        </w:tc>
        <w:tc>
          <w:tcPr>
            <w:tcW w:w="0" w:type="pct"/>
            <w:tcBorders>
              <w:left w:val="single" w:sz="4" w:space="0" w:color="AEAAAA"/>
            </w:tcBorders>
            <w:tcMar>
              <w:top w:w="57" w:type="dxa"/>
              <w:left w:w="57" w:type="dxa"/>
              <w:bottom w:w="57" w:type="dxa"/>
              <w:right w:w="57" w:type="dxa"/>
            </w:tcMar>
            <w:vAlign w:val="top"/>
          </w:tcPr>
          <w:p w14:paraId="5CD6805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$0.69</w:t>
            </w:r>
          </w:p>
        </w:tc>
      </w:tr>
      <w:tr w:rsidR="00DA1EBB" w:rsidRPr="00A34F8A" w14:paraId="76212EEA"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29FD2636"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 VI</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6FAFA6A7"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77.78%</w:t>
            </w:r>
          </w:p>
        </w:tc>
        <w:tc>
          <w:tcPr>
            <w:tcW w:w="0" w:type="pct"/>
            <w:tcBorders>
              <w:left w:val="single" w:sz="4" w:space="0" w:color="AEAAAA"/>
            </w:tcBorders>
            <w:tcMar>
              <w:top w:w="57" w:type="dxa"/>
              <w:left w:w="57" w:type="dxa"/>
              <w:bottom w:w="57" w:type="dxa"/>
              <w:right w:w="57" w:type="dxa"/>
            </w:tcMar>
            <w:vAlign w:val="top"/>
          </w:tcPr>
          <w:p w14:paraId="409947FC"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$2.24</w:t>
            </w:r>
          </w:p>
        </w:tc>
        <w:tc>
          <w:tcPr>
            <w:tcW w:w="0" w:type="pct"/>
            <w:tcBorders>
              <w:left w:val="single" w:sz="4" w:space="0" w:color="AEAAAA"/>
            </w:tcBorders>
            <w:tcMar>
              <w:top w:w="57" w:type="dxa"/>
              <w:left w:w="57" w:type="dxa"/>
              <w:bottom w:w="57" w:type="dxa"/>
              <w:right w:w="57" w:type="dxa"/>
            </w:tcMar>
            <w:vAlign w:val="top"/>
          </w:tcPr>
          <w:p w14:paraId="536B570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81.61%</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57F58DA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$2.20</w:t>
            </w:r>
          </w:p>
        </w:tc>
        <w:tc>
          <w:tcPr>
            <w:tcW w:w="0" w:type="pct"/>
            <w:tcBorders>
              <w:left w:val="single" w:sz="4" w:space="0" w:color="AEAAAA"/>
            </w:tcBorders>
            <w:tcMar>
              <w:top w:w="57" w:type="dxa"/>
              <w:left w:w="57" w:type="dxa"/>
              <w:bottom w:w="57" w:type="dxa"/>
              <w:right w:w="57" w:type="dxa"/>
            </w:tcMar>
            <w:vAlign w:val="top"/>
          </w:tcPr>
          <w:p w14:paraId="0247A2F9"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86.00%</w:t>
            </w:r>
          </w:p>
        </w:tc>
        <w:tc>
          <w:tcPr>
            <w:tcW w:w="0" w:type="pct"/>
            <w:tcBorders>
              <w:left w:val="single" w:sz="4" w:space="0" w:color="AEAAAA"/>
            </w:tcBorders>
            <w:tcMar>
              <w:top w:w="57" w:type="dxa"/>
              <w:left w:w="57" w:type="dxa"/>
              <w:bottom w:w="57" w:type="dxa"/>
              <w:right w:w="57" w:type="dxa"/>
            </w:tcMar>
            <w:vAlign w:val="top"/>
          </w:tcPr>
          <w:p w14:paraId="1143EE7F"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$1.51</w:t>
            </w:r>
          </w:p>
        </w:tc>
      </w:tr>
      <w:tr w:rsidR="00DA1EBB" w:rsidRPr="00A34F8A" w14:paraId="579381E5" w14:textId="77777777" w:rsidTr="00CA72A3">
        <w:tc>
          <w:tcPr>
            <w:tcW w:w="0" w:type="pct"/>
            <w:tcBorders>
              <w:right w:val="single" w:sz="4" w:space="0" w:color="C4BC96" w:themeColor="background2" w:themeShade="BF"/>
            </w:tcBorders>
            <w:tcMar>
              <w:top w:w="57" w:type="dxa"/>
              <w:left w:w="57" w:type="dxa"/>
              <w:bottom w:w="57" w:type="dxa"/>
              <w:right w:w="57" w:type="dxa"/>
            </w:tcMar>
            <w:vAlign w:val="top"/>
          </w:tcPr>
          <w:p w14:paraId="7211C15D" w14:textId="77777777" w:rsidR="006A4B11" w:rsidRPr="00A34F8A" w:rsidRDefault="006A4B11"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Proposed US 2027</w:t>
            </w:r>
          </w:p>
        </w:tc>
        <w:tc>
          <w:tcPr>
            <w:tcW w:w="0"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2E33FE74"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84.56%</w:t>
            </w:r>
          </w:p>
        </w:tc>
        <w:tc>
          <w:tcPr>
            <w:tcW w:w="0" w:type="pct"/>
            <w:tcBorders>
              <w:left w:val="single" w:sz="4" w:space="0" w:color="AEAAAA"/>
            </w:tcBorders>
            <w:tcMar>
              <w:top w:w="57" w:type="dxa"/>
              <w:left w:w="57" w:type="dxa"/>
              <w:bottom w:w="57" w:type="dxa"/>
              <w:right w:w="57" w:type="dxa"/>
            </w:tcMar>
            <w:vAlign w:val="top"/>
          </w:tcPr>
          <w:p w14:paraId="1BB570C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$6.77</w:t>
            </w:r>
          </w:p>
        </w:tc>
        <w:tc>
          <w:tcPr>
            <w:tcW w:w="0" w:type="pct"/>
            <w:tcBorders>
              <w:left w:val="single" w:sz="4" w:space="0" w:color="AEAAAA"/>
            </w:tcBorders>
            <w:tcMar>
              <w:top w:w="57" w:type="dxa"/>
              <w:left w:w="57" w:type="dxa"/>
              <w:bottom w:w="57" w:type="dxa"/>
              <w:right w:w="57" w:type="dxa"/>
            </w:tcMar>
            <w:vAlign w:val="top"/>
          </w:tcPr>
          <w:p w14:paraId="1AB3299A"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87.00%</w:t>
            </w:r>
          </w:p>
        </w:tc>
        <w:tc>
          <w:tcPr>
            <w:tcW w:w="0" w:type="pct"/>
            <w:tcBorders>
              <w:left w:val="single" w:sz="4" w:space="0" w:color="AEAAAA"/>
              <w:right w:val="single" w:sz="4" w:space="0" w:color="AEAAAA"/>
            </w:tcBorders>
            <w:tcMar>
              <w:top w:w="57" w:type="dxa"/>
              <w:left w:w="57" w:type="dxa"/>
              <w:bottom w:w="57" w:type="dxa"/>
              <w:right w:w="57" w:type="dxa"/>
            </w:tcMar>
            <w:vAlign w:val="top"/>
          </w:tcPr>
          <w:p w14:paraId="664FC718"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$6.10</w:t>
            </w:r>
          </w:p>
        </w:tc>
        <w:tc>
          <w:tcPr>
            <w:tcW w:w="0" w:type="pct"/>
            <w:tcBorders>
              <w:left w:val="single" w:sz="4" w:space="0" w:color="AEAAAA"/>
            </w:tcBorders>
            <w:tcMar>
              <w:top w:w="57" w:type="dxa"/>
              <w:left w:w="57" w:type="dxa"/>
              <w:bottom w:w="57" w:type="dxa"/>
              <w:right w:w="57" w:type="dxa"/>
            </w:tcMar>
            <w:vAlign w:val="top"/>
          </w:tcPr>
          <w:p w14:paraId="1D95CEDE"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88.50%</w:t>
            </w:r>
          </w:p>
        </w:tc>
        <w:tc>
          <w:tcPr>
            <w:tcW w:w="0" w:type="pct"/>
            <w:tcBorders>
              <w:left w:val="single" w:sz="4" w:space="0" w:color="AEAAAA"/>
            </w:tcBorders>
            <w:tcMar>
              <w:top w:w="57" w:type="dxa"/>
              <w:left w:w="57" w:type="dxa"/>
              <w:bottom w:w="57" w:type="dxa"/>
              <w:right w:w="57" w:type="dxa"/>
            </w:tcMar>
            <w:vAlign w:val="top"/>
          </w:tcPr>
          <w:p w14:paraId="172DEAC0" w14:textId="77777777" w:rsidR="006A4B11" w:rsidRPr="00A34F8A" w:rsidRDefault="006A4B11"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$2.94</w:t>
            </w:r>
          </w:p>
        </w:tc>
      </w:tr>
    </w:tbl>
    <w:p w14:paraId="50EB063B" w14:textId="77777777" w:rsidR="006A4B11" w:rsidRPr="00A34F8A" w:rsidRDefault="006A4B11" w:rsidP="006A4B11">
      <w:pPr>
        <w:pStyle w:val="BlueLineBottom"/>
        <w:rPr>
          <w:rFonts w:asciiTheme="minorHAnsi" w:hAnsiTheme="minorHAnsi" w:cstheme="minorHAnsi"/>
          <w:sz w:val="22"/>
          <w:szCs w:val="22"/>
        </w:rPr>
      </w:pPr>
    </w:p>
    <w:p w14:paraId="31EAD8B5" w14:textId="77777777" w:rsidR="00614258" w:rsidRDefault="00614258" w:rsidP="006A4B11">
      <w:pPr>
        <w:pStyle w:val="Heading2"/>
        <w:rPr>
          <w:rFonts w:asciiTheme="minorHAnsi" w:hAnsiTheme="minorHAnsi" w:cstheme="minorHAnsi"/>
          <w:sz w:val="22"/>
          <w:szCs w:val="22"/>
        </w:rPr>
        <w:sectPr w:rsidR="00614258" w:rsidSect="00614258">
          <w:pgSz w:w="16838" w:h="11906" w:orient="landscape"/>
          <w:pgMar w:top="2007" w:right="1440" w:bottom="1440" w:left="1440" w:header="709" w:footer="709" w:gutter="0"/>
          <w:cols w:space="708"/>
          <w:docGrid w:linePitch="360"/>
        </w:sectPr>
      </w:pPr>
      <w:bookmarkStart w:id="209" w:name="_Toc168660667"/>
    </w:p>
    <w:p w14:paraId="4B0B3E06" w14:textId="6C285F18" w:rsidR="006A4B11" w:rsidRPr="00971350" w:rsidRDefault="006A4B11" w:rsidP="006A4B11">
      <w:pPr>
        <w:pStyle w:val="Heading2"/>
        <w:rPr>
          <w:rFonts w:asciiTheme="minorHAnsi" w:hAnsiTheme="minorHAnsi" w:cstheme="minorHAnsi"/>
          <w:szCs w:val="28"/>
        </w:rPr>
      </w:pPr>
      <w:bookmarkStart w:id="210" w:name="_Toc183163302"/>
      <w:r w:rsidRPr="00971350">
        <w:rPr>
          <w:rFonts w:asciiTheme="minorHAnsi" w:hAnsiTheme="minorHAnsi" w:cstheme="minorHAnsi"/>
          <w:szCs w:val="28"/>
        </w:rPr>
        <w:lastRenderedPageBreak/>
        <w:t>Electricity prices</w:t>
      </w:r>
      <w:bookmarkEnd w:id="209"/>
      <w:bookmarkEnd w:id="210"/>
    </w:p>
    <w:p w14:paraId="1C5FBCF2" w14:textId="10CB3B78" w:rsidR="0041228E" w:rsidRPr="00A34F8A" w:rsidRDefault="0041228E" w:rsidP="0041228E">
      <w:pPr>
        <w:rPr>
          <w:rFonts w:asciiTheme="minorHAnsi" w:hAnsiTheme="minorHAnsi" w:cstheme="minorHAnsi"/>
          <w:szCs w:val="22"/>
        </w:rPr>
      </w:pPr>
      <w:r w:rsidRPr="00A34F8A">
        <w:rPr>
          <w:rFonts w:asciiTheme="minorHAnsi" w:hAnsiTheme="minorHAnsi" w:cstheme="minorHAnsi"/>
          <w:szCs w:val="22"/>
        </w:rPr>
        <w:t xml:space="preserve">We have assumed the same retail electricity price projections for Australian jurisdictions as those used in the DRIS for the NCC 2022 update (see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_Ref141868413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Figure </w:t>
      </w:r>
      <w:r w:rsidRPr="00A34F8A">
        <w:rPr>
          <w:rFonts w:asciiTheme="minorHAnsi" w:hAnsiTheme="minorHAnsi" w:cstheme="minorHAnsi"/>
          <w:noProof/>
          <w:szCs w:val="22"/>
        </w:rPr>
        <w:t>3</w:t>
      </w:r>
      <w:r w:rsidRPr="00A34F8A">
        <w:rPr>
          <w:rFonts w:asciiTheme="minorHAnsi" w:hAnsiTheme="minorHAnsi" w:cstheme="minorHAnsi"/>
          <w:szCs w:val="22"/>
        </w:rPr>
        <w:fldChar w:fldCharType="end"/>
      </w:r>
      <w:r w:rsidRPr="00A34F8A">
        <w:rPr>
          <w:rFonts w:asciiTheme="minorHAnsi" w:hAnsiTheme="minorHAnsi" w:cstheme="minorHAnsi"/>
          <w:szCs w:val="22"/>
        </w:rPr>
        <w:t xml:space="preserve"> below). As EPS sales are unlikely to differ by state, apart from by population, we used a population weighted average national electricity price. </w:t>
      </w:r>
    </w:p>
    <w:p w14:paraId="1FE05740" w14:textId="77777777" w:rsidR="0041228E" w:rsidRPr="00A34F8A" w:rsidRDefault="0041228E" w:rsidP="0041228E">
      <w:pPr>
        <w:keepNext/>
        <w:tabs>
          <w:tab w:val="left" w:pos="5238"/>
        </w:tabs>
        <w:rPr>
          <w:rFonts w:asciiTheme="minorHAnsi" w:hAnsiTheme="minorHAnsi" w:cstheme="minorHAnsi"/>
          <w:szCs w:val="22"/>
        </w:rPr>
      </w:pPr>
      <w:r w:rsidRPr="00A34F8A">
        <w:rPr>
          <w:rFonts w:asciiTheme="minorHAnsi" w:hAnsiTheme="minorHAnsi" w:cstheme="minorHAnsi"/>
          <w:noProof/>
          <w:szCs w:val="22"/>
        </w:rPr>
        <w:drawing>
          <wp:inline distT="0" distB="0" distL="0" distR="0" wp14:anchorId="3CE55A2D" wp14:editId="01EAA60D">
            <wp:extent cx="5339314" cy="3296726"/>
            <wp:effectExtent l="0" t="0" r="0" b="0"/>
            <wp:docPr id="78708934" name="Picture 78708934" descr="A line graph showing the retail electricity price projections for each State, Territory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8934" name="Picture 78708934" descr="A line graph showing the retail electricity price projections for each State, Territory and New Zeal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5765" cy="3306883"/>
                    </a:xfrm>
                    <a:prstGeom prst="rect">
                      <a:avLst/>
                    </a:prstGeom>
                    <a:noFill/>
                  </pic:spPr>
                </pic:pic>
              </a:graphicData>
            </a:graphic>
          </wp:inline>
        </w:drawing>
      </w:r>
    </w:p>
    <w:p w14:paraId="7C7FE2BA" w14:textId="65F558A3" w:rsidR="0041228E" w:rsidRPr="00A34F8A" w:rsidRDefault="0041228E" w:rsidP="0041228E">
      <w:pPr>
        <w:pStyle w:val="Caption"/>
        <w:rPr>
          <w:rFonts w:asciiTheme="minorHAnsi" w:hAnsiTheme="minorHAnsi" w:cstheme="minorHAnsi"/>
          <w:sz w:val="22"/>
          <w:szCs w:val="22"/>
        </w:rPr>
      </w:pPr>
      <w:bookmarkStart w:id="211" w:name="_Ref141868413"/>
      <w:r w:rsidRPr="00A34F8A">
        <w:rPr>
          <w:rFonts w:asciiTheme="minorHAnsi" w:hAnsiTheme="minorHAnsi" w:cstheme="minorHAnsi"/>
          <w:sz w:val="22"/>
          <w:szCs w:val="22"/>
        </w:rPr>
        <w:t xml:space="preserve">Figure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Figure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12</w:t>
      </w:r>
      <w:r w:rsidRPr="00A34F8A">
        <w:rPr>
          <w:rFonts w:asciiTheme="minorHAnsi" w:hAnsiTheme="minorHAnsi" w:cstheme="minorHAnsi"/>
          <w:noProof/>
          <w:sz w:val="22"/>
          <w:szCs w:val="22"/>
        </w:rPr>
        <w:fldChar w:fldCharType="end"/>
      </w:r>
      <w:bookmarkEnd w:id="211"/>
      <w:r w:rsidRPr="00A34F8A">
        <w:rPr>
          <w:rFonts w:asciiTheme="minorHAnsi" w:hAnsiTheme="minorHAnsi" w:cstheme="minorHAnsi"/>
          <w:sz w:val="22"/>
          <w:szCs w:val="22"/>
        </w:rPr>
        <w:t xml:space="preserve">: Retail electricity price projections by jurisdiction (NCC DRIS, ACIL Allen </w:t>
      </w:r>
      <w:sdt>
        <w:sdtPr>
          <w:rPr>
            <w:rFonts w:asciiTheme="minorHAnsi" w:hAnsiTheme="minorHAnsi" w:cstheme="minorHAnsi"/>
            <w:sz w:val="22"/>
            <w:szCs w:val="22"/>
          </w:rPr>
          <w:id w:val="-801080159"/>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ACI22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(ACIL Allen, 2022)</w:t>
          </w:r>
          <w:r w:rsidRPr="00A34F8A">
            <w:rPr>
              <w:rFonts w:asciiTheme="minorHAnsi" w:hAnsiTheme="minorHAnsi" w:cstheme="minorHAnsi"/>
              <w:sz w:val="22"/>
              <w:szCs w:val="22"/>
            </w:rPr>
            <w:fldChar w:fldCharType="end"/>
          </w:r>
        </w:sdtContent>
      </w:sdt>
      <w:r w:rsidRPr="00A34F8A">
        <w:rPr>
          <w:rFonts w:asciiTheme="minorHAnsi" w:hAnsiTheme="minorHAnsi" w:cstheme="minorHAnsi"/>
          <w:sz w:val="22"/>
          <w:szCs w:val="22"/>
        </w:rPr>
        <w:t>– adjusted to 2022 pricing. NZ figures provided by EECA, LRMC is Long Run Marginal Cost)</w:t>
      </w:r>
    </w:p>
    <w:p w14:paraId="5129E76A" w14:textId="77777777" w:rsidR="0041228E" w:rsidRPr="00A34F8A" w:rsidRDefault="0041228E" w:rsidP="0041228E">
      <w:pPr>
        <w:rPr>
          <w:rFonts w:asciiTheme="minorHAnsi" w:hAnsiTheme="minorHAnsi" w:cstheme="minorHAnsi"/>
          <w:szCs w:val="22"/>
        </w:rPr>
      </w:pPr>
    </w:p>
    <w:p w14:paraId="4F9FB270" w14:textId="5FB52F4D" w:rsidR="0041228E" w:rsidRPr="00A34F8A" w:rsidRDefault="0041228E" w:rsidP="0041228E">
      <w:pPr>
        <w:rPr>
          <w:rFonts w:asciiTheme="minorHAnsi" w:hAnsiTheme="minorHAnsi" w:cstheme="minorHAnsi"/>
          <w:szCs w:val="22"/>
        </w:rPr>
      </w:pPr>
      <w:r w:rsidRPr="00A34F8A">
        <w:rPr>
          <w:rFonts w:asciiTheme="minorHAnsi" w:hAnsiTheme="minorHAnsi" w:cstheme="minorHAnsi"/>
          <w:szCs w:val="22"/>
        </w:rPr>
        <w:t xml:space="preserve">We have used the same commercial/residential electricity pricing ratios developed for the Electronic Screens CRIS. These were developed based on a review of commercial electricity tariffs offered by larger electricity retailers. The assumptions are summarised in </w:t>
      </w:r>
      <w:r w:rsidRPr="00A34F8A">
        <w:rPr>
          <w:rFonts w:asciiTheme="minorHAnsi" w:hAnsiTheme="minorHAnsi" w:cstheme="minorHAnsi"/>
          <w:szCs w:val="22"/>
        </w:rPr>
        <w:fldChar w:fldCharType="begin" w:fldLock="1"/>
      </w:r>
      <w:r w:rsidRPr="00A34F8A">
        <w:rPr>
          <w:rFonts w:asciiTheme="minorHAnsi" w:hAnsiTheme="minorHAnsi" w:cstheme="minorHAnsi"/>
          <w:szCs w:val="22"/>
        </w:rPr>
        <w:instrText xml:space="preserve"> REF _Ref141868393 \h </w:instrText>
      </w:r>
      <w:r w:rsidR="00A34F8A" w:rsidRPr="00A34F8A">
        <w:rPr>
          <w:rFonts w:asciiTheme="minorHAnsi" w:hAnsiTheme="minorHAnsi" w:cstheme="minorHAnsi"/>
          <w:szCs w:val="22"/>
        </w:rPr>
        <w:instrText xml:space="preserve"> \* MERGEFORMAT </w:instrText>
      </w:r>
      <w:r w:rsidRPr="00A34F8A">
        <w:rPr>
          <w:rFonts w:asciiTheme="minorHAnsi" w:hAnsiTheme="minorHAnsi" w:cstheme="minorHAnsi"/>
          <w:szCs w:val="22"/>
        </w:rPr>
      </w:r>
      <w:r w:rsidRPr="00A34F8A">
        <w:rPr>
          <w:rFonts w:asciiTheme="minorHAnsi" w:hAnsiTheme="minorHAnsi" w:cstheme="minorHAnsi"/>
          <w:szCs w:val="22"/>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20</w:t>
      </w:r>
      <w:r w:rsidRPr="00A34F8A">
        <w:rPr>
          <w:rFonts w:asciiTheme="minorHAnsi" w:hAnsiTheme="minorHAnsi" w:cstheme="minorHAnsi"/>
          <w:szCs w:val="22"/>
        </w:rPr>
        <w:fldChar w:fldCharType="end"/>
      </w:r>
      <w:r w:rsidRPr="00A34F8A">
        <w:rPr>
          <w:rFonts w:asciiTheme="minorHAnsi" w:hAnsiTheme="minorHAnsi" w:cstheme="minorHAnsi"/>
          <w:szCs w:val="22"/>
        </w:rPr>
        <w:t>.</w:t>
      </w:r>
    </w:p>
    <w:p w14:paraId="3C8D3FDD" w14:textId="77777777" w:rsidR="0041228E" w:rsidRPr="00A34F8A" w:rsidRDefault="0041228E" w:rsidP="0041228E">
      <w:pPr>
        <w:pStyle w:val="BlueLineTop"/>
        <w:rPr>
          <w:rFonts w:asciiTheme="minorHAnsi" w:hAnsiTheme="minorHAnsi" w:cstheme="minorHAnsi"/>
          <w:sz w:val="22"/>
          <w:szCs w:val="22"/>
        </w:rPr>
      </w:pPr>
    </w:p>
    <w:p w14:paraId="11D7DE93" w14:textId="1DF1C46A" w:rsidR="0041228E" w:rsidRPr="00A34F8A" w:rsidRDefault="0041228E" w:rsidP="0041228E">
      <w:pPr>
        <w:pStyle w:val="Caption"/>
        <w:keepNext/>
        <w:rPr>
          <w:rFonts w:asciiTheme="minorHAnsi" w:hAnsiTheme="minorHAnsi" w:cstheme="minorHAnsi"/>
          <w:sz w:val="22"/>
          <w:szCs w:val="22"/>
        </w:rPr>
      </w:pPr>
      <w:bookmarkStart w:id="212" w:name="_Ref141868393"/>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38</w:t>
      </w:r>
      <w:r w:rsidRPr="00A34F8A">
        <w:rPr>
          <w:rFonts w:asciiTheme="minorHAnsi" w:hAnsiTheme="minorHAnsi" w:cstheme="minorHAnsi"/>
          <w:noProof/>
          <w:sz w:val="22"/>
          <w:szCs w:val="22"/>
        </w:rPr>
        <w:fldChar w:fldCharType="end"/>
      </w:r>
      <w:bookmarkEnd w:id="212"/>
      <w:r w:rsidRPr="00A34F8A">
        <w:rPr>
          <w:rFonts w:asciiTheme="minorHAnsi" w:hAnsiTheme="minorHAnsi" w:cstheme="minorHAnsi"/>
          <w:sz w:val="22"/>
          <w:szCs w:val="22"/>
        </w:rPr>
        <w:t>: Commercial/Residential electricity price ratio by jurisdiction. Electronic Screens CRIS assumptions provided by DCCEEW.</w:t>
      </w:r>
    </w:p>
    <w:tbl>
      <w:tblPr>
        <w:tblStyle w:val="ComCap4-nested"/>
        <w:tblW w:w="5335" w:type="pct"/>
        <w:tblInd w:w="-567" w:type="dxa"/>
        <w:tblBorders>
          <w:insideV w:val="single" w:sz="4" w:space="0" w:color="auto"/>
        </w:tblBorders>
        <w:tblLook w:val="04A0" w:firstRow="1" w:lastRow="0" w:firstColumn="1" w:lastColumn="0" w:noHBand="0" w:noVBand="1"/>
      </w:tblPr>
      <w:tblGrid>
        <w:gridCol w:w="3933"/>
        <w:gridCol w:w="5093"/>
      </w:tblGrid>
      <w:tr w:rsidR="00045634" w:rsidRPr="00A34F8A" w14:paraId="05ABEC8E" w14:textId="77777777" w:rsidTr="00CA72A3">
        <w:trPr>
          <w:cnfStyle w:val="100000000000" w:firstRow="1" w:lastRow="0" w:firstColumn="0" w:lastColumn="0" w:oddVBand="0" w:evenVBand="0" w:oddHBand="0" w:evenHBand="0" w:firstRowFirstColumn="0" w:firstRowLastColumn="0" w:lastRowFirstColumn="0" w:lastRowLastColumn="0"/>
          <w:tblHeader/>
        </w:trPr>
        <w:tc>
          <w:tcPr>
            <w:tcW w:w="0" w:type="pct"/>
            <w:tcBorders>
              <w:right w:val="single" w:sz="4" w:space="0" w:color="C4BC96" w:themeColor="background2" w:themeShade="BF"/>
            </w:tcBorders>
            <w:tcMar>
              <w:top w:w="57" w:type="dxa"/>
              <w:left w:w="57" w:type="dxa"/>
              <w:bottom w:w="57" w:type="dxa"/>
              <w:right w:w="57" w:type="dxa"/>
            </w:tcMar>
          </w:tcPr>
          <w:p w14:paraId="2182665A" w14:textId="77777777" w:rsidR="0041228E" w:rsidRPr="00A34F8A" w:rsidRDefault="0041228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Jurisdiction</w:t>
            </w:r>
          </w:p>
        </w:tc>
        <w:tc>
          <w:tcPr>
            <w:tcW w:w="0" w:type="pct"/>
            <w:tcBorders>
              <w:left w:val="single" w:sz="4" w:space="0" w:color="C4BC96" w:themeColor="background2" w:themeShade="BF"/>
            </w:tcBorders>
            <w:tcMar>
              <w:top w:w="57" w:type="dxa"/>
              <w:left w:w="57" w:type="dxa"/>
              <w:bottom w:w="57" w:type="dxa"/>
              <w:right w:w="57" w:type="dxa"/>
            </w:tcMar>
          </w:tcPr>
          <w:p w14:paraId="229D3FF9" w14:textId="77777777" w:rsidR="0041228E" w:rsidRPr="00A34F8A" w:rsidRDefault="0041228E"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Commercial/Residential ratio</w:t>
            </w:r>
          </w:p>
        </w:tc>
      </w:tr>
      <w:tr w:rsidR="00735506" w:rsidRPr="00A34F8A" w14:paraId="414BF57A" w14:textId="77777777" w:rsidTr="00CA72A3">
        <w:trPr>
          <w:trHeight w:val="26"/>
        </w:trPr>
        <w:tc>
          <w:tcPr>
            <w:tcW w:w="0" w:type="pct"/>
            <w:tcBorders>
              <w:right w:val="single" w:sz="4" w:space="0" w:color="C4BC96" w:themeColor="background2" w:themeShade="BF"/>
            </w:tcBorders>
            <w:tcMar>
              <w:top w:w="57" w:type="dxa"/>
              <w:left w:w="57" w:type="dxa"/>
              <w:bottom w:w="57" w:type="dxa"/>
              <w:right w:w="57" w:type="dxa"/>
            </w:tcMar>
          </w:tcPr>
          <w:p w14:paraId="2F9EC6CC"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NSW</w:t>
            </w:r>
          </w:p>
        </w:tc>
        <w:tc>
          <w:tcPr>
            <w:tcW w:w="0" w:type="pct"/>
            <w:tcBorders>
              <w:left w:val="single" w:sz="4" w:space="0" w:color="AEAAAA"/>
            </w:tcBorders>
            <w:tcMar>
              <w:top w:w="57" w:type="dxa"/>
              <w:left w:w="57" w:type="dxa"/>
              <w:bottom w:w="57" w:type="dxa"/>
              <w:right w:w="57" w:type="dxa"/>
            </w:tcMar>
          </w:tcPr>
          <w:p w14:paraId="793D5753"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1.296</w:t>
            </w:r>
          </w:p>
        </w:tc>
      </w:tr>
      <w:tr w:rsidR="00735506" w:rsidRPr="00A34F8A" w14:paraId="50C47B0F"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1A151992"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VIC</w:t>
            </w:r>
          </w:p>
        </w:tc>
        <w:tc>
          <w:tcPr>
            <w:tcW w:w="0" w:type="pct"/>
            <w:tcBorders>
              <w:left w:val="single" w:sz="4" w:space="0" w:color="AEAAAA"/>
            </w:tcBorders>
            <w:tcMar>
              <w:top w:w="57" w:type="dxa"/>
              <w:left w:w="57" w:type="dxa"/>
              <w:bottom w:w="57" w:type="dxa"/>
              <w:right w:w="57" w:type="dxa"/>
            </w:tcMar>
          </w:tcPr>
          <w:p w14:paraId="3682BE1F"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1.129</w:t>
            </w:r>
          </w:p>
        </w:tc>
      </w:tr>
      <w:tr w:rsidR="00735506" w:rsidRPr="00A34F8A" w14:paraId="247C29F0"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1CB1D973"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QLD</w:t>
            </w:r>
          </w:p>
        </w:tc>
        <w:tc>
          <w:tcPr>
            <w:tcW w:w="0" w:type="pct"/>
            <w:tcBorders>
              <w:left w:val="single" w:sz="4" w:space="0" w:color="AEAAAA"/>
            </w:tcBorders>
            <w:tcMar>
              <w:top w:w="57" w:type="dxa"/>
              <w:left w:w="57" w:type="dxa"/>
              <w:bottom w:w="57" w:type="dxa"/>
              <w:right w:w="57" w:type="dxa"/>
            </w:tcMar>
          </w:tcPr>
          <w:p w14:paraId="6DEFD2F0"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1.303</w:t>
            </w:r>
          </w:p>
        </w:tc>
      </w:tr>
      <w:tr w:rsidR="00735506" w:rsidRPr="00A34F8A" w14:paraId="095B66DF"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4A61B3A1"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SA</w:t>
            </w:r>
          </w:p>
        </w:tc>
        <w:tc>
          <w:tcPr>
            <w:tcW w:w="0" w:type="pct"/>
            <w:tcBorders>
              <w:left w:val="single" w:sz="4" w:space="0" w:color="AEAAAA"/>
            </w:tcBorders>
            <w:tcMar>
              <w:top w:w="57" w:type="dxa"/>
              <w:left w:w="57" w:type="dxa"/>
              <w:bottom w:w="57" w:type="dxa"/>
              <w:right w:w="57" w:type="dxa"/>
            </w:tcMar>
          </w:tcPr>
          <w:p w14:paraId="2135005B"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1.206</w:t>
            </w:r>
          </w:p>
        </w:tc>
      </w:tr>
      <w:tr w:rsidR="00735506" w:rsidRPr="00A34F8A" w14:paraId="6E78407A"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12863B40"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WA</w:t>
            </w:r>
          </w:p>
        </w:tc>
        <w:tc>
          <w:tcPr>
            <w:tcW w:w="0" w:type="pct"/>
            <w:tcBorders>
              <w:left w:val="single" w:sz="4" w:space="0" w:color="AEAAAA"/>
            </w:tcBorders>
            <w:tcMar>
              <w:top w:w="57" w:type="dxa"/>
              <w:left w:w="57" w:type="dxa"/>
              <w:bottom w:w="57" w:type="dxa"/>
              <w:right w:w="57" w:type="dxa"/>
            </w:tcMar>
          </w:tcPr>
          <w:p w14:paraId="429BCF9B"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1.107</w:t>
            </w:r>
          </w:p>
        </w:tc>
      </w:tr>
      <w:tr w:rsidR="00735506" w:rsidRPr="00A34F8A" w14:paraId="3CE94D2B"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164E79FD"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TAS</w:t>
            </w:r>
          </w:p>
        </w:tc>
        <w:tc>
          <w:tcPr>
            <w:tcW w:w="0" w:type="pct"/>
            <w:tcBorders>
              <w:left w:val="single" w:sz="4" w:space="0" w:color="AEAAAA"/>
            </w:tcBorders>
            <w:tcMar>
              <w:top w:w="57" w:type="dxa"/>
              <w:left w:w="57" w:type="dxa"/>
              <w:bottom w:w="57" w:type="dxa"/>
              <w:right w:w="57" w:type="dxa"/>
            </w:tcMar>
          </w:tcPr>
          <w:p w14:paraId="5BAAA784"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0.908</w:t>
            </w:r>
          </w:p>
        </w:tc>
      </w:tr>
      <w:tr w:rsidR="00735506" w:rsidRPr="00A34F8A" w14:paraId="2A88E495"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5D4238C5"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NT</w:t>
            </w:r>
          </w:p>
        </w:tc>
        <w:tc>
          <w:tcPr>
            <w:tcW w:w="0" w:type="pct"/>
            <w:tcBorders>
              <w:left w:val="single" w:sz="4" w:space="0" w:color="AEAAAA"/>
            </w:tcBorders>
            <w:tcMar>
              <w:top w:w="57" w:type="dxa"/>
              <w:left w:w="57" w:type="dxa"/>
              <w:bottom w:w="57" w:type="dxa"/>
              <w:right w:w="57" w:type="dxa"/>
            </w:tcMar>
          </w:tcPr>
          <w:p w14:paraId="5088C8B7"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1.164</w:t>
            </w:r>
          </w:p>
        </w:tc>
      </w:tr>
      <w:tr w:rsidR="00735506" w:rsidRPr="00A34F8A" w14:paraId="3DDF38D8"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60B5E246" w14:textId="77777777" w:rsidR="0041228E" w:rsidRPr="00A34F8A" w:rsidRDefault="0041228E"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ACT</w:t>
            </w:r>
          </w:p>
        </w:tc>
        <w:tc>
          <w:tcPr>
            <w:tcW w:w="0" w:type="pct"/>
            <w:tcBorders>
              <w:left w:val="single" w:sz="4" w:space="0" w:color="AEAAAA"/>
            </w:tcBorders>
            <w:tcMar>
              <w:top w:w="57" w:type="dxa"/>
              <w:left w:w="57" w:type="dxa"/>
              <w:bottom w:w="57" w:type="dxa"/>
              <w:right w:w="57" w:type="dxa"/>
            </w:tcMar>
          </w:tcPr>
          <w:p w14:paraId="3CB66F79" w14:textId="77777777" w:rsidR="0041228E" w:rsidRPr="00A34F8A" w:rsidRDefault="0041228E"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1.214</w:t>
            </w:r>
          </w:p>
        </w:tc>
      </w:tr>
    </w:tbl>
    <w:p w14:paraId="37947FAD" w14:textId="77777777" w:rsidR="0041228E" w:rsidRPr="00A34F8A" w:rsidRDefault="0041228E" w:rsidP="0041228E">
      <w:pPr>
        <w:pStyle w:val="BlueLineBottom"/>
        <w:rPr>
          <w:rFonts w:asciiTheme="minorHAnsi" w:hAnsiTheme="minorHAnsi" w:cstheme="minorHAnsi"/>
          <w:sz w:val="22"/>
          <w:szCs w:val="22"/>
        </w:rPr>
      </w:pPr>
    </w:p>
    <w:p w14:paraId="56F2D515" w14:textId="03145D4A" w:rsidR="0041228E" w:rsidRPr="00A34F8A" w:rsidRDefault="0041228E" w:rsidP="0041228E">
      <w:pPr>
        <w:rPr>
          <w:rFonts w:asciiTheme="minorHAnsi" w:hAnsiTheme="minorHAnsi" w:cstheme="minorHAnsi"/>
          <w:szCs w:val="22"/>
        </w:rPr>
      </w:pPr>
      <w:r w:rsidRPr="00A34F8A">
        <w:rPr>
          <w:rFonts w:asciiTheme="minorHAnsi" w:hAnsiTheme="minorHAnsi" w:cstheme="minorHAnsi"/>
          <w:szCs w:val="22"/>
        </w:rPr>
        <w:t xml:space="preserve">For New Zealand, we have </w:t>
      </w:r>
      <w:r w:rsidR="00776762">
        <w:rPr>
          <w:rFonts w:asciiTheme="minorHAnsi" w:hAnsiTheme="minorHAnsi" w:cstheme="minorHAnsi"/>
          <w:szCs w:val="22"/>
        </w:rPr>
        <w:t xml:space="preserve">used the long run marginal cost provided by EECA </w:t>
      </w:r>
      <w:r w:rsidRPr="00A34F8A">
        <w:rPr>
          <w:rFonts w:asciiTheme="minorHAnsi" w:hAnsiTheme="minorHAnsi" w:cstheme="minorHAnsi"/>
          <w:szCs w:val="22"/>
        </w:rPr>
        <w:t xml:space="preserve">assumed </w:t>
      </w:r>
      <w:r w:rsidR="00776762">
        <w:rPr>
          <w:rFonts w:asciiTheme="minorHAnsi" w:hAnsiTheme="minorHAnsi" w:cstheme="minorHAnsi"/>
          <w:szCs w:val="22"/>
        </w:rPr>
        <w:t>to be</w:t>
      </w:r>
      <w:r w:rsidR="00926DAA">
        <w:rPr>
          <w:rFonts w:asciiTheme="minorHAnsi" w:hAnsiTheme="minorHAnsi" w:cstheme="minorHAnsi"/>
          <w:szCs w:val="22"/>
        </w:rPr>
        <w:t xml:space="preserve"> 10.</w:t>
      </w:r>
      <w:r w:rsidR="008377BD">
        <w:rPr>
          <w:rFonts w:asciiTheme="minorHAnsi" w:hAnsiTheme="minorHAnsi" w:cstheme="minorHAnsi"/>
          <w:szCs w:val="22"/>
        </w:rPr>
        <w:t>99</w:t>
      </w:r>
      <w:r w:rsidR="00926DAA">
        <w:rPr>
          <w:rFonts w:asciiTheme="minorHAnsi" w:hAnsiTheme="minorHAnsi" w:cstheme="minorHAnsi"/>
          <w:szCs w:val="22"/>
        </w:rPr>
        <w:t xml:space="preserve">c/kWh </w:t>
      </w:r>
      <w:r w:rsidR="00486BE1">
        <w:rPr>
          <w:rFonts w:asciiTheme="minorHAnsi" w:hAnsiTheme="minorHAnsi" w:cstheme="minorHAnsi"/>
          <w:szCs w:val="22"/>
        </w:rPr>
        <w:t>(2023).</w:t>
      </w:r>
    </w:p>
    <w:p w14:paraId="59982AE8" w14:textId="10F13A21" w:rsidR="0041228E" w:rsidRPr="00971350" w:rsidRDefault="0041228E" w:rsidP="0041228E">
      <w:pPr>
        <w:pStyle w:val="Heading2"/>
        <w:rPr>
          <w:rFonts w:asciiTheme="minorHAnsi" w:hAnsiTheme="minorHAnsi" w:cstheme="minorHAnsi"/>
          <w:szCs w:val="28"/>
        </w:rPr>
      </w:pPr>
      <w:bookmarkStart w:id="213" w:name="_Toc168660668"/>
      <w:bookmarkStart w:id="214" w:name="_Toc183163303"/>
      <w:r w:rsidRPr="00971350">
        <w:rPr>
          <w:rFonts w:asciiTheme="minorHAnsi" w:hAnsiTheme="minorHAnsi" w:cstheme="minorHAnsi"/>
          <w:szCs w:val="28"/>
        </w:rPr>
        <w:t>Government costs</w:t>
      </w:r>
      <w:bookmarkEnd w:id="213"/>
      <w:bookmarkEnd w:id="214"/>
    </w:p>
    <w:p w14:paraId="77C46924" w14:textId="44E48C77" w:rsidR="007E2E0A" w:rsidRPr="00A34F8A" w:rsidRDefault="007E2E0A" w:rsidP="007E2E0A">
      <w:pPr>
        <w:rPr>
          <w:rFonts w:asciiTheme="minorHAnsi" w:hAnsiTheme="minorHAnsi" w:cstheme="minorHAnsi"/>
          <w:szCs w:val="22"/>
        </w:rPr>
      </w:pPr>
      <w:r w:rsidRPr="00A34F8A">
        <w:rPr>
          <w:rFonts w:asciiTheme="minorHAnsi" w:hAnsiTheme="minorHAnsi" w:cstheme="minorHAnsi"/>
          <w:szCs w:val="22"/>
        </w:rPr>
        <w:t>We have made the following assumptions for the costs to government of administering and enforcing the EPS regulation in Australia and New Zealand (</w:t>
      </w:r>
      <w:r w:rsidRPr="00A34F8A">
        <w:rPr>
          <w:rFonts w:asciiTheme="minorHAnsi" w:hAnsiTheme="minorHAnsi" w:cstheme="minorHAnsi"/>
          <w:szCs w:val="22"/>
          <w:highlight w:val="yellow"/>
        </w:rPr>
        <w:fldChar w:fldCharType="begin" w:fldLock="1"/>
      </w:r>
      <w:r w:rsidRPr="00A34F8A">
        <w:rPr>
          <w:rFonts w:asciiTheme="minorHAnsi" w:hAnsiTheme="minorHAnsi" w:cstheme="minorHAnsi"/>
          <w:szCs w:val="22"/>
        </w:rPr>
        <w:instrText xml:space="preserve"> REF _Ref141868362 \h </w:instrText>
      </w:r>
      <w:r w:rsidR="00A34F8A" w:rsidRPr="00A34F8A">
        <w:rPr>
          <w:rFonts w:asciiTheme="minorHAnsi" w:hAnsiTheme="minorHAnsi" w:cstheme="minorHAnsi"/>
          <w:szCs w:val="22"/>
          <w:highlight w:val="yellow"/>
        </w:rPr>
        <w:instrText xml:space="preserve"> \* MERGEFORMAT </w:instrText>
      </w:r>
      <w:r w:rsidRPr="00A34F8A">
        <w:rPr>
          <w:rFonts w:asciiTheme="minorHAnsi" w:hAnsiTheme="minorHAnsi" w:cstheme="minorHAnsi"/>
          <w:szCs w:val="22"/>
          <w:highlight w:val="yellow"/>
        </w:rPr>
      </w:r>
      <w:r w:rsidRPr="00A34F8A">
        <w:rPr>
          <w:rFonts w:asciiTheme="minorHAnsi" w:hAnsiTheme="minorHAnsi" w:cstheme="minorHAnsi"/>
          <w:szCs w:val="22"/>
          <w:highlight w:val="yellow"/>
        </w:rPr>
        <w:fldChar w:fldCharType="separate"/>
      </w:r>
      <w:r w:rsidRPr="00A34F8A">
        <w:rPr>
          <w:rFonts w:asciiTheme="minorHAnsi" w:hAnsiTheme="minorHAnsi" w:cstheme="minorHAnsi"/>
          <w:szCs w:val="22"/>
        </w:rPr>
        <w:t xml:space="preserve">Table </w:t>
      </w:r>
      <w:r w:rsidRPr="00A34F8A">
        <w:rPr>
          <w:rFonts w:asciiTheme="minorHAnsi" w:hAnsiTheme="minorHAnsi" w:cstheme="minorHAnsi"/>
          <w:noProof/>
          <w:szCs w:val="22"/>
        </w:rPr>
        <w:t>21</w:t>
      </w:r>
      <w:r w:rsidRPr="00A34F8A">
        <w:rPr>
          <w:rFonts w:asciiTheme="minorHAnsi" w:hAnsiTheme="minorHAnsi" w:cstheme="minorHAnsi"/>
          <w:szCs w:val="22"/>
          <w:highlight w:val="yellow"/>
        </w:rPr>
        <w:fldChar w:fldCharType="end"/>
      </w:r>
      <w:r w:rsidRPr="00A34F8A">
        <w:rPr>
          <w:rFonts w:asciiTheme="minorHAnsi" w:hAnsiTheme="minorHAnsi" w:cstheme="minorHAnsi"/>
          <w:szCs w:val="22"/>
        </w:rPr>
        <w:t>). These costs are currently recovered from industry in Australia through product registration fees.</w:t>
      </w:r>
    </w:p>
    <w:p w14:paraId="45027227" w14:textId="77777777" w:rsidR="007E2E0A" w:rsidRPr="00A34F8A" w:rsidRDefault="007E2E0A" w:rsidP="007E2E0A">
      <w:pPr>
        <w:pStyle w:val="BlueLineTop"/>
        <w:rPr>
          <w:rFonts w:asciiTheme="minorHAnsi" w:hAnsiTheme="minorHAnsi" w:cstheme="minorHAnsi"/>
          <w:sz w:val="22"/>
          <w:szCs w:val="22"/>
        </w:rPr>
      </w:pPr>
    </w:p>
    <w:p w14:paraId="09E2278D" w14:textId="224E3E9E" w:rsidR="007E2E0A" w:rsidRPr="00A34F8A" w:rsidRDefault="007E2E0A" w:rsidP="007E2E0A">
      <w:pPr>
        <w:pStyle w:val="Caption"/>
        <w:keepNext/>
        <w:rPr>
          <w:rFonts w:asciiTheme="minorHAnsi" w:hAnsiTheme="minorHAnsi" w:cstheme="minorHAnsi"/>
          <w:sz w:val="22"/>
          <w:szCs w:val="22"/>
        </w:rPr>
      </w:pPr>
      <w:bookmarkStart w:id="215" w:name="_Ref141868362"/>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39</w:t>
      </w:r>
      <w:r w:rsidRPr="00A34F8A">
        <w:rPr>
          <w:rFonts w:asciiTheme="minorHAnsi" w:hAnsiTheme="minorHAnsi" w:cstheme="minorHAnsi"/>
          <w:noProof/>
          <w:sz w:val="22"/>
          <w:szCs w:val="22"/>
        </w:rPr>
        <w:fldChar w:fldCharType="end"/>
      </w:r>
      <w:bookmarkEnd w:id="215"/>
      <w:r w:rsidRPr="00A34F8A">
        <w:rPr>
          <w:rFonts w:asciiTheme="minorHAnsi" w:hAnsiTheme="minorHAnsi" w:cstheme="minorHAnsi"/>
          <w:sz w:val="22"/>
          <w:szCs w:val="22"/>
        </w:rPr>
        <w:t>: Government administration and enforcement costs</w:t>
      </w:r>
    </w:p>
    <w:tbl>
      <w:tblPr>
        <w:tblStyle w:val="ComCap4-nested"/>
        <w:tblW w:w="5335" w:type="pct"/>
        <w:tblInd w:w="-567" w:type="dxa"/>
        <w:tblBorders>
          <w:insideV w:val="single" w:sz="4" w:space="0" w:color="auto"/>
        </w:tblBorders>
        <w:tblLook w:val="04A0" w:firstRow="1" w:lastRow="0" w:firstColumn="1" w:lastColumn="0" w:noHBand="0" w:noVBand="1"/>
      </w:tblPr>
      <w:tblGrid>
        <w:gridCol w:w="4611"/>
        <w:gridCol w:w="4415"/>
      </w:tblGrid>
      <w:tr w:rsidR="00045634" w:rsidRPr="00A34F8A" w14:paraId="570796DD" w14:textId="77777777" w:rsidTr="00CA72A3">
        <w:trPr>
          <w:cnfStyle w:val="100000000000" w:firstRow="1" w:lastRow="0" w:firstColumn="0" w:lastColumn="0" w:oddVBand="0" w:evenVBand="0" w:oddHBand="0" w:evenHBand="0" w:firstRowFirstColumn="0" w:firstRowLastColumn="0" w:lastRowFirstColumn="0" w:lastRowLastColumn="0"/>
          <w:tblHeader/>
        </w:trPr>
        <w:tc>
          <w:tcPr>
            <w:tcW w:w="0" w:type="pct"/>
            <w:tcBorders>
              <w:right w:val="single" w:sz="4" w:space="0" w:color="C4BC96" w:themeColor="background2" w:themeShade="BF"/>
            </w:tcBorders>
            <w:tcMar>
              <w:top w:w="57" w:type="dxa"/>
              <w:left w:w="57" w:type="dxa"/>
              <w:bottom w:w="57" w:type="dxa"/>
              <w:right w:w="57" w:type="dxa"/>
            </w:tcMar>
          </w:tcPr>
          <w:p w14:paraId="4413F67B" w14:textId="77777777" w:rsidR="007E2E0A" w:rsidRPr="00A34F8A" w:rsidRDefault="007E2E0A"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Administration and enforcement cost category</w:t>
            </w:r>
          </w:p>
        </w:tc>
        <w:tc>
          <w:tcPr>
            <w:tcW w:w="0" w:type="pct"/>
            <w:tcBorders>
              <w:left w:val="single" w:sz="4" w:space="0" w:color="C4BC96" w:themeColor="background2" w:themeShade="BF"/>
            </w:tcBorders>
            <w:tcMar>
              <w:top w:w="57" w:type="dxa"/>
              <w:left w:w="57" w:type="dxa"/>
              <w:bottom w:w="57" w:type="dxa"/>
              <w:right w:w="57" w:type="dxa"/>
            </w:tcMar>
          </w:tcPr>
          <w:p w14:paraId="4CE3B79B" w14:textId="77777777" w:rsidR="007E2E0A" w:rsidRPr="00A34F8A" w:rsidRDefault="007E2E0A"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Assumption ($ AUD)</w:t>
            </w:r>
          </w:p>
        </w:tc>
      </w:tr>
      <w:tr w:rsidR="00735506" w:rsidRPr="00A34F8A" w14:paraId="092EFC3B" w14:textId="77777777" w:rsidTr="00CA72A3">
        <w:trPr>
          <w:trHeight w:val="26"/>
        </w:trPr>
        <w:tc>
          <w:tcPr>
            <w:tcW w:w="0" w:type="pct"/>
            <w:tcBorders>
              <w:right w:val="single" w:sz="4" w:space="0" w:color="C4BC96" w:themeColor="background2" w:themeShade="BF"/>
            </w:tcBorders>
            <w:tcMar>
              <w:top w:w="57" w:type="dxa"/>
              <w:left w:w="57" w:type="dxa"/>
              <w:bottom w:w="57" w:type="dxa"/>
              <w:right w:w="57" w:type="dxa"/>
            </w:tcMar>
          </w:tcPr>
          <w:p w14:paraId="59338928" w14:textId="77777777" w:rsidR="007E2E0A" w:rsidRPr="00A34F8A" w:rsidRDefault="007E2E0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Input cost (wages, overheads and non-wage costs)</w:t>
            </w:r>
          </w:p>
        </w:tc>
        <w:tc>
          <w:tcPr>
            <w:tcW w:w="0" w:type="pct"/>
            <w:tcBorders>
              <w:left w:val="single" w:sz="4" w:space="0" w:color="AEAAAA"/>
            </w:tcBorders>
            <w:tcMar>
              <w:top w:w="57" w:type="dxa"/>
              <w:left w:w="57" w:type="dxa"/>
              <w:bottom w:w="57" w:type="dxa"/>
              <w:right w:w="57" w:type="dxa"/>
            </w:tcMar>
          </w:tcPr>
          <w:p w14:paraId="29219A73" w14:textId="77777777" w:rsidR="007E2E0A" w:rsidRPr="00A34F8A" w:rsidRDefault="007E2E0A"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$72 per hour*</w:t>
            </w:r>
          </w:p>
        </w:tc>
      </w:tr>
      <w:tr w:rsidR="00735506" w:rsidRPr="00A34F8A" w14:paraId="7BF632DD"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6A8F1DBA" w14:textId="77777777" w:rsidR="007E2E0A" w:rsidRPr="00A34F8A" w:rsidRDefault="007E2E0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Time per registration</w:t>
            </w:r>
          </w:p>
        </w:tc>
        <w:tc>
          <w:tcPr>
            <w:tcW w:w="0" w:type="pct"/>
            <w:tcBorders>
              <w:left w:val="single" w:sz="4" w:space="0" w:color="AEAAAA"/>
            </w:tcBorders>
            <w:tcMar>
              <w:top w:w="57" w:type="dxa"/>
              <w:left w:w="57" w:type="dxa"/>
              <w:bottom w:w="57" w:type="dxa"/>
              <w:right w:w="57" w:type="dxa"/>
            </w:tcMar>
          </w:tcPr>
          <w:p w14:paraId="0F744E8D" w14:textId="77777777" w:rsidR="007E2E0A" w:rsidRPr="00A34F8A" w:rsidRDefault="007E2E0A"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30 mins</w:t>
            </w:r>
          </w:p>
        </w:tc>
      </w:tr>
      <w:tr w:rsidR="00735506" w:rsidRPr="00A34F8A" w14:paraId="1061EF12"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2F0A389B" w14:textId="77777777" w:rsidR="007E2E0A" w:rsidRPr="00A34F8A" w:rsidRDefault="007E2E0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Market screening (non-compliance)</w:t>
            </w:r>
          </w:p>
        </w:tc>
        <w:tc>
          <w:tcPr>
            <w:tcW w:w="0" w:type="pct"/>
            <w:tcBorders>
              <w:left w:val="single" w:sz="4" w:space="0" w:color="AEAAAA"/>
            </w:tcBorders>
            <w:tcMar>
              <w:top w:w="57" w:type="dxa"/>
              <w:left w:w="57" w:type="dxa"/>
              <w:bottom w:w="57" w:type="dxa"/>
              <w:right w:w="57" w:type="dxa"/>
            </w:tcMar>
          </w:tcPr>
          <w:p w14:paraId="362A5093" w14:textId="77777777" w:rsidR="007E2E0A" w:rsidRPr="00A34F8A" w:rsidRDefault="007E2E0A"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 days per year</w:t>
            </w:r>
          </w:p>
        </w:tc>
      </w:tr>
      <w:tr w:rsidR="00735506" w:rsidRPr="00A34F8A" w14:paraId="0B044BEF"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181D4CF3" w14:textId="77777777" w:rsidR="007E2E0A" w:rsidRPr="00A34F8A" w:rsidRDefault="007E2E0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Enquiries</w:t>
            </w:r>
          </w:p>
        </w:tc>
        <w:tc>
          <w:tcPr>
            <w:tcW w:w="0" w:type="pct"/>
            <w:tcBorders>
              <w:left w:val="single" w:sz="4" w:space="0" w:color="AEAAAA"/>
            </w:tcBorders>
            <w:tcMar>
              <w:top w:w="57" w:type="dxa"/>
              <w:left w:w="57" w:type="dxa"/>
              <w:bottom w:w="57" w:type="dxa"/>
              <w:right w:w="57" w:type="dxa"/>
            </w:tcMar>
          </w:tcPr>
          <w:p w14:paraId="371DBDBA" w14:textId="77777777" w:rsidR="007E2E0A" w:rsidRPr="00A34F8A" w:rsidRDefault="007E2E0A"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 of registrations, 30 mins per enquiry</w:t>
            </w:r>
          </w:p>
        </w:tc>
      </w:tr>
      <w:tr w:rsidR="00735506" w:rsidRPr="00A34F8A" w14:paraId="254232D3"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3EE1CE9D" w14:textId="77777777" w:rsidR="007E2E0A" w:rsidRPr="00A34F8A" w:rsidRDefault="007E2E0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Regulatory reviews and other administrative costs (Australia only)</w:t>
            </w:r>
          </w:p>
        </w:tc>
        <w:tc>
          <w:tcPr>
            <w:tcW w:w="0" w:type="pct"/>
            <w:tcBorders>
              <w:left w:val="single" w:sz="4" w:space="0" w:color="AEAAAA"/>
            </w:tcBorders>
            <w:tcMar>
              <w:top w:w="57" w:type="dxa"/>
              <w:left w:w="57" w:type="dxa"/>
              <w:bottom w:w="57" w:type="dxa"/>
              <w:right w:w="57" w:type="dxa"/>
            </w:tcMar>
          </w:tcPr>
          <w:p w14:paraId="77C03F1D" w14:textId="77777777" w:rsidR="007E2E0A" w:rsidRPr="00A34F8A" w:rsidRDefault="007E2E0A"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$200,000 every 5 years</w:t>
            </w:r>
          </w:p>
        </w:tc>
      </w:tr>
      <w:tr w:rsidR="00735506" w:rsidRPr="00A34F8A" w14:paraId="5F71C650" w14:textId="77777777" w:rsidTr="00CA72A3">
        <w:tc>
          <w:tcPr>
            <w:tcW w:w="0" w:type="pct"/>
            <w:tcBorders>
              <w:right w:val="single" w:sz="4" w:space="0" w:color="C4BC96" w:themeColor="background2" w:themeShade="BF"/>
            </w:tcBorders>
            <w:tcMar>
              <w:top w:w="57" w:type="dxa"/>
              <w:left w:w="57" w:type="dxa"/>
              <w:bottom w:w="57" w:type="dxa"/>
              <w:right w:w="57" w:type="dxa"/>
            </w:tcMar>
          </w:tcPr>
          <w:p w14:paraId="77A482B8" w14:textId="77777777" w:rsidR="007E2E0A" w:rsidRPr="00A34F8A" w:rsidRDefault="007E2E0A"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Product check-testing</w:t>
            </w:r>
          </w:p>
        </w:tc>
        <w:tc>
          <w:tcPr>
            <w:tcW w:w="0" w:type="pct"/>
            <w:tcBorders>
              <w:left w:val="single" w:sz="4" w:space="0" w:color="AEAAAA"/>
            </w:tcBorders>
            <w:tcMar>
              <w:top w:w="57" w:type="dxa"/>
              <w:left w:w="57" w:type="dxa"/>
              <w:bottom w:w="57" w:type="dxa"/>
              <w:right w:w="57" w:type="dxa"/>
            </w:tcMar>
          </w:tcPr>
          <w:p w14:paraId="7D37C447" w14:textId="77777777" w:rsidR="007E2E0A" w:rsidRPr="00A34F8A" w:rsidRDefault="007E2E0A"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($850 per test + $100 product cost) x 1% of registered products</w:t>
            </w:r>
          </w:p>
        </w:tc>
      </w:tr>
    </w:tbl>
    <w:p w14:paraId="2AD1C1E8" w14:textId="77777777" w:rsidR="007E2E0A" w:rsidRPr="00A34F8A" w:rsidRDefault="007E2E0A" w:rsidP="007E2E0A">
      <w:pPr>
        <w:pStyle w:val="BlueLineBottom"/>
        <w:rPr>
          <w:rFonts w:asciiTheme="minorHAnsi" w:hAnsiTheme="minorHAnsi" w:cstheme="minorHAnsi"/>
          <w:sz w:val="22"/>
          <w:szCs w:val="22"/>
        </w:rPr>
      </w:pPr>
      <w:r w:rsidRPr="00A34F8A">
        <w:rPr>
          <w:rFonts w:asciiTheme="minorHAnsi" w:hAnsiTheme="minorHAnsi" w:cstheme="minorHAnsi"/>
          <w:sz w:val="22"/>
          <w:szCs w:val="22"/>
        </w:rPr>
        <w:t>*Based on APS5 at central rate and 1.75 overhead scaling</w:t>
      </w:r>
    </w:p>
    <w:p w14:paraId="5F3317DE" w14:textId="585D5ADF" w:rsidR="00CB64AA" w:rsidRPr="00971350" w:rsidRDefault="00CB64AA" w:rsidP="00CB64AA">
      <w:pPr>
        <w:pStyle w:val="Heading1"/>
        <w:rPr>
          <w:rFonts w:asciiTheme="minorHAnsi" w:hAnsiTheme="minorHAnsi" w:cstheme="minorHAnsi"/>
          <w:sz w:val="28"/>
        </w:rPr>
      </w:pPr>
      <w:bookmarkStart w:id="216" w:name="_Toc168660751"/>
      <w:bookmarkStart w:id="217" w:name="_Toc183163304"/>
      <w:r w:rsidRPr="00971350">
        <w:rPr>
          <w:rFonts w:asciiTheme="minorHAnsi" w:hAnsiTheme="minorHAnsi" w:cstheme="minorHAnsi"/>
          <w:sz w:val="28"/>
        </w:rPr>
        <w:t>Non-participant costs and benefits</w:t>
      </w:r>
      <w:bookmarkEnd w:id="216"/>
      <w:bookmarkEnd w:id="217"/>
    </w:p>
    <w:p w14:paraId="074FFF19" w14:textId="5C6F8D9B" w:rsidR="00CB64AA" w:rsidRPr="00A34F8A" w:rsidRDefault="00E96DA5" w:rsidP="00CB64AA">
      <w:pPr>
        <w:pStyle w:val="Heading2"/>
        <w:rPr>
          <w:rFonts w:asciiTheme="minorHAnsi" w:hAnsiTheme="minorHAnsi" w:cstheme="minorHAnsi"/>
          <w:sz w:val="22"/>
          <w:szCs w:val="22"/>
        </w:rPr>
      </w:pPr>
      <w:bookmarkStart w:id="218" w:name="_Toc168660669"/>
      <w:bookmarkStart w:id="219" w:name="_Toc183163305"/>
      <w:r w:rsidRPr="00A34F8A">
        <w:rPr>
          <w:rFonts w:asciiTheme="minorHAnsi" w:hAnsiTheme="minorHAnsi" w:cstheme="minorHAnsi"/>
          <w:sz w:val="22"/>
          <w:szCs w:val="22"/>
        </w:rPr>
        <w:t>Avoided energy network costs</w:t>
      </w:r>
      <w:bookmarkEnd w:id="218"/>
      <w:bookmarkEnd w:id="219"/>
    </w:p>
    <w:p w14:paraId="79C5CBDE" w14:textId="215400CE" w:rsidR="008D4670" w:rsidRPr="00A34F8A" w:rsidRDefault="008D4670" w:rsidP="008D4670">
      <w:pPr>
        <w:rPr>
          <w:rFonts w:asciiTheme="minorHAnsi" w:hAnsiTheme="minorHAnsi" w:cstheme="minorHAnsi"/>
          <w:szCs w:val="22"/>
        </w:rPr>
      </w:pPr>
      <w:r w:rsidRPr="00A34F8A">
        <w:rPr>
          <w:rFonts w:asciiTheme="minorHAnsi" w:hAnsiTheme="minorHAnsi" w:cstheme="minorHAnsi"/>
          <w:szCs w:val="22"/>
        </w:rPr>
        <w:t xml:space="preserve">The reduction in peak demand is based on an assumed conservation load factor (CLF) of 1.0 for external power supplies MEPS (residential and commercial applications). This factor was included in the Energy Efficiency Forecasts: 2019-2041 report prepared for the Australian Energy Market Operator (AEMO) </w:t>
      </w:r>
      <w:sdt>
        <w:sdtPr>
          <w:rPr>
            <w:rFonts w:asciiTheme="minorHAnsi" w:hAnsiTheme="minorHAnsi" w:cstheme="minorHAnsi"/>
            <w:szCs w:val="22"/>
          </w:rPr>
          <w:id w:val="185336940"/>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Str19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(Strategy. Policy. Research.,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Peak demand reduction is calculated using the following formula:</w:t>
      </w:r>
    </w:p>
    <w:p w14:paraId="342B07AC" w14:textId="77777777" w:rsidR="008D4670" w:rsidRPr="00A34F8A" w:rsidRDefault="008D4670" w:rsidP="008D4670">
      <w:pPr>
        <w:rPr>
          <w:rFonts w:asciiTheme="minorHAnsi" w:hAnsiTheme="minorHAnsi" w:cstheme="minorHAnsi"/>
          <w:szCs w:val="22"/>
        </w:rPr>
      </w:pPr>
      <m:oMathPara>
        <m:oMath>
          <m:r>
            <w:rPr>
              <w:rFonts w:ascii="Cambria Math" w:hAnsi="Cambria Math" w:cstheme="minorHAnsi"/>
              <w:szCs w:val="22"/>
            </w:rPr>
            <m:t xml:space="preserve">Peak demand reduction= </m:t>
          </m:r>
          <m:f>
            <m:fPr>
              <m:ctrlPr>
                <w:rPr>
                  <w:rFonts w:ascii="Cambria Math" w:hAnsi="Cambria Math" w:cstheme="minorHAnsi"/>
                  <w:i/>
                  <w:szCs w:val="22"/>
                </w:rPr>
              </m:ctrlPr>
            </m:fPr>
            <m:num>
              <m:f>
                <m:fPr>
                  <m:ctrlPr>
                    <w:rPr>
                      <w:rFonts w:ascii="Cambria Math" w:hAnsi="Cambria Math" w:cstheme="minorHAnsi"/>
                      <w:i/>
                      <w:szCs w:val="22"/>
                    </w:rPr>
                  </m:ctrlPr>
                </m:fPr>
                <m:num>
                  <m:r>
                    <w:rPr>
                      <w:rFonts w:ascii="Cambria Math" w:hAnsi="Cambria Math" w:cstheme="minorHAnsi"/>
                      <w:szCs w:val="22"/>
                    </w:rPr>
                    <m:t>Annual energy use reduction</m:t>
                  </m:r>
                </m:num>
                <m:den>
                  <m:r>
                    <w:rPr>
                      <w:rFonts w:ascii="Cambria Math" w:hAnsi="Cambria Math" w:cstheme="minorHAnsi"/>
                      <w:szCs w:val="22"/>
                    </w:rPr>
                    <m:t xml:space="preserve">8760 </m:t>
                  </m:r>
                  <m:r>
                    <w:rPr>
                      <w:rFonts w:ascii="Cambria Math" w:hAnsi="Cambria Math" w:cstheme="minorHAnsi"/>
                      <w:szCs w:val="22"/>
                    </w:rPr>
                    <m:t>hours</m:t>
                  </m:r>
                </m:den>
              </m:f>
            </m:num>
            <m:den>
              <m:r>
                <w:rPr>
                  <w:rFonts w:ascii="Cambria Math" w:hAnsi="Cambria Math" w:cstheme="minorHAnsi"/>
                  <w:szCs w:val="22"/>
                </w:rPr>
                <m:t>CLF</m:t>
              </m:r>
            </m:den>
          </m:f>
        </m:oMath>
      </m:oMathPara>
    </w:p>
    <w:p w14:paraId="71D22D6B" w14:textId="7B10E617" w:rsidR="008D4670" w:rsidRPr="00A34F8A" w:rsidRDefault="008D4670" w:rsidP="008D4670">
      <w:pPr>
        <w:rPr>
          <w:rFonts w:asciiTheme="minorHAnsi" w:hAnsiTheme="minorHAnsi" w:cstheme="minorHAnsi"/>
          <w:szCs w:val="22"/>
        </w:rPr>
      </w:pPr>
      <w:r w:rsidRPr="00A34F8A">
        <w:rPr>
          <w:rFonts w:asciiTheme="minorHAnsi" w:hAnsiTheme="minorHAnsi" w:cstheme="minorHAnsi"/>
          <w:szCs w:val="22"/>
        </w:rPr>
        <w:t xml:space="preserve">We have assumed a cost benefit of $500/kW (2019 dollars) peak reduction in Australia (as used in the 2019 Jacobs report for the VEU program energy market modelling </w:t>
      </w:r>
      <w:sdt>
        <w:sdtPr>
          <w:rPr>
            <w:rFonts w:asciiTheme="minorHAnsi" w:hAnsiTheme="minorHAnsi" w:cstheme="minorHAnsi"/>
            <w:szCs w:val="22"/>
          </w:rPr>
          <w:id w:val="-593318667"/>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JAC19 \l 3081 </w:instrText>
          </w:r>
          <w:r w:rsidRPr="00A34F8A">
            <w:rPr>
              <w:rFonts w:asciiTheme="minorHAnsi" w:hAnsiTheme="minorHAnsi" w:cstheme="minorHAnsi"/>
              <w:szCs w:val="22"/>
            </w:rPr>
            <w:fldChar w:fldCharType="separate"/>
          </w:r>
          <w:r w:rsidR="002E2541" w:rsidRPr="002E2541">
            <w:rPr>
              <w:rFonts w:asciiTheme="minorHAnsi" w:hAnsiTheme="minorHAnsi" w:cstheme="minorHAnsi"/>
              <w:noProof/>
              <w:szCs w:val="22"/>
            </w:rPr>
            <w:t>(JACOBS, 2019)</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and an equivalent value of NZD230/kW in New Zealand (used in the Electronic Screens CRIS).</w:t>
      </w:r>
    </w:p>
    <w:p w14:paraId="318BE082" w14:textId="51E8B84A" w:rsidR="008D4670" w:rsidRPr="00A34F8A" w:rsidRDefault="008D4670" w:rsidP="008D4670">
      <w:pPr>
        <w:pStyle w:val="Heading2"/>
        <w:rPr>
          <w:rFonts w:asciiTheme="minorHAnsi" w:hAnsiTheme="minorHAnsi" w:cstheme="minorHAnsi"/>
          <w:sz w:val="22"/>
          <w:szCs w:val="22"/>
        </w:rPr>
      </w:pPr>
      <w:bookmarkStart w:id="220" w:name="_Toc168660670"/>
      <w:bookmarkStart w:id="221" w:name="_Toc183163306"/>
      <w:r w:rsidRPr="00A34F8A">
        <w:rPr>
          <w:rFonts w:asciiTheme="minorHAnsi" w:hAnsiTheme="minorHAnsi" w:cstheme="minorHAnsi"/>
          <w:sz w:val="22"/>
          <w:szCs w:val="22"/>
        </w:rPr>
        <w:lastRenderedPageBreak/>
        <w:t>Health benefits associated with improved air quality</w:t>
      </w:r>
      <w:bookmarkEnd w:id="220"/>
      <w:bookmarkEnd w:id="221"/>
    </w:p>
    <w:p w14:paraId="63F4A4B6" w14:textId="77777777" w:rsidR="00983CDB" w:rsidRPr="00A34F8A" w:rsidRDefault="00983CDB" w:rsidP="00983CDB">
      <w:pPr>
        <w:rPr>
          <w:rFonts w:asciiTheme="minorHAnsi" w:hAnsiTheme="minorHAnsi" w:cstheme="minorHAnsi"/>
          <w:szCs w:val="22"/>
        </w:rPr>
      </w:pPr>
      <w:r w:rsidRPr="00A34F8A">
        <w:rPr>
          <w:rFonts w:asciiTheme="minorHAnsi" w:hAnsiTheme="minorHAnsi" w:cstheme="minorHAnsi"/>
          <w:szCs w:val="22"/>
        </w:rPr>
        <w:t>There are health benefits associated with improved air quality resulting from electricity savings in Australia. Reduced pollution resulting from reduced coal or gas generated electricity result in health benefits associated with respiratory and cardiac diseases. We will assume the same benefits used in the NCC DRIS, which are as follows:</w:t>
      </w:r>
    </w:p>
    <w:p w14:paraId="3B5FBBC0" w14:textId="3835A97D" w:rsidR="00983CDB" w:rsidRPr="00A34F8A" w:rsidRDefault="00983CDB" w:rsidP="00983CDB">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 xml:space="preserve">Coal-generated electricity - $2.75/MWh (2022 pricing) from Mazaheri et al. </w:t>
      </w:r>
      <w:sdt>
        <w:sdtPr>
          <w:rPr>
            <w:rFonts w:asciiTheme="minorHAnsi" w:hAnsiTheme="minorHAnsi" w:cstheme="minorHAnsi"/>
            <w:sz w:val="22"/>
            <w:szCs w:val="22"/>
          </w:rPr>
          <w:id w:val="-2096468294"/>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Maz21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(Mazaheri, et al., 2021)</w:t>
          </w:r>
          <w:r w:rsidRPr="00A34F8A">
            <w:rPr>
              <w:rFonts w:asciiTheme="minorHAnsi" w:hAnsiTheme="minorHAnsi" w:cstheme="minorHAnsi"/>
              <w:sz w:val="22"/>
              <w:szCs w:val="22"/>
            </w:rPr>
            <w:fldChar w:fldCharType="end"/>
          </w:r>
        </w:sdtContent>
      </w:sdt>
    </w:p>
    <w:p w14:paraId="62B28239" w14:textId="2D9303D2" w:rsidR="00983CDB" w:rsidRPr="00A34F8A" w:rsidRDefault="00983CDB" w:rsidP="00983CDB">
      <w:pPr>
        <w:pStyle w:val="Bullet-Level1"/>
        <w:ind w:left="567" w:hanging="567"/>
        <w:rPr>
          <w:rFonts w:asciiTheme="minorHAnsi" w:hAnsiTheme="minorHAnsi" w:cstheme="minorHAnsi"/>
          <w:sz w:val="22"/>
          <w:szCs w:val="22"/>
        </w:rPr>
      </w:pPr>
      <w:r w:rsidRPr="00A34F8A">
        <w:rPr>
          <w:rFonts w:asciiTheme="minorHAnsi" w:hAnsiTheme="minorHAnsi" w:cstheme="minorHAnsi"/>
          <w:sz w:val="22"/>
          <w:szCs w:val="22"/>
        </w:rPr>
        <w:t xml:space="preserve">Gas-generated electricity - $0.99/MWh (2022 pricing) from 2009 Australian Academy of Technological Sciences and Engineering (ATSE) report </w:t>
      </w:r>
      <w:sdt>
        <w:sdtPr>
          <w:rPr>
            <w:rFonts w:asciiTheme="minorHAnsi" w:hAnsiTheme="minorHAnsi" w:cstheme="minorHAnsi"/>
            <w:sz w:val="22"/>
            <w:szCs w:val="22"/>
          </w:rPr>
          <w:id w:val="719330085"/>
          <w:citation/>
        </w:sdtPr>
        <w:sdtContent>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CITATION Aus09 \l 3081 </w:instrText>
          </w:r>
          <w:r w:rsidRPr="00A34F8A">
            <w:rPr>
              <w:rFonts w:asciiTheme="minorHAnsi" w:hAnsiTheme="minorHAnsi" w:cstheme="minorHAnsi"/>
              <w:sz w:val="22"/>
              <w:szCs w:val="22"/>
            </w:rPr>
            <w:fldChar w:fldCharType="separate"/>
          </w:r>
          <w:r w:rsidR="002E2541" w:rsidRPr="002E2541">
            <w:rPr>
              <w:rFonts w:asciiTheme="minorHAnsi" w:hAnsiTheme="minorHAnsi" w:cstheme="minorHAnsi"/>
              <w:noProof/>
              <w:sz w:val="22"/>
              <w:szCs w:val="22"/>
            </w:rPr>
            <w:t>(Australian Academy of Technological Sciences and Engineering, 2009)</w:t>
          </w:r>
          <w:r w:rsidRPr="00A34F8A">
            <w:rPr>
              <w:rFonts w:asciiTheme="minorHAnsi" w:hAnsiTheme="minorHAnsi" w:cstheme="minorHAnsi"/>
              <w:sz w:val="22"/>
              <w:szCs w:val="22"/>
            </w:rPr>
            <w:fldChar w:fldCharType="end"/>
          </w:r>
        </w:sdtContent>
      </w:sdt>
    </w:p>
    <w:p w14:paraId="753ABDDD" w14:textId="77777777" w:rsidR="00983CDB" w:rsidRPr="00A34F8A" w:rsidRDefault="00983CDB" w:rsidP="00983CDB">
      <w:pPr>
        <w:rPr>
          <w:rFonts w:asciiTheme="minorHAnsi" w:hAnsiTheme="minorHAnsi" w:cstheme="minorHAnsi"/>
          <w:szCs w:val="22"/>
        </w:rPr>
      </w:pPr>
      <w:r w:rsidRPr="00A34F8A">
        <w:rPr>
          <w:rFonts w:asciiTheme="minorHAnsi" w:hAnsiTheme="minorHAnsi" w:cstheme="minorHAnsi"/>
          <w:szCs w:val="22"/>
        </w:rPr>
        <w:t xml:space="preserve">We have assumed health benefits to be negligible in New Zealand based on the high percentage of renewables in the electricity supply. </w:t>
      </w:r>
    </w:p>
    <w:p w14:paraId="0C0E8032" w14:textId="71379DF2" w:rsidR="00983CDB" w:rsidRPr="00A34F8A" w:rsidRDefault="00983CDB" w:rsidP="00983CDB">
      <w:pPr>
        <w:pStyle w:val="Heading2"/>
        <w:rPr>
          <w:rFonts w:asciiTheme="minorHAnsi" w:hAnsiTheme="minorHAnsi" w:cstheme="minorHAnsi"/>
          <w:sz w:val="22"/>
          <w:szCs w:val="22"/>
        </w:rPr>
      </w:pPr>
      <w:bookmarkStart w:id="222" w:name="_Toc168660671"/>
      <w:bookmarkStart w:id="223" w:name="_Toc183163307"/>
      <w:r w:rsidRPr="00A34F8A">
        <w:rPr>
          <w:rFonts w:asciiTheme="minorHAnsi" w:hAnsiTheme="minorHAnsi" w:cstheme="minorHAnsi"/>
          <w:sz w:val="22"/>
          <w:szCs w:val="22"/>
        </w:rPr>
        <w:t>Reduced greenhouse gas emissions</w:t>
      </w:r>
      <w:bookmarkEnd w:id="222"/>
      <w:bookmarkEnd w:id="223"/>
    </w:p>
    <w:p w14:paraId="7883F036" w14:textId="58D307ED" w:rsidR="00C00C6E" w:rsidRPr="00A34F8A" w:rsidRDefault="00C00C6E" w:rsidP="00C00C6E">
      <w:pPr>
        <w:rPr>
          <w:rFonts w:asciiTheme="minorHAnsi" w:hAnsiTheme="minorHAnsi" w:cstheme="minorHAnsi"/>
          <w:szCs w:val="22"/>
        </w:rPr>
      </w:pPr>
      <w:r>
        <w:rPr>
          <w:rFonts w:asciiTheme="minorHAnsi" w:hAnsiTheme="minorHAnsi" w:cstheme="minorHAnsi"/>
          <w:szCs w:val="22"/>
        </w:rPr>
        <w:t>T</w:t>
      </w:r>
      <w:r w:rsidRPr="00A34F8A">
        <w:rPr>
          <w:rFonts w:asciiTheme="minorHAnsi" w:hAnsiTheme="minorHAnsi" w:cstheme="minorHAnsi"/>
          <w:szCs w:val="22"/>
        </w:rPr>
        <w:t xml:space="preserve">he </w:t>
      </w:r>
      <w:r>
        <w:rPr>
          <w:rFonts w:asciiTheme="minorHAnsi" w:hAnsiTheme="minorHAnsi" w:cstheme="minorHAnsi"/>
          <w:szCs w:val="22"/>
        </w:rPr>
        <w:t xml:space="preserve">indirect scope 2 and 3 combined emissions factors from the Australia’s emissions projections 2023 report, published by the Department of Climate Change, Energy, the Environment and Water </w:t>
      </w:r>
      <w:sdt>
        <w:sdtPr>
          <w:rPr>
            <w:rFonts w:asciiTheme="minorHAnsi" w:hAnsiTheme="minorHAnsi" w:cstheme="minorHAnsi"/>
            <w:szCs w:val="22"/>
          </w:rPr>
          <w:id w:val="-1388482150"/>
          <w:citation/>
        </w:sdtPr>
        <w:sdtContent>
          <w:r>
            <w:rPr>
              <w:rFonts w:asciiTheme="minorHAnsi" w:hAnsiTheme="minorHAnsi" w:cstheme="minorHAnsi"/>
              <w:szCs w:val="22"/>
            </w:rPr>
            <w:fldChar w:fldCharType="begin"/>
          </w:r>
          <w:r>
            <w:rPr>
              <w:rFonts w:asciiTheme="minorHAnsi" w:hAnsiTheme="minorHAnsi" w:cstheme="minorHAnsi"/>
              <w:szCs w:val="22"/>
            </w:rPr>
            <w:instrText xml:space="preserve"> CITATION Aus237 \l 3081 </w:instrText>
          </w:r>
          <w:r>
            <w:rPr>
              <w:rFonts w:asciiTheme="minorHAnsi" w:hAnsiTheme="minorHAnsi" w:cstheme="minorHAnsi"/>
              <w:szCs w:val="22"/>
            </w:rPr>
            <w:fldChar w:fldCharType="separate"/>
          </w:r>
          <w:r w:rsidRPr="00767068">
            <w:rPr>
              <w:rFonts w:asciiTheme="minorHAnsi" w:hAnsiTheme="minorHAnsi" w:cstheme="minorHAnsi"/>
              <w:noProof/>
              <w:szCs w:val="22"/>
            </w:rPr>
            <w:t>(Australian Government Department of Climate Change, Energy, the Environment and Water, 2023)</w:t>
          </w:r>
          <w:r>
            <w:rPr>
              <w:rFonts w:asciiTheme="minorHAnsi" w:hAnsiTheme="minorHAnsi" w:cstheme="minorHAnsi"/>
              <w:szCs w:val="22"/>
            </w:rPr>
            <w:fldChar w:fldCharType="end"/>
          </w:r>
        </w:sdtContent>
      </w:sdt>
      <w:r>
        <w:rPr>
          <w:rFonts w:asciiTheme="minorHAnsi" w:hAnsiTheme="minorHAnsi" w:cstheme="minorHAnsi"/>
          <w:szCs w:val="22"/>
        </w:rPr>
        <w:t xml:space="preserve"> have been used for the Australian analysis. </w:t>
      </w:r>
      <w:r w:rsidRPr="00A34F8A">
        <w:rPr>
          <w:rFonts w:asciiTheme="minorHAnsi" w:hAnsiTheme="minorHAnsi" w:cstheme="minorHAnsi"/>
          <w:szCs w:val="22"/>
        </w:rPr>
        <w:t xml:space="preserve">For New Zealand, emissions projections were sourced from the He Pou a Rangi Climate Change Commission </w:t>
      </w:r>
      <w:sdt>
        <w:sdtPr>
          <w:rPr>
            <w:rFonts w:asciiTheme="minorHAnsi" w:hAnsiTheme="minorHAnsi" w:cstheme="minorHAnsi"/>
            <w:szCs w:val="22"/>
          </w:rPr>
          <w:id w:val="2067762467"/>
          <w:placeholder>
            <w:docPart w:val="68E914A4D9CC8B46862205364DF33F05"/>
          </w:placeholder>
          <w:citation/>
        </w:sdtPr>
        <w:sdtContent>
          <w:r w:rsidRPr="00A34F8A">
            <w:rPr>
              <w:rFonts w:asciiTheme="minorHAnsi" w:hAnsiTheme="minorHAnsi" w:cstheme="minorHAnsi"/>
              <w:szCs w:val="22"/>
            </w:rPr>
            <w:fldChar w:fldCharType="begin"/>
          </w:r>
          <w:r w:rsidRPr="00A34F8A">
            <w:rPr>
              <w:rFonts w:asciiTheme="minorHAnsi" w:hAnsiTheme="minorHAnsi" w:cstheme="minorHAnsi"/>
              <w:szCs w:val="22"/>
            </w:rPr>
            <w:instrText xml:space="preserve"> CITATION New22 \l 3081 </w:instrText>
          </w:r>
          <w:r w:rsidRPr="00A34F8A">
            <w:rPr>
              <w:rFonts w:asciiTheme="minorHAnsi" w:hAnsiTheme="minorHAnsi" w:cstheme="minorHAnsi"/>
              <w:szCs w:val="22"/>
            </w:rPr>
            <w:fldChar w:fldCharType="separate"/>
          </w:r>
          <w:r w:rsidRPr="002E2541">
            <w:rPr>
              <w:rFonts w:asciiTheme="minorHAnsi" w:hAnsiTheme="minorHAnsi" w:cstheme="minorHAnsi"/>
              <w:noProof/>
              <w:szCs w:val="22"/>
            </w:rPr>
            <w:t>(New Zealand Government, 2022)</w:t>
          </w:r>
          <w:r w:rsidRPr="00A34F8A">
            <w:rPr>
              <w:rFonts w:asciiTheme="minorHAnsi" w:hAnsiTheme="minorHAnsi" w:cstheme="minorHAnsi"/>
              <w:szCs w:val="22"/>
            </w:rPr>
            <w:fldChar w:fldCharType="end"/>
          </w:r>
        </w:sdtContent>
      </w:sdt>
      <w:r w:rsidRPr="00A34F8A">
        <w:rPr>
          <w:rFonts w:asciiTheme="minorHAnsi" w:hAnsiTheme="minorHAnsi" w:cstheme="minorHAnsi"/>
          <w:szCs w:val="22"/>
        </w:rPr>
        <w:t xml:space="preserve">. </w:t>
      </w:r>
    </w:p>
    <w:p w14:paraId="34978D20" w14:textId="77777777" w:rsidR="00143DAC" w:rsidRPr="00A34F8A" w:rsidRDefault="00143DAC" w:rsidP="00143DAC">
      <w:pPr>
        <w:pStyle w:val="BlueLineTop"/>
        <w:rPr>
          <w:rFonts w:asciiTheme="minorHAnsi" w:hAnsiTheme="minorHAnsi" w:cstheme="minorHAnsi"/>
          <w:sz w:val="22"/>
          <w:szCs w:val="22"/>
        </w:rPr>
      </w:pPr>
    </w:p>
    <w:p w14:paraId="350DDDCA" w14:textId="6ADD6A3E" w:rsidR="00143DAC" w:rsidRPr="00A34F8A" w:rsidRDefault="00143DAC" w:rsidP="00143DAC">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40</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New Zealand electricity emissions projections (tonnes/MWh) (source: He Pou a Rangi Climate Change Commission). Australian electricity emissions projections (tonnes/MWh) (source:</w:t>
      </w:r>
      <w:r w:rsidR="0004082F">
        <w:rPr>
          <w:rFonts w:asciiTheme="minorHAnsi" w:hAnsiTheme="minorHAnsi" w:cstheme="minorHAnsi"/>
          <w:sz w:val="22"/>
          <w:szCs w:val="22"/>
        </w:rPr>
        <w:t xml:space="preserve"> DCCEEW Australian emissions projections 2023 </w:t>
      </w:r>
      <w:sdt>
        <w:sdtPr>
          <w:rPr>
            <w:rFonts w:asciiTheme="minorHAnsi" w:hAnsiTheme="minorHAnsi" w:cstheme="minorHAnsi"/>
            <w:sz w:val="22"/>
            <w:szCs w:val="22"/>
          </w:rPr>
          <w:id w:val="77267027"/>
          <w:citation/>
        </w:sdtPr>
        <w:sdtContent>
          <w:r w:rsidR="00DA6132">
            <w:rPr>
              <w:rFonts w:asciiTheme="minorHAnsi" w:hAnsiTheme="minorHAnsi" w:cstheme="minorHAnsi"/>
              <w:sz w:val="22"/>
              <w:szCs w:val="22"/>
            </w:rPr>
            <w:fldChar w:fldCharType="begin"/>
          </w:r>
          <w:r w:rsidR="00DA6132">
            <w:rPr>
              <w:rFonts w:asciiTheme="minorHAnsi" w:hAnsiTheme="minorHAnsi" w:cstheme="minorHAnsi"/>
              <w:sz w:val="22"/>
              <w:szCs w:val="22"/>
            </w:rPr>
            <w:instrText xml:space="preserve"> CITATION Aus237 \l 3081 </w:instrText>
          </w:r>
          <w:r w:rsidR="00DA6132">
            <w:rPr>
              <w:rFonts w:asciiTheme="minorHAnsi" w:hAnsiTheme="minorHAnsi" w:cstheme="minorHAnsi"/>
              <w:sz w:val="22"/>
              <w:szCs w:val="22"/>
            </w:rPr>
            <w:fldChar w:fldCharType="separate"/>
          </w:r>
          <w:r w:rsidR="00DA6132" w:rsidRPr="00CA72A3">
            <w:rPr>
              <w:rFonts w:asciiTheme="minorHAnsi" w:hAnsiTheme="minorHAnsi" w:cstheme="minorHAnsi"/>
              <w:noProof/>
              <w:sz w:val="22"/>
              <w:szCs w:val="22"/>
            </w:rPr>
            <w:t>(Australian Government Department of Climate Change, Energy, the Environment and Water, 2023)</w:t>
          </w:r>
          <w:r w:rsidR="00DA6132">
            <w:rPr>
              <w:rFonts w:asciiTheme="minorHAnsi" w:hAnsiTheme="minorHAnsi" w:cstheme="minorHAnsi"/>
              <w:sz w:val="22"/>
              <w:szCs w:val="22"/>
            </w:rPr>
            <w:fldChar w:fldCharType="end"/>
          </w:r>
        </w:sdtContent>
      </w:sdt>
      <w:r w:rsidRPr="00A34F8A">
        <w:rPr>
          <w:rFonts w:asciiTheme="minorHAnsi" w:hAnsiTheme="minorHAnsi" w:cstheme="minorHAnsi"/>
          <w:sz w:val="22"/>
          <w:szCs w:val="22"/>
        </w:rPr>
        <w:t>)</w:t>
      </w:r>
    </w:p>
    <w:tbl>
      <w:tblPr>
        <w:tblStyle w:val="ComCap4-nested"/>
        <w:tblW w:w="5335" w:type="pct"/>
        <w:tblInd w:w="-567" w:type="dxa"/>
        <w:tblBorders>
          <w:insideV w:val="single" w:sz="4" w:space="0" w:color="auto"/>
        </w:tblBorders>
        <w:tblLayout w:type="fixed"/>
        <w:tblLook w:val="04A0" w:firstRow="1" w:lastRow="0" w:firstColumn="1" w:lastColumn="0" w:noHBand="0" w:noVBand="1"/>
      </w:tblPr>
      <w:tblGrid>
        <w:gridCol w:w="3008"/>
        <w:gridCol w:w="3009"/>
        <w:gridCol w:w="3009"/>
      </w:tblGrid>
      <w:tr w:rsidR="0054464F" w:rsidRPr="00A34F8A" w14:paraId="717186AC" w14:textId="77777777" w:rsidTr="00CA72A3">
        <w:trPr>
          <w:cnfStyle w:val="100000000000" w:firstRow="1" w:lastRow="0" w:firstColumn="0" w:lastColumn="0" w:oddVBand="0" w:evenVBand="0" w:oddHBand="0" w:evenHBand="0" w:firstRowFirstColumn="0" w:firstRowLastColumn="0" w:lastRowFirstColumn="0" w:lastRowLastColumn="0"/>
          <w:tblHeader/>
        </w:trPr>
        <w:tc>
          <w:tcPr>
            <w:tcW w:w="1666" w:type="pct"/>
            <w:tcBorders>
              <w:right w:val="single" w:sz="4" w:space="0" w:color="C4BC96" w:themeColor="background2" w:themeShade="BF"/>
            </w:tcBorders>
            <w:tcMar>
              <w:top w:w="57" w:type="dxa"/>
              <w:left w:w="57" w:type="dxa"/>
              <w:bottom w:w="57" w:type="dxa"/>
              <w:right w:w="57" w:type="dxa"/>
            </w:tcMar>
            <w:vAlign w:val="top"/>
          </w:tcPr>
          <w:p w14:paraId="70026E10" w14:textId="77777777" w:rsidR="0054464F" w:rsidRPr="00A34F8A" w:rsidRDefault="0054464F"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Year</w:t>
            </w:r>
          </w:p>
        </w:tc>
        <w:tc>
          <w:tcPr>
            <w:tcW w:w="1667" w:type="pct"/>
            <w:tcBorders>
              <w:left w:val="single" w:sz="4" w:space="0" w:color="C4BC96" w:themeColor="background2" w:themeShade="BF"/>
            </w:tcBorders>
            <w:tcMar>
              <w:top w:w="57" w:type="dxa"/>
              <w:left w:w="57" w:type="dxa"/>
              <w:bottom w:w="57" w:type="dxa"/>
              <w:right w:w="57" w:type="dxa"/>
            </w:tcMar>
            <w:vAlign w:val="top"/>
          </w:tcPr>
          <w:p w14:paraId="28455A4B" w14:textId="77777777" w:rsidR="0054464F" w:rsidRPr="00A34F8A" w:rsidRDefault="0054464F" w:rsidP="00CA72A3">
            <w:pPr>
              <w:pStyle w:val="Table1-columnheadingdata"/>
              <w:jc w:val="center"/>
              <w:rPr>
                <w:rFonts w:asciiTheme="minorHAnsi" w:hAnsiTheme="minorHAnsi" w:cstheme="minorHAnsi"/>
                <w:sz w:val="22"/>
                <w:szCs w:val="22"/>
              </w:rPr>
            </w:pPr>
            <w:r w:rsidRPr="00A34F8A">
              <w:rPr>
                <w:rFonts w:asciiTheme="minorHAnsi" w:hAnsiTheme="minorHAnsi" w:cstheme="minorHAnsi"/>
                <w:sz w:val="22"/>
                <w:szCs w:val="22"/>
              </w:rPr>
              <w:t>NZ</w:t>
            </w:r>
          </w:p>
        </w:tc>
        <w:tc>
          <w:tcPr>
            <w:tcW w:w="1667" w:type="pct"/>
            <w:tcBorders>
              <w:left w:val="single" w:sz="4" w:space="0" w:color="C4BC96" w:themeColor="background2" w:themeShade="BF"/>
            </w:tcBorders>
            <w:tcMar>
              <w:top w:w="57" w:type="dxa"/>
              <w:left w:w="57" w:type="dxa"/>
              <w:bottom w:w="57" w:type="dxa"/>
              <w:right w:w="57" w:type="dxa"/>
            </w:tcMar>
            <w:vAlign w:val="top"/>
          </w:tcPr>
          <w:p w14:paraId="16F934F6" w14:textId="2A114B8F" w:rsidR="0054464F" w:rsidRPr="00A34F8A" w:rsidRDefault="0054464F" w:rsidP="00CA72A3">
            <w:pPr>
              <w:pStyle w:val="Table1-columnheadingdata"/>
              <w:jc w:val="center"/>
              <w:rPr>
                <w:rFonts w:asciiTheme="minorHAnsi" w:hAnsiTheme="minorHAnsi" w:cstheme="minorHAnsi"/>
                <w:sz w:val="22"/>
                <w:szCs w:val="22"/>
              </w:rPr>
            </w:pPr>
            <w:r>
              <w:rPr>
                <w:rFonts w:asciiTheme="minorHAnsi" w:hAnsiTheme="minorHAnsi" w:cstheme="minorHAnsi"/>
                <w:sz w:val="22"/>
                <w:szCs w:val="22"/>
              </w:rPr>
              <w:t>AUS</w:t>
            </w:r>
            <w:r w:rsidR="005231F7">
              <w:rPr>
                <w:rFonts w:asciiTheme="minorHAnsi" w:hAnsiTheme="minorHAnsi" w:cstheme="minorHAnsi"/>
                <w:sz w:val="22"/>
                <w:szCs w:val="22"/>
              </w:rPr>
              <w:t xml:space="preserve"> (all grid connected)</w:t>
            </w:r>
          </w:p>
        </w:tc>
      </w:tr>
      <w:tr w:rsidR="00CA72A3" w:rsidRPr="00A34F8A" w14:paraId="4BB5A1D7" w14:textId="77777777" w:rsidTr="00CA72A3">
        <w:trPr>
          <w:trHeight w:val="91"/>
        </w:trPr>
        <w:tc>
          <w:tcPr>
            <w:tcW w:w="1666" w:type="pct"/>
            <w:tcBorders>
              <w:right w:val="single" w:sz="4" w:space="0" w:color="C4BC96" w:themeColor="background2" w:themeShade="BF"/>
            </w:tcBorders>
            <w:tcMar>
              <w:top w:w="57" w:type="dxa"/>
              <w:left w:w="57" w:type="dxa"/>
              <w:bottom w:w="57" w:type="dxa"/>
              <w:right w:w="57" w:type="dxa"/>
            </w:tcMar>
            <w:vAlign w:val="top"/>
          </w:tcPr>
          <w:p w14:paraId="2B48755D"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2023</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15CB3473"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0.0921</w:t>
            </w:r>
          </w:p>
        </w:tc>
        <w:tc>
          <w:tcPr>
            <w:tcW w:w="1667" w:type="pct"/>
            <w:tcBorders>
              <w:left w:val="single" w:sz="4" w:space="0" w:color="AEAAAA"/>
            </w:tcBorders>
            <w:tcMar>
              <w:top w:w="57" w:type="dxa"/>
              <w:left w:w="57" w:type="dxa"/>
              <w:bottom w:w="57" w:type="dxa"/>
              <w:right w:w="57" w:type="dxa"/>
            </w:tcMar>
            <w:vAlign w:val="top"/>
          </w:tcPr>
          <w:p w14:paraId="5014DED6" w14:textId="748C75B4"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w:t>
            </w:r>
            <w:r w:rsidR="00AD0789">
              <w:rPr>
                <w:rFonts w:asciiTheme="minorHAnsi" w:hAnsiTheme="minorHAnsi" w:cstheme="minorHAnsi"/>
                <w:sz w:val="22"/>
                <w:szCs w:val="22"/>
              </w:rPr>
              <w:t>73</w:t>
            </w:r>
          </w:p>
        </w:tc>
      </w:tr>
      <w:tr w:rsidR="00CA72A3" w:rsidRPr="00A34F8A" w14:paraId="6E197978"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120E96BD"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2024</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4B99E23"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0.0788</w:t>
            </w:r>
          </w:p>
        </w:tc>
        <w:tc>
          <w:tcPr>
            <w:tcW w:w="1667" w:type="pct"/>
            <w:tcBorders>
              <w:left w:val="single" w:sz="4" w:space="0" w:color="AEAAAA"/>
            </w:tcBorders>
            <w:tcMar>
              <w:top w:w="57" w:type="dxa"/>
              <w:left w:w="57" w:type="dxa"/>
              <w:bottom w:w="57" w:type="dxa"/>
              <w:right w:w="57" w:type="dxa"/>
            </w:tcMar>
            <w:vAlign w:val="top"/>
          </w:tcPr>
          <w:p w14:paraId="77E382AF" w14:textId="4B8C628A"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0.67</w:t>
            </w:r>
          </w:p>
        </w:tc>
      </w:tr>
      <w:tr w:rsidR="00CA72A3" w:rsidRPr="00A34F8A" w14:paraId="5CB83935"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6255E136"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2025</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13ADAEC2"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0.0401</w:t>
            </w:r>
          </w:p>
        </w:tc>
        <w:tc>
          <w:tcPr>
            <w:tcW w:w="1667" w:type="pct"/>
            <w:tcBorders>
              <w:left w:val="single" w:sz="4" w:space="0" w:color="AEAAAA"/>
            </w:tcBorders>
            <w:tcMar>
              <w:top w:w="57" w:type="dxa"/>
              <w:left w:w="57" w:type="dxa"/>
              <w:bottom w:w="57" w:type="dxa"/>
              <w:right w:w="57" w:type="dxa"/>
            </w:tcMar>
            <w:vAlign w:val="top"/>
          </w:tcPr>
          <w:p w14:paraId="0C98CB34" w14:textId="63AD348D"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0.62</w:t>
            </w:r>
          </w:p>
        </w:tc>
      </w:tr>
      <w:tr w:rsidR="00CA72A3" w:rsidRPr="00A34F8A" w14:paraId="1E14B111"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22778800"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2026</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EA92CC8"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0.043</w:t>
            </w:r>
          </w:p>
        </w:tc>
        <w:tc>
          <w:tcPr>
            <w:tcW w:w="1667" w:type="pct"/>
            <w:tcBorders>
              <w:left w:val="single" w:sz="4" w:space="0" w:color="AEAAAA"/>
            </w:tcBorders>
            <w:tcMar>
              <w:top w:w="57" w:type="dxa"/>
              <w:left w:w="57" w:type="dxa"/>
              <w:bottom w:w="57" w:type="dxa"/>
              <w:right w:w="57" w:type="dxa"/>
            </w:tcMar>
            <w:vAlign w:val="top"/>
          </w:tcPr>
          <w:p w14:paraId="74D15772" w14:textId="06C5FF0F"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0.57</w:t>
            </w:r>
          </w:p>
        </w:tc>
      </w:tr>
      <w:tr w:rsidR="00CA72A3" w:rsidRPr="00A34F8A" w14:paraId="2CCAF519"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1AD9AE5F"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2027</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2C033A25"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0.0458</w:t>
            </w:r>
          </w:p>
        </w:tc>
        <w:tc>
          <w:tcPr>
            <w:tcW w:w="1667" w:type="pct"/>
            <w:tcBorders>
              <w:left w:val="single" w:sz="4" w:space="0" w:color="AEAAAA"/>
            </w:tcBorders>
            <w:tcMar>
              <w:top w:w="57" w:type="dxa"/>
              <w:left w:w="57" w:type="dxa"/>
              <w:bottom w:w="57" w:type="dxa"/>
              <w:right w:w="57" w:type="dxa"/>
            </w:tcMar>
            <w:vAlign w:val="top"/>
          </w:tcPr>
          <w:p w14:paraId="35A59828" w14:textId="74D6A342"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0.47</w:t>
            </w:r>
          </w:p>
        </w:tc>
      </w:tr>
      <w:tr w:rsidR="00CA72A3" w:rsidRPr="00A34F8A" w14:paraId="504509B8"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01298D43"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2028</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321CFA43"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0.0485</w:t>
            </w:r>
          </w:p>
        </w:tc>
        <w:tc>
          <w:tcPr>
            <w:tcW w:w="1667" w:type="pct"/>
            <w:tcBorders>
              <w:left w:val="single" w:sz="4" w:space="0" w:color="AEAAAA"/>
            </w:tcBorders>
            <w:tcMar>
              <w:top w:w="57" w:type="dxa"/>
              <w:left w:w="57" w:type="dxa"/>
              <w:bottom w:w="57" w:type="dxa"/>
              <w:right w:w="57" w:type="dxa"/>
            </w:tcMar>
            <w:vAlign w:val="top"/>
          </w:tcPr>
          <w:p w14:paraId="6F740086" w14:textId="69421FBF"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0.39</w:t>
            </w:r>
          </w:p>
        </w:tc>
      </w:tr>
      <w:tr w:rsidR="00CA72A3" w:rsidRPr="00A34F8A" w14:paraId="79BB982F"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0392A732"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2029</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2C24EA5A"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0.0512</w:t>
            </w:r>
          </w:p>
        </w:tc>
        <w:tc>
          <w:tcPr>
            <w:tcW w:w="1667" w:type="pct"/>
            <w:tcBorders>
              <w:left w:val="single" w:sz="4" w:space="0" w:color="AEAAAA"/>
            </w:tcBorders>
            <w:tcMar>
              <w:top w:w="57" w:type="dxa"/>
              <w:left w:w="57" w:type="dxa"/>
              <w:bottom w:w="57" w:type="dxa"/>
              <w:right w:w="57" w:type="dxa"/>
            </w:tcMar>
            <w:vAlign w:val="top"/>
          </w:tcPr>
          <w:p w14:paraId="4A42A4DD" w14:textId="28C8DD7F"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0.28</w:t>
            </w:r>
          </w:p>
        </w:tc>
      </w:tr>
      <w:tr w:rsidR="00CA72A3" w:rsidRPr="00A34F8A" w14:paraId="03AEA489"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2CCA447A"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2030</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66B1CA78"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0.0536</w:t>
            </w:r>
          </w:p>
        </w:tc>
        <w:tc>
          <w:tcPr>
            <w:tcW w:w="1667" w:type="pct"/>
            <w:tcBorders>
              <w:left w:val="single" w:sz="4" w:space="0" w:color="AEAAAA"/>
            </w:tcBorders>
            <w:tcMar>
              <w:top w:w="57" w:type="dxa"/>
              <w:left w:w="57" w:type="dxa"/>
              <w:bottom w:w="57" w:type="dxa"/>
              <w:right w:w="57" w:type="dxa"/>
            </w:tcMar>
            <w:vAlign w:val="top"/>
          </w:tcPr>
          <w:p w14:paraId="233A03C0" w14:textId="3CE61552"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0.21</w:t>
            </w:r>
          </w:p>
        </w:tc>
      </w:tr>
      <w:tr w:rsidR="00CA72A3" w:rsidRPr="00A34F8A" w14:paraId="0EB3315D"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5DEACFB1"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2031</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142EB4C9"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0.0562</w:t>
            </w:r>
          </w:p>
        </w:tc>
        <w:tc>
          <w:tcPr>
            <w:tcW w:w="1667" w:type="pct"/>
            <w:tcBorders>
              <w:left w:val="single" w:sz="4" w:space="0" w:color="AEAAAA"/>
            </w:tcBorders>
            <w:tcMar>
              <w:top w:w="57" w:type="dxa"/>
              <w:left w:w="57" w:type="dxa"/>
              <w:bottom w:w="57" w:type="dxa"/>
              <w:right w:w="57" w:type="dxa"/>
            </w:tcMar>
            <w:vAlign w:val="top"/>
          </w:tcPr>
          <w:p w14:paraId="308F90CF" w14:textId="61CCCFDE" w:rsidR="0054464F" w:rsidRPr="00A34F8A" w:rsidRDefault="00AD0789" w:rsidP="005D3977">
            <w:pPr>
              <w:pStyle w:val="Table3-Normaldata-centred"/>
              <w:rPr>
                <w:rFonts w:asciiTheme="minorHAnsi" w:hAnsiTheme="minorHAnsi" w:cstheme="minorHAnsi"/>
                <w:sz w:val="22"/>
                <w:szCs w:val="22"/>
              </w:rPr>
            </w:pPr>
            <w:r>
              <w:rPr>
                <w:rFonts w:asciiTheme="minorHAnsi" w:hAnsiTheme="minorHAnsi" w:cstheme="minorHAnsi"/>
                <w:sz w:val="22"/>
                <w:szCs w:val="22"/>
              </w:rPr>
              <w:t>0.20</w:t>
            </w:r>
          </w:p>
        </w:tc>
      </w:tr>
      <w:tr w:rsidR="00CA72A3" w:rsidRPr="00A34F8A" w14:paraId="47F044C9"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0B79804D"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2032</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4F3BB056"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0.0558</w:t>
            </w:r>
          </w:p>
        </w:tc>
        <w:tc>
          <w:tcPr>
            <w:tcW w:w="1667" w:type="pct"/>
            <w:tcBorders>
              <w:left w:val="single" w:sz="4" w:space="0" w:color="AEAAAA"/>
            </w:tcBorders>
            <w:tcMar>
              <w:top w:w="57" w:type="dxa"/>
              <w:left w:w="57" w:type="dxa"/>
              <w:bottom w:w="57" w:type="dxa"/>
              <w:right w:w="57" w:type="dxa"/>
            </w:tcMar>
            <w:vAlign w:val="top"/>
          </w:tcPr>
          <w:p w14:paraId="4EA91750" w14:textId="094F52C4" w:rsidR="0054464F" w:rsidRPr="00A34F8A" w:rsidRDefault="0060328F" w:rsidP="005D3977">
            <w:pPr>
              <w:pStyle w:val="Table3-Normaldata-centred"/>
              <w:rPr>
                <w:rFonts w:asciiTheme="minorHAnsi" w:hAnsiTheme="minorHAnsi" w:cstheme="minorHAnsi"/>
                <w:sz w:val="22"/>
                <w:szCs w:val="22"/>
              </w:rPr>
            </w:pPr>
            <w:r>
              <w:rPr>
                <w:rFonts w:asciiTheme="minorHAnsi" w:hAnsiTheme="minorHAnsi" w:cstheme="minorHAnsi"/>
                <w:sz w:val="22"/>
                <w:szCs w:val="22"/>
              </w:rPr>
              <w:t>0.16</w:t>
            </w:r>
          </w:p>
        </w:tc>
      </w:tr>
      <w:tr w:rsidR="00CA72A3" w:rsidRPr="00A34F8A" w14:paraId="5C80CAB0"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678B9BFF"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2033</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71EC82B0"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0.0552</w:t>
            </w:r>
          </w:p>
        </w:tc>
        <w:tc>
          <w:tcPr>
            <w:tcW w:w="1667" w:type="pct"/>
            <w:tcBorders>
              <w:left w:val="single" w:sz="4" w:space="0" w:color="AEAAAA"/>
            </w:tcBorders>
            <w:tcMar>
              <w:top w:w="57" w:type="dxa"/>
              <w:left w:w="57" w:type="dxa"/>
              <w:bottom w:w="57" w:type="dxa"/>
              <w:right w:w="57" w:type="dxa"/>
            </w:tcMar>
            <w:vAlign w:val="top"/>
          </w:tcPr>
          <w:p w14:paraId="3639A522" w14:textId="4326D7E2" w:rsidR="0054464F" w:rsidRPr="00A34F8A" w:rsidRDefault="0060328F" w:rsidP="005D3977">
            <w:pPr>
              <w:pStyle w:val="Table3-Normaldata-centred"/>
              <w:rPr>
                <w:rFonts w:asciiTheme="minorHAnsi" w:hAnsiTheme="minorHAnsi" w:cstheme="minorHAnsi"/>
                <w:sz w:val="22"/>
                <w:szCs w:val="22"/>
              </w:rPr>
            </w:pPr>
            <w:r>
              <w:rPr>
                <w:rFonts w:asciiTheme="minorHAnsi" w:hAnsiTheme="minorHAnsi" w:cstheme="minorHAnsi"/>
                <w:sz w:val="22"/>
                <w:szCs w:val="22"/>
              </w:rPr>
              <w:t>0.13</w:t>
            </w:r>
          </w:p>
        </w:tc>
      </w:tr>
      <w:tr w:rsidR="00CA72A3" w:rsidRPr="00A34F8A" w14:paraId="3FD29DB0"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53ECAAC3"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2034</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395FD91A"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0.0551</w:t>
            </w:r>
          </w:p>
        </w:tc>
        <w:tc>
          <w:tcPr>
            <w:tcW w:w="1667" w:type="pct"/>
            <w:tcBorders>
              <w:left w:val="single" w:sz="4" w:space="0" w:color="AEAAAA"/>
            </w:tcBorders>
            <w:tcMar>
              <w:top w:w="57" w:type="dxa"/>
              <w:left w:w="57" w:type="dxa"/>
              <w:bottom w:w="57" w:type="dxa"/>
              <w:right w:w="57" w:type="dxa"/>
            </w:tcMar>
            <w:vAlign w:val="top"/>
          </w:tcPr>
          <w:p w14:paraId="7EA94BEC" w14:textId="4434D929" w:rsidR="0054464F" w:rsidRPr="00A34F8A" w:rsidRDefault="0060328F" w:rsidP="005D3977">
            <w:pPr>
              <w:pStyle w:val="Table3-Normaldata-centred"/>
              <w:rPr>
                <w:rFonts w:asciiTheme="minorHAnsi" w:hAnsiTheme="minorHAnsi" w:cstheme="minorHAnsi"/>
                <w:sz w:val="22"/>
                <w:szCs w:val="22"/>
              </w:rPr>
            </w:pPr>
            <w:r>
              <w:rPr>
                <w:rFonts w:asciiTheme="minorHAnsi" w:hAnsiTheme="minorHAnsi" w:cstheme="minorHAnsi"/>
                <w:sz w:val="22"/>
                <w:szCs w:val="22"/>
              </w:rPr>
              <w:t>0.10</w:t>
            </w:r>
          </w:p>
        </w:tc>
      </w:tr>
      <w:tr w:rsidR="00CA72A3" w:rsidRPr="00A34F8A" w14:paraId="377D5838"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0DF833A5"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2035</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05E1F818"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0.0548</w:t>
            </w:r>
          </w:p>
        </w:tc>
        <w:tc>
          <w:tcPr>
            <w:tcW w:w="1667" w:type="pct"/>
            <w:tcBorders>
              <w:left w:val="single" w:sz="4" w:space="0" w:color="AEAAAA"/>
            </w:tcBorders>
            <w:tcMar>
              <w:top w:w="57" w:type="dxa"/>
              <w:left w:w="57" w:type="dxa"/>
              <w:bottom w:w="57" w:type="dxa"/>
              <w:right w:w="57" w:type="dxa"/>
            </w:tcMar>
            <w:vAlign w:val="top"/>
          </w:tcPr>
          <w:p w14:paraId="5F5ABFCF" w14:textId="3A7BCE7D" w:rsidR="0054464F" w:rsidRPr="00A34F8A" w:rsidRDefault="0060328F" w:rsidP="005D3977">
            <w:pPr>
              <w:pStyle w:val="Table3-Normaldata-centred"/>
              <w:rPr>
                <w:rFonts w:asciiTheme="minorHAnsi" w:hAnsiTheme="minorHAnsi" w:cstheme="minorHAnsi"/>
                <w:sz w:val="22"/>
                <w:szCs w:val="22"/>
              </w:rPr>
            </w:pPr>
            <w:r>
              <w:rPr>
                <w:rFonts w:asciiTheme="minorHAnsi" w:hAnsiTheme="minorHAnsi" w:cstheme="minorHAnsi"/>
                <w:sz w:val="22"/>
                <w:szCs w:val="22"/>
              </w:rPr>
              <w:t>0.07</w:t>
            </w:r>
          </w:p>
        </w:tc>
      </w:tr>
      <w:tr w:rsidR="00CA72A3" w:rsidRPr="00A34F8A" w14:paraId="41E09311"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5EAE2506"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2036</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59CF385C"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0.0544</w:t>
            </w:r>
          </w:p>
        </w:tc>
        <w:tc>
          <w:tcPr>
            <w:tcW w:w="1667" w:type="pct"/>
            <w:tcBorders>
              <w:left w:val="single" w:sz="4" w:space="0" w:color="AEAAAA"/>
            </w:tcBorders>
            <w:tcMar>
              <w:top w:w="57" w:type="dxa"/>
              <w:left w:w="57" w:type="dxa"/>
              <w:bottom w:w="57" w:type="dxa"/>
              <w:right w:w="57" w:type="dxa"/>
            </w:tcMar>
            <w:vAlign w:val="top"/>
          </w:tcPr>
          <w:p w14:paraId="6AAE758D" w14:textId="3AAD6E06" w:rsidR="0054464F" w:rsidRPr="00A34F8A" w:rsidRDefault="00621A1F" w:rsidP="005D3977">
            <w:pPr>
              <w:pStyle w:val="Table3-Normaldata-centred"/>
              <w:rPr>
                <w:rFonts w:asciiTheme="minorHAnsi" w:hAnsiTheme="minorHAnsi" w:cstheme="minorHAnsi"/>
                <w:sz w:val="22"/>
                <w:szCs w:val="22"/>
              </w:rPr>
            </w:pPr>
            <w:r>
              <w:rPr>
                <w:rFonts w:asciiTheme="minorHAnsi" w:hAnsiTheme="minorHAnsi" w:cstheme="minorHAnsi"/>
                <w:sz w:val="22"/>
                <w:szCs w:val="22"/>
              </w:rPr>
              <w:t>0.07</w:t>
            </w:r>
          </w:p>
        </w:tc>
      </w:tr>
      <w:tr w:rsidR="00CA72A3" w:rsidRPr="00A34F8A" w14:paraId="072E390C"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5F76BBC8"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2037</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690EC1DE"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0.0541</w:t>
            </w:r>
          </w:p>
        </w:tc>
        <w:tc>
          <w:tcPr>
            <w:tcW w:w="1667" w:type="pct"/>
            <w:tcBorders>
              <w:left w:val="single" w:sz="4" w:space="0" w:color="AEAAAA"/>
            </w:tcBorders>
            <w:tcMar>
              <w:top w:w="57" w:type="dxa"/>
              <w:left w:w="57" w:type="dxa"/>
              <w:bottom w:w="57" w:type="dxa"/>
              <w:right w:w="57" w:type="dxa"/>
            </w:tcMar>
            <w:vAlign w:val="top"/>
          </w:tcPr>
          <w:p w14:paraId="2AF8003F" w14:textId="2A62A323" w:rsidR="0054464F" w:rsidRPr="00A34F8A" w:rsidRDefault="00621A1F" w:rsidP="005D3977">
            <w:pPr>
              <w:pStyle w:val="Table3-Normaldata-centred"/>
              <w:rPr>
                <w:rFonts w:asciiTheme="minorHAnsi" w:hAnsiTheme="minorHAnsi" w:cstheme="minorHAnsi"/>
                <w:sz w:val="22"/>
                <w:szCs w:val="22"/>
              </w:rPr>
            </w:pPr>
            <w:r>
              <w:rPr>
                <w:rFonts w:asciiTheme="minorHAnsi" w:hAnsiTheme="minorHAnsi" w:cstheme="minorHAnsi"/>
                <w:sz w:val="22"/>
                <w:szCs w:val="22"/>
              </w:rPr>
              <w:t>0.07</w:t>
            </w:r>
          </w:p>
        </w:tc>
      </w:tr>
      <w:tr w:rsidR="00CA72A3" w:rsidRPr="00A34F8A" w14:paraId="091DD75D"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134F31C4"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2038</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6034ECB7"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0.0538</w:t>
            </w:r>
          </w:p>
        </w:tc>
        <w:tc>
          <w:tcPr>
            <w:tcW w:w="1667" w:type="pct"/>
            <w:tcBorders>
              <w:left w:val="single" w:sz="4" w:space="0" w:color="AEAAAA"/>
            </w:tcBorders>
            <w:tcMar>
              <w:top w:w="57" w:type="dxa"/>
              <w:left w:w="57" w:type="dxa"/>
              <w:bottom w:w="57" w:type="dxa"/>
              <w:right w:w="57" w:type="dxa"/>
            </w:tcMar>
            <w:vAlign w:val="top"/>
          </w:tcPr>
          <w:p w14:paraId="70A871AC" w14:textId="25195015" w:rsidR="0054464F" w:rsidRPr="00A34F8A" w:rsidRDefault="00621A1F" w:rsidP="005D3977">
            <w:pPr>
              <w:pStyle w:val="Table3-Normaldata-centred"/>
              <w:rPr>
                <w:rFonts w:asciiTheme="minorHAnsi" w:hAnsiTheme="minorHAnsi" w:cstheme="minorHAnsi"/>
                <w:sz w:val="22"/>
                <w:szCs w:val="22"/>
              </w:rPr>
            </w:pPr>
            <w:r>
              <w:rPr>
                <w:rFonts w:asciiTheme="minorHAnsi" w:hAnsiTheme="minorHAnsi" w:cstheme="minorHAnsi"/>
                <w:sz w:val="22"/>
                <w:szCs w:val="22"/>
              </w:rPr>
              <w:t>0.07</w:t>
            </w:r>
          </w:p>
        </w:tc>
      </w:tr>
      <w:tr w:rsidR="00CA72A3" w:rsidRPr="00A34F8A" w14:paraId="0C1DF943"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58DBB245"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2039</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7F52F6B3"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0.0528</w:t>
            </w:r>
          </w:p>
        </w:tc>
        <w:tc>
          <w:tcPr>
            <w:tcW w:w="1667" w:type="pct"/>
            <w:tcBorders>
              <w:left w:val="single" w:sz="4" w:space="0" w:color="AEAAAA"/>
            </w:tcBorders>
            <w:tcMar>
              <w:top w:w="57" w:type="dxa"/>
              <w:left w:w="57" w:type="dxa"/>
              <w:bottom w:w="57" w:type="dxa"/>
              <w:right w:w="57" w:type="dxa"/>
            </w:tcMar>
            <w:vAlign w:val="top"/>
          </w:tcPr>
          <w:p w14:paraId="6637F77A" w14:textId="5721EB5A" w:rsidR="0054464F" w:rsidRPr="00A34F8A" w:rsidRDefault="00621A1F" w:rsidP="005D3977">
            <w:pPr>
              <w:pStyle w:val="Table3-Normaldata-centred"/>
              <w:rPr>
                <w:rFonts w:asciiTheme="minorHAnsi" w:hAnsiTheme="minorHAnsi" w:cstheme="minorHAnsi"/>
                <w:sz w:val="22"/>
                <w:szCs w:val="22"/>
              </w:rPr>
            </w:pPr>
            <w:r>
              <w:rPr>
                <w:rFonts w:asciiTheme="minorHAnsi" w:hAnsiTheme="minorHAnsi" w:cstheme="minorHAnsi"/>
                <w:sz w:val="22"/>
                <w:szCs w:val="22"/>
              </w:rPr>
              <w:t>0.07</w:t>
            </w:r>
          </w:p>
        </w:tc>
      </w:tr>
      <w:tr w:rsidR="00CA72A3" w:rsidRPr="00A34F8A" w14:paraId="37EAF3C4" w14:textId="77777777" w:rsidTr="00CA72A3">
        <w:tc>
          <w:tcPr>
            <w:tcW w:w="1666" w:type="pct"/>
            <w:tcBorders>
              <w:right w:val="single" w:sz="4" w:space="0" w:color="C4BC96" w:themeColor="background2" w:themeShade="BF"/>
            </w:tcBorders>
            <w:tcMar>
              <w:top w:w="57" w:type="dxa"/>
              <w:left w:w="57" w:type="dxa"/>
              <w:bottom w:w="57" w:type="dxa"/>
              <w:right w:w="57" w:type="dxa"/>
            </w:tcMar>
            <w:vAlign w:val="top"/>
          </w:tcPr>
          <w:p w14:paraId="74F02F11" w14:textId="77777777" w:rsidR="0054464F" w:rsidRPr="00A34F8A" w:rsidRDefault="0054464F"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2040</w:t>
            </w:r>
          </w:p>
        </w:tc>
        <w:tc>
          <w:tcPr>
            <w:tcW w:w="1667" w:type="pct"/>
            <w:tcBorders>
              <w:left w:val="single" w:sz="4" w:space="0" w:color="C4BC96" w:themeColor="background2" w:themeShade="BF"/>
              <w:right w:val="single" w:sz="4" w:space="0" w:color="AEAAAA"/>
            </w:tcBorders>
            <w:tcMar>
              <w:top w:w="57" w:type="dxa"/>
              <w:left w:w="57" w:type="dxa"/>
              <w:bottom w:w="57" w:type="dxa"/>
              <w:right w:w="57" w:type="dxa"/>
            </w:tcMar>
            <w:vAlign w:val="top"/>
          </w:tcPr>
          <w:p w14:paraId="3D4A9410" w14:textId="77777777" w:rsidR="0054464F" w:rsidRPr="00A34F8A" w:rsidRDefault="0054464F"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0.0517</w:t>
            </w:r>
          </w:p>
        </w:tc>
        <w:tc>
          <w:tcPr>
            <w:tcW w:w="1667" w:type="pct"/>
            <w:tcBorders>
              <w:left w:val="single" w:sz="4" w:space="0" w:color="AEAAAA"/>
            </w:tcBorders>
            <w:tcMar>
              <w:top w:w="57" w:type="dxa"/>
              <w:left w:w="57" w:type="dxa"/>
              <w:bottom w:w="57" w:type="dxa"/>
              <w:right w:w="57" w:type="dxa"/>
            </w:tcMar>
            <w:vAlign w:val="top"/>
          </w:tcPr>
          <w:p w14:paraId="38733CA9" w14:textId="4B4EBE9A" w:rsidR="0054464F" w:rsidRPr="00A34F8A" w:rsidRDefault="00621A1F" w:rsidP="005D3977">
            <w:pPr>
              <w:pStyle w:val="Table3-Normaldata-centred"/>
              <w:rPr>
                <w:rFonts w:asciiTheme="minorHAnsi" w:hAnsiTheme="minorHAnsi" w:cstheme="minorHAnsi"/>
                <w:sz w:val="22"/>
                <w:szCs w:val="22"/>
              </w:rPr>
            </w:pPr>
            <w:r>
              <w:rPr>
                <w:rFonts w:asciiTheme="minorHAnsi" w:hAnsiTheme="minorHAnsi" w:cstheme="minorHAnsi"/>
                <w:sz w:val="22"/>
                <w:szCs w:val="22"/>
              </w:rPr>
              <w:t>0.07</w:t>
            </w:r>
          </w:p>
        </w:tc>
      </w:tr>
    </w:tbl>
    <w:p w14:paraId="4CC62FE0" w14:textId="77777777" w:rsidR="00CB64AA" w:rsidRPr="00A34F8A" w:rsidRDefault="00CB64AA" w:rsidP="00056493">
      <w:pPr>
        <w:pStyle w:val="BlueLineBottom"/>
      </w:pPr>
    </w:p>
    <w:p w14:paraId="2BEAD7AC" w14:textId="4C090861" w:rsidR="00143DAC" w:rsidRPr="00A34F8A" w:rsidRDefault="00143DAC" w:rsidP="00143DAC">
      <w:pPr>
        <w:pStyle w:val="Heading2"/>
        <w:rPr>
          <w:rFonts w:asciiTheme="minorHAnsi" w:hAnsiTheme="minorHAnsi" w:cstheme="minorHAnsi"/>
          <w:sz w:val="22"/>
          <w:szCs w:val="22"/>
        </w:rPr>
      </w:pPr>
      <w:bookmarkStart w:id="224" w:name="_Toc168660672"/>
      <w:bookmarkStart w:id="225" w:name="_Toc183163308"/>
      <w:r w:rsidRPr="00A34F8A">
        <w:rPr>
          <w:rFonts w:asciiTheme="minorHAnsi" w:hAnsiTheme="minorHAnsi" w:cstheme="minorHAnsi"/>
          <w:sz w:val="22"/>
          <w:szCs w:val="22"/>
        </w:rPr>
        <w:t>Social cost of carbon</w:t>
      </w:r>
      <w:bookmarkEnd w:id="224"/>
      <w:bookmarkEnd w:id="225"/>
    </w:p>
    <w:p w14:paraId="44999689" w14:textId="77777777" w:rsidR="00C00C6E" w:rsidRPr="00767068" w:rsidRDefault="00C00C6E" w:rsidP="00C00C6E">
      <w:r w:rsidRPr="00767068">
        <w:t xml:space="preserve">The </w:t>
      </w:r>
      <w:r>
        <w:t xml:space="preserve">central </w:t>
      </w:r>
      <w:r w:rsidRPr="00767068">
        <w:t xml:space="preserve">cost of carbon </w:t>
      </w:r>
      <w:r>
        <w:t xml:space="preserve">used </w:t>
      </w:r>
      <w:r w:rsidRPr="00767068">
        <w:t xml:space="preserve">for the Australian analysis is based on the Ministerial Council on Energy’s statement on the interim value of greenhouse gas emissions reduction (VER) </w:t>
      </w:r>
      <w:sdt>
        <w:sdtPr>
          <w:id w:val="-609202765"/>
          <w:citation/>
        </w:sdtPr>
        <w:sdtContent>
          <w:r w:rsidRPr="00767068">
            <w:fldChar w:fldCharType="begin"/>
          </w:r>
          <w:r w:rsidRPr="00767068">
            <w:instrText xml:space="preserve"> CITATION Aus241 \l 3081 </w:instrText>
          </w:r>
          <w:r w:rsidRPr="00767068">
            <w:fldChar w:fldCharType="separate"/>
          </w:r>
          <w:r w:rsidRPr="002E2541">
            <w:t>(Australian Energy Market Commission, 2024)</w:t>
          </w:r>
          <w:r w:rsidRPr="00767068">
            <w:fldChar w:fldCharType="end"/>
          </w:r>
        </w:sdtContent>
      </w:sdt>
      <w:r w:rsidRPr="00767068">
        <w:t xml:space="preserve">. The VER measures the dollar value per tonne of avoided greenhouse gas emissions resulting from changes in regulations. </w:t>
      </w:r>
      <w:r>
        <w:t xml:space="preserve">A lower sensitivity setting was also tested for Australia using a carbon price forecast taken from the 2022 Decision RIS for a proposal to increase residential building energy efficiency improvements in the National Construction Code </w:t>
      </w:r>
      <w:sdt>
        <w:sdtPr>
          <w:id w:val="539867748"/>
          <w:citation/>
        </w:sdtPr>
        <w:sdtContent>
          <w:r>
            <w:fldChar w:fldCharType="begin"/>
          </w:r>
          <w:r>
            <w:instrText xml:space="preserve"> CITATION ACI22 \l 3081 </w:instrText>
          </w:r>
          <w:r>
            <w:fldChar w:fldCharType="separate"/>
          </w:r>
          <w:r>
            <w:rPr>
              <w:noProof/>
            </w:rPr>
            <w:t>(ACIL Allen, 2022)</w:t>
          </w:r>
          <w:r>
            <w:fldChar w:fldCharType="end"/>
          </w:r>
        </w:sdtContent>
      </w:sdt>
      <w:r>
        <w:t xml:space="preserve">. </w:t>
      </w:r>
    </w:p>
    <w:p w14:paraId="5330DFC2" w14:textId="2D3112E7" w:rsidR="00C00C6E" w:rsidRPr="00A34F8A" w:rsidRDefault="00C00C6E" w:rsidP="00C00C6E">
      <w:pPr>
        <w:rPr>
          <w:rFonts w:asciiTheme="minorHAnsi" w:hAnsiTheme="minorHAnsi" w:cstheme="minorHAnsi"/>
          <w:szCs w:val="22"/>
        </w:rPr>
      </w:pPr>
      <w:r w:rsidRPr="00A34F8A">
        <w:rPr>
          <w:rFonts w:asciiTheme="minorHAnsi" w:hAnsiTheme="minorHAnsi" w:cstheme="minorHAnsi"/>
          <w:szCs w:val="22"/>
        </w:rPr>
        <w:t xml:space="preserve">The New Zealand Government provided different social cost of carbon scenarios (low, central, high) to be used in their analysis. </w:t>
      </w:r>
    </w:p>
    <w:p w14:paraId="47683A80" w14:textId="77777777" w:rsidR="00145218" w:rsidRPr="00A34F8A" w:rsidRDefault="00145218" w:rsidP="00145218">
      <w:pPr>
        <w:pStyle w:val="BlueLineTop"/>
        <w:rPr>
          <w:rFonts w:asciiTheme="minorHAnsi" w:hAnsiTheme="minorHAnsi" w:cstheme="minorHAnsi"/>
          <w:sz w:val="22"/>
          <w:szCs w:val="22"/>
        </w:rPr>
      </w:pPr>
    </w:p>
    <w:p w14:paraId="04992AFA" w14:textId="48A349D4" w:rsidR="00145218" w:rsidRPr="00A34F8A" w:rsidRDefault="00145218" w:rsidP="00145218">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41</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Cost of carbon scenarios for New Zealand. The central scenario was used in the central case in this model.</w:t>
      </w:r>
    </w:p>
    <w:tbl>
      <w:tblPr>
        <w:tblStyle w:val="ComCap4-nested"/>
        <w:tblW w:w="9072" w:type="dxa"/>
        <w:tblInd w:w="-567" w:type="dxa"/>
        <w:tblBorders>
          <w:insideV w:val="single" w:sz="4" w:space="0" w:color="auto"/>
        </w:tblBorders>
        <w:tblLook w:val="04A0" w:firstRow="1" w:lastRow="0" w:firstColumn="1" w:lastColumn="0" w:noHBand="0" w:noVBand="1"/>
      </w:tblPr>
      <w:tblGrid>
        <w:gridCol w:w="2268"/>
        <w:gridCol w:w="2268"/>
        <w:gridCol w:w="2268"/>
        <w:gridCol w:w="2268"/>
      </w:tblGrid>
      <w:tr w:rsidR="00DA1EBB" w:rsidRPr="00A34F8A" w14:paraId="4BDF220F" w14:textId="77777777" w:rsidTr="00CA72A3">
        <w:trPr>
          <w:cnfStyle w:val="100000000000" w:firstRow="1" w:lastRow="0" w:firstColumn="0" w:lastColumn="0" w:oddVBand="0" w:evenVBand="0" w:oddHBand="0" w:evenHBand="0" w:firstRowFirstColumn="0" w:firstRowLastColumn="0" w:lastRowFirstColumn="0" w:lastRowLastColumn="0"/>
          <w:tblHeader/>
        </w:trPr>
        <w:tc>
          <w:tcPr>
            <w:tcW w:w="2268" w:type="dxa"/>
            <w:tcBorders>
              <w:right w:val="single" w:sz="4" w:space="0" w:color="C4BC96" w:themeColor="background2" w:themeShade="BF"/>
            </w:tcBorders>
            <w:tcMar>
              <w:top w:w="57" w:type="dxa"/>
              <w:left w:w="57" w:type="dxa"/>
              <w:bottom w:w="57" w:type="dxa"/>
              <w:right w:w="57" w:type="dxa"/>
            </w:tcMar>
            <w:vAlign w:val="top"/>
          </w:tcPr>
          <w:p w14:paraId="03127092" w14:textId="77777777" w:rsidR="00145218" w:rsidRPr="00A34F8A" w:rsidRDefault="00145218"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Year</w:t>
            </w:r>
          </w:p>
        </w:tc>
        <w:tc>
          <w:tcPr>
            <w:tcW w:w="2268" w:type="dxa"/>
            <w:tcBorders>
              <w:left w:val="single" w:sz="4" w:space="0" w:color="C4BC96" w:themeColor="background2" w:themeShade="BF"/>
            </w:tcBorders>
            <w:tcMar>
              <w:top w:w="57" w:type="dxa"/>
              <w:left w:w="57" w:type="dxa"/>
              <w:bottom w:w="57" w:type="dxa"/>
              <w:right w:w="57" w:type="dxa"/>
            </w:tcMar>
            <w:vAlign w:val="top"/>
          </w:tcPr>
          <w:p w14:paraId="2FA14451" w14:textId="0A767CC2" w:rsidR="00145218" w:rsidRPr="00A34F8A" w:rsidRDefault="00145218" w:rsidP="0059280B">
            <w:pPr>
              <w:pStyle w:val="Table1-columnheadingdata"/>
              <w:rPr>
                <w:rFonts w:asciiTheme="minorHAnsi" w:hAnsiTheme="minorHAnsi" w:cstheme="minorHAnsi"/>
                <w:sz w:val="22"/>
                <w:szCs w:val="22"/>
              </w:rPr>
            </w:pPr>
            <w:r w:rsidRPr="00A34F8A">
              <w:rPr>
                <w:rFonts w:asciiTheme="minorHAnsi" w:hAnsiTheme="minorHAnsi" w:cstheme="minorHAnsi"/>
                <w:sz w:val="22"/>
                <w:szCs w:val="22"/>
              </w:rPr>
              <w:t>Real carbon price (NZD</w:t>
            </w:r>
            <w:r w:rsidR="0059280B">
              <w:rPr>
                <w:rFonts w:asciiTheme="minorHAnsi" w:hAnsiTheme="minorHAnsi" w:cstheme="minorHAnsi"/>
                <w:sz w:val="22"/>
                <w:szCs w:val="22"/>
              </w:rPr>
              <w:t xml:space="preserve"> per tonne</w:t>
            </w:r>
            <w:r w:rsidRPr="00A34F8A">
              <w:rPr>
                <w:rFonts w:asciiTheme="minorHAnsi" w:hAnsiTheme="minorHAnsi" w:cstheme="minorHAnsi"/>
                <w:sz w:val="22"/>
                <w:szCs w:val="22"/>
              </w:rPr>
              <w:t>)</w:t>
            </w:r>
            <w:r w:rsidR="0059280B">
              <w:rPr>
                <w:rFonts w:asciiTheme="minorHAnsi" w:hAnsiTheme="minorHAnsi" w:cstheme="minorHAnsi"/>
                <w:sz w:val="22"/>
                <w:szCs w:val="22"/>
              </w:rPr>
              <w:t xml:space="preserve"> - </w:t>
            </w:r>
            <w:r w:rsidRPr="00A34F8A">
              <w:rPr>
                <w:rFonts w:asciiTheme="minorHAnsi" w:hAnsiTheme="minorHAnsi" w:cstheme="minorHAnsi"/>
                <w:sz w:val="22"/>
                <w:szCs w:val="22"/>
              </w:rPr>
              <w:t>Low scenario</w:t>
            </w:r>
          </w:p>
        </w:tc>
        <w:tc>
          <w:tcPr>
            <w:tcW w:w="2268" w:type="dxa"/>
            <w:tcBorders>
              <w:left w:val="single" w:sz="4" w:space="0" w:color="C4BC96" w:themeColor="background2" w:themeShade="BF"/>
            </w:tcBorders>
            <w:tcMar>
              <w:top w:w="57" w:type="dxa"/>
              <w:left w:w="57" w:type="dxa"/>
              <w:bottom w:w="57" w:type="dxa"/>
              <w:right w:w="57" w:type="dxa"/>
            </w:tcMar>
            <w:vAlign w:val="top"/>
          </w:tcPr>
          <w:p w14:paraId="58B698F2" w14:textId="161111FA" w:rsidR="00145218" w:rsidRPr="00A34F8A" w:rsidRDefault="00145218" w:rsidP="0059280B">
            <w:pPr>
              <w:pStyle w:val="Table1-columnheadingdata"/>
              <w:rPr>
                <w:rFonts w:asciiTheme="minorHAnsi" w:hAnsiTheme="minorHAnsi" w:cstheme="minorHAnsi"/>
                <w:sz w:val="22"/>
                <w:szCs w:val="22"/>
              </w:rPr>
            </w:pPr>
            <w:r w:rsidRPr="00A34F8A">
              <w:rPr>
                <w:rFonts w:asciiTheme="minorHAnsi" w:hAnsiTheme="minorHAnsi" w:cstheme="minorHAnsi"/>
                <w:sz w:val="22"/>
                <w:szCs w:val="22"/>
              </w:rPr>
              <w:t>Real carbon price (NZD</w:t>
            </w:r>
            <w:r w:rsidR="0059280B">
              <w:rPr>
                <w:rFonts w:asciiTheme="minorHAnsi" w:hAnsiTheme="minorHAnsi" w:cstheme="minorHAnsi"/>
                <w:sz w:val="22"/>
                <w:szCs w:val="22"/>
              </w:rPr>
              <w:t xml:space="preserve"> per </w:t>
            </w:r>
            <w:r w:rsidRPr="00A34F8A">
              <w:rPr>
                <w:rFonts w:asciiTheme="minorHAnsi" w:hAnsiTheme="minorHAnsi" w:cstheme="minorHAnsi"/>
                <w:sz w:val="22"/>
                <w:szCs w:val="22"/>
              </w:rPr>
              <w:t>t</w:t>
            </w:r>
            <w:r w:rsidR="0059280B">
              <w:rPr>
                <w:rFonts w:asciiTheme="minorHAnsi" w:hAnsiTheme="minorHAnsi" w:cstheme="minorHAnsi"/>
                <w:sz w:val="22"/>
                <w:szCs w:val="22"/>
              </w:rPr>
              <w:t>onne</w:t>
            </w:r>
            <w:r w:rsidRPr="00A34F8A">
              <w:rPr>
                <w:rFonts w:asciiTheme="minorHAnsi" w:hAnsiTheme="minorHAnsi" w:cstheme="minorHAnsi"/>
                <w:sz w:val="22"/>
                <w:szCs w:val="22"/>
              </w:rPr>
              <w:t>)</w:t>
            </w:r>
            <w:r w:rsidR="0059280B">
              <w:rPr>
                <w:rFonts w:asciiTheme="minorHAnsi" w:hAnsiTheme="minorHAnsi" w:cstheme="minorHAnsi"/>
                <w:sz w:val="22"/>
                <w:szCs w:val="22"/>
              </w:rPr>
              <w:t xml:space="preserve"> - </w:t>
            </w:r>
            <w:r w:rsidRPr="00A34F8A">
              <w:rPr>
                <w:rFonts w:asciiTheme="minorHAnsi" w:hAnsiTheme="minorHAnsi" w:cstheme="minorHAnsi"/>
                <w:sz w:val="22"/>
                <w:szCs w:val="22"/>
              </w:rPr>
              <w:t>Central scenario</w:t>
            </w:r>
          </w:p>
        </w:tc>
        <w:tc>
          <w:tcPr>
            <w:tcW w:w="2268" w:type="dxa"/>
            <w:tcBorders>
              <w:left w:val="single" w:sz="4" w:space="0" w:color="C4BC96" w:themeColor="background2" w:themeShade="BF"/>
            </w:tcBorders>
            <w:tcMar>
              <w:top w:w="57" w:type="dxa"/>
              <w:left w:w="57" w:type="dxa"/>
              <w:bottom w:w="57" w:type="dxa"/>
              <w:right w:w="57" w:type="dxa"/>
            </w:tcMar>
            <w:vAlign w:val="top"/>
          </w:tcPr>
          <w:p w14:paraId="2388A2ED" w14:textId="5B9DC611" w:rsidR="00145218" w:rsidRPr="00A34F8A" w:rsidRDefault="00145218" w:rsidP="0059280B">
            <w:pPr>
              <w:pStyle w:val="Table1-columnheadingdata"/>
              <w:rPr>
                <w:rFonts w:asciiTheme="minorHAnsi" w:hAnsiTheme="minorHAnsi" w:cstheme="minorHAnsi"/>
                <w:sz w:val="22"/>
                <w:szCs w:val="22"/>
              </w:rPr>
            </w:pPr>
            <w:r w:rsidRPr="00A34F8A">
              <w:rPr>
                <w:rFonts w:asciiTheme="minorHAnsi" w:hAnsiTheme="minorHAnsi" w:cstheme="minorHAnsi"/>
                <w:sz w:val="22"/>
                <w:szCs w:val="22"/>
              </w:rPr>
              <w:t>Real carbon price (NZD</w:t>
            </w:r>
            <w:r w:rsidR="0059280B">
              <w:rPr>
                <w:rFonts w:asciiTheme="minorHAnsi" w:hAnsiTheme="minorHAnsi" w:cstheme="minorHAnsi"/>
                <w:sz w:val="22"/>
                <w:szCs w:val="22"/>
              </w:rPr>
              <w:t xml:space="preserve"> per </w:t>
            </w:r>
            <w:r w:rsidRPr="00A34F8A">
              <w:rPr>
                <w:rFonts w:asciiTheme="minorHAnsi" w:hAnsiTheme="minorHAnsi" w:cstheme="minorHAnsi"/>
                <w:sz w:val="22"/>
                <w:szCs w:val="22"/>
              </w:rPr>
              <w:t>t</w:t>
            </w:r>
            <w:r w:rsidR="0059280B">
              <w:rPr>
                <w:rFonts w:asciiTheme="minorHAnsi" w:hAnsiTheme="minorHAnsi" w:cstheme="minorHAnsi"/>
                <w:sz w:val="22"/>
                <w:szCs w:val="22"/>
              </w:rPr>
              <w:t>onne</w:t>
            </w:r>
            <w:r w:rsidRPr="00A34F8A">
              <w:rPr>
                <w:rFonts w:asciiTheme="minorHAnsi" w:hAnsiTheme="minorHAnsi" w:cstheme="minorHAnsi"/>
                <w:sz w:val="22"/>
                <w:szCs w:val="22"/>
              </w:rPr>
              <w:t>)</w:t>
            </w:r>
            <w:r w:rsidR="0059280B">
              <w:rPr>
                <w:rFonts w:asciiTheme="minorHAnsi" w:hAnsiTheme="minorHAnsi" w:cstheme="minorHAnsi"/>
                <w:sz w:val="22"/>
                <w:szCs w:val="22"/>
              </w:rPr>
              <w:t xml:space="preserve"> - </w:t>
            </w:r>
            <w:r w:rsidRPr="00A34F8A">
              <w:rPr>
                <w:rFonts w:asciiTheme="minorHAnsi" w:hAnsiTheme="minorHAnsi" w:cstheme="minorHAnsi"/>
                <w:sz w:val="22"/>
                <w:szCs w:val="22"/>
              </w:rPr>
              <w:t>High scenario</w:t>
            </w:r>
          </w:p>
        </w:tc>
      </w:tr>
      <w:tr w:rsidR="00045634" w:rsidRPr="00A34F8A" w14:paraId="6892AD82" w14:textId="77777777" w:rsidTr="00CA72A3">
        <w:trPr>
          <w:trHeight w:val="91"/>
        </w:trPr>
        <w:tc>
          <w:tcPr>
            <w:tcW w:w="2268" w:type="dxa"/>
            <w:tcBorders>
              <w:right w:val="single" w:sz="4" w:space="0" w:color="C4BC96" w:themeColor="background2" w:themeShade="BF"/>
            </w:tcBorders>
            <w:tcMar>
              <w:top w:w="57" w:type="dxa"/>
              <w:left w:w="57" w:type="dxa"/>
              <w:bottom w:w="57" w:type="dxa"/>
              <w:right w:w="57" w:type="dxa"/>
            </w:tcMar>
            <w:vAlign w:val="top"/>
          </w:tcPr>
          <w:p w14:paraId="4A2A699F"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2023</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5822E03D" w14:textId="4EC4567D"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59</w:t>
            </w:r>
          </w:p>
        </w:tc>
        <w:tc>
          <w:tcPr>
            <w:tcW w:w="2268" w:type="dxa"/>
            <w:tcBorders>
              <w:left w:val="single" w:sz="4" w:space="0" w:color="AEAAAA"/>
            </w:tcBorders>
            <w:tcMar>
              <w:top w:w="57" w:type="dxa"/>
              <w:left w:w="57" w:type="dxa"/>
              <w:bottom w:w="57" w:type="dxa"/>
              <w:right w:w="57" w:type="dxa"/>
            </w:tcMar>
            <w:vAlign w:val="top"/>
          </w:tcPr>
          <w:p w14:paraId="4D015814" w14:textId="5D36CADB"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87</w:t>
            </w:r>
          </w:p>
        </w:tc>
        <w:tc>
          <w:tcPr>
            <w:tcW w:w="2268" w:type="dxa"/>
            <w:tcBorders>
              <w:left w:val="single" w:sz="4" w:space="0" w:color="AEAAAA"/>
            </w:tcBorders>
            <w:tcMar>
              <w:top w:w="57" w:type="dxa"/>
              <w:left w:w="57" w:type="dxa"/>
              <w:bottom w:w="57" w:type="dxa"/>
              <w:right w:w="57" w:type="dxa"/>
            </w:tcMar>
            <w:vAlign w:val="top"/>
          </w:tcPr>
          <w:p w14:paraId="479CE1E3" w14:textId="1A111E69"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171</w:t>
            </w:r>
          </w:p>
        </w:tc>
      </w:tr>
      <w:tr w:rsidR="00045634" w:rsidRPr="00A34F8A" w14:paraId="6D38867A"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5E175195"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2024</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3FA1968C" w14:textId="1DC8565F"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65</w:t>
            </w:r>
          </w:p>
        </w:tc>
        <w:tc>
          <w:tcPr>
            <w:tcW w:w="2268" w:type="dxa"/>
            <w:tcBorders>
              <w:left w:val="single" w:sz="4" w:space="0" w:color="AEAAAA"/>
            </w:tcBorders>
            <w:tcMar>
              <w:top w:w="57" w:type="dxa"/>
              <w:left w:w="57" w:type="dxa"/>
              <w:bottom w:w="57" w:type="dxa"/>
              <w:right w:w="57" w:type="dxa"/>
            </w:tcMar>
            <w:vAlign w:val="top"/>
          </w:tcPr>
          <w:p w14:paraId="35195566" w14:textId="29A64524"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97</w:t>
            </w:r>
          </w:p>
        </w:tc>
        <w:tc>
          <w:tcPr>
            <w:tcW w:w="2268" w:type="dxa"/>
            <w:tcBorders>
              <w:left w:val="single" w:sz="4" w:space="0" w:color="AEAAAA"/>
            </w:tcBorders>
            <w:tcMar>
              <w:top w:w="57" w:type="dxa"/>
              <w:left w:w="57" w:type="dxa"/>
              <w:bottom w:w="57" w:type="dxa"/>
              <w:right w:w="57" w:type="dxa"/>
            </w:tcMar>
            <w:vAlign w:val="top"/>
          </w:tcPr>
          <w:p w14:paraId="27EDEA0C" w14:textId="6AB74C9E"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182</w:t>
            </w:r>
          </w:p>
        </w:tc>
      </w:tr>
      <w:tr w:rsidR="00045634" w:rsidRPr="00A34F8A" w14:paraId="183D8466"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2C8BF866"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2025</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10C5211F" w14:textId="38FD9832"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72</w:t>
            </w:r>
          </w:p>
        </w:tc>
        <w:tc>
          <w:tcPr>
            <w:tcW w:w="2268" w:type="dxa"/>
            <w:tcBorders>
              <w:left w:val="single" w:sz="4" w:space="0" w:color="AEAAAA"/>
            </w:tcBorders>
            <w:tcMar>
              <w:top w:w="57" w:type="dxa"/>
              <w:left w:w="57" w:type="dxa"/>
              <w:bottom w:w="57" w:type="dxa"/>
              <w:right w:w="57" w:type="dxa"/>
            </w:tcMar>
            <w:vAlign w:val="top"/>
          </w:tcPr>
          <w:p w14:paraId="75946159" w14:textId="73C49A44"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107</w:t>
            </w:r>
          </w:p>
        </w:tc>
        <w:tc>
          <w:tcPr>
            <w:tcW w:w="2268" w:type="dxa"/>
            <w:tcBorders>
              <w:left w:val="single" w:sz="4" w:space="0" w:color="AEAAAA"/>
            </w:tcBorders>
            <w:tcMar>
              <w:top w:w="57" w:type="dxa"/>
              <w:left w:w="57" w:type="dxa"/>
              <w:bottom w:w="57" w:type="dxa"/>
              <w:right w:w="57" w:type="dxa"/>
            </w:tcMar>
            <w:vAlign w:val="top"/>
          </w:tcPr>
          <w:p w14:paraId="58679149" w14:textId="585F1651"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193</w:t>
            </w:r>
          </w:p>
        </w:tc>
      </w:tr>
      <w:tr w:rsidR="00045634" w:rsidRPr="00A34F8A" w14:paraId="23F47EE6"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B0CFF98"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2026</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0CB62916" w14:textId="52E805C1"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78</w:t>
            </w:r>
          </w:p>
        </w:tc>
        <w:tc>
          <w:tcPr>
            <w:tcW w:w="2268" w:type="dxa"/>
            <w:tcBorders>
              <w:left w:val="single" w:sz="4" w:space="0" w:color="AEAAAA"/>
            </w:tcBorders>
            <w:tcMar>
              <w:top w:w="57" w:type="dxa"/>
              <w:left w:w="57" w:type="dxa"/>
              <w:bottom w:w="57" w:type="dxa"/>
              <w:right w:w="57" w:type="dxa"/>
            </w:tcMar>
            <w:vAlign w:val="top"/>
          </w:tcPr>
          <w:p w14:paraId="4352F3AE" w14:textId="2A319F45"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116</w:t>
            </w:r>
          </w:p>
        </w:tc>
        <w:tc>
          <w:tcPr>
            <w:tcW w:w="2268" w:type="dxa"/>
            <w:tcBorders>
              <w:left w:val="single" w:sz="4" w:space="0" w:color="AEAAAA"/>
            </w:tcBorders>
            <w:tcMar>
              <w:top w:w="57" w:type="dxa"/>
              <w:left w:w="57" w:type="dxa"/>
              <w:bottom w:w="57" w:type="dxa"/>
              <w:right w:w="57" w:type="dxa"/>
            </w:tcMar>
            <w:vAlign w:val="top"/>
          </w:tcPr>
          <w:p w14:paraId="605B2703" w14:textId="4CB7F1F5"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203</w:t>
            </w:r>
          </w:p>
        </w:tc>
      </w:tr>
      <w:tr w:rsidR="00045634" w:rsidRPr="00A34F8A" w14:paraId="4A38E66C"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75B50B1A"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2027</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3D77E493" w14:textId="47CA2051"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85</w:t>
            </w:r>
          </w:p>
        </w:tc>
        <w:tc>
          <w:tcPr>
            <w:tcW w:w="2268" w:type="dxa"/>
            <w:tcBorders>
              <w:left w:val="single" w:sz="4" w:space="0" w:color="AEAAAA"/>
            </w:tcBorders>
            <w:tcMar>
              <w:top w:w="57" w:type="dxa"/>
              <w:left w:w="57" w:type="dxa"/>
              <w:bottom w:w="57" w:type="dxa"/>
              <w:right w:w="57" w:type="dxa"/>
            </w:tcMar>
            <w:vAlign w:val="top"/>
          </w:tcPr>
          <w:p w14:paraId="3B88A642" w14:textId="304694E0"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126</w:t>
            </w:r>
          </w:p>
        </w:tc>
        <w:tc>
          <w:tcPr>
            <w:tcW w:w="2268" w:type="dxa"/>
            <w:tcBorders>
              <w:left w:val="single" w:sz="4" w:space="0" w:color="AEAAAA"/>
            </w:tcBorders>
            <w:tcMar>
              <w:top w:w="57" w:type="dxa"/>
              <w:left w:w="57" w:type="dxa"/>
              <w:bottom w:w="57" w:type="dxa"/>
              <w:right w:w="57" w:type="dxa"/>
            </w:tcMar>
            <w:vAlign w:val="top"/>
          </w:tcPr>
          <w:p w14:paraId="045EF710" w14:textId="1ECA19DD"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214</w:t>
            </w:r>
          </w:p>
        </w:tc>
      </w:tr>
      <w:tr w:rsidR="00045634" w:rsidRPr="00A34F8A" w14:paraId="54D614DF"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3EC8D43"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2028</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24F3F685" w14:textId="4A4EE783"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91</w:t>
            </w:r>
          </w:p>
        </w:tc>
        <w:tc>
          <w:tcPr>
            <w:tcW w:w="2268" w:type="dxa"/>
            <w:tcBorders>
              <w:left w:val="single" w:sz="4" w:space="0" w:color="AEAAAA"/>
            </w:tcBorders>
            <w:tcMar>
              <w:top w:w="57" w:type="dxa"/>
              <w:left w:w="57" w:type="dxa"/>
              <w:bottom w:w="57" w:type="dxa"/>
              <w:right w:w="57" w:type="dxa"/>
            </w:tcMar>
            <w:vAlign w:val="top"/>
          </w:tcPr>
          <w:p w14:paraId="3E45021E" w14:textId="50145738"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136</w:t>
            </w:r>
          </w:p>
        </w:tc>
        <w:tc>
          <w:tcPr>
            <w:tcW w:w="2268" w:type="dxa"/>
            <w:tcBorders>
              <w:left w:val="single" w:sz="4" w:space="0" w:color="AEAAAA"/>
            </w:tcBorders>
            <w:tcMar>
              <w:top w:w="57" w:type="dxa"/>
              <w:left w:w="57" w:type="dxa"/>
              <w:bottom w:w="57" w:type="dxa"/>
              <w:right w:w="57" w:type="dxa"/>
            </w:tcMar>
            <w:vAlign w:val="top"/>
          </w:tcPr>
          <w:p w14:paraId="786EFC68" w14:textId="3762D5E3"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219</w:t>
            </w:r>
          </w:p>
        </w:tc>
      </w:tr>
      <w:tr w:rsidR="00045634" w:rsidRPr="00A34F8A" w14:paraId="3FF19E8C"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33EB88DA"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2029</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6DEDE4DD" w14:textId="65B4376F"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98</w:t>
            </w:r>
          </w:p>
        </w:tc>
        <w:tc>
          <w:tcPr>
            <w:tcW w:w="2268" w:type="dxa"/>
            <w:tcBorders>
              <w:left w:val="single" w:sz="4" w:space="0" w:color="AEAAAA"/>
            </w:tcBorders>
            <w:tcMar>
              <w:top w:w="57" w:type="dxa"/>
              <w:left w:w="57" w:type="dxa"/>
              <w:bottom w:w="57" w:type="dxa"/>
              <w:right w:w="57" w:type="dxa"/>
            </w:tcMar>
            <w:vAlign w:val="top"/>
          </w:tcPr>
          <w:p w14:paraId="5A71F209" w14:textId="4DBF9296"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146</w:t>
            </w:r>
          </w:p>
        </w:tc>
        <w:tc>
          <w:tcPr>
            <w:tcW w:w="2268" w:type="dxa"/>
            <w:tcBorders>
              <w:left w:val="single" w:sz="4" w:space="0" w:color="AEAAAA"/>
            </w:tcBorders>
            <w:tcMar>
              <w:top w:w="57" w:type="dxa"/>
              <w:left w:w="57" w:type="dxa"/>
              <w:bottom w:w="57" w:type="dxa"/>
              <w:right w:w="57" w:type="dxa"/>
            </w:tcMar>
            <w:vAlign w:val="top"/>
          </w:tcPr>
          <w:p w14:paraId="605F37EE" w14:textId="49676899"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224</w:t>
            </w:r>
          </w:p>
        </w:tc>
      </w:tr>
      <w:tr w:rsidR="00045634" w:rsidRPr="00A34F8A" w14:paraId="6B573725"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335C28B7"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2030</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7192D5BC" w14:textId="1F2482D6"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104</w:t>
            </w:r>
          </w:p>
        </w:tc>
        <w:tc>
          <w:tcPr>
            <w:tcW w:w="2268" w:type="dxa"/>
            <w:tcBorders>
              <w:left w:val="single" w:sz="4" w:space="0" w:color="AEAAAA"/>
            </w:tcBorders>
            <w:tcMar>
              <w:top w:w="57" w:type="dxa"/>
              <w:left w:w="57" w:type="dxa"/>
              <w:bottom w:w="57" w:type="dxa"/>
              <w:right w:w="57" w:type="dxa"/>
            </w:tcMar>
            <w:vAlign w:val="top"/>
          </w:tcPr>
          <w:p w14:paraId="291E84A9" w14:textId="56BC09A2"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155</w:t>
            </w:r>
          </w:p>
        </w:tc>
        <w:tc>
          <w:tcPr>
            <w:tcW w:w="2268" w:type="dxa"/>
            <w:tcBorders>
              <w:left w:val="single" w:sz="4" w:space="0" w:color="AEAAAA"/>
            </w:tcBorders>
            <w:tcMar>
              <w:top w:w="57" w:type="dxa"/>
              <w:left w:w="57" w:type="dxa"/>
              <w:bottom w:w="57" w:type="dxa"/>
              <w:right w:w="57" w:type="dxa"/>
            </w:tcMar>
            <w:vAlign w:val="top"/>
          </w:tcPr>
          <w:p w14:paraId="12D40883" w14:textId="06CA670B"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230</w:t>
            </w:r>
          </w:p>
        </w:tc>
      </w:tr>
      <w:tr w:rsidR="00045634" w:rsidRPr="00A34F8A" w14:paraId="4C43A456"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BEB7111"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2031</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625D5EEF" w14:textId="1DDFC6A6"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108</w:t>
            </w:r>
          </w:p>
        </w:tc>
        <w:tc>
          <w:tcPr>
            <w:tcW w:w="2268" w:type="dxa"/>
            <w:tcBorders>
              <w:left w:val="single" w:sz="4" w:space="0" w:color="AEAAAA"/>
            </w:tcBorders>
            <w:tcMar>
              <w:top w:w="57" w:type="dxa"/>
              <w:left w:w="57" w:type="dxa"/>
              <w:bottom w:w="57" w:type="dxa"/>
              <w:right w:w="57" w:type="dxa"/>
            </w:tcMar>
            <w:vAlign w:val="top"/>
          </w:tcPr>
          <w:p w14:paraId="330FD4C9" w14:textId="2CD483E1"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161</w:t>
            </w:r>
          </w:p>
        </w:tc>
        <w:tc>
          <w:tcPr>
            <w:tcW w:w="2268" w:type="dxa"/>
            <w:tcBorders>
              <w:left w:val="single" w:sz="4" w:space="0" w:color="AEAAAA"/>
            </w:tcBorders>
            <w:tcMar>
              <w:top w:w="57" w:type="dxa"/>
              <w:left w:w="57" w:type="dxa"/>
              <w:bottom w:w="57" w:type="dxa"/>
              <w:right w:w="57" w:type="dxa"/>
            </w:tcMar>
            <w:vAlign w:val="top"/>
          </w:tcPr>
          <w:p w14:paraId="0162F452" w14:textId="6FD423B4"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235</w:t>
            </w:r>
          </w:p>
        </w:tc>
      </w:tr>
      <w:tr w:rsidR="00045634" w:rsidRPr="00A34F8A" w14:paraId="13A096E4"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5A045A13"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2032</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7400603E" w14:textId="386AAFD8"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112</w:t>
            </w:r>
          </w:p>
        </w:tc>
        <w:tc>
          <w:tcPr>
            <w:tcW w:w="2268" w:type="dxa"/>
            <w:tcBorders>
              <w:left w:val="single" w:sz="4" w:space="0" w:color="AEAAAA"/>
            </w:tcBorders>
            <w:tcMar>
              <w:top w:w="57" w:type="dxa"/>
              <w:left w:w="57" w:type="dxa"/>
              <w:bottom w:w="57" w:type="dxa"/>
              <w:right w:w="57" w:type="dxa"/>
            </w:tcMar>
            <w:vAlign w:val="top"/>
          </w:tcPr>
          <w:p w14:paraId="4D792674" w14:textId="6FE8CA42"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167</w:t>
            </w:r>
          </w:p>
        </w:tc>
        <w:tc>
          <w:tcPr>
            <w:tcW w:w="2268" w:type="dxa"/>
            <w:tcBorders>
              <w:left w:val="single" w:sz="4" w:space="0" w:color="AEAAAA"/>
            </w:tcBorders>
            <w:tcMar>
              <w:top w:w="57" w:type="dxa"/>
              <w:left w:w="57" w:type="dxa"/>
              <w:bottom w:w="57" w:type="dxa"/>
              <w:right w:w="57" w:type="dxa"/>
            </w:tcMar>
            <w:vAlign w:val="top"/>
          </w:tcPr>
          <w:p w14:paraId="3BC51AC4" w14:textId="50A4292E"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241</w:t>
            </w:r>
          </w:p>
        </w:tc>
      </w:tr>
      <w:tr w:rsidR="00045634" w:rsidRPr="00A34F8A" w14:paraId="7FBC145A"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12C95976"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2033</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5179B2EC" w14:textId="44CCB66F"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116</w:t>
            </w:r>
          </w:p>
        </w:tc>
        <w:tc>
          <w:tcPr>
            <w:tcW w:w="2268" w:type="dxa"/>
            <w:tcBorders>
              <w:left w:val="single" w:sz="4" w:space="0" w:color="AEAAAA"/>
            </w:tcBorders>
            <w:tcMar>
              <w:top w:w="57" w:type="dxa"/>
              <w:left w:w="57" w:type="dxa"/>
              <w:bottom w:w="57" w:type="dxa"/>
              <w:right w:w="57" w:type="dxa"/>
            </w:tcMar>
            <w:vAlign w:val="top"/>
          </w:tcPr>
          <w:p w14:paraId="44D1E445" w14:textId="7C7F894D"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174</w:t>
            </w:r>
          </w:p>
        </w:tc>
        <w:tc>
          <w:tcPr>
            <w:tcW w:w="2268" w:type="dxa"/>
            <w:tcBorders>
              <w:left w:val="single" w:sz="4" w:space="0" w:color="AEAAAA"/>
            </w:tcBorders>
            <w:tcMar>
              <w:top w:w="57" w:type="dxa"/>
              <w:left w:w="57" w:type="dxa"/>
              <w:bottom w:w="57" w:type="dxa"/>
              <w:right w:w="57" w:type="dxa"/>
            </w:tcMar>
            <w:vAlign w:val="top"/>
          </w:tcPr>
          <w:p w14:paraId="432F116B" w14:textId="43C34C07"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247</w:t>
            </w:r>
          </w:p>
        </w:tc>
      </w:tr>
      <w:tr w:rsidR="00045634" w:rsidRPr="00A34F8A" w14:paraId="14C1A676"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6D65C2C5"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2034</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73EDE5FE" w14:textId="36488887"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120</w:t>
            </w:r>
          </w:p>
        </w:tc>
        <w:tc>
          <w:tcPr>
            <w:tcW w:w="2268" w:type="dxa"/>
            <w:tcBorders>
              <w:left w:val="single" w:sz="4" w:space="0" w:color="AEAAAA"/>
            </w:tcBorders>
            <w:tcMar>
              <w:top w:w="57" w:type="dxa"/>
              <w:left w:w="57" w:type="dxa"/>
              <w:bottom w:w="57" w:type="dxa"/>
              <w:right w:w="57" w:type="dxa"/>
            </w:tcMar>
            <w:vAlign w:val="top"/>
          </w:tcPr>
          <w:p w14:paraId="089D26CE" w14:textId="17AA70AC"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180</w:t>
            </w:r>
          </w:p>
        </w:tc>
        <w:tc>
          <w:tcPr>
            <w:tcW w:w="2268" w:type="dxa"/>
            <w:tcBorders>
              <w:left w:val="single" w:sz="4" w:space="0" w:color="AEAAAA"/>
            </w:tcBorders>
            <w:tcMar>
              <w:top w:w="57" w:type="dxa"/>
              <w:left w:w="57" w:type="dxa"/>
              <w:bottom w:w="57" w:type="dxa"/>
              <w:right w:w="57" w:type="dxa"/>
            </w:tcMar>
            <w:vAlign w:val="top"/>
          </w:tcPr>
          <w:p w14:paraId="0FE6651C" w14:textId="00B130DC"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253</w:t>
            </w:r>
          </w:p>
        </w:tc>
      </w:tr>
      <w:tr w:rsidR="00045634" w:rsidRPr="00A34F8A" w14:paraId="765379F1"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641BB4B0"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lastRenderedPageBreak/>
              <w:t>2035</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15EFAA25" w14:textId="28AC0825"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124</w:t>
            </w:r>
          </w:p>
        </w:tc>
        <w:tc>
          <w:tcPr>
            <w:tcW w:w="2268" w:type="dxa"/>
            <w:tcBorders>
              <w:left w:val="single" w:sz="4" w:space="0" w:color="AEAAAA"/>
            </w:tcBorders>
            <w:tcMar>
              <w:top w:w="57" w:type="dxa"/>
              <w:left w:w="57" w:type="dxa"/>
              <w:bottom w:w="57" w:type="dxa"/>
              <w:right w:w="57" w:type="dxa"/>
            </w:tcMar>
            <w:vAlign w:val="top"/>
          </w:tcPr>
          <w:p w14:paraId="265EF7A1" w14:textId="6AC12AF6"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186</w:t>
            </w:r>
          </w:p>
        </w:tc>
        <w:tc>
          <w:tcPr>
            <w:tcW w:w="2268" w:type="dxa"/>
            <w:tcBorders>
              <w:left w:val="single" w:sz="4" w:space="0" w:color="AEAAAA"/>
            </w:tcBorders>
            <w:tcMar>
              <w:top w:w="57" w:type="dxa"/>
              <w:left w:w="57" w:type="dxa"/>
              <w:bottom w:w="57" w:type="dxa"/>
              <w:right w:w="57" w:type="dxa"/>
            </w:tcMar>
            <w:vAlign w:val="top"/>
          </w:tcPr>
          <w:p w14:paraId="244E9915" w14:textId="0F9A1B90"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259</w:t>
            </w:r>
          </w:p>
        </w:tc>
      </w:tr>
      <w:tr w:rsidR="00045634" w:rsidRPr="00A34F8A" w14:paraId="7C326D1B"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7B79FF0B"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2036</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123A49CD" w14:textId="26202C98"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129</w:t>
            </w:r>
          </w:p>
        </w:tc>
        <w:tc>
          <w:tcPr>
            <w:tcW w:w="2268" w:type="dxa"/>
            <w:tcBorders>
              <w:left w:val="single" w:sz="4" w:space="0" w:color="AEAAAA"/>
            </w:tcBorders>
            <w:tcMar>
              <w:top w:w="57" w:type="dxa"/>
              <w:left w:w="57" w:type="dxa"/>
              <w:bottom w:w="57" w:type="dxa"/>
              <w:right w:w="57" w:type="dxa"/>
            </w:tcMar>
            <w:vAlign w:val="top"/>
          </w:tcPr>
          <w:p w14:paraId="612DFA3D" w14:textId="3B5B8F6C"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192</w:t>
            </w:r>
          </w:p>
        </w:tc>
        <w:tc>
          <w:tcPr>
            <w:tcW w:w="2268" w:type="dxa"/>
            <w:tcBorders>
              <w:left w:val="single" w:sz="4" w:space="0" w:color="AEAAAA"/>
            </w:tcBorders>
            <w:tcMar>
              <w:top w:w="57" w:type="dxa"/>
              <w:left w:w="57" w:type="dxa"/>
              <w:bottom w:w="57" w:type="dxa"/>
              <w:right w:w="57" w:type="dxa"/>
            </w:tcMar>
            <w:vAlign w:val="top"/>
          </w:tcPr>
          <w:p w14:paraId="3BE5DBEA" w14:textId="4299F1A9"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265</w:t>
            </w:r>
          </w:p>
        </w:tc>
      </w:tr>
      <w:tr w:rsidR="00045634" w:rsidRPr="00A34F8A" w14:paraId="4027B0CE"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3590A17D"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2037</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08901BD8" w14:textId="26D8A88D"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133</w:t>
            </w:r>
          </w:p>
        </w:tc>
        <w:tc>
          <w:tcPr>
            <w:tcW w:w="2268" w:type="dxa"/>
            <w:tcBorders>
              <w:left w:val="single" w:sz="4" w:space="0" w:color="AEAAAA"/>
            </w:tcBorders>
            <w:tcMar>
              <w:top w:w="57" w:type="dxa"/>
              <w:left w:w="57" w:type="dxa"/>
              <w:bottom w:w="57" w:type="dxa"/>
              <w:right w:w="57" w:type="dxa"/>
            </w:tcMar>
            <w:vAlign w:val="top"/>
          </w:tcPr>
          <w:p w14:paraId="1B88E25F" w14:textId="60C6FFFD"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198</w:t>
            </w:r>
          </w:p>
        </w:tc>
        <w:tc>
          <w:tcPr>
            <w:tcW w:w="2268" w:type="dxa"/>
            <w:tcBorders>
              <w:left w:val="single" w:sz="4" w:space="0" w:color="AEAAAA"/>
            </w:tcBorders>
            <w:tcMar>
              <w:top w:w="57" w:type="dxa"/>
              <w:left w:w="57" w:type="dxa"/>
              <w:bottom w:w="57" w:type="dxa"/>
              <w:right w:w="57" w:type="dxa"/>
            </w:tcMar>
            <w:vAlign w:val="top"/>
          </w:tcPr>
          <w:p w14:paraId="6D611320" w14:textId="4D5773C9"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271</w:t>
            </w:r>
          </w:p>
        </w:tc>
      </w:tr>
      <w:tr w:rsidR="00045634" w:rsidRPr="00A34F8A" w14:paraId="26C204AB"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4DB6A42E"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2038</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72C54E47" w14:textId="2F01CEEC"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137</w:t>
            </w:r>
          </w:p>
        </w:tc>
        <w:tc>
          <w:tcPr>
            <w:tcW w:w="2268" w:type="dxa"/>
            <w:tcBorders>
              <w:left w:val="single" w:sz="4" w:space="0" w:color="AEAAAA"/>
            </w:tcBorders>
            <w:tcMar>
              <w:top w:w="57" w:type="dxa"/>
              <w:left w:w="57" w:type="dxa"/>
              <w:bottom w:w="57" w:type="dxa"/>
              <w:right w:w="57" w:type="dxa"/>
            </w:tcMar>
            <w:vAlign w:val="top"/>
          </w:tcPr>
          <w:p w14:paraId="1658E445" w14:textId="736BF299"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204</w:t>
            </w:r>
          </w:p>
        </w:tc>
        <w:tc>
          <w:tcPr>
            <w:tcW w:w="2268" w:type="dxa"/>
            <w:tcBorders>
              <w:left w:val="single" w:sz="4" w:space="0" w:color="AEAAAA"/>
            </w:tcBorders>
            <w:tcMar>
              <w:top w:w="57" w:type="dxa"/>
              <w:left w:w="57" w:type="dxa"/>
              <w:bottom w:w="57" w:type="dxa"/>
              <w:right w:w="57" w:type="dxa"/>
            </w:tcMar>
            <w:vAlign w:val="top"/>
          </w:tcPr>
          <w:p w14:paraId="6B39E2E3" w14:textId="0F46C0A3"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278</w:t>
            </w:r>
          </w:p>
        </w:tc>
      </w:tr>
      <w:tr w:rsidR="00045634" w:rsidRPr="00A34F8A" w14:paraId="4AC2108F"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7C39E4AA"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2039</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54065813" w14:textId="2858D3CE"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14</w:t>
            </w:r>
            <w:r w:rsidR="0059280B">
              <w:rPr>
                <w:rFonts w:asciiTheme="minorHAnsi" w:hAnsiTheme="minorHAnsi" w:cstheme="minorHAnsi"/>
                <w:sz w:val="22"/>
                <w:szCs w:val="22"/>
              </w:rPr>
              <w:t>1</w:t>
            </w:r>
          </w:p>
        </w:tc>
        <w:tc>
          <w:tcPr>
            <w:tcW w:w="2268" w:type="dxa"/>
            <w:tcBorders>
              <w:left w:val="single" w:sz="4" w:space="0" w:color="AEAAAA"/>
            </w:tcBorders>
            <w:tcMar>
              <w:top w:w="57" w:type="dxa"/>
              <w:left w:w="57" w:type="dxa"/>
              <w:bottom w:w="57" w:type="dxa"/>
              <w:right w:w="57" w:type="dxa"/>
            </w:tcMar>
            <w:vAlign w:val="top"/>
          </w:tcPr>
          <w:p w14:paraId="126DB6BC" w14:textId="72C24E37"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210</w:t>
            </w:r>
          </w:p>
        </w:tc>
        <w:tc>
          <w:tcPr>
            <w:tcW w:w="2268" w:type="dxa"/>
            <w:tcBorders>
              <w:left w:val="single" w:sz="4" w:space="0" w:color="AEAAAA"/>
            </w:tcBorders>
            <w:tcMar>
              <w:top w:w="57" w:type="dxa"/>
              <w:left w:w="57" w:type="dxa"/>
              <w:bottom w:w="57" w:type="dxa"/>
              <w:right w:w="57" w:type="dxa"/>
            </w:tcMar>
            <w:vAlign w:val="top"/>
          </w:tcPr>
          <w:p w14:paraId="1607F802" w14:textId="233F7FA8"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284</w:t>
            </w:r>
          </w:p>
        </w:tc>
      </w:tr>
      <w:tr w:rsidR="00045634" w:rsidRPr="00A34F8A" w14:paraId="6B71A46E"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120221C2" w14:textId="77777777" w:rsidR="00145218" w:rsidRPr="00A34F8A" w:rsidRDefault="0014521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2040</w:t>
            </w:r>
          </w:p>
        </w:tc>
        <w:tc>
          <w:tcPr>
            <w:tcW w:w="2268" w:type="dxa"/>
            <w:tcBorders>
              <w:left w:val="single" w:sz="4" w:space="0" w:color="C4BC96" w:themeColor="background2" w:themeShade="BF"/>
              <w:right w:val="single" w:sz="4" w:space="0" w:color="AEAAAA"/>
            </w:tcBorders>
            <w:tcMar>
              <w:top w:w="57" w:type="dxa"/>
              <w:left w:w="57" w:type="dxa"/>
              <w:bottom w:w="57" w:type="dxa"/>
              <w:right w:w="57" w:type="dxa"/>
            </w:tcMar>
            <w:vAlign w:val="top"/>
          </w:tcPr>
          <w:p w14:paraId="76D5C0DA" w14:textId="56110441"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145</w:t>
            </w:r>
          </w:p>
        </w:tc>
        <w:tc>
          <w:tcPr>
            <w:tcW w:w="2268" w:type="dxa"/>
            <w:tcBorders>
              <w:left w:val="single" w:sz="4" w:space="0" w:color="AEAAAA"/>
            </w:tcBorders>
            <w:tcMar>
              <w:top w:w="57" w:type="dxa"/>
              <w:left w:w="57" w:type="dxa"/>
              <w:bottom w:w="57" w:type="dxa"/>
              <w:right w:w="57" w:type="dxa"/>
            </w:tcMar>
            <w:vAlign w:val="top"/>
          </w:tcPr>
          <w:p w14:paraId="01545FF0" w14:textId="65DD229A" w:rsidR="00145218" w:rsidRPr="00A34F8A" w:rsidRDefault="00145218" w:rsidP="005D3977">
            <w:pPr>
              <w:pStyle w:val="Table3-Normaldata-centred"/>
              <w:rPr>
                <w:rFonts w:asciiTheme="minorHAnsi" w:hAnsiTheme="minorHAnsi" w:cstheme="minorHAnsi"/>
                <w:sz w:val="22"/>
                <w:szCs w:val="22"/>
              </w:rPr>
            </w:pPr>
            <w:r w:rsidRPr="00A34F8A">
              <w:rPr>
                <w:rFonts w:asciiTheme="minorHAnsi" w:hAnsiTheme="minorHAnsi" w:cstheme="minorHAnsi"/>
                <w:sz w:val="22"/>
                <w:szCs w:val="22"/>
              </w:rPr>
              <w:t>216</w:t>
            </w:r>
          </w:p>
        </w:tc>
        <w:tc>
          <w:tcPr>
            <w:tcW w:w="2268" w:type="dxa"/>
            <w:tcBorders>
              <w:left w:val="single" w:sz="4" w:space="0" w:color="AEAAAA"/>
            </w:tcBorders>
            <w:tcMar>
              <w:top w:w="57" w:type="dxa"/>
              <w:left w:w="57" w:type="dxa"/>
              <w:bottom w:w="57" w:type="dxa"/>
              <w:right w:w="57" w:type="dxa"/>
            </w:tcMar>
            <w:vAlign w:val="top"/>
          </w:tcPr>
          <w:p w14:paraId="1CF12DAA" w14:textId="6F856AD9" w:rsidR="00145218" w:rsidRPr="00A34F8A" w:rsidRDefault="00145218" w:rsidP="00645440">
            <w:pPr>
              <w:pStyle w:val="Table3-Normaldata-centred"/>
            </w:pPr>
            <w:r w:rsidRPr="00A34F8A">
              <w:t>291</w:t>
            </w:r>
          </w:p>
        </w:tc>
      </w:tr>
    </w:tbl>
    <w:p w14:paraId="01BDF4DB" w14:textId="77777777" w:rsidR="00145218" w:rsidRPr="00A34F8A" w:rsidRDefault="00145218" w:rsidP="00145218">
      <w:pPr>
        <w:pStyle w:val="BlueLineBottom"/>
        <w:rPr>
          <w:rFonts w:asciiTheme="minorHAnsi" w:hAnsiTheme="minorHAnsi" w:cstheme="minorHAnsi"/>
          <w:sz w:val="22"/>
          <w:szCs w:val="22"/>
        </w:rPr>
      </w:pPr>
    </w:p>
    <w:p w14:paraId="5963E06D" w14:textId="77777777" w:rsidR="00145218" w:rsidRPr="00A34F8A" w:rsidRDefault="00145218" w:rsidP="00145218">
      <w:pPr>
        <w:pStyle w:val="BlueLineTop"/>
        <w:rPr>
          <w:rFonts w:asciiTheme="minorHAnsi" w:hAnsiTheme="minorHAnsi" w:cstheme="minorHAnsi"/>
          <w:sz w:val="22"/>
          <w:szCs w:val="22"/>
        </w:rPr>
      </w:pPr>
    </w:p>
    <w:p w14:paraId="67A59175" w14:textId="1923179C" w:rsidR="00145218" w:rsidRPr="00A34F8A" w:rsidRDefault="00145218" w:rsidP="00145218">
      <w:pPr>
        <w:pStyle w:val="Caption"/>
        <w:keepNext/>
        <w:rPr>
          <w:rFonts w:asciiTheme="minorHAnsi" w:hAnsiTheme="minorHAnsi" w:cstheme="minorHAnsi"/>
          <w:sz w:val="22"/>
          <w:szCs w:val="22"/>
        </w:rPr>
      </w:pPr>
      <w:bookmarkStart w:id="226" w:name="_Ref132897117"/>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42</w:t>
      </w:r>
      <w:r w:rsidRPr="00A34F8A">
        <w:rPr>
          <w:rFonts w:asciiTheme="minorHAnsi" w:hAnsiTheme="minorHAnsi" w:cstheme="minorHAnsi"/>
          <w:noProof/>
          <w:sz w:val="22"/>
          <w:szCs w:val="22"/>
        </w:rPr>
        <w:fldChar w:fldCharType="end"/>
      </w:r>
      <w:bookmarkEnd w:id="226"/>
      <w:r w:rsidRPr="00A34F8A">
        <w:rPr>
          <w:rFonts w:asciiTheme="minorHAnsi" w:hAnsiTheme="minorHAnsi" w:cstheme="minorHAnsi"/>
          <w:sz w:val="22"/>
          <w:szCs w:val="22"/>
        </w:rPr>
        <w:t xml:space="preserve">: </w:t>
      </w:r>
      <w:r w:rsidR="003E02C1">
        <w:rPr>
          <w:rFonts w:asciiTheme="minorHAnsi" w:hAnsiTheme="minorHAnsi" w:cstheme="minorHAnsi"/>
          <w:sz w:val="22"/>
          <w:szCs w:val="22"/>
        </w:rPr>
        <w:t>Cost</w:t>
      </w:r>
      <w:r w:rsidRPr="00A34F8A">
        <w:rPr>
          <w:rFonts w:asciiTheme="minorHAnsi" w:hAnsiTheme="minorHAnsi" w:cstheme="minorHAnsi"/>
          <w:sz w:val="22"/>
          <w:szCs w:val="22"/>
        </w:rPr>
        <w:t xml:space="preserve"> of carbon (AUD 2022</w:t>
      </w:r>
      <w:r w:rsidR="0059280B">
        <w:rPr>
          <w:rFonts w:asciiTheme="minorHAnsi" w:hAnsiTheme="minorHAnsi" w:cstheme="minorHAnsi"/>
          <w:sz w:val="22"/>
          <w:szCs w:val="22"/>
        </w:rPr>
        <w:t xml:space="preserve"> per tonne</w:t>
      </w:r>
      <w:r w:rsidRPr="00A34F8A">
        <w:rPr>
          <w:rFonts w:asciiTheme="minorHAnsi" w:hAnsiTheme="minorHAnsi" w:cstheme="minorHAnsi"/>
          <w:sz w:val="22"/>
          <w:szCs w:val="22"/>
        </w:rPr>
        <w:t xml:space="preserve">) – low, </w:t>
      </w:r>
      <w:r w:rsidR="003E02C1">
        <w:rPr>
          <w:rFonts w:asciiTheme="minorHAnsi" w:hAnsiTheme="minorHAnsi" w:cstheme="minorHAnsi"/>
          <w:sz w:val="22"/>
          <w:szCs w:val="22"/>
        </w:rPr>
        <w:t>central and</w:t>
      </w:r>
      <w:r w:rsidR="003E02C1" w:rsidRPr="00A34F8A">
        <w:rPr>
          <w:rFonts w:asciiTheme="minorHAnsi" w:hAnsiTheme="minorHAnsi" w:cstheme="minorHAnsi"/>
          <w:sz w:val="22"/>
          <w:szCs w:val="22"/>
        </w:rPr>
        <w:t xml:space="preserve"> </w:t>
      </w:r>
      <w:r w:rsidRPr="00A34F8A">
        <w:rPr>
          <w:rFonts w:asciiTheme="minorHAnsi" w:hAnsiTheme="minorHAnsi" w:cstheme="minorHAnsi"/>
          <w:sz w:val="22"/>
          <w:szCs w:val="22"/>
        </w:rPr>
        <w:t>high scenarios</w:t>
      </w:r>
      <w:r w:rsidR="00EF0125">
        <w:rPr>
          <w:rFonts w:asciiTheme="minorHAnsi" w:hAnsiTheme="minorHAnsi" w:cstheme="minorHAnsi"/>
          <w:sz w:val="22"/>
          <w:szCs w:val="22"/>
        </w:rPr>
        <w:t xml:space="preserve">. The central case is </w:t>
      </w:r>
      <w:r w:rsidR="008159E1">
        <w:rPr>
          <w:rFonts w:asciiTheme="minorHAnsi" w:hAnsiTheme="minorHAnsi" w:cstheme="minorHAnsi"/>
          <w:sz w:val="22"/>
          <w:szCs w:val="22"/>
        </w:rPr>
        <w:t xml:space="preserve">from </w:t>
      </w:r>
      <w:sdt>
        <w:sdtPr>
          <w:id w:val="-1030569158"/>
          <w:citation/>
        </w:sdtPr>
        <w:sdtContent>
          <w:r w:rsidR="008159E1" w:rsidRPr="00767068">
            <w:fldChar w:fldCharType="begin"/>
          </w:r>
          <w:r w:rsidR="008159E1" w:rsidRPr="00767068">
            <w:instrText xml:space="preserve"> CITATION Aus241 \l 3081 </w:instrText>
          </w:r>
          <w:r w:rsidR="008159E1" w:rsidRPr="00767068">
            <w:fldChar w:fldCharType="separate"/>
          </w:r>
          <w:r w:rsidR="008159E1" w:rsidRPr="002E2541">
            <w:t>(Australian Energy Market Commission, 2024)</w:t>
          </w:r>
          <w:r w:rsidR="008159E1" w:rsidRPr="00767068">
            <w:fldChar w:fldCharType="end"/>
          </w:r>
        </w:sdtContent>
      </w:sdt>
      <w:r w:rsidR="008159E1" w:rsidRPr="00767068">
        <w:t xml:space="preserve">. </w:t>
      </w:r>
      <w:r w:rsidR="008159E1">
        <w:t xml:space="preserve">The low and high scenarios are from </w:t>
      </w:r>
      <w:sdt>
        <w:sdtPr>
          <w:id w:val="-319661081"/>
          <w:citation/>
        </w:sdtPr>
        <w:sdtContent>
          <w:r w:rsidR="008159E1">
            <w:fldChar w:fldCharType="begin"/>
          </w:r>
          <w:r w:rsidR="008159E1">
            <w:instrText xml:space="preserve"> CITATION ACI22 \l 3081 </w:instrText>
          </w:r>
          <w:r w:rsidR="008159E1">
            <w:fldChar w:fldCharType="separate"/>
          </w:r>
          <w:r w:rsidR="008159E1">
            <w:rPr>
              <w:noProof/>
            </w:rPr>
            <w:t>(ACIL Allen, 2022)</w:t>
          </w:r>
          <w:r w:rsidR="008159E1">
            <w:fldChar w:fldCharType="end"/>
          </w:r>
        </w:sdtContent>
      </w:sdt>
      <w:r w:rsidR="008159E1">
        <w:t>.</w:t>
      </w:r>
    </w:p>
    <w:tbl>
      <w:tblPr>
        <w:tblStyle w:val="ComCap4-nested"/>
        <w:tblW w:w="9072" w:type="dxa"/>
        <w:tblInd w:w="-567" w:type="dxa"/>
        <w:tblBorders>
          <w:insideV w:val="single" w:sz="4" w:space="0" w:color="auto"/>
        </w:tblBorders>
        <w:tblLayout w:type="fixed"/>
        <w:tblLook w:val="04A0" w:firstRow="1" w:lastRow="0" w:firstColumn="1" w:lastColumn="0" w:noHBand="0" w:noVBand="1"/>
      </w:tblPr>
      <w:tblGrid>
        <w:gridCol w:w="2268"/>
        <w:gridCol w:w="2268"/>
        <w:gridCol w:w="2268"/>
        <w:gridCol w:w="2268"/>
      </w:tblGrid>
      <w:tr w:rsidR="0059280B" w:rsidRPr="00A34F8A" w14:paraId="0FE94E5B" w14:textId="77777777" w:rsidTr="00CA72A3">
        <w:trPr>
          <w:cnfStyle w:val="100000000000" w:firstRow="1" w:lastRow="0" w:firstColumn="0" w:lastColumn="0" w:oddVBand="0" w:evenVBand="0" w:oddHBand="0" w:evenHBand="0" w:firstRowFirstColumn="0" w:firstRowLastColumn="0" w:lastRowFirstColumn="0" w:lastRowLastColumn="0"/>
          <w:trHeight w:val="440"/>
          <w:tblHeader/>
        </w:trPr>
        <w:tc>
          <w:tcPr>
            <w:tcW w:w="2268" w:type="dxa"/>
            <w:tcBorders>
              <w:right w:val="single" w:sz="4" w:space="0" w:color="C4BC96" w:themeColor="background2" w:themeShade="BF"/>
            </w:tcBorders>
            <w:tcMar>
              <w:top w:w="57" w:type="dxa"/>
              <w:left w:w="57" w:type="dxa"/>
              <w:bottom w:w="57" w:type="dxa"/>
              <w:right w:w="57" w:type="dxa"/>
            </w:tcMar>
            <w:vAlign w:val="top"/>
          </w:tcPr>
          <w:p w14:paraId="55CA29DE" w14:textId="19F107E5" w:rsidR="0059280B" w:rsidRPr="00A34F8A" w:rsidRDefault="0059280B" w:rsidP="005D3977">
            <w:pPr>
              <w:pStyle w:val="Table1-columnheadingdata"/>
              <w:rPr>
                <w:rFonts w:asciiTheme="minorHAnsi" w:hAnsiTheme="minorHAnsi" w:cstheme="minorHAnsi"/>
                <w:sz w:val="22"/>
                <w:szCs w:val="22"/>
              </w:rPr>
            </w:pPr>
            <w:r>
              <w:rPr>
                <w:rFonts w:asciiTheme="minorHAnsi" w:hAnsiTheme="minorHAnsi" w:cstheme="minorHAnsi"/>
                <w:sz w:val="22"/>
                <w:szCs w:val="22"/>
              </w:rPr>
              <w:t>Year</w:t>
            </w:r>
          </w:p>
        </w:tc>
        <w:tc>
          <w:tcPr>
            <w:tcW w:w="2268" w:type="dxa"/>
            <w:tcBorders>
              <w:left w:val="single" w:sz="4" w:space="0" w:color="C4BC96" w:themeColor="background2" w:themeShade="BF"/>
            </w:tcBorders>
            <w:tcMar>
              <w:top w:w="57" w:type="dxa"/>
              <w:left w:w="57" w:type="dxa"/>
              <w:bottom w:w="57" w:type="dxa"/>
              <w:right w:w="57" w:type="dxa"/>
            </w:tcMar>
            <w:vAlign w:val="top"/>
          </w:tcPr>
          <w:p w14:paraId="47B506DC" w14:textId="159FF275" w:rsidR="0059280B" w:rsidRPr="00A34F8A" w:rsidRDefault="0059280B"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Low</w:t>
            </w:r>
            <w:r>
              <w:rPr>
                <w:rFonts w:asciiTheme="minorHAnsi" w:hAnsiTheme="minorHAnsi" w:cstheme="minorHAnsi"/>
                <w:sz w:val="22"/>
                <w:szCs w:val="22"/>
              </w:rPr>
              <w:t xml:space="preserve"> (AUD per tonne)</w:t>
            </w:r>
          </w:p>
        </w:tc>
        <w:tc>
          <w:tcPr>
            <w:tcW w:w="2268" w:type="dxa"/>
            <w:tcBorders>
              <w:left w:val="single" w:sz="4" w:space="0" w:color="C4BC96" w:themeColor="background2" w:themeShade="BF"/>
            </w:tcBorders>
            <w:tcMar>
              <w:top w:w="57" w:type="dxa"/>
              <w:left w:w="57" w:type="dxa"/>
              <w:bottom w:w="57" w:type="dxa"/>
              <w:right w:w="57" w:type="dxa"/>
            </w:tcMar>
            <w:vAlign w:val="top"/>
          </w:tcPr>
          <w:p w14:paraId="06D4FE44" w14:textId="4EC88B05" w:rsidR="0059280B" w:rsidRPr="00A34F8A" w:rsidRDefault="0059280B" w:rsidP="005D3977">
            <w:pPr>
              <w:pStyle w:val="Table1-columnheadingdata"/>
              <w:rPr>
                <w:rFonts w:asciiTheme="minorHAnsi" w:hAnsiTheme="minorHAnsi" w:cstheme="minorHAnsi"/>
                <w:sz w:val="22"/>
                <w:szCs w:val="22"/>
              </w:rPr>
            </w:pPr>
            <w:r>
              <w:rPr>
                <w:rFonts w:asciiTheme="minorHAnsi" w:hAnsiTheme="minorHAnsi" w:cstheme="minorHAnsi"/>
                <w:sz w:val="22"/>
                <w:szCs w:val="22"/>
              </w:rPr>
              <w:t>Central (AUD per tonne)</w:t>
            </w:r>
          </w:p>
        </w:tc>
        <w:tc>
          <w:tcPr>
            <w:tcW w:w="2268" w:type="dxa"/>
            <w:tcBorders>
              <w:left w:val="single" w:sz="4" w:space="0" w:color="C4BC96" w:themeColor="background2" w:themeShade="BF"/>
            </w:tcBorders>
            <w:tcMar>
              <w:top w:w="57" w:type="dxa"/>
              <w:left w:w="57" w:type="dxa"/>
              <w:bottom w:w="57" w:type="dxa"/>
              <w:right w:w="57" w:type="dxa"/>
            </w:tcMar>
            <w:vAlign w:val="top"/>
          </w:tcPr>
          <w:p w14:paraId="77E10E2A" w14:textId="7E8A2CCF" w:rsidR="0059280B" w:rsidRPr="00A34F8A" w:rsidRDefault="0059280B"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 xml:space="preserve">High </w:t>
            </w:r>
            <w:r w:rsidR="008159E1">
              <w:rPr>
                <w:rFonts w:asciiTheme="minorHAnsi" w:hAnsiTheme="minorHAnsi" w:cstheme="minorHAnsi"/>
                <w:sz w:val="22"/>
                <w:szCs w:val="22"/>
              </w:rPr>
              <w:t>(AUD per tonne)</w:t>
            </w:r>
          </w:p>
        </w:tc>
      </w:tr>
      <w:tr w:rsidR="003E02C1" w:rsidRPr="00A34F8A" w14:paraId="69700561"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46FBE85"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2023</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4DECB667" w14:textId="15E5F3EB"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84</w:t>
            </w:r>
          </w:p>
        </w:tc>
        <w:tc>
          <w:tcPr>
            <w:tcW w:w="2268" w:type="dxa"/>
            <w:tcBorders>
              <w:left w:val="single" w:sz="4" w:space="0" w:color="C4BC96" w:themeColor="background2" w:themeShade="BF"/>
            </w:tcBorders>
            <w:tcMar>
              <w:top w:w="57" w:type="dxa"/>
              <w:left w:w="57" w:type="dxa"/>
              <w:bottom w:w="57" w:type="dxa"/>
              <w:right w:w="57" w:type="dxa"/>
            </w:tcMar>
            <w:vAlign w:val="top"/>
          </w:tcPr>
          <w:p w14:paraId="0D1E6F34" w14:textId="31CB3572" w:rsidR="003E02C1" w:rsidRPr="00A34F8A" w:rsidRDefault="003E02C1" w:rsidP="003E02C1">
            <w:pPr>
              <w:pStyle w:val="Table3-Normaldata"/>
              <w:rPr>
                <w:rFonts w:asciiTheme="minorHAnsi" w:hAnsiTheme="minorHAnsi" w:cstheme="minorHAnsi"/>
                <w:sz w:val="22"/>
                <w:szCs w:val="22"/>
              </w:rPr>
            </w:pPr>
            <w:r w:rsidRPr="00783CF7">
              <w:t>70</w:t>
            </w:r>
          </w:p>
        </w:tc>
        <w:tc>
          <w:tcPr>
            <w:tcW w:w="2268" w:type="dxa"/>
            <w:tcBorders>
              <w:left w:val="single" w:sz="4" w:space="0" w:color="C4BC96" w:themeColor="background2" w:themeShade="BF"/>
            </w:tcBorders>
            <w:tcMar>
              <w:top w:w="57" w:type="dxa"/>
              <w:left w:w="57" w:type="dxa"/>
              <w:bottom w:w="57" w:type="dxa"/>
              <w:right w:w="57" w:type="dxa"/>
            </w:tcMar>
            <w:vAlign w:val="top"/>
          </w:tcPr>
          <w:p w14:paraId="1255321C" w14:textId="5BCE1D4B" w:rsidR="003E02C1" w:rsidRPr="00A34F8A" w:rsidRDefault="003E02C1" w:rsidP="003E02C1">
            <w:pPr>
              <w:pStyle w:val="Table3-Normaldata"/>
              <w:rPr>
                <w:rFonts w:asciiTheme="minorHAnsi" w:hAnsiTheme="minorHAnsi" w:cstheme="minorHAnsi"/>
                <w:sz w:val="22"/>
                <w:szCs w:val="22"/>
              </w:rPr>
            </w:pPr>
            <w:r w:rsidRPr="007B45C7">
              <w:t>125</w:t>
            </w:r>
          </w:p>
        </w:tc>
      </w:tr>
      <w:tr w:rsidR="003E02C1" w:rsidRPr="00A34F8A" w14:paraId="0F9E9A4D"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98B56B3"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2024</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4189B930" w14:textId="0D46C002"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85</w:t>
            </w:r>
          </w:p>
        </w:tc>
        <w:tc>
          <w:tcPr>
            <w:tcW w:w="2268" w:type="dxa"/>
            <w:tcBorders>
              <w:left w:val="single" w:sz="4" w:space="0" w:color="C4BC96" w:themeColor="background2" w:themeShade="BF"/>
            </w:tcBorders>
            <w:tcMar>
              <w:top w:w="57" w:type="dxa"/>
              <w:left w:w="57" w:type="dxa"/>
              <w:bottom w:w="57" w:type="dxa"/>
              <w:right w:w="57" w:type="dxa"/>
            </w:tcMar>
            <w:vAlign w:val="top"/>
          </w:tcPr>
          <w:p w14:paraId="5B924E10" w14:textId="6E40C692" w:rsidR="003E02C1" w:rsidRPr="00A34F8A" w:rsidRDefault="003E02C1" w:rsidP="003E02C1">
            <w:pPr>
              <w:pStyle w:val="Table3-Normaldata"/>
              <w:rPr>
                <w:rFonts w:asciiTheme="minorHAnsi" w:hAnsiTheme="minorHAnsi" w:cstheme="minorHAnsi"/>
                <w:sz w:val="22"/>
                <w:szCs w:val="22"/>
              </w:rPr>
            </w:pPr>
            <w:r w:rsidRPr="00783CF7">
              <w:t>70</w:t>
            </w:r>
          </w:p>
        </w:tc>
        <w:tc>
          <w:tcPr>
            <w:tcW w:w="2268" w:type="dxa"/>
            <w:tcBorders>
              <w:left w:val="single" w:sz="4" w:space="0" w:color="C4BC96" w:themeColor="background2" w:themeShade="BF"/>
            </w:tcBorders>
            <w:tcMar>
              <w:top w:w="57" w:type="dxa"/>
              <w:left w:w="57" w:type="dxa"/>
              <w:bottom w:w="57" w:type="dxa"/>
              <w:right w:w="57" w:type="dxa"/>
            </w:tcMar>
            <w:vAlign w:val="top"/>
          </w:tcPr>
          <w:p w14:paraId="4FB28B80" w14:textId="460EB192" w:rsidR="003E02C1" w:rsidRPr="00A34F8A" w:rsidRDefault="003E02C1" w:rsidP="003E02C1">
            <w:pPr>
              <w:pStyle w:val="Table3-Normaldata"/>
              <w:rPr>
                <w:rFonts w:asciiTheme="minorHAnsi" w:hAnsiTheme="minorHAnsi" w:cstheme="minorHAnsi"/>
                <w:sz w:val="22"/>
                <w:szCs w:val="22"/>
              </w:rPr>
            </w:pPr>
            <w:r w:rsidRPr="007B45C7">
              <w:t>127</w:t>
            </w:r>
          </w:p>
        </w:tc>
      </w:tr>
      <w:tr w:rsidR="003E02C1" w:rsidRPr="00A34F8A" w14:paraId="47F9D6E5"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5292258F"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2025</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4BB7B185" w14:textId="3CBF027C"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87</w:t>
            </w:r>
          </w:p>
        </w:tc>
        <w:tc>
          <w:tcPr>
            <w:tcW w:w="2268" w:type="dxa"/>
            <w:tcBorders>
              <w:left w:val="single" w:sz="4" w:space="0" w:color="C4BC96" w:themeColor="background2" w:themeShade="BF"/>
            </w:tcBorders>
            <w:tcMar>
              <w:top w:w="57" w:type="dxa"/>
              <w:left w:w="57" w:type="dxa"/>
              <w:bottom w:w="57" w:type="dxa"/>
              <w:right w:w="57" w:type="dxa"/>
            </w:tcMar>
            <w:vAlign w:val="top"/>
          </w:tcPr>
          <w:p w14:paraId="61221B99" w14:textId="06CF1DBA" w:rsidR="003E02C1" w:rsidRPr="00A34F8A" w:rsidRDefault="003E02C1" w:rsidP="003E02C1">
            <w:pPr>
              <w:pStyle w:val="Table3-Normaldata"/>
              <w:rPr>
                <w:rFonts w:asciiTheme="minorHAnsi" w:hAnsiTheme="minorHAnsi" w:cstheme="minorHAnsi"/>
                <w:sz w:val="22"/>
                <w:szCs w:val="22"/>
              </w:rPr>
            </w:pPr>
            <w:r w:rsidRPr="00783CF7">
              <w:t>75</w:t>
            </w:r>
          </w:p>
        </w:tc>
        <w:tc>
          <w:tcPr>
            <w:tcW w:w="2268" w:type="dxa"/>
            <w:tcBorders>
              <w:left w:val="single" w:sz="4" w:space="0" w:color="C4BC96" w:themeColor="background2" w:themeShade="BF"/>
            </w:tcBorders>
            <w:tcMar>
              <w:top w:w="57" w:type="dxa"/>
              <w:left w:w="57" w:type="dxa"/>
              <w:bottom w:w="57" w:type="dxa"/>
              <w:right w:w="57" w:type="dxa"/>
            </w:tcMar>
            <w:vAlign w:val="top"/>
          </w:tcPr>
          <w:p w14:paraId="5FB543E0" w14:textId="52B41168" w:rsidR="003E02C1" w:rsidRPr="00A34F8A" w:rsidRDefault="003E02C1" w:rsidP="003E02C1">
            <w:pPr>
              <w:pStyle w:val="Table3-Normaldata"/>
              <w:rPr>
                <w:rFonts w:asciiTheme="minorHAnsi" w:hAnsiTheme="minorHAnsi" w:cstheme="minorHAnsi"/>
                <w:sz w:val="22"/>
                <w:szCs w:val="22"/>
              </w:rPr>
            </w:pPr>
            <w:r w:rsidRPr="007B45C7">
              <w:t>129</w:t>
            </w:r>
          </w:p>
        </w:tc>
      </w:tr>
      <w:tr w:rsidR="003E02C1" w:rsidRPr="00A34F8A" w14:paraId="0DF5DA40"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56B5E5F5"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2026</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B43CEE2" w14:textId="610C9C65"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89</w:t>
            </w:r>
          </w:p>
        </w:tc>
        <w:tc>
          <w:tcPr>
            <w:tcW w:w="2268" w:type="dxa"/>
            <w:tcBorders>
              <w:left w:val="single" w:sz="4" w:space="0" w:color="C4BC96" w:themeColor="background2" w:themeShade="BF"/>
            </w:tcBorders>
            <w:tcMar>
              <w:top w:w="57" w:type="dxa"/>
              <w:left w:w="57" w:type="dxa"/>
              <w:bottom w:w="57" w:type="dxa"/>
              <w:right w:w="57" w:type="dxa"/>
            </w:tcMar>
            <w:vAlign w:val="top"/>
          </w:tcPr>
          <w:p w14:paraId="136476A4" w14:textId="3BD8B1D2" w:rsidR="003E02C1" w:rsidRPr="00A34F8A" w:rsidRDefault="003E02C1" w:rsidP="003E02C1">
            <w:pPr>
              <w:pStyle w:val="Table3-Normaldata"/>
              <w:rPr>
                <w:rFonts w:asciiTheme="minorHAnsi" w:hAnsiTheme="minorHAnsi" w:cstheme="minorHAnsi"/>
                <w:sz w:val="22"/>
                <w:szCs w:val="22"/>
              </w:rPr>
            </w:pPr>
            <w:r w:rsidRPr="00783CF7">
              <w:t>80</w:t>
            </w:r>
          </w:p>
        </w:tc>
        <w:tc>
          <w:tcPr>
            <w:tcW w:w="2268" w:type="dxa"/>
            <w:tcBorders>
              <w:left w:val="single" w:sz="4" w:space="0" w:color="C4BC96" w:themeColor="background2" w:themeShade="BF"/>
            </w:tcBorders>
            <w:tcMar>
              <w:top w:w="57" w:type="dxa"/>
              <w:left w:w="57" w:type="dxa"/>
              <w:bottom w:w="57" w:type="dxa"/>
              <w:right w:w="57" w:type="dxa"/>
            </w:tcMar>
            <w:vAlign w:val="top"/>
          </w:tcPr>
          <w:p w14:paraId="70D74819" w14:textId="032AAB0C" w:rsidR="003E02C1" w:rsidRPr="00A34F8A" w:rsidRDefault="003E02C1" w:rsidP="003E02C1">
            <w:pPr>
              <w:pStyle w:val="Table3-Normaldata"/>
              <w:rPr>
                <w:rFonts w:asciiTheme="minorHAnsi" w:hAnsiTheme="minorHAnsi" w:cstheme="minorHAnsi"/>
                <w:sz w:val="22"/>
                <w:szCs w:val="22"/>
              </w:rPr>
            </w:pPr>
            <w:r w:rsidRPr="007B45C7">
              <w:t>131</w:t>
            </w:r>
          </w:p>
        </w:tc>
      </w:tr>
      <w:tr w:rsidR="003E02C1" w:rsidRPr="00A34F8A" w14:paraId="4A005625"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2BC283C5"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2027</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6045F115" w14:textId="16F0921A"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91</w:t>
            </w:r>
          </w:p>
        </w:tc>
        <w:tc>
          <w:tcPr>
            <w:tcW w:w="2268" w:type="dxa"/>
            <w:tcBorders>
              <w:left w:val="single" w:sz="4" w:space="0" w:color="C4BC96" w:themeColor="background2" w:themeShade="BF"/>
            </w:tcBorders>
            <w:tcMar>
              <w:top w:w="57" w:type="dxa"/>
              <w:left w:w="57" w:type="dxa"/>
              <w:bottom w:w="57" w:type="dxa"/>
              <w:right w:w="57" w:type="dxa"/>
            </w:tcMar>
            <w:vAlign w:val="top"/>
          </w:tcPr>
          <w:p w14:paraId="763EAEA2" w14:textId="26219F67" w:rsidR="003E02C1" w:rsidRPr="00A34F8A" w:rsidRDefault="003E02C1" w:rsidP="003E02C1">
            <w:pPr>
              <w:pStyle w:val="Table3-Normaldata"/>
              <w:rPr>
                <w:rFonts w:asciiTheme="minorHAnsi" w:hAnsiTheme="minorHAnsi" w:cstheme="minorHAnsi"/>
                <w:sz w:val="22"/>
                <w:szCs w:val="22"/>
              </w:rPr>
            </w:pPr>
            <w:r w:rsidRPr="00783CF7">
              <w:t>84</w:t>
            </w:r>
          </w:p>
        </w:tc>
        <w:tc>
          <w:tcPr>
            <w:tcW w:w="2268" w:type="dxa"/>
            <w:tcBorders>
              <w:left w:val="single" w:sz="4" w:space="0" w:color="C4BC96" w:themeColor="background2" w:themeShade="BF"/>
            </w:tcBorders>
            <w:tcMar>
              <w:top w:w="57" w:type="dxa"/>
              <w:left w:w="57" w:type="dxa"/>
              <w:bottom w:w="57" w:type="dxa"/>
              <w:right w:w="57" w:type="dxa"/>
            </w:tcMar>
            <w:vAlign w:val="top"/>
          </w:tcPr>
          <w:p w14:paraId="6D9A0D62" w14:textId="72ED067C" w:rsidR="003E02C1" w:rsidRPr="00A34F8A" w:rsidRDefault="003E02C1" w:rsidP="003E02C1">
            <w:pPr>
              <w:pStyle w:val="Table3-Normaldata"/>
              <w:rPr>
                <w:rFonts w:asciiTheme="minorHAnsi" w:hAnsiTheme="minorHAnsi" w:cstheme="minorHAnsi"/>
                <w:sz w:val="22"/>
                <w:szCs w:val="22"/>
              </w:rPr>
            </w:pPr>
            <w:r w:rsidRPr="007B45C7">
              <w:t>133</w:t>
            </w:r>
          </w:p>
        </w:tc>
      </w:tr>
      <w:tr w:rsidR="003E02C1" w:rsidRPr="00A34F8A" w14:paraId="2FA843B8"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9F5B8DD"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2028</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32C1AD95" w14:textId="0A1EBB9C"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92</w:t>
            </w:r>
          </w:p>
        </w:tc>
        <w:tc>
          <w:tcPr>
            <w:tcW w:w="2268" w:type="dxa"/>
            <w:tcBorders>
              <w:left w:val="single" w:sz="4" w:space="0" w:color="C4BC96" w:themeColor="background2" w:themeShade="BF"/>
            </w:tcBorders>
            <w:tcMar>
              <w:top w:w="57" w:type="dxa"/>
              <w:left w:w="57" w:type="dxa"/>
              <w:bottom w:w="57" w:type="dxa"/>
              <w:right w:w="57" w:type="dxa"/>
            </w:tcMar>
            <w:vAlign w:val="top"/>
          </w:tcPr>
          <w:p w14:paraId="4B2D08EA" w14:textId="58100D30" w:rsidR="003E02C1" w:rsidRPr="00A34F8A" w:rsidRDefault="003E02C1" w:rsidP="003E02C1">
            <w:pPr>
              <w:pStyle w:val="Table3-Normaldata"/>
              <w:rPr>
                <w:rFonts w:asciiTheme="minorHAnsi" w:hAnsiTheme="minorHAnsi" w:cstheme="minorHAnsi"/>
                <w:sz w:val="22"/>
                <w:szCs w:val="22"/>
              </w:rPr>
            </w:pPr>
            <w:r w:rsidRPr="00783CF7">
              <w:t>89</w:t>
            </w:r>
          </w:p>
        </w:tc>
        <w:tc>
          <w:tcPr>
            <w:tcW w:w="2268" w:type="dxa"/>
            <w:tcBorders>
              <w:left w:val="single" w:sz="4" w:space="0" w:color="C4BC96" w:themeColor="background2" w:themeShade="BF"/>
            </w:tcBorders>
            <w:tcMar>
              <w:top w:w="57" w:type="dxa"/>
              <w:left w:w="57" w:type="dxa"/>
              <w:bottom w:w="57" w:type="dxa"/>
              <w:right w:w="57" w:type="dxa"/>
            </w:tcMar>
            <w:vAlign w:val="top"/>
          </w:tcPr>
          <w:p w14:paraId="5882DEC0" w14:textId="7AD6C925" w:rsidR="003E02C1" w:rsidRPr="00A34F8A" w:rsidRDefault="003E02C1" w:rsidP="003E02C1">
            <w:pPr>
              <w:pStyle w:val="Table3-Normaldata"/>
              <w:rPr>
                <w:rFonts w:asciiTheme="minorHAnsi" w:hAnsiTheme="minorHAnsi" w:cstheme="minorHAnsi"/>
                <w:sz w:val="22"/>
                <w:szCs w:val="22"/>
              </w:rPr>
            </w:pPr>
            <w:r w:rsidRPr="007B45C7">
              <w:t>136</w:t>
            </w:r>
          </w:p>
        </w:tc>
      </w:tr>
      <w:tr w:rsidR="003E02C1" w:rsidRPr="00A34F8A" w14:paraId="0238C022"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653AA6C2"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2029</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61C542B" w14:textId="1CEF8110"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94</w:t>
            </w:r>
          </w:p>
        </w:tc>
        <w:tc>
          <w:tcPr>
            <w:tcW w:w="2268" w:type="dxa"/>
            <w:tcBorders>
              <w:left w:val="single" w:sz="4" w:space="0" w:color="C4BC96" w:themeColor="background2" w:themeShade="BF"/>
            </w:tcBorders>
            <w:tcMar>
              <w:top w:w="57" w:type="dxa"/>
              <w:left w:w="57" w:type="dxa"/>
              <w:bottom w:w="57" w:type="dxa"/>
              <w:right w:w="57" w:type="dxa"/>
            </w:tcMar>
            <w:vAlign w:val="top"/>
          </w:tcPr>
          <w:p w14:paraId="57D5BA7B" w14:textId="2B36F697" w:rsidR="003E02C1" w:rsidRPr="00A34F8A" w:rsidRDefault="003E02C1" w:rsidP="003E02C1">
            <w:pPr>
              <w:pStyle w:val="Table3-Normaldata"/>
              <w:rPr>
                <w:rFonts w:asciiTheme="minorHAnsi" w:hAnsiTheme="minorHAnsi" w:cstheme="minorHAnsi"/>
                <w:sz w:val="22"/>
                <w:szCs w:val="22"/>
              </w:rPr>
            </w:pPr>
            <w:r w:rsidRPr="00783CF7">
              <w:t>95</w:t>
            </w:r>
          </w:p>
        </w:tc>
        <w:tc>
          <w:tcPr>
            <w:tcW w:w="2268" w:type="dxa"/>
            <w:tcBorders>
              <w:left w:val="single" w:sz="4" w:space="0" w:color="C4BC96" w:themeColor="background2" w:themeShade="BF"/>
            </w:tcBorders>
            <w:tcMar>
              <w:top w:w="57" w:type="dxa"/>
              <w:left w:w="57" w:type="dxa"/>
              <w:bottom w:w="57" w:type="dxa"/>
              <w:right w:w="57" w:type="dxa"/>
            </w:tcMar>
            <w:vAlign w:val="top"/>
          </w:tcPr>
          <w:p w14:paraId="20E4BD24" w14:textId="769EC609" w:rsidR="003E02C1" w:rsidRPr="00A34F8A" w:rsidRDefault="003E02C1" w:rsidP="003E02C1">
            <w:pPr>
              <w:pStyle w:val="Table3-Normaldata"/>
              <w:rPr>
                <w:rFonts w:asciiTheme="minorHAnsi" w:hAnsiTheme="minorHAnsi" w:cstheme="minorHAnsi"/>
                <w:sz w:val="22"/>
                <w:szCs w:val="22"/>
              </w:rPr>
            </w:pPr>
            <w:r w:rsidRPr="007B45C7">
              <w:t>138</w:t>
            </w:r>
          </w:p>
        </w:tc>
      </w:tr>
      <w:tr w:rsidR="003E02C1" w:rsidRPr="00A34F8A" w14:paraId="09613A6E"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562F98B7"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2030</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7B027F71" w14:textId="4420368A"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96</w:t>
            </w:r>
          </w:p>
        </w:tc>
        <w:tc>
          <w:tcPr>
            <w:tcW w:w="2268" w:type="dxa"/>
            <w:tcBorders>
              <w:left w:val="single" w:sz="4" w:space="0" w:color="C4BC96" w:themeColor="background2" w:themeShade="BF"/>
            </w:tcBorders>
            <w:tcMar>
              <w:top w:w="57" w:type="dxa"/>
              <w:left w:w="57" w:type="dxa"/>
              <w:bottom w:w="57" w:type="dxa"/>
              <w:right w:w="57" w:type="dxa"/>
            </w:tcMar>
            <w:vAlign w:val="top"/>
          </w:tcPr>
          <w:p w14:paraId="29E01687" w14:textId="22D91BEF" w:rsidR="003E02C1" w:rsidRPr="00A34F8A" w:rsidRDefault="003E02C1" w:rsidP="003E02C1">
            <w:pPr>
              <w:pStyle w:val="Table3-Normaldata"/>
              <w:rPr>
                <w:rFonts w:asciiTheme="minorHAnsi" w:hAnsiTheme="minorHAnsi" w:cstheme="minorHAnsi"/>
                <w:sz w:val="22"/>
                <w:szCs w:val="22"/>
              </w:rPr>
            </w:pPr>
            <w:r w:rsidRPr="00783CF7">
              <w:t>105</w:t>
            </w:r>
          </w:p>
        </w:tc>
        <w:tc>
          <w:tcPr>
            <w:tcW w:w="2268" w:type="dxa"/>
            <w:tcBorders>
              <w:left w:val="single" w:sz="4" w:space="0" w:color="C4BC96" w:themeColor="background2" w:themeShade="BF"/>
            </w:tcBorders>
            <w:tcMar>
              <w:top w:w="57" w:type="dxa"/>
              <w:left w:w="57" w:type="dxa"/>
              <w:bottom w:w="57" w:type="dxa"/>
              <w:right w:w="57" w:type="dxa"/>
            </w:tcMar>
            <w:vAlign w:val="top"/>
          </w:tcPr>
          <w:p w14:paraId="156972AE" w14:textId="7E116474" w:rsidR="003E02C1" w:rsidRPr="00A34F8A" w:rsidRDefault="003E02C1" w:rsidP="003E02C1">
            <w:pPr>
              <w:pStyle w:val="Table3-Normaldata"/>
              <w:rPr>
                <w:rFonts w:asciiTheme="minorHAnsi" w:hAnsiTheme="minorHAnsi" w:cstheme="minorHAnsi"/>
                <w:sz w:val="22"/>
                <w:szCs w:val="22"/>
              </w:rPr>
            </w:pPr>
            <w:r w:rsidRPr="007B45C7">
              <w:t>140</w:t>
            </w:r>
          </w:p>
        </w:tc>
      </w:tr>
      <w:tr w:rsidR="003E02C1" w:rsidRPr="00A34F8A" w14:paraId="1D25B938"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720B50CB"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2031</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37277CD9" w14:textId="7C47C507"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97</w:t>
            </w:r>
          </w:p>
        </w:tc>
        <w:tc>
          <w:tcPr>
            <w:tcW w:w="2268" w:type="dxa"/>
            <w:tcBorders>
              <w:left w:val="single" w:sz="4" w:space="0" w:color="C4BC96" w:themeColor="background2" w:themeShade="BF"/>
            </w:tcBorders>
            <w:tcMar>
              <w:top w:w="57" w:type="dxa"/>
              <w:left w:w="57" w:type="dxa"/>
              <w:bottom w:w="57" w:type="dxa"/>
              <w:right w:w="57" w:type="dxa"/>
            </w:tcMar>
            <w:vAlign w:val="top"/>
          </w:tcPr>
          <w:p w14:paraId="00ED697A" w14:textId="685E865E" w:rsidR="003E02C1" w:rsidRPr="00A34F8A" w:rsidRDefault="003E02C1" w:rsidP="003E02C1">
            <w:pPr>
              <w:pStyle w:val="Table3-Normaldata"/>
              <w:rPr>
                <w:rFonts w:asciiTheme="minorHAnsi" w:hAnsiTheme="minorHAnsi" w:cstheme="minorHAnsi"/>
                <w:sz w:val="22"/>
                <w:szCs w:val="22"/>
              </w:rPr>
            </w:pPr>
            <w:r w:rsidRPr="00783CF7">
              <w:t>114</w:t>
            </w:r>
          </w:p>
        </w:tc>
        <w:tc>
          <w:tcPr>
            <w:tcW w:w="2268" w:type="dxa"/>
            <w:tcBorders>
              <w:left w:val="single" w:sz="4" w:space="0" w:color="C4BC96" w:themeColor="background2" w:themeShade="BF"/>
            </w:tcBorders>
            <w:tcMar>
              <w:top w:w="57" w:type="dxa"/>
              <w:left w:w="57" w:type="dxa"/>
              <w:bottom w:w="57" w:type="dxa"/>
              <w:right w:w="57" w:type="dxa"/>
            </w:tcMar>
            <w:vAlign w:val="top"/>
          </w:tcPr>
          <w:p w14:paraId="65EBABAB" w14:textId="0D55A27D" w:rsidR="003E02C1" w:rsidRPr="00A34F8A" w:rsidRDefault="003E02C1" w:rsidP="003E02C1">
            <w:pPr>
              <w:pStyle w:val="Table3-Normaldata"/>
              <w:rPr>
                <w:rFonts w:asciiTheme="minorHAnsi" w:hAnsiTheme="minorHAnsi" w:cstheme="minorHAnsi"/>
                <w:sz w:val="22"/>
                <w:szCs w:val="22"/>
              </w:rPr>
            </w:pPr>
            <w:r w:rsidRPr="007B45C7">
              <w:t>142</w:t>
            </w:r>
          </w:p>
        </w:tc>
      </w:tr>
      <w:tr w:rsidR="003E02C1" w:rsidRPr="00A34F8A" w14:paraId="66C9B92E"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4B3F5F54"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2032</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5938E604" w14:textId="29473CD3"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99</w:t>
            </w:r>
          </w:p>
        </w:tc>
        <w:tc>
          <w:tcPr>
            <w:tcW w:w="2268" w:type="dxa"/>
            <w:tcBorders>
              <w:left w:val="single" w:sz="4" w:space="0" w:color="C4BC96" w:themeColor="background2" w:themeShade="BF"/>
            </w:tcBorders>
            <w:tcMar>
              <w:top w:w="57" w:type="dxa"/>
              <w:left w:w="57" w:type="dxa"/>
              <w:bottom w:w="57" w:type="dxa"/>
              <w:right w:w="57" w:type="dxa"/>
            </w:tcMar>
            <w:vAlign w:val="top"/>
          </w:tcPr>
          <w:p w14:paraId="76DD12BF" w14:textId="2CF532F6" w:rsidR="003E02C1" w:rsidRPr="00A34F8A" w:rsidRDefault="003E02C1" w:rsidP="003E02C1">
            <w:pPr>
              <w:pStyle w:val="Table3-Normaldata"/>
              <w:rPr>
                <w:rFonts w:asciiTheme="minorHAnsi" w:hAnsiTheme="minorHAnsi" w:cstheme="minorHAnsi"/>
                <w:sz w:val="22"/>
                <w:szCs w:val="22"/>
              </w:rPr>
            </w:pPr>
            <w:r w:rsidRPr="00783CF7">
              <w:t>124</w:t>
            </w:r>
          </w:p>
        </w:tc>
        <w:tc>
          <w:tcPr>
            <w:tcW w:w="2268" w:type="dxa"/>
            <w:tcBorders>
              <w:left w:val="single" w:sz="4" w:space="0" w:color="C4BC96" w:themeColor="background2" w:themeShade="BF"/>
            </w:tcBorders>
            <w:tcMar>
              <w:top w:w="57" w:type="dxa"/>
              <w:left w:w="57" w:type="dxa"/>
              <w:bottom w:w="57" w:type="dxa"/>
              <w:right w:w="57" w:type="dxa"/>
            </w:tcMar>
            <w:vAlign w:val="top"/>
          </w:tcPr>
          <w:p w14:paraId="1F5A505D" w14:textId="55B0C5B5" w:rsidR="003E02C1" w:rsidRPr="00A34F8A" w:rsidRDefault="003E02C1" w:rsidP="003E02C1">
            <w:pPr>
              <w:pStyle w:val="Table3-Normaldata"/>
              <w:rPr>
                <w:rFonts w:asciiTheme="minorHAnsi" w:hAnsiTheme="minorHAnsi" w:cstheme="minorHAnsi"/>
                <w:sz w:val="22"/>
                <w:szCs w:val="22"/>
              </w:rPr>
            </w:pPr>
            <w:r w:rsidRPr="007B45C7">
              <w:t>144</w:t>
            </w:r>
          </w:p>
        </w:tc>
      </w:tr>
      <w:tr w:rsidR="003E02C1" w:rsidRPr="00A34F8A" w14:paraId="186245FE"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63D1F8CB"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2033</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094270D8" w14:textId="799D8F63"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101</w:t>
            </w:r>
          </w:p>
        </w:tc>
        <w:tc>
          <w:tcPr>
            <w:tcW w:w="2268" w:type="dxa"/>
            <w:tcBorders>
              <w:left w:val="single" w:sz="4" w:space="0" w:color="C4BC96" w:themeColor="background2" w:themeShade="BF"/>
            </w:tcBorders>
            <w:tcMar>
              <w:top w:w="57" w:type="dxa"/>
              <w:left w:w="57" w:type="dxa"/>
              <w:bottom w:w="57" w:type="dxa"/>
              <w:right w:w="57" w:type="dxa"/>
            </w:tcMar>
            <w:vAlign w:val="top"/>
          </w:tcPr>
          <w:p w14:paraId="54EFD3ED" w14:textId="2C92B29E" w:rsidR="003E02C1" w:rsidRPr="00A34F8A" w:rsidRDefault="003E02C1" w:rsidP="003E02C1">
            <w:pPr>
              <w:pStyle w:val="Table3-Normaldata"/>
              <w:rPr>
                <w:rFonts w:asciiTheme="minorHAnsi" w:hAnsiTheme="minorHAnsi" w:cstheme="minorHAnsi"/>
                <w:sz w:val="22"/>
                <w:szCs w:val="22"/>
              </w:rPr>
            </w:pPr>
            <w:r w:rsidRPr="00783CF7">
              <w:t>135</w:t>
            </w:r>
          </w:p>
        </w:tc>
        <w:tc>
          <w:tcPr>
            <w:tcW w:w="2268" w:type="dxa"/>
            <w:tcBorders>
              <w:left w:val="single" w:sz="4" w:space="0" w:color="C4BC96" w:themeColor="background2" w:themeShade="BF"/>
            </w:tcBorders>
            <w:tcMar>
              <w:top w:w="57" w:type="dxa"/>
              <w:left w:w="57" w:type="dxa"/>
              <w:bottom w:w="57" w:type="dxa"/>
              <w:right w:w="57" w:type="dxa"/>
            </w:tcMar>
            <w:vAlign w:val="top"/>
          </w:tcPr>
          <w:p w14:paraId="57D4C3A4" w14:textId="12DB0F5F" w:rsidR="003E02C1" w:rsidRPr="00A34F8A" w:rsidRDefault="003E02C1" w:rsidP="003E02C1">
            <w:pPr>
              <w:pStyle w:val="Table3-Normaldata"/>
              <w:rPr>
                <w:rFonts w:asciiTheme="minorHAnsi" w:hAnsiTheme="minorHAnsi" w:cstheme="minorHAnsi"/>
                <w:sz w:val="22"/>
                <w:szCs w:val="22"/>
              </w:rPr>
            </w:pPr>
            <w:r w:rsidRPr="007B45C7">
              <w:t>146</w:t>
            </w:r>
          </w:p>
        </w:tc>
      </w:tr>
      <w:tr w:rsidR="003E02C1" w:rsidRPr="00A34F8A" w14:paraId="4D4D69F0"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D23EBD5"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2034</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361AF397" w14:textId="78E97D49"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103</w:t>
            </w:r>
          </w:p>
        </w:tc>
        <w:tc>
          <w:tcPr>
            <w:tcW w:w="2268" w:type="dxa"/>
            <w:tcBorders>
              <w:left w:val="single" w:sz="4" w:space="0" w:color="C4BC96" w:themeColor="background2" w:themeShade="BF"/>
            </w:tcBorders>
            <w:tcMar>
              <w:top w:w="57" w:type="dxa"/>
              <w:left w:w="57" w:type="dxa"/>
              <w:bottom w:w="57" w:type="dxa"/>
              <w:right w:w="57" w:type="dxa"/>
            </w:tcMar>
            <w:vAlign w:val="top"/>
          </w:tcPr>
          <w:p w14:paraId="42FFBDF3" w14:textId="30784831" w:rsidR="003E02C1" w:rsidRPr="00A34F8A" w:rsidRDefault="003E02C1" w:rsidP="003E02C1">
            <w:pPr>
              <w:pStyle w:val="Table3-Normaldata"/>
              <w:rPr>
                <w:rFonts w:asciiTheme="minorHAnsi" w:hAnsiTheme="minorHAnsi" w:cstheme="minorHAnsi"/>
                <w:sz w:val="22"/>
                <w:szCs w:val="22"/>
              </w:rPr>
            </w:pPr>
            <w:r w:rsidRPr="00783CF7">
              <w:t>146</w:t>
            </w:r>
          </w:p>
        </w:tc>
        <w:tc>
          <w:tcPr>
            <w:tcW w:w="2268" w:type="dxa"/>
            <w:tcBorders>
              <w:left w:val="single" w:sz="4" w:space="0" w:color="C4BC96" w:themeColor="background2" w:themeShade="BF"/>
            </w:tcBorders>
            <w:tcMar>
              <w:top w:w="57" w:type="dxa"/>
              <w:left w:w="57" w:type="dxa"/>
              <w:bottom w:w="57" w:type="dxa"/>
              <w:right w:w="57" w:type="dxa"/>
            </w:tcMar>
            <w:vAlign w:val="top"/>
          </w:tcPr>
          <w:p w14:paraId="36B15D19" w14:textId="11763E38" w:rsidR="003E02C1" w:rsidRPr="00A34F8A" w:rsidRDefault="003E02C1" w:rsidP="003E02C1">
            <w:pPr>
              <w:pStyle w:val="Table3-Normaldata"/>
              <w:rPr>
                <w:rFonts w:asciiTheme="minorHAnsi" w:hAnsiTheme="minorHAnsi" w:cstheme="minorHAnsi"/>
                <w:sz w:val="22"/>
                <w:szCs w:val="22"/>
              </w:rPr>
            </w:pPr>
            <w:r w:rsidRPr="007B45C7">
              <w:t>149</w:t>
            </w:r>
          </w:p>
        </w:tc>
      </w:tr>
      <w:tr w:rsidR="003E02C1" w:rsidRPr="00A34F8A" w14:paraId="6782F2A7"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2DE5FE92"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2035</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6B63ED78" w14:textId="003DA996"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105</w:t>
            </w:r>
          </w:p>
        </w:tc>
        <w:tc>
          <w:tcPr>
            <w:tcW w:w="2268" w:type="dxa"/>
            <w:tcBorders>
              <w:left w:val="single" w:sz="4" w:space="0" w:color="C4BC96" w:themeColor="background2" w:themeShade="BF"/>
            </w:tcBorders>
            <w:tcMar>
              <w:top w:w="57" w:type="dxa"/>
              <w:left w:w="57" w:type="dxa"/>
              <w:bottom w:w="57" w:type="dxa"/>
              <w:right w:w="57" w:type="dxa"/>
            </w:tcMar>
            <w:vAlign w:val="top"/>
          </w:tcPr>
          <w:p w14:paraId="739A0AE7" w14:textId="589F9EA8" w:rsidR="003E02C1" w:rsidRPr="00A34F8A" w:rsidRDefault="003E02C1" w:rsidP="003E02C1">
            <w:pPr>
              <w:pStyle w:val="Table3-Normaldata"/>
              <w:rPr>
                <w:rFonts w:asciiTheme="minorHAnsi" w:hAnsiTheme="minorHAnsi" w:cstheme="minorHAnsi"/>
                <w:sz w:val="22"/>
                <w:szCs w:val="22"/>
              </w:rPr>
            </w:pPr>
            <w:r w:rsidRPr="00783CF7">
              <w:t>157</w:t>
            </w:r>
          </w:p>
        </w:tc>
        <w:tc>
          <w:tcPr>
            <w:tcW w:w="2268" w:type="dxa"/>
            <w:tcBorders>
              <w:left w:val="single" w:sz="4" w:space="0" w:color="C4BC96" w:themeColor="background2" w:themeShade="BF"/>
            </w:tcBorders>
            <w:tcMar>
              <w:top w:w="57" w:type="dxa"/>
              <w:left w:w="57" w:type="dxa"/>
              <w:bottom w:w="57" w:type="dxa"/>
              <w:right w:w="57" w:type="dxa"/>
            </w:tcMar>
            <w:vAlign w:val="top"/>
          </w:tcPr>
          <w:p w14:paraId="7F11C36C" w14:textId="7E967197" w:rsidR="003E02C1" w:rsidRPr="00A34F8A" w:rsidRDefault="003E02C1" w:rsidP="003E02C1">
            <w:pPr>
              <w:pStyle w:val="Table3-Normaldata"/>
              <w:rPr>
                <w:rFonts w:asciiTheme="minorHAnsi" w:hAnsiTheme="minorHAnsi" w:cstheme="minorHAnsi"/>
                <w:sz w:val="22"/>
                <w:szCs w:val="22"/>
              </w:rPr>
            </w:pPr>
            <w:r w:rsidRPr="007B45C7">
              <w:t>151</w:t>
            </w:r>
          </w:p>
        </w:tc>
      </w:tr>
      <w:tr w:rsidR="003E02C1" w:rsidRPr="00A34F8A" w14:paraId="3009C350"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25A3EA94"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2036</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C6AF78D" w14:textId="6C909EEB"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107</w:t>
            </w:r>
          </w:p>
        </w:tc>
        <w:tc>
          <w:tcPr>
            <w:tcW w:w="2268" w:type="dxa"/>
            <w:tcBorders>
              <w:left w:val="single" w:sz="4" w:space="0" w:color="C4BC96" w:themeColor="background2" w:themeShade="BF"/>
            </w:tcBorders>
            <w:tcMar>
              <w:top w:w="57" w:type="dxa"/>
              <w:left w:w="57" w:type="dxa"/>
              <w:bottom w:w="57" w:type="dxa"/>
              <w:right w:w="57" w:type="dxa"/>
            </w:tcMar>
            <w:vAlign w:val="top"/>
          </w:tcPr>
          <w:p w14:paraId="4EA79026" w14:textId="032DA153" w:rsidR="003E02C1" w:rsidRPr="00A34F8A" w:rsidRDefault="003E02C1" w:rsidP="003E02C1">
            <w:pPr>
              <w:pStyle w:val="Table3-Normaldata"/>
              <w:rPr>
                <w:rFonts w:asciiTheme="minorHAnsi" w:hAnsiTheme="minorHAnsi" w:cstheme="minorHAnsi"/>
                <w:sz w:val="22"/>
                <w:szCs w:val="22"/>
              </w:rPr>
            </w:pPr>
            <w:r w:rsidRPr="00783CF7">
              <w:t>169</w:t>
            </w:r>
          </w:p>
        </w:tc>
        <w:tc>
          <w:tcPr>
            <w:tcW w:w="2268" w:type="dxa"/>
            <w:tcBorders>
              <w:left w:val="single" w:sz="4" w:space="0" w:color="C4BC96" w:themeColor="background2" w:themeShade="BF"/>
            </w:tcBorders>
            <w:tcMar>
              <w:top w:w="57" w:type="dxa"/>
              <w:left w:w="57" w:type="dxa"/>
              <w:bottom w:w="57" w:type="dxa"/>
              <w:right w:w="57" w:type="dxa"/>
            </w:tcMar>
            <w:vAlign w:val="top"/>
          </w:tcPr>
          <w:p w14:paraId="17AF02C3" w14:textId="08929BB0" w:rsidR="003E02C1" w:rsidRPr="00A34F8A" w:rsidRDefault="003E02C1" w:rsidP="003E02C1">
            <w:pPr>
              <w:pStyle w:val="Table3-Normaldata"/>
              <w:rPr>
                <w:rFonts w:asciiTheme="minorHAnsi" w:hAnsiTheme="minorHAnsi" w:cstheme="minorHAnsi"/>
                <w:sz w:val="22"/>
                <w:szCs w:val="22"/>
              </w:rPr>
            </w:pPr>
            <w:r w:rsidRPr="007B45C7">
              <w:t>153</w:t>
            </w:r>
          </w:p>
        </w:tc>
      </w:tr>
      <w:tr w:rsidR="003E02C1" w:rsidRPr="00A34F8A" w14:paraId="5792102F"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0196B10D"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2037</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0D130329" w14:textId="7B6B5AB2"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108</w:t>
            </w:r>
          </w:p>
        </w:tc>
        <w:tc>
          <w:tcPr>
            <w:tcW w:w="2268" w:type="dxa"/>
            <w:tcBorders>
              <w:left w:val="single" w:sz="4" w:space="0" w:color="C4BC96" w:themeColor="background2" w:themeShade="BF"/>
            </w:tcBorders>
            <w:tcMar>
              <w:top w:w="57" w:type="dxa"/>
              <w:left w:w="57" w:type="dxa"/>
              <w:bottom w:w="57" w:type="dxa"/>
              <w:right w:w="57" w:type="dxa"/>
            </w:tcMar>
            <w:vAlign w:val="top"/>
          </w:tcPr>
          <w:p w14:paraId="2D6D01A8" w14:textId="6083527E" w:rsidR="003E02C1" w:rsidRPr="00A34F8A" w:rsidRDefault="003E02C1" w:rsidP="003E02C1">
            <w:pPr>
              <w:pStyle w:val="Table3-Normaldata"/>
              <w:rPr>
                <w:rFonts w:asciiTheme="minorHAnsi" w:hAnsiTheme="minorHAnsi" w:cstheme="minorHAnsi"/>
                <w:sz w:val="22"/>
                <w:szCs w:val="22"/>
              </w:rPr>
            </w:pPr>
            <w:r w:rsidRPr="00783CF7">
              <w:t>181</w:t>
            </w:r>
          </w:p>
        </w:tc>
        <w:tc>
          <w:tcPr>
            <w:tcW w:w="2268" w:type="dxa"/>
            <w:tcBorders>
              <w:left w:val="single" w:sz="4" w:space="0" w:color="C4BC96" w:themeColor="background2" w:themeShade="BF"/>
            </w:tcBorders>
            <w:tcMar>
              <w:top w:w="57" w:type="dxa"/>
              <w:left w:w="57" w:type="dxa"/>
              <w:bottom w:w="57" w:type="dxa"/>
              <w:right w:w="57" w:type="dxa"/>
            </w:tcMar>
            <w:vAlign w:val="top"/>
          </w:tcPr>
          <w:p w14:paraId="7CCCCAEE" w14:textId="290095CC" w:rsidR="003E02C1" w:rsidRPr="00A34F8A" w:rsidRDefault="003E02C1" w:rsidP="003E02C1">
            <w:pPr>
              <w:pStyle w:val="Table3-Normaldata"/>
              <w:rPr>
                <w:rFonts w:asciiTheme="minorHAnsi" w:hAnsiTheme="minorHAnsi" w:cstheme="minorHAnsi"/>
                <w:sz w:val="22"/>
                <w:szCs w:val="22"/>
              </w:rPr>
            </w:pPr>
            <w:r w:rsidRPr="007B45C7">
              <w:t>155</w:t>
            </w:r>
          </w:p>
        </w:tc>
      </w:tr>
      <w:tr w:rsidR="003E02C1" w:rsidRPr="00A34F8A" w14:paraId="07949BD0"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1983C181"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2038</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6EA330F3" w14:textId="167F8DC7"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110</w:t>
            </w:r>
          </w:p>
        </w:tc>
        <w:tc>
          <w:tcPr>
            <w:tcW w:w="2268" w:type="dxa"/>
            <w:tcBorders>
              <w:left w:val="single" w:sz="4" w:space="0" w:color="C4BC96" w:themeColor="background2" w:themeShade="BF"/>
            </w:tcBorders>
            <w:tcMar>
              <w:top w:w="57" w:type="dxa"/>
              <w:left w:w="57" w:type="dxa"/>
              <w:bottom w:w="57" w:type="dxa"/>
              <w:right w:w="57" w:type="dxa"/>
            </w:tcMar>
            <w:vAlign w:val="top"/>
          </w:tcPr>
          <w:p w14:paraId="0599D83C" w14:textId="366EB687" w:rsidR="003E02C1" w:rsidRPr="00A34F8A" w:rsidRDefault="003E02C1" w:rsidP="003E02C1">
            <w:pPr>
              <w:pStyle w:val="Table3-Normaldata"/>
              <w:rPr>
                <w:rFonts w:asciiTheme="minorHAnsi" w:hAnsiTheme="minorHAnsi" w:cstheme="minorHAnsi"/>
                <w:sz w:val="22"/>
                <w:szCs w:val="22"/>
              </w:rPr>
            </w:pPr>
            <w:r w:rsidRPr="00783CF7">
              <w:t>194</w:t>
            </w:r>
          </w:p>
        </w:tc>
        <w:tc>
          <w:tcPr>
            <w:tcW w:w="2268" w:type="dxa"/>
            <w:tcBorders>
              <w:left w:val="single" w:sz="4" w:space="0" w:color="C4BC96" w:themeColor="background2" w:themeShade="BF"/>
            </w:tcBorders>
            <w:tcMar>
              <w:top w:w="57" w:type="dxa"/>
              <w:left w:w="57" w:type="dxa"/>
              <w:bottom w:w="57" w:type="dxa"/>
              <w:right w:w="57" w:type="dxa"/>
            </w:tcMar>
            <w:vAlign w:val="top"/>
          </w:tcPr>
          <w:p w14:paraId="4E755D99" w14:textId="505D2B77" w:rsidR="003E02C1" w:rsidRPr="00A34F8A" w:rsidRDefault="003E02C1" w:rsidP="003E02C1">
            <w:pPr>
              <w:pStyle w:val="Table3-Normaldata"/>
              <w:rPr>
                <w:rFonts w:asciiTheme="minorHAnsi" w:hAnsiTheme="minorHAnsi" w:cstheme="minorHAnsi"/>
                <w:sz w:val="22"/>
                <w:szCs w:val="22"/>
              </w:rPr>
            </w:pPr>
            <w:r w:rsidRPr="007B45C7">
              <w:t>157</w:t>
            </w:r>
          </w:p>
        </w:tc>
      </w:tr>
      <w:tr w:rsidR="003E02C1" w:rsidRPr="00A34F8A" w14:paraId="4E674A79"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6B2A3D3F"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2039</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4E7C8D0D" w14:textId="62F4E0EA"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112</w:t>
            </w:r>
          </w:p>
        </w:tc>
        <w:tc>
          <w:tcPr>
            <w:tcW w:w="2268" w:type="dxa"/>
            <w:tcBorders>
              <w:left w:val="single" w:sz="4" w:space="0" w:color="C4BC96" w:themeColor="background2" w:themeShade="BF"/>
            </w:tcBorders>
            <w:tcMar>
              <w:top w:w="57" w:type="dxa"/>
              <w:left w:w="57" w:type="dxa"/>
              <w:bottom w:w="57" w:type="dxa"/>
              <w:right w:w="57" w:type="dxa"/>
            </w:tcMar>
            <w:vAlign w:val="top"/>
          </w:tcPr>
          <w:p w14:paraId="1B3C0C9C" w14:textId="67655F13" w:rsidR="003E02C1" w:rsidRPr="00A34F8A" w:rsidRDefault="003E02C1" w:rsidP="003E02C1">
            <w:pPr>
              <w:pStyle w:val="Table3-Normaldata"/>
              <w:rPr>
                <w:rFonts w:asciiTheme="minorHAnsi" w:hAnsiTheme="minorHAnsi" w:cstheme="minorHAnsi"/>
                <w:sz w:val="22"/>
                <w:szCs w:val="22"/>
              </w:rPr>
            </w:pPr>
            <w:r w:rsidRPr="00783CF7">
              <w:t>207</w:t>
            </w:r>
          </w:p>
        </w:tc>
        <w:tc>
          <w:tcPr>
            <w:tcW w:w="2268" w:type="dxa"/>
            <w:tcBorders>
              <w:left w:val="single" w:sz="4" w:space="0" w:color="C4BC96" w:themeColor="background2" w:themeShade="BF"/>
            </w:tcBorders>
            <w:tcMar>
              <w:top w:w="57" w:type="dxa"/>
              <w:left w:w="57" w:type="dxa"/>
              <w:bottom w:w="57" w:type="dxa"/>
              <w:right w:w="57" w:type="dxa"/>
            </w:tcMar>
            <w:vAlign w:val="top"/>
          </w:tcPr>
          <w:p w14:paraId="7C5B1CA8" w14:textId="36FD5596" w:rsidR="003E02C1" w:rsidRPr="00A34F8A" w:rsidRDefault="003E02C1" w:rsidP="003E02C1">
            <w:pPr>
              <w:pStyle w:val="Table3-Normaldata"/>
              <w:rPr>
                <w:rFonts w:asciiTheme="minorHAnsi" w:hAnsiTheme="minorHAnsi" w:cstheme="minorHAnsi"/>
                <w:sz w:val="22"/>
                <w:szCs w:val="22"/>
              </w:rPr>
            </w:pPr>
            <w:r w:rsidRPr="007B45C7">
              <w:t>160</w:t>
            </w:r>
          </w:p>
        </w:tc>
      </w:tr>
      <w:tr w:rsidR="003E02C1" w:rsidRPr="00A34F8A" w14:paraId="5904C6E5" w14:textId="77777777" w:rsidTr="00CA72A3">
        <w:tc>
          <w:tcPr>
            <w:tcW w:w="2268" w:type="dxa"/>
            <w:tcBorders>
              <w:right w:val="single" w:sz="4" w:space="0" w:color="C4BC96" w:themeColor="background2" w:themeShade="BF"/>
            </w:tcBorders>
            <w:tcMar>
              <w:top w:w="57" w:type="dxa"/>
              <w:left w:w="57" w:type="dxa"/>
              <w:bottom w:w="57" w:type="dxa"/>
              <w:right w:w="57" w:type="dxa"/>
            </w:tcMar>
            <w:vAlign w:val="top"/>
          </w:tcPr>
          <w:p w14:paraId="6BA0DE18" w14:textId="77777777" w:rsidR="003E02C1" w:rsidRPr="00A34F8A" w:rsidRDefault="003E02C1" w:rsidP="003E02C1">
            <w:pPr>
              <w:pStyle w:val="Table2-Rowheadingdata"/>
              <w:rPr>
                <w:rFonts w:asciiTheme="minorHAnsi" w:hAnsiTheme="minorHAnsi" w:cstheme="minorHAnsi"/>
                <w:sz w:val="22"/>
                <w:szCs w:val="22"/>
              </w:rPr>
            </w:pPr>
            <w:r w:rsidRPr="00A34F8A">
              <w:rPr>
                <w:rFonts w:asciiTheme="minorHAnsi" w:hAnsiTheme="minorHAnsi" w:cstheme="minorHAnsi"/>
                <w:sz w:val="22"/>
                <w:szCs w:val="22"/>
              </w:rPr>
              <w:t>2040</w:t>
            </w:r>
          </w:p>
        </w:tc>
        <w:tc>
          <w:tcPr>
            <w:tcW w:w="2268"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vAlign w:val="top"/>
          </w:tcPr>
          <w:p w14:paraId="15752C44" w14:textId="2FC934BC" w:rsidR="003E02C1" w:rsidRPr="00A34F8A" w:rsidRDefault="003E02C1" w:rsidP="003E02C1">
            <w:pPr>
              <w:pStyle w:val="Table3-Normaldata"/>
              <w:rPr>
                <w:rFonts w:asciiTheme="minorHAnsi" w:hAnsiTheme="minorHAnsi" w:cstheme="minorHAnsi"/>
                <w:sz w:val="22"/>
                <w:szCs w:val="22"/>
              </w:rPr>
            </w:pPr>
            <w:r w:rsidRPr="00A34F8A">
              <w:rPr>
                <w:rFonts w:asciiTheme="minorHAnsi" w:hAnsiTheme="minorHAnsi" w:cstheme="minorHAnsi"/>
                <w:sz w:val="22"/>
                <w:szCs w:val="22"/>
              </w:rPr>
              <w:t>114</w:t>
            </w:r>
          </w:p>
        </w:tc>
        <w:tc>
          <w:tcPr>
            <w:tcW w:w="2268" w:type="dxa"/>
            <w:tcBorders>
              <w:left w:val="single" w:sz="4" w:space="0" w:color="C4BC96" w:themeColor="background2" w:themeShade="BF"/>
            </w:tcBorders>
            <w:tcMar>
              <w:top w:w="57" w:type="dxa"/>
              <w:left w:w="57" w:type="dxa"/>
              <w:bottom w:w="57" w:type="dxa"/>
              <w:right w:w="57" w:type="dxa"/>
            </w:tcMar>
            <w:vAlign w:val="top"/>
          </w:tcPr>
          <w:p w14:paraId="4B2FF5C2" w14:textId="54F8D096" w:rsidR="003E02C1" w:rsidRPr="00A34F8A" w:rsidRDefault="003E02C1" w:rsidP="003E02C1">
            <w:pPr>
              <w:pStyle w:val="Table3-Normaldata"/>
              <w:rPr>
                <w:rFonts w:asciiTheme="minorHAnsi" w:hAnsiTheme="minorHAnsi" w:cstheme="minorHAnsi"/>
                <w:sz w:val="22"/>
                <w:szCs w:val="22"/>
              </w:rPr>
            </w:pPr>
            <w:r w:rsidRPr="00783CF7">
              <w:t>221</w:t>
            </w:r>
          </w:p>
        </w:tc>
        <w:tc>
          <w:tcPr>
            <w:tcW w:w="2268" w:type="dxa"/>
            <w:tcBorders>
              <w:left w:val="single" w:sz="4" w:space="0" w:color="C4BC96" w:themeColor="background2" w:themeShade="BF"/>
            </w:tcBorders>
            <w:tcMar>
              <w:top w:w="57" w:type="dxa"/>
              <w:left w:w="57" w:type="dxa"/>
              <w:bottom w:w="57" w:type="dxa"/>
              <w:right w:w="57" w:type="dxa"/>
            </w:tcMar>
            <w:vAlign w:val="top"/>
          </w:tcPr>
          <w:p w14:paraId="6E76A780" w14:textId="6866DE7C" w:rsidR="003E02C1" w:rsidRPr="00A34F8A" w:rsidRDefault="003E02C1" w:rsidP="003E02C1">
            <w:pPr>
              <w:pStyle w:val="Table3-Normaldata"/>
              <w:rPr>
                <w:rFonts w:asciiTheme="minorHAnsi" w:hAnsiTheme="minorHAnsi" w:cstheme="minorHAnsi"/>
                <w:sz w:val="22"/>
                <w:szCs w:val="22"/>
              </w:rPr>
            </w:pPr>
            <w:r w:rsidRPr="007B45C7">
              <w:t>162</w:t>
            </w:r>
          </w:p>
        </w:tc>
      </w:tr>
    </w:tbl>
    <w:p w14:paraId="274F2086" w14:textId="77777777" w:rsidR="00145218" w:rsidRPr="00A34F8A" w:rsidRDefault="00145218" w:rsidP="00145218">
      <w:pPr>
        <w:pStyle w:val="BlueLineBottom"/>
        <w:rPr>
          <w:rFonts w:asciiTheme="minorHAnsi" w:hAnsiTheme="minorHAnsi" w:cstheme="minorHAnsi"/>
          <w:sz w:val="22"/>
          <w:szCs w:val="22"/>
        </w:rPr>
      </w:pPr>
    </w:p>
    <w:p w14:paraId="582F94DF" w14:textId="3C93365C" w:rsidR="00F21EE7" w:rsidRPr="00E20A0F" w:rsidRDefault="00F21EE7" w:rsidP="00F21EE7">
      <w:pPr>
        <w:pStyle w:val="ChapterTitle"/>
        <w:rPr>
          <w:rFonts w:asciiTheme="minorHAnsi" w:hAnsiTheme="minorHAnsi" w:cstheme="minorHAnsi"/>
          <w:sz w:val="32"/>
          <w:szCs w:val="32"/>
        </w:rPr>
      </w:pPr>
      <w:bookmarkStart w:id="227" w:name="_Toc168660752"/>
      <w:bookmarkStart w:id="228" w:name="_Toc183163309"/>
      <w:r w:rsidRPr="00E20A0F">
        <w:rPr>
          <w:rFonts w:asciiTheme="minorHAnsi" w:hAnsiTheme="minorHAnsi" w:cstheme="minorHAnsi"/>
          <w:sz w:val="32"/>
          <w:szCs w:val="32"/>
        </w:rPr>
        <w:lastRenderedPageBreak/>
        <w:t xml:space="preserve">Appendix </w:t>
      </w:r>
      <w:r w:rsidR="009A032C" w:rsidRPr="00E20A0F">
        <w:rPr>
          <w:rFonts w:asciiTheme="minorHAnsi" w:hAnsiTheme="minorHAnsi" w:cstheme="minorHAnsi"/>
          <w:sz w:val="32"/>
          <w:szCs w:val="32"/>
        </w:rPr>
        <w:t>T</w:t>
      </w:r>
      <w:r w:rsidRPr="00E20A0F">
        <w:rPr>
          <w:rFonts w:asciiTheme="minorHAnsi" w:hAnsiTheme="minorHAnsi" w:cstheme="minorHAnsi"/>
          <w:sz w:val="32"/>
          <w:szCs w:val="32"/>
        </w:rPr>
        <w:t>wo</w:t>
      </w:r>
      <w:r w:rsidR="00DC5694" w:rsidRPr="00E20A0F">
        <w:rPr>
          <w:rFonts w:asciiTheme="minorHAnsi" w:hAnsiTheme="minorHAnsi" w:cstheme="minorHAnsi"/>
          <w:sz w:val="32"/>
          <w:szCs w:val="32"/>
        </w:rPr>
        <w:t>: Detailed modelling results</w:t>
      </w:r>
      <w:bookmarkEnd w:id="227"/>
      <w:bookmarkEnd w:id="228"/>
    </w:p>
    <w:p w14:paraId="59F61E14" w14:textId="0173B04D" w:rsidR="00DC5694" w:rsidRPr="00E20A0F" w:rsidRDefault="00DC5694" w:rsidP="00DC5694">
      <w:pPr>
        <w:pStyle w:val="Heading1"/>
        <w:rPr>
          <w:rFonts w:asciiTheme="minorHAnsi" w:hAnsiTheme="minorHAnsi" w:cstheme="minorHAnsi"/>
          <w:sz w:val="28"/>
        </w:rPr>
      </w:pPr>
      <w:bookmarkStart w:id="229" w:name="_Toc168660753"/>
      <w:bookmarkStart w:id="230" w:name="_Toc183163310"/>
      <w:r w:rsidRPr="00E20A0F">
        <w:rPr>
          <w:rFonts w:asciiTheme="minorHAnsi" w:hAnsiTheme="minorHAnsi" w:cstheme="minorHAnsi"/>
          <w:sz w:val="28"/>
        </w:rPr>
        <w:t>Sensitivity analysis</w:t>
      </w:r>
      <w:bookmarkEnd w:id="229"/>
      <w:bookmarkEnd w:id="230"/>
    </w:p>
    <w:p w14:paraId="0485D043" w14:textId="77777777" w:rsidR="00680998" w:rsidRPr="00A34F8A" w:rsidRDefault="00680998" w:rsidP="00680998">
      <w:pPr>
        <w:pStyle w:val="BlueLineTop"/>
        <w:rPr>
          <w:rFonts w:asciiTheme="minorHAnsi" w:hAnsiTheme="minorHAnsi" w:cstheme="minorHAnsi"/>
          <w:sz w:val="22"/>
          <w:szCs w:val="22"/>
        </w:rPr>
      </w:pPr>
    </w:p>
    <w:p w14:paraId="1C935DC7" w14:textId="5C303004" w:rsidR="00680998" w:rsidRPr="00A34F8A" w:rsidRDefault="00680998" w:rsidP="00680998">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43</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Sensitivity analysis settings</w:t>
      </w:r>
    </w:p>
    <w:tbl>
      <w:tblPr>
        <w:tblStyle w:val="ComCap4-nested"/>
        <w:tblW w:w="9072" w:type="dxa"/>
        <w:tblInd w:w="-567" w:type="dxa"/>
        <w:tblBorders>
          <w:insideV w:val="single" w:sz="4" w:space="0" w:color="auto"/>
        </w:tblBorders>
        <w:tblLook w:val="04A0" w:firstRow="1" w:lastRow="0" w:firstColumn="1" w:lastColumn="0" w:noHBand="0" w:noVBand="1"/>
      </w:tblPr>
      <w:tblGrid>
        <w:gridCol w:w="2116"/>
        <w:gridCol w:w="1903"/>
        <w:gridCol w:w="1998"/>
        <w:gridCol w:w="3055"/>
      </w:tblGrid>
      <w:tr w:rsidR="00DA1EBB" w:rsidRPr="00A34F8A" w14:paraId="31042691" w14:textId="77777777" w:rsidTr="00CA72A3">
        <w:trPr>
          <w:cnfStyle w:val="100000000000" w:firstRow="1" w:lastRow="0" w:firstColumn="0" w:lastColumn="0" w:oddVBand="0" w:evenVBand="0" w:oddHBand="0" w:evenHBand="0" w:firstRowFirstColumn="0" w:firstRowLastColumn="0" w:lastRowFirstColumn="0" w:lastRowLastColumn="0"/>
          <w:tblHeader/>
        </w:trPr>
        <w:tc>
          <w:tcPr>
            <w:tcW w:w="0" w:type="dxa"/>
            <w:tcBorders>
              <w:right w:val="single" w:sz="4" w:space="0" w:color="C4BC96" w:themeColor="background2" w:themeShade="BF"/>
            </w:tcBorders>
            <w:tcMar>
              <w:top w:w="57" w:type="dxa"/>
              <w:left w:w="57" w:type="dxa"/>
              <w:bottom w:w="57" w:type="dxa"/>
              <w:right w:w="57" w:type="dxa"/>
            </w:tcMar>
          </w:tcPr>
          <w:p w14:paraId="5C81610D" w14:textId="77777777" w:rsidR="00680998" w:rsidRPr="00A34F8A" w:rsidRDefault="00680998" w:rsidP="005D3977">
            <w:pPr>
              <w:pStyle w:val="Table1-columnheadingdata"/>
              <w:rPr>
                <w:rFonts w:asciiTheme="minorHAnsi" w:hAnsiTheme="minorHAnsi" w:cstheme="minorHAnsi"/>
                <w:sz w:val="22"/>
                <w:szCs w:val="22"/>
              </w:rPr>
            </w:pPr>
          </w:p>
        </w:tc>
        <w:tc>
          <w:tcPr>
            <w:tcW w:w="0" w:type="dxa"/>
            <w:tcBorders>
              <w:left w:val="single" w:sz="4" w:space="0" w:color="C4BC96" w:themeColor="background2" w:themeShade="BF"/>
            </w:tcBorders>
            <w:tcMar>
              <w:top w:w="57" w:type="dxa"/>
              <w:left w:w="57" w:type="dxa"/>
              <w:bottom w:w="57" w:type="dxa"/>
              <w:right w:w="57" w:type="dxa"/>
            </w:tcMar>
          </w:tcPr>
          <w:p w14:paraId="6A750DAE" w14:textId="77777777" w:rsidR="00680998" w:rsidRPr="00A34F8A" w:rsidRDefault="00680998"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Central</w:t>
            </w:r>
          </w:p>
        </w:tc>
        <w:tc>
          <w:tcPr>
            <w:tcW w:w="0" w:type="dxa"/>
            <w:tcBorders>
              <w:left w:val="single" w:sz="4" w:space="0" w:color="C4BC96" w:themeColor="background2" w:themeShade="BF"/>
            </w:tcBorders>
            <w:tcMar>
              <w:top w:w="57" w:type="dxa"/>
              <w:left w:w="57" w:type="dxa"/>
              <w:bottom w:w="57" w:type="dxa"/>
              <w:right w:w="57" w:type="dxa"/>
            </w:tcMar>
          </w:tcPr>
          <w:p w14:paraId="279AC3E0" w14:textId="77777777" w:rsidR="00680998" w:rsidRPr="00A34F8A" w:rsidRDefault="00680998"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High</w:t>
            </w:r>
          </w:p>
        </w:tc>
        <w:tc>
          <w:tcPr>
            <w:tcW w:w="0" w:type="dxa"/>
            <w:tcBorders>
              <w:left w:val="single" w:sz="4" w:space="0" w:color="C4BC96" w:themeColor="background2" w:themeShade="BF"/>
            </w:tcBorders>
            <w:tcMar>
              <w:top w:w="57" w:type="dxa"/>
              <w:left w:w="57" w:type="dxa"/>
              <w:bottom w:w="57" w:type="dxa"/>
              <w:right w:w="57" w:type="dxa"/>
            </w:tcMar>
          </w:tcPr>
          <w:p w14:paraId="77591EEB" w14:textId="77777777" w:rsidR="00680998" w:rsidRPr="00A34F8A" w:rsidRDefault="00680998" w:rsidP="005D3977">
            <w:pPr>
              <w:pStyle w:val="Table1-columnheadingdata"/>
              <w:rPr>
                <w:rFonts w:asciiTheme="minorHAnsi" w:hAnsiTheme="minorHAnsi" w:cstheme="minorHAnsi"/>
                <w:sz w:val="22"/>
                <w:szCs w:val="22"/>
              </w:rPr>
            </w:pPr>
            <w:r w:rsidRPr="00A34F8A">
              <w:rPr>
                <w:rFonts w:asciiTheme="minorHAnsi" w:hAnsiTheme="minorHAnsi" w:cstheme="minorHAnsi"/>
                <w:sz w:val="22"/>
                <w:szCs w:val="22"/>
              </w:rPr>
              <w:t>Low</w:t>
            </w:r>
          </w:p>
        </w:tc>
      </w:tr>
      <w:tr w:rsidR="009C2DCC" w:rsidRPr="00A34F8A" w14:paraId="27605E1C" w14:textId="77777777" w:rsidTr="00CA72A3">
        <w:trPr>
          <w:trHeight w:val="91"/>
        </w:trPr>
        <w:tc>
          <w:tcPr>
            <w:tcW w:w="0" w:type="dxa"/>
            <w:tcBorders>
              <w:right w:val="single" w:sz="4" w:space="0" w:color="C4BC96" w:themeColor="background2" w:themeShade="BF"/>
            </w:tcBorders>
            <w:tcMar>
              <w:top w:w="57" w:type="dxa"/>
              <w:left w:w="57" w:type="dxa"/>
              <w:bottom w:w="57" w:type="dxa"/>
              <w:right w:w="57" w:type="dxa"/>
            </w:tcMar>
          </w:tcPr>
          <w:p w14:paraId="074852A2" w14:textId="77777777" w:rsidR="00680998" w:rsidRPr="00A34F8A" w:rsidRDefault="0068099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Discount rate (AUS)</w:t>
            </w:r>
          </w:p>
        </w:tc>
        <w:tc>
          <w:tcPr>
            <w:tcW w:w="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7C96CF0A"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7%</w:t>
            </w:r>
          </w:p>
        </w:tc>
        <w:tc>
          <w:tcPr>
            <w:tcW w:w="0" w:type="dxa"/>
            <w:tcBorders>
              <w:left w:val="single" w:sz="4" w:space="0" w:color="C4BC96" w:themeColor="background2" w:themeShade="BF"/>
            </w:tcBorders>
            <w:tcMar>
              <w:top w:w="57" w:type="dxa"/>
              <w:left w:w="57" w:type="dxa"/>
              <w:bottom w:w="57" w:type="dxa"/>
              <w:right w:w="57" w:type="dxa"/>
            </w:tcMar>
          </w:tcPr>
          <w:p w14:paraId="4091A9B2"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3%</w:t>
            </w:r>
          </w:p>
        </w:tc>
        <w:tc>
          <w:tcPr>
            <w:tcW w:w="0" w:type="dxa"/>
            <w:tcBorders>
              <w:left w:val="single" w:sz="4" w:space="0" w:color="C4BC96" w:themeColor="background2" w:themeShade="BF"/>
            </w:tcBorders>
            <w:tcMar>
              <w:top w:w="57" w:type="dxa"/>
              <w:left w:w="57" w:type="dxa"/>
              <w:bottom w:w="57" w:type="dxa"/>
              <w:right w:w="57" w:type="dxa"/>
            </w:tcMar>
          </w:tcPr>
          <w:p w14:paraId="2F27DD45"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10%</w:t>
            </w:r>
          </w:p>
        </w:tc>
      </w:tr>
      <w:tr w:rsidR="009C2DCC" w:rsidRPr="00A34F8A" w14:paraId="02B03A80" w14:textId="77777777" w:rsidTr="00CA72A3">
        <w:tc>
          <w:tcPr>
            <w:tcW w:w="0" w:type="dxa"/>
            <w:tcBorders>
              <w:right w:val="single" w:sz="4" w:space="0" w:color="C4BC96" w:themeColor="background2" w:themeShade="BF"/>
            </w:tcBorders>
            <w:tcMar>
              <w:top w:w="57" w:type="dxa"/>
              <w:left w:w="57" w:type="dxa"/>
              <w:bottom w:w="57" w:type="dxa"/>
              <w:right w:w="57" w:type="dxa"/>
            </w:tcMar>
          </w:tcPr>
          <w:p w14:paraId="37071AEF" w14:textId="77777777" w:rsidR="00680998" w:rsidRPr="00A34F8A" w:rsidRDefault="00680998" w:rsidP="005D3977">
            <w:pPr>
              <w:pStyle w:val="Table2-Rowheadingdata"/>
              <w:rPr>
                <w:rFonts w:asciiTheme="minorHAnsi" w:hAnsiTheme="minorHAnsi" w:cstheme="minorHAnsi"/>
                <w:sz w:val="22"/>
                <w:szCs w:val="22"/>
              </w:rPr>
            </w:pPr>
            <w:r w:rsidRPr="00A34F8A">
              <w:rPr>
                <w:rFonts w:asciiTheme="minorHAnsi" w:hAnsiTheme="minorHAnsi" w:cstheme="minorHAnsi"/>
                <w:sz w:val="22"/>
                <w:szCs w:val="22"/>
              </w:rPr>
              <w:t>Discount rate (NZ)</w:t>
            </w:r>
          </w:p>
        </w:tc>
        <w:tc>
          <w:tcPr>
            <w:tcW w:w="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26A11699"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5%</w:t>
            </w:r>
          </w:p>
        </w:tc>
        <w:tc>
          <w:tcPr>
            <w:tcW w:w="0" w:type="dxa"/>
            <w:tcBorders>
              <w:left w:val="single" w:sz="4" w:space="0" w:color="C4BC96" w:themeColor="background2" w:themeShade="BF"/>
            </w:tcBorders>
            <w:tcMar>
              <w:top w:w="57" w:type="dxa"/>
              <w:left w:w="57" w:type="dxa"/>
              <w:bottom w:w="57" w:type="dxa"/>
              <w:right w:w="57" w:type="dxa"/>
            </w:tcMar>
          </w:tcPr>
          <w:p w14:paraId="0CECA1E9"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2%</w:t>
            </w:r>
          </w:p>
        </w:tc>
        <w:tc>
          <w:tcPr>
            <w:tcW w:w="0" w:type="dxa"/>
            <w:tcBorders>
              <w:left w:val="single" w:sz="4" w:space="0" w:color="C4BC96" w:themeColor="background2" w:themeShade="BF"/>
            </w:tcBorders>
            <w:tcMar>
              <w:top w:w="57" w:type="dxa"/>
              <w:left w:w="57" w:type="dxa"/>
              <w:bottom w:w="57" w:type="dxa"/>
              <w:right w:w="57" w:type="dxa"/>
            </w:tcMar>
          </w:tcPr>
          <w:p w14:paraId="6D0C0F34"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8%</w:t>
            </w:r>
          </w:p>
        </w:tc>
      </w:tr>
      <w:tr w:rsidR="00716971" w:rsidRPr="00A34F8A" w14:paraId="46545984" w14:textId="77777777" w:rsidTr="00CA72A3">
        <w:tc>
          <w:tcPr>
            <w:tcW w:w="0" w:type="dxa"/>
            <w:tcBorders>
              <w:right w:val="single" w:sz="4" w:space="0" w:color="C4BC96" w:themeColor="background2" w:themeShade="BF"/>
            </w:tcBorders>
            <w:tcMar>
              <w:top w:w="57" w:type="dxa"/>
              <w:left w:w="57" w:type="dxa"/>
              <w:bottom w:w="57" w:type="dxa"/>
              <w:right w:w="57" w:type="dxa"/>
            </w:tcMar>
          </w:tcPr>
          <w:p w14:paraId="3DC0F6AC" w14:textId="6EA09FC6" w:rsidR="00716971" w:rsidRPr="00A34F8A" w:rsidRDefault="00716971" w:rsidP="00716971">
            <w:pPr>
              <w:pStyle w:val="Table2-Rowheadingdata"/>
              <w:rPr>
                <w:rFonts w:asciiTheme="minorHAnsi" w:hAnsiTheme="minorHAnsi" w:cstheme="minorHAnsi"/>
                <w:sz w:val="22"/>
                <w:szCs w:val="22"/>
              </w:rPr>
            </w:pPr>
            <w:r>
              <w:rPr>
                <w:rFonts w:asciiTheme="minorHAnsi" w:hAnsiTheme="minorHAnsi" w:cstheme="minorHAnsi"/>
                <w:sz w:val="22"/>
                <w:szCs w:val="22"/>
              </w:rPr>
              <w:t>Cost</w:t>
            </w:r>
            <w:r w:rsidRPr="00A34F8A">
              <w:rPr>
                <w:rFonts w:asciiTheme="minorHAnsi" w:hAnsiTheme="minorHAnsi" w:cstheme="minorHAnsi"/>
                <w:sz w:val="22"/>
                <w:szCs w:val="22"/>
              </w:rPr>
              <w:t xml:space="preserve"> of carbon (AUS)</w:t>
            </w:r>
          </w:p>
        </w:tc>
        <w:tc>
          <w:tcPr>
            <w:tcW w:w="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2EC40AD7" w14:textId="231E68D7" w:rsidR="00716971" w:rsidRPr="00A34F8A" w:rsidRDefault="00716971" w:rsidP="00716971">
            <w:pPr>
              <w:pStyle w:val="Table3-Normaldata"/>
              <w:rPr>
                <w:rFonts w:asciiTheme="minorHAnsi" w:hAnsiTheme="minorHAnsi" w:cstheme="minorHAnsi"/>
                <w:sz w:val="22"/>
                <w:szCs w:val="22"/>
              </w:rPr>
            </w:pPr>
            <w:r>
              <w:rPr>
                <w:rFonts w:asciiTheme="minorHAnsi" w:hAnsiTheme="minorHAnsi" w:cstheme="minorHAnsi"/>
                <w:sz w:val="22"/>
                <w:szCs w:val="22"/>
              </w:rPr>
              <w:t>V</w:t>
            </w:r>
            <w:r>
              <w:t>ER (AEMC)</w:t>
            </w:r>
          </w:p>
        </w:tc>
        <w:tc>
          <w:tcPr>
            <w:tcW w:w="0" w:type="dxa"/>
            <w:tcBorders>
              <w:left w:val="single" w:sz="4" w:space="0" w:color="C4BC96" w:themeColor="background2" w:themeShade="BF"/>
            </w:tcBorders>
            <w:tcMar>
              <w:top w:w="57" w:type="dxa"/>
              <w:left w:w="57" w:type="dxa"/>
              <w:bottom w:w="57" w:type="dxa"/>
              <w:right w:w="57" w:type="dxa"/>
            </w:tcMar>
          </w:tcPr>
          <w:p w14:paraId="31E0A93B" w14:textId="60A8C7F6" w:rsidR="00716971" w:rsidRPr="00A34F8A" w:rsidRDefault="00716971" w:rsidP="00716971">
            <w:pPr>
              <w:pStyle w:val="Table3-Normaldata"/>
              <w:rPr>
                <w:rFonts w:asciiTheme="minorHAnsi" w:hAnsiTheme="minorHAnsi" w:cstheme="minorHAnsi"/>
                <w:sz w:val="22"/>
                <w:szCs w:val="22"/>
              </w:rPr>
            </w:pPr>
            <w:r>
              <w:rPr>
                <w:rFonts w:asciiTheme="minorHAnsi" w:hAnsiTheme="minorHAnsi" w:cstheme="minorHAnsi"/>
                <w:sz w:val="22"/>
                <w:szCs w:val="22"/>
              </w:rPr>
              <w:t>Social cost of carbon high scenario (ACIL Allen, 2022)</w:t>
            </w:r>
          </w:p>
        </w:tc>
        <w:tc>
          <w:tcPr>
            <w:tcW w:w="0" w:type="dxa"/>
            <w:tcBorders>
              <w:left w:val="single" w:sz="4" w:space="0" w:color="C4BC96" w:themeColor="background2" w:themeShade="BF"/>
            </w:tcBorders>
            <w:tcMar>
              <w:top w:w="57" w:type="dxa"/>
              <w:left w:w="57" w:type="dxa"/>
              <w:bottom w:w="57" w:type="dxa"/>
              <w:right w:w="57" w:type="dxa"/>
            </w:tcMar>
          </w:tcPr>
          <w:p w14:paraId="12C90F15" w14:textId="460C09A0" w:rsidR="00716971" w:rsidRPr="00A34F8A" w:rsidRDefault="00716971" w:rsidP="00716971">
            <w:pPr>
              <w:pStyle w:val="Table3-Normaldata"/>
              <w:rPr>
                <w:rFonts w:asciiTheme="minorHAnsi" w:hAnsiTheme="minorHAnsi" w:cstheme="minorHAnsi"/>
                <w:sz w:val="22"/>
                <w:szCs w:val="22"/>
              </w:rPr>
            </w:pPr>
            <w:r>
              <w:rPr>
                <w:rFonts w:asciiTheme="minorHAnsi" w:hAnsiTheme="minorHAnsi" w:cstheme="minorHAnsi"/>
                <w:sz w:val="22"/>
                <w:szCs w:val="22"/>
              </w:rPr>
              <w:t xml:space="preserve">Social cost of carbon </w:t>
            </w:r>
            <w:r w:rsidR="00EE6469">
              <w:rPr>
                <w:rFonts w:asciiTheme="minorHAnsi" w:hAnsiTheme="minorHAnsi" w:cstheme="minorHAnsi"/>
                <w:sz w:val="22"/>
                <w:szCs w:val="22"/>
              </w:rPr>
              <w:t>medium</w:t>
            </w:r>
            <w:r>
              <w:rPr>
                <w:rFonts w:asciiTheme="minorHAnsi" w:hAnsiTheme="minorHAnsi" w:cstheme="minorHAnsi"/>
                <w:sz w:val="22"/>
                <w:szCs w:val="22"/>
              </w:rPr>
              <w:t xml:space="preserve"> scenario(ACIL Allen, 2022)</w:t>
            </w:r>
          </w:p>
        </w:tc>
      </w:tr>
      <w:tr w:rsidR="009C2DCC" w:rsidRPr="00A34F8A" w14:paraId="16250642" w14:textId="77777777" w:rsidTr="00CA72A3">
        <w:tc>
          <w:tcPr>
            <w:tcW w:w="0" w:type="dxa"/>
            <w:tcBorders>
              <w:right w:val="single" w:sz="4" w:space="0" w:color="C4BC96" w:themeColor="background2" w:themeShade="BF"/>
            </w:tcBorders>
            <w:tcMar>
              <w:top w:w="57" w:type="dxa"/>
              <w:left w:w="57" w:type="dxa"/>
              <w:bottom w:w="57" w:type="dxa"/>
              <w:right w:w="57" w:type="dxa"/>
            </w:tcMar>
          </w:tcPr>
          <w:p w14:paraId="2CFB0255" w14:textId="56DA101F" w:rsidR="00680998" w:rsidRPr="00A34F8A" w:rsidRDefault="008159E1" w:rsidP="005D3977">
            <w:pPr>
              <w:pStyle w:val="Table2-Rowheadingdata"/>
              <w:rPr>
                <w:rFonts w:asciiTheme="minorHAnsi" w:hAnsiTheme="minorHAnsi" w:cstheme="minorHAnsi"/>
                <w:sz w:val="22"/>
                <w:szCs w:val="22"/>
              </w:rPr>
            </w:pPr>
            <w:r>
              <w:rPr>
                <w:rFonts w:asciiTheme="minorHAnsi" w:hAnsiTheme="minorHAnsi" w:cstheme="minorHAnsi"/>
                <w:sz w:val="22"/>
                <w:szCs w:val="22"/>
              </w:rPr>
              <w:t>Cost</w:t>
            </w:r>
            <w:r w:rsidR="00680998" w:rsidRPr="00A34F8A">
              <w:rPr>
                <w:rFonts w:asciiTheme="minorHAnsi" w:hAnsiTheme="minorHAnsi" w:cstheme="minorHAnsi"/>
                <w:sz w:val="22"/>
                <w:szCs w:val="22"/>
              </w:rPr>
              <w:t xml:space="preserve"> of carbon (NZ)</w:t>
            </w:r>
          </w:p>
        </w:tc>
        <w:tc>
          <w:tcPr>
            <w:tcW w:w="0" w:type="dxa"/>
            <w:tcBorders>
              <w:left w:val="single" w:sz="4" w:space="0" w:color="C4BC96" w:themeColor="background2" w:themeShade="BF"/>
              <w:right w:val="single" w:sz="4" w:space="0" w:color="C4BC96" w:themeColor="background2" w:themeShade="BF"/>
            </w:tcBorders>
            <w:tcMar>
              <w:top w:w="57" w:type="dxa"/>
              <w:left w:w="57" w:type="dxa"/>
              <w:bottom w:w="57" w:type="dxa"/>
              <w:right w:w="57" w:type="dxa"/>
            </w:tcMar>
          </w:tcPr>
          <w:p w14:paraId="34954781"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Central</w:t>
            </w:r>
          </w:p>
        </w:tc>
        <w:tc>
          <w:tcPr>
            <w:tcW w:w="0" w:type="dxa"/>
            <w:tcBorders>
              <w:left w:val="single" w:sz="4" w:space="0" w:color="C4BC96" w:themeColor="background2" w:themeShade="BF"/>
            </w:tcBorders>
            <w:tcMar>
              <w:top w:w="57" w:type="dxa"/>
              <w:left w:w="57" w:type="dxa"/>
              <w:bottom w:w="57" w:type="dxa"/>
              <w:right w:w="57" w:type="dxa"/>
            </w:tcMar>
          </w:tcPr>
          <w:p w14:paraId="5DE4E46C"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High</w:t>
            </w:r>
          </w:p>
        </w:tc>
        <w:tc>
          <w:tcPr>
            <w:tcW w:w="0" w:type="dxa"/>
            <w:tcBorders>
              <w:left w:val="single" w:sz="4" w:space="0" w:color="C4BC96" w:themeColor="background2" w:themeShade="BF"/>
            </w:tcBorders>
            <w:tcMar>
              <w:top w:w="57" w:type="dxa"/>
              <w:left w:w="57" w:type="dxa"/>
              <w:bottom w:w="57" w:type="dxa"/>
              <w:right w:w="57" w:type="dxa"/>
            </w:tcMar>
          </w:tcPr>
          <w:p w14:paraId="311BE4CB" w14:textId="77777777" w:rsidR="00680998" w:rsidRPr="00A34F8A" w:rsidRDefault="00680998" w:rsidP="005D3977">
            <w:pPr>
              <w:pStyle w:val="Table3-Normaldata"/>
              <w:rPr>
                <w:rFonts w:asciiTheme="minorHAnsi" w:hAnsiTheme="minorHAnsi" w:cstheme="minorHAnsi"/>
                <w:sz w:val="22"/>
                <w:szCs w:val="22"/>
              </w:rPr>
            </w:pPr>
            <w:r w:rsidRPr="00A34F8A">
              <w:rPr>
                <w:rFonts w:asciiTheme="minorHAnsi" w:hAnsiTheme="minorHAnsi" w:cstheme="minorHAnsi"/>
                <w:sz w:val="22"/>
                <w:szCs w:val="22"/>
              </w:rPr>
              <w:t>Low</w:t>
            </w:r>
          </w:p>
        </w:tc>
      </w:tr>
    </w:tbl>
    <w:p w14:paraId="256DC288" w14:textId="77777777" w:rsidR="00680998" w:rsidRPr="00A34F8A" w:rsidRDefault="00680998" w:rsidP="00680998">
      <w:pPr>
        <w:pStyle w:val="BlueLineBottom"/>
        <w:rPr>
          <w:rFonts w:asciiTheme="minorHAnsi" w:hAnsiTheme="minorHAnsi" w:cstheme="minorHAnsi"/>
          <w:sz w:val="22"/>
          <w:szCs w:val="22"/>
        </w:rPr>
      </w:pPr>
    </w:p>
    <w:p w14:paraId="15CBA7E4" w14:textId="77777777" w:rsidR="00716971" w:rsidRPr="00E20A0F" w:rsidRDefault="00716971" w:rsidP="00716971">
      <w:pPr>
        <w:pStyle w:val="Heading2"/>
        <w:rPr>
          <w:rFonts w:asciiTheme="minorHAnsi" w:hAnsiTheme="minorHAnsi" w:cstheme="minorHAnsi"/>
          <w:sz w:val="24"/>
          <w:szCs w:val="24"/>
        </w:rPr>
      </w:pPr>
      <w:bookmarkStart w:id="231" w:name="_Toc183163311"/>
      <w:bookmarkStart w:id="232" w:name="_Toc168660673"/>
      <w:r w:rsidRPr="00E20A0F">
        <w:rPr>
          <w:rFonts w:asciiTheme="minorHAnsi" w:hAnsiTheme="minorHAnsi" w:cstheme="minorHAnsi"/>
          <w:sz w:val="24"/>
          <w:szCs w:val="24"/>
        </w:rPr>
        <w:lastRenderedPageBreak/>
        <w:t>Central scenario results Australia</w:t>
      </w:r>
      <w:bookmarkEnd w:id="231"/>
    </w:p>
    <w:p w14:paraId="40F4918C" w14:textId="29C6E48C" w:rsidR="00716971" w:rsidRPr="00A34F8A" w:rsidRDefault="00716971" w:rsidP="00716971">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44</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Modelling results (central scenario) for Australia. </w:t>
      </w:r>
      <w:r w:rsidRPr="00CA72A3">
        <w:rPr>
          <w:rFonts w:asciiTheme="minorHAnsi" w:hAnsiTheme="minorHAnsi" w:cstheme="minorHAnsi"/>
          <w:sz w:val="22"/>
          <w:szCs w:val="22"/>
        </w:rPr>
        <w:t>Scenarios compared</w:t>
      </w:r>
      <w:r w:rsidRPr="00A34F8A">
        <w:rPr>
          <w:rFonts w:asciiTheme="minorHAnsi" w:hAnsiTheme="minorHAnsi" w:cstheme="minorHAnsi"/>
          <w:sz w:val="22"/>
          <w:szCs w:val="22"/>
        </w:rPr>
        <w:t xml:space="preserve"> to BAU baseline</w:t>
      </w:r>
      <w:r>
        <w:rPr>
          <w:rFonts w:asciiTheme="minorHAnsi" w:hAnsiTheme="minorHAnsi" w:cstheme="minorHAnsi"/>
          <w:sz w:val="22"/>
          <w:szCs w:val="22"/>
        </w:rPr>
        <w:t xml:space="preserve"> modelled out to 2040</w:t>
      </w:r>
    </w:p>
    <w:p w14:paraId="018078C9" w14:textId="13DD0BA4" w:rsidR="00716971" w:rsidRPr="00A34F8A" w:rsidRDefault="000A3906" w:rsidP="00716971">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62BD2696" wp14:editId="2F1E4F51">
            <wp:extent cx="5697248" cy="5043267"/>
            <wp:effectExtent l="0" t="0" r="5080" b="0"/>
            <wp:docPr id="1063112892" name="Picture 14" descr="Table detailing the modeling results of each option under the central scenario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12892" name="Picture 14" descr="Table detailing the modeling results of each option under the central scenario for Australia."/>
                    <pic:cNvPicPr/>
                  </pic:nvPicPr>
                  <pic:blipFill>
                    <a:blip r:embed="rId39">
                      <a:extLst>
                        <a:ext uri="{28A0092B-C50C-407E-A947-70E740481C1C}">
                          <a14:useLocalDpi xmlns:a14="http://schemas.microsoft.com/office/drawing/2010/main" val="0"/>
                        </a:ext>
                      </a:extLst>
                    </a:blip>
                    <a:stretch>
                      <a:fillRect/>
                    </a:stretch>
                  </pic:blipFill>
                  <pic:spPr>
                    <a:xfrm>
                      <a:off x="0" y="0"/>
                      <a:ext cx="5712315" cy="5056604"/>
                    </a:xfrm>
                    <a:prstGeom prst="rect">
                      <a:avLst/>
                    </a:prstGeom>
                  </pic:spPr>
                </pic:pic>
              </a:graphicData>
            </a:graphic>
          </wp:inline>
        </w:drawing>
      </w:r>
    </w:p>
    <w:p w14:paraId="38A67117" w14:textId="77777777" w:rsidR="00716971" w:rsidRPr="00E20A0F" w:rsidRDefault="00716971" w:rsidP="00716971">
      <w:pPr>
        <w:pStyle w:val="Heading2"/>
        <w:rPr>
          <w:rFonts w:asciiTheme="minorHAnsi" w:hAnsiTheme="minorHAnsi" w:cstheme="minorHAnsi"/>
          <w:sz w:val="24"/>
          <w:szCs w:val="24"/>
        </w:rPr>
      </w:pPr>
      <w:bookmarkStart w:id="233" w:name="_Toc183163312"/>
      <w:r w:rsidRPr="00E20A0F">
        <w:rPr>
          <w:rFonts w:asciiTheme="minorHAnsi" w:hAnsiTheme="minorHAnsi" w:cstheme="minorHAnsi"/>
          <w:sz w:val="24"/>
          <w:szCs w:val="24"/>
        </w:rPr>
        <w:lastRenderedPageBreak/>
        <w:t>Central scenario results New Zealand</w:t>
      </w:r>
      <w:bookmarkEnd w:id="233"/>
    </w:p>
    <w:p w14:paraId="644D506D" w14:textId="77FE6582" w:rsidR="00716971" w:rsidRPr="00A34F8A" w:rsidRDefault="00716971" w:rsidP="00716971">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45</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Modelling results (central scenario) for New Zealand. Scenarios compared to BAU baseline</w:t>
      </w:r>
      <w:r>
        <w:rPr>
          <w:rFonts w:asciiTheme="minorHAnsi" w:hAnsiTheme="minorHAnsi" w:cstheme="minorHAnsi"/>
          <w:sz w:val="22"/>
          <w:szCs w:val="22"/>
        </w:rPr>
        <w:t xml:space="preserve"> modelled out to 2040</w:t>
      </w:r>
    </w:p>
    <w:p w14:paraId="05135F6F" w14:textId="23FEAABA" w:rsidR="00716971" w:rsidRPr="00A34F8A" w:rsidRDefault="00C04862" w:rsidP="00716971">
      <w:pPr>
        <w:pStyle w:val="Table5-Bullet-Level1"/>
        <w:numPr>
          <w:ilvl w:val="0"/>
          <w:numId w:val="0"/>
        </w:numPr>
        <w:ind w:hanging="567"/>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9F0CDCD" wp14:editId="54A2C202">
            <wp:extent cx="5704205" cy="5003935"/>
            <wp:effectExtent l="0" t="0" r="0" b="0"/>
            <wp:docPr id="701589383" name="Picture 15" descr="Table detailing the modeling results of each option under the central scenario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89383" name="Picture 15" descr="Table detailing the modeling results of each option under the central scenario for New Zealand."/>
                    <pic:cNvPicPr/>
                  </pic:nvPicPr>
                  <pic:blipFill rotWithShape="1">
                    <a:blip r:embed="rId40">
                      <a:extLst>
                        <a:ext uri="{28A0092B-C50C-407E-A947-70E740481C1C}">
                          <a14:useLocalDpi xmlns:a14="http://schemas.microsoft.com/office/drawing/2010/main" val="0"/>
                        </a:ext>
                      </a:extLst>
                    </a:blip>
                    <a:srcRect t="502"/>
                    <a:stretch/>
                  </pic:blipFill>
                  <pic:spPr bwMode="auto">
                    <a:xfrm>
                      <a:off x="0" y="0"/>
                      <a:ext cx="5704211" cy="5003940"/>
                    </a:xfrm>
                    <a:prstGeom prst="rect">
                      <a:avLst/>
                    </a:prstGeom>
                    <a:ln>
                      <a:noFill/>
                    </a:ln>
                    <a:extLst>
                      <a:ext uri="{53640926-AAD7-44D8-BBD7-CCE9431645EC}">
                        <a14:shadowObscured xmlns:a14="http://schemas.microsoft.com/office/drawing/2010/main"/>
                      </a:ext>
                    </a:extLst>
                  </pic:spPr>
                </pic:pic>
              </a:graphicData>
            </a:graphic>
          </wp:inline>
        </w:drawing>
      </w:r>
    </w:p>
    <w:p w14:paraId="74CD00B7" w14:textId="46A11CCB" w:rsidR="00680998" w:rsidRPr="00E20A0F" w:rsidRDefault="00680998" w:rsidP="00680998">
      <w:pPr>
        <w:pStyle w:val="Heading2"/>
        <w:rPr>
          <w:rFonts w:asciiTheme="minorHAnsi" w:hAnsiTheme="minorHAnsi" w:cstheme="minorHAnsi"/>
          <w:sz w:val="24"/>
          <w:szCs w:val="24"/>
        </w:rPr>
      </w:pPr>
      <w:bookmarkStart w:id="234" w:name="_Toc183163313"/>
      <w:r w:rsidRPr="00E20A0F">
        <w:rPr>
          <w:rFonts w:asciiTheme="minorHAnsi" w:hAnsiTheme="minorHAnsi" w:cstheme="minorHAnsi"/>
          <w:sz w:val="24"/>
          <w:szCs w:val="24"/>
        </w:rPr>
        <w:lastRenderedPageBreak/>
        <w:t>High scenario results Australia</w:t>
      </w:r>
      <w:bookmarkEnd w:id="232"/>
      <w:bookmarkEnd w:id="234"/>
    </w:p>
    <w:p w14:paraId="2F14DE43" w14:textId="045723BF" w:rsidR="006853FE" w:rsidRPr="00A34F8A" w:rsidRDefault="006853FE" w:rsidP="006853FE">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46</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Modelling results (high scenario) for Australia. </w:t>
      </w:r>
      <w:r w:rsidRPr="00745936">
        <w:rPr>
          <w:rFonts w:asciiTheme="minorHAnsi" w:hAnsiTheme="minorHAnsi" w:cstheme="minorHAnsi"/>
          <w:sz w:val="22"/>
          <w:szCs w:val="22"/>
        </w:rPr>
        <w:t>Scenarios compared</w:t>
      </w:r>
      <w:r w:rsidRPr="00A34F8A">
        <w:rPr>
          <w:rFonts w:asciiTheme="minorHAnsi" w:hAnsiTheme="minorHAnsi" w:cstheme="minorHAnsi"/>
          <w:sz w:val="22"/>
          <w:szCs w:val="22"/>
        </w:rPr>
        <w:t xml:space="preserve"> to BAU baseline</w:t>
      </w:r>
      <w:r w:rsidR="002D5A36">
        <w:rPr>
          <w:rFonts w:asciiTheme="minorHAnsi" w:hAnsiTheme="minorHAnsi" w:cstheme="minorHAnsi"/>
          <w:sz w:val="22"/>
          <w:szCs w:val="22"/>
        </w:rPr>
        <w:t xml:space="preserve"> modelled out to 2040</w:t>
      </w:r>
    </w:p>
    <w:p w14:paraId="4E9F732D" w14:textId="30542477" w:rsidR="006853FE" w:rsidRPr="00A34F8A" w:rsidRDefault="00745936" w:rsidP="006853FE">
      <w:pPr>
        <w:ind w:left="-567"/>
        <w:rPr>
          <w:rFonts w:asciiTheme="minorHAnsi" w:hAnsiTheme="minorHAnsi" w:cstheme="minorHAnsi"/>
          <w:szCs w:val="22"/>
        </w:rPr>
      </w:pPr>
      <w:r>
        <w:rPr>
          <w:rFonts w:asciiTheme="minorHAnsi" w:hAnsiTheme="minorHAnsi" w:cstheme="minorHAnsi"/>
          <w:noProof/>
          <w:szCs w:val="22"/>
        </w:rPr>
        <w:drawing>
          <wp:inline distT="0" distB="0" distL="0" distR="0" wp14:anchorId="58D3C4F2" wp14:editId="5E0F6FBB">
            <wp:extent cx="5769983" cy="5261810"/>
            <wp:effectExtent l="0" t="0" r="0" b="0"/>
            <wp:docPr id="1499647967" name="Picture 16" descr="Table detailing the modeling results of each option under the high scenario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47967" name="Picture 16" descr="Table detailing the modeling results of each option under the high scenario for Australia."/>
                    <pic:cNvPicPr/>
                  </pic:nvPicPr>
                  <pic:blipFill>
                    <a:blip r:embed="rId41">
                      <a:extLst>
                        <a:ext uri="{28A0092B-C50C-407E-A947-70E740481C1C}">
                          <a14:useLocalDpi xmlns:a14="http://schemas.microsoft.com/office/drawing/2010/main" val="0"/>
                        </a:ext>
                      </a:extLst>
                    </a:blip>
                    <a:stretch>
                      <a:fillRect/>
                    </a:stretch>
                  </pic:blipFill>
                  <pic:spPr>
                    <a:xfrm>
                      <a:off x="0" y="0"/>
                      <a:ext cx="5787285" cy="5277588"/>
                    </a:xfrm>
                    <a:prstGeom prst="rect">
                      <a:avLst/>
                    </a:prstGeom>
                  </pic:spPr>
                </pic:pic>
              </a:graphicData>
            </a:graphic>
          </wp:inline>
        </w:drawing>
      </w:r>
    </w:p>
    <w:p w14:paraId="695C0D67" w14:textId="4A78BEC4" w:rsidR="006853FE" w:rsidRPr="00E20A0F" w:rsidRDefault="006853FE" w:rsidP="006853FE">
      <w:pPr>
        <w:pStyle w:val="Heading2"/>
        <w:rPr>
          <w:rFonts w:asciiTheme="minorHAnsi" w:hAnsiTheme="minorHAnsi" w:cstheme="minorHAnsi"/>
          <w:sz w:val="24"/>
          <w:szCs w:val="24"/>
        </w:rPr>
      </w:pPr>
      <w:bookmarkStart w:id="235" w:name="_Toc168660674"/>
      <w:bookmarkStart w:id="236" w:name="_Toc183163314"/>
      <w:r w:rsidRPr="00E20A0F">
        <w:rPr>
          <w:rFonts w:asciiTheme="minorHAnsi" w:hAnsiTheme="minorHAnsi" w:cstheme="minorHAnsi"/>
          <w:sz w:val="24"/>
          <w:szCs w:val="24"/>
        </w:rPr>
        <w:lastRenderedPageBreak/>
        <w:t>High scenario results New Zealand</w:t>
      </w:r>
      <w:bookmarkEnd w:id="235"/>
      <w:bookmarkEnd w:id="236"/>
    </w:p>
    <w:p w14:paraId="681916DF" w14:textId="224FC335" w:rsidR="00B972A5" w:rsidRPr="00A34F8A" w:rsidRDefault="00B972A5" w:rsidP="00B972A5">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47</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Modelling results (high scenario) for New Zealand. Scenarios compared to BAU baseline</w:t>
      </w:r>
      <w:r w:rsidR="00056493">
        <w:rPr>
          <w:rFonts w:asciiTheme="minorHAnsi" w:hAnsiTheme="minorHAnsi" w:cstheme="minorHAnsi"/>
          <w:sz w:val="22"/>
          <w:szCs w:val="22"/>
        </w:rPr>
        <w:t xml:space="preserve"> modelled out to 2040</w:t>
      </w:r>
    </w:p>
    <w:p w14:paraId="258F4F71" w14:textId="3E615E94" w:rsidR="00B972A5" w:rsidRPr="00A34F8A" w:rsidRDefault="00D933AD" w:rsidP="00B972A5">
      <w:pPr>
        <w:ind w:left="-567"/>
        <w:rPr>
          <w:rFonts w:asciiTheme="minorHAnsi" w:hAnsiTheme="minorHAnsi" w:cstheme="minorHAnsi"/>
          <w:szCs w:val="22"/>
        </w:rPr>
      </w:pPr>
      <w:r>
        <w:rPr>
          <w:rFonts w:asciiTheme="minorHAnsi" w:hAnsiTheme="minorHAnsi" w:cstheme="minorHAnsi"/>
          <w:noProof/>
          <w:szCs w:val="22"/>
        </w:rPr>
        <w:drawing>
          <wp:inline distT="0" distB="0" distL="0" distR="0" wp14:anchorId="7B47F908" wp14:editId="2469C8BD">
            <wp:extent cx="5749559" cy="5237747"/>
            <wp:effectExtent l="0" t="0" r="3810" b="0"/>
            <wp:docPr id="2130946055" name="Picture 17" descr="Table detailing the modeling results of each option under the high scenario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46055" name="Picture 17" descr="Table detailing the modeling results of each option under the high scenario for New Zealand."/>
                    <pic:cNvPicPr/>
                  </pic:nvPicPr>
                  <pic:blipFill>
                    <a:blip r:embed="rId42">
                      <a:extLst>
                        <a:ext uri="{28A0092B-C50C-407E-A947-70E740481C1C}">
                          <a14:useLocalDpi xmlns:a14="http://schemas.microsoft.com/office/drawing/2010/main" val="0"/>
                        </a:ext>
                      </a:extLst>
                    </a:blip>
                    <a:stretch>
                      <a:fillRect/>
                    </a:stretch>
                  </pic:blipFill>
                  <pic:spPr>
                    <a:xfrm>
                      <a:off x="0" y="0"/>
                      <a:ext cx="5765861" cy="5252598"/>
                    </a:xfrm>
                    <a:prstGeom prst="rect">
                      <a:avLst/>
                    </a:prstGeom>
                  </pic:spPr>
                </pic:pic>
              </a:graphicData>
            </a:graphic>
          </wp:inline>
        </w:drawing>
      </w:r>
    </w:p>
    <w:p w14:paraId="717CBB9C" w14:textId="77777777" w:rsidR="004841C5" w:rsidRPr="00A34F8A" w:rsidRDefault="004841C5" w:rsidP="004841C5">
      <w:pPr>
        <w:pStyle w:val="Table5-Bullet-Level1"/>
        <w:numPr>
          <w:ilvl w:val="0"/>
          <w:numId w:val="0"/>
        </w:numPr>
        <w:rPr>
          <w:rFonts w:asciiTheme="minorHAnsi" w:hAnsiTheme="minorHAnsi" w:cstheme="minorHAnsi"/>
          <w:sz w:val="22"/>
          <w:szCs w:val="22"/>
        </w:rPr>
      </w:pPr>
    </w:p>
    <w:p w14:paraId="27987620" w14:textId="77777777" w:rsidR="00935C37" w:rsidRPr="00A34F8A" w:rsidRDefault="00935C37" w:rsidP="00935C37">
      <w:pPr>
        <w:rPr>
          <w:rFonts w:asciiTheme="minorHAnsi" w:hAnsiTheme="minorHAnsi" w:cstheme="minorHAnsi"/>
          <w:szCs w:val="22"/>
        </w:rPr>
        <w:sectPr w:rsidR="00935C37" w:rsidRPr="00A34F8A" w:rsidSect="002C1815">
          <w:pgSz w:w="11906" w:h="16838"/>
          <w:pgMar w:top="1440" w:right="2007" w:bottom="1440" w:left="1440" w:header="709" w:footer="709" w:gutter="0"/>
          <w:cols w:space="708"/>
          <w:docGrid w:linePitch="360"/>
        </w:sectPr>
      </w:pPr>
    </w:p>
    <w:p w14:paraId="699F2B36" w14:textId="5740B94E" w:rsidR="00C83F70" w:rsidRPr="00327E9F" w:rsidRDefault="00C83F70" w:rsidP="00C83F70">
      <w:pPr>
        <w:pStyle w:val="Heading2"/>
        <w:rPr>
          <w:rFonts w:asciiTheme="minorHAnsi" w:hAnsiTheme="minorHAnsi" w:cstheme="minorHAnsi"/>
          <w:sz w:val="24"/>
          <w:szCs w:val="24"/>
        </w:rPr>
      </w:pPr>
      <w:bookmarkStart w:id="237" w:name="_Toc168660677"/>
      <w:bookmarkStart w:id="238" w:name="_Toc183163315"/>
      <w:r w:rsidRPr="00327E9F">
        <w:rPr>
          <w:rFonts w:asciiTheme="minorHAnsi" w:hAnsiTheme="minorHAnsi" w:cstheme="minorHAnsi"/>
          <w:sz w:val="24"/>
          <w:szCs w:val="24"/>
        </w:rPr>
        <w:lastRenderedPageBreak/>
        <w:t>Low scenario results Australia</w:t>
      </w:r>
      <w:bookmarkEnd w:id="237"/>
      <w:bookmarkEnd w:id="238"/>
    </w:p>
    <w:p w14:paraId="48264CA1" w14:textId="29C3101E" w:rsidR="00820B36" w:rsidRPr="00A34F8A" w:rsidRDefault="00820B36" w:rsidP="00820B36">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48</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Modelling results (low scenario) for Australia. </w:t>
      </w:r>
      <w:r w:rsidRPr="003B2C1E">
        <w:rPr>
          <w:rFonts w:asciiTheme="minorHAnsi" w:hAnsiTheme="minorHAnsi" w:cstheme="minorHAnsi"/>
          <w:sz w:val="22"/>
          <w:szCs w:val="22"/>
        </w:rPr>
        <w:t>Scenarios compared</w:t>
      </w:r>
      <w:r w:rsidRPr="00A34F8A">
        <w:rPr>
          <w:rFonts w:asciiTheme="minorHAnsi" w:hAnsiTheme="minorHAnsi" w:cstheme="minorHAnsi"/>
          <w:sz w:val="22"/>
          <w:szCs w:val="22"/>
        </w:rPr>
        <w:t xml:space="preserve"> to BAU baseline</w:t>
      </w:r>
      <w:r w:rsidR="002D5A36">
        <w:rPr>
          <w:rFonts w:asciiTheme="minorHAnsi" w:hAnsiTheme="minorHAnsi" w:cstheme="minorHAnsi"/>
          <w:sz w:val="22"/>
          <w:szCs w:val="22"/>
        </w:rPr>
        <w:t xml:space="preserve"> modelled out to 2040</w:t>
      </w:r>
    </w:p>
    <w:p w14:paraId="00569E46" w14:textId="3AF961D4" w:rsidR="00820B36" w:rsidRPr="00A34F8A" w:rsidRDefault="003B2C1E" w:rsidP="00820B36">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339365DE" wp14:editId="213FC248">
            <wp:extent cx="5741804" cy="5518485"/>
            <wp:effectExtent l="0" t="0" r="0" b="6350"/>
            <wp:docPr id="1050011664" name="Picture 18" descr="Table detailing the modeling results of each option under the low scenario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11664" name="Picture 18" descr="Table detailing the modeling results of each option under the low scenario for Australia."/>
                    <pic:cNvPicPr/>
                  </pic:nvPicPr>
                  <pic:blipFill>
                    <a:blip r:embed="rId43">
                      <a:extLst>
                        <a:ext uri="{28A0092B-C50C-407E-A947-70E740481C1C}">
                          <a14:useLocalDpi xmlns:a14="http://schemas.microsoft.com/office/drawing/2010/main" val="0"/>
                        </a:ext>
                      </a:extLst>
                    </a:blip>
                    <a:stretch>
                      <a:fillRect/>
                    </a:stretch>
                  </pic:blipFill>
                  <pic:spPr>
                    <a:xfrm>
                      <a:off x="0" y="0"/>
                      <a:ext cx="5759328" cy="5535327"/>
                    </a:xfrm>
                    <a:prstGeom prst="rect">
                      <a:avLst/>
                    </a:prstGeom>
                  </pic:spPr>
                </pic:pic>
              </a:graphicData>
            </a:graphic>
          </wp:inline>
        </w:drawing>
      </w:r>
    </w:p>
    <w:p w14:paraId="1602987B" w14:textId="77777777" w:rsidR="00820B36" w:rsidRPr="00A34F8A" w:rsidRDefault="00820B36" w:rsidP="00820B36">
      <w:pPr>
        <w:pStyle w:val="Table5-Bullet-Level1"/>
        <w:numPr>
          <w:ilvl w:val="0"/>
          <w:numId w:val="0"/>
        </w:numPr>
        <w:rPr>
          <w:rFonts w:asciiTheme="minorHAnsi" w:hAnsiTheme="minorHAnsi" w:cstheme="minorHAnsi"/>
          <w:sz w:val="22"/>
          <w:szCs w:val="22"/>
        </w:rPr>
      </w:pPr>
    </w:p>
    <w:p w14:paraId="6AE8E325" w14:textId="2E5BB1A2" w:rsidR="00820B36" w:rsidRPr="00327E9F" w:rsidRDefault="00820B36" w:rsidP="00820B36">
      <w:pPr>
        <w:pStyle w:val="Heading2"/>
        <w:rPr>
          <w:rFonts w:asciiTheme="minorHAnsi" w:hAnsiTheme="minorHAnsi" w:cstheme="minorHAnsi"/>
          <w:sz w:val="24"/>
          <w:szCs w:val="24"/>
        </w:rPr>
      </w:pPr>
      <w:bookmarkStart w:id="239" w:name="_Toc168660678"/>
      <w:bookmarkStart w:id="240" w:name="_Toc183163316"/>
      <w:r w:rsidRPr="00327E9F">
        <w:rPr>
          <w:rFonts w:asciiTheme="minorHAnsi" w:hAnsiTheme="minorHAnsi" w:cstheme="minorHAnsi"/>
          <w:sz w:val="24"/>
          <w:szCs w:val="24"/>
        </w:rPr>
        <w:lastRenderedPageBreak/>
        <w:t>Low scenario results New Zealand</w:t>
      </w:r>
      <w:bookmarkEnd w:id="239"/>
      <w:bookmarkEnd w:id="240"/>
    </w:p>
    <w:p w14:paraId="5697FC0F" w14:textId="64E2D6E7" w:rsidR="00CE5D7D" w:rsidRPr="00A34F8A" w:rsidRDefault="00CE5D7D" w:rsidP="00CE5D7D">
      <w:pPr>
        <w:pStyle w:val="Caption"/>
        <w:keepNext/>
        <w:rPr>
          <w:rFonts w:asciiTheme="minorHAnsi" w:hAnsiTheme="minorHAnsi" w:cstheme="minorHAnsi"/>
          <w:sz w:val="22"/>
          <w:szCs w:val="22"/>
        </w:rPr>
      </w:pPr>
      <w:r w:rsidRPr="00A34F8A">
        <w:rPr>
          <w:rFonts w:asciiTheme="minorHAnsi" w:hAnsiTheme="minorHAnsi" w:cstheme="minorHAnsi"/>
          <w:sz w:val="22"/>
          <w:szCs w:val="22"/>
        </w:rPr>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49</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Modelling results (low scenario) for New Zealand. Scenarios compared to BAU baseline</w:t>
      </w:r>
      <w:r w:rsidR="002D5A36">
        <w:rPr>
          <w:rFonts w:asciiTheme="minorHAnsi" w:hAnsiTheme="minorHAnsi" w:cstheme="minorHAnsi"/>
          <w:sz w:val="22"/>
          <w:szCs w:val="22"/>
        </w:rPr>
        <w:t xml:space="preserve"> modelled out to 2040</w:t>
      </w:r>
    </w:p>
    <w:p w14:paraId="1FADB10E" w14:textId="149AB81F" w:rsidR="00CE5D7D" w:rsidRPr="00A34F8A" w:rsidRDefault="00B45B21" w:rsidP="00CE5D7D">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6F634017" wp14:editId="798D76D6">
            <wp:extent cx="5732868" cy="5502442"/>
            <wp:effectExtent l="0" t="0" r="0" b="0"/>
            <wp:docPr id="414259695" name="Picture 19" descr="Table detailing the modeling results of each option under the low scenario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59695" name="Picture 19" descr="Table detailing the modeling results of each option under the low scenario for New Zealand."/>
                    <pic:cNvPicPr/>
                  </pic:nvPicPr>
                  <pic:blipFill>
                    <a:blip r:embed="rId44">
                      <a:extLst>
                        <a:ext uri="{28A0092B-C50C-407E-A947-70E740481C1C}">
                          <a14:useLocalDpi xmlns:a14="http://schemas.microsoft.com/office/drawing/2010/main" val="0"/>
                        </a:ext>
                      </a:extLst>
                    </a:blip>
                    <a:stretch>
                      <a:fillRect/>
                    </a:stretch>
                  </pic:blipFill>
                  <pic:spPr>
                    <a:xfrm>
                      <a:off x="0" y="0"/>
                      <a:ext cx="5748744" cy="5517679"/>
                    </a:xfrm>
                    <a:prstGeom prst="rect">
                      <a:avLst/>
                    </a:prstGeom>
                  </pic:spPr>
                </pic:pic>
              </a:graphicData>
            </a:graphic>
          </wp:inline>
        </w:drawing>
      </w:r>
    </w:p>
    <w:p w14:paraId="656E2540" w14:textId="77777777" w:rsidR="00CE5D7D" w:rsidRPr="00A34F8A" w:rsidRDefault="00CE5D7D" w:rsidP="00CE5D7D">
      <w:pPr>
        <w:pStyle w:val="Table5-Bullet-Level1"/>
        <w:numPr>
          <w:ilvl w:val="0"/>
          <w:numId w:val="0"/>
        </w:numPr>
        <w:rPr>
          <w:rFonts w:asciiTheme="minorHAnsi" w:hAnsiTheme="minorHAnsi" w:cstheme="minorHAnsi"/>
          <w:sz w:val="22"/>
          <w:szCs w:val="22"/>
        </w:rPr>
      </w:pPr>
    </w:p>
    <w:p w14:paraId="4D97E6CF" w14:textId="77777777" w:rsidR="00CE5D7D" w:rsidRPr="00A34F8A" w:rsidRDefault="00CE5D7D" w:rsidP="00CE5D7D">
      <w:pPr>
        <w:pStyle w:val="Table5-Bullet-Level1"/>
        <w:numPr>
          <w:ilvl w:val="0"/>
          <w:numId w:val="0"/>
        </w:numPr>
        <w:rPr>
          <w:rFonts w:asciiTheme="minorHAnsi" w:hAnsiTheme="minorHAnsi" w:cstheme="minorHAnsi"/>
          <w:sz w:val="22"/>
          <w:szCs w:val="22"/>
        </w:rPr>
        <w:sectPr w:rsidR="00CE5D7D" w:rsidRPr="00A34F8A" w:rsidSect="00DA4ECC">
          <w:pgSz w:w="11906" w:h="16838"/>
          <w:pgMar w:top="1440" w:right="1440" w:bottom="1440" w:left="2007" w:header="709" w:footer="709" w:gutter="0"/>
          <w:cols w:space="708"/>
          <w:docGrid w:linePitch="360"/>
        </w:sectPr>
      </w:pPr>
    </w:p>
    <w:p w14:paraId="577E75E1" w14:textId="4C92923B" w:rsidR="00CE5D7D" w:rsidRDefault="00CE5D7D" w:rsidP="00CE5D7D">
      <w:pPr>
        <w:pStyle w:val="Caption"/>
        <w:rPr>
          <w:rFonts w:asciiTheme="minorHAnsi" w:hAnsiTheme="minorHAnsi" w:cstheme="minorHAnsi"/>
          <w:noProof/>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50</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CBA results for scenario 2 (no regulations) compared to BAU baseline, from 2025 when </w:t>
      </w:r>
      <w:r w:rsidRPr="00A52F4B">
        <w:rPr>
          <w:rFonts w:asciiTheme="minorHAnsi" w:hAnsiTheme="minorHAnsi" w:cstheme="minorHAnsi"/>
          <w:sz w:val="22"/>
          <w:szCs w:val="22"/>
        </w:rPr>
        <w:t>regulations are removed</w:t>
      </w:r>
      <w:r w:rsidRPr="00A34F8A">
        <w:rPr>
          <w:rFonts w:asciiTheme="minorHAnsi" w:hAnsiTheme="minorHAnsi" w:cstheme="minorHAnsi"/>
          <w:sz w:val="22"/>
          <w:szCs w:val="22"/>
        </w:rPr>
        <w:t xml:space="preserve"> to 2040, for Australia</w:t>
      </w:r>
      <w:r w:rsidRPr="00A34F8A">
        <w:rPr>
          <w:rFonts w:asciiTheme="minorHAnsi" w:hAnsiTheme="minorHAnsi" w:cstheme="minorHAnsi"/>
          <w:noProof/>
          <w:sz w:val="22"/>
          <w:szCs w:val="22"/>
        </w:rPr>
        <w:t xml:space="preserve"> </w:t>
      </w:r>
    </w:p>
    <w:p w14:paraId="1867C6A6" w14:textId="77777777" w:rsidR="006946AD" w:rsidRDefault="006946AD" w:rsidP="00CE5D7D">
      <w:pPr>
        <w:pStyle w:val="Caption"/>
        <w:rPr>
          <w:rFonts w:asciiTheme="minorHAnsi" w:hAnsiTheme="minorHAnsi" w:cstheme="minorHAnsi"/>
          <w:noProof/>
          <w:sz w:val="22"/>
          <w:szCs w:val="22"/>
        </w:rPr>
      </w:pPr>
    </w:p>
    <w:p w14:paraId="2CF6BBFF" w14:textId="6DD8D219" w:rsidR="007918F8" w:rsidRPr="00A34F8A" w:rsidRDefault="00A52F4B" w:rsidP="00CE5D7D">
      <w:pPr>
        <w:pStyle w:val="Caption"/>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093A758" wp14:editId="0A14A2DC">
            <wp:extent cx="8896467" cy="4916905"/>
            <wp:effectExtent l="0" t="0" r="0" b="0"/>
            <wp:docPr id="638906688" name="Picture 20" descr="Table detailing the modeling results by year under option 2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06688" name="Picture 20" descr="Table detailing the modeling results by year under option 2 for Australia."/>
                    <pic:cNvPicPr/>
                  </pic:nvPicPr>
                  <pic:blipFill>
                    <a:blip r:embed="rId45">
                      <a:extLst>
                        <a:ext uri="{28A0092B-C50C-407E-A947-70E740481C1C}">
                          <a14:useLocalDpi xmlns:a14="http://schemas.microsoft.com/office/drawing/2010/main" val="0"/>
                        </a:ext>
                      </a:extLst>
                    </a:blip>
                    <a:stretch>
                      <a:fillRect/>
                    </a:stretch>
                  </pic:blipFill>
                  <pic:spPr>
                    <a:xfrm>
                      <a:off x="0" y="0"/>
                      <a:ext cx="8912198" cy="4925599"/>
                    </a:xfrm>
                    <a:prstGeom prst="rect">
                      <a:avLst/>
                    </a:prstGeom>
                  </pic:spPr>
                </pic:pic>
              </a:graphicData>
            </a:graphic>
          </wp:inline>
        </w:drawing>
      </w:r>
    </w:p>
    <w:p w14:paraId="297D1B0C" w14:textId="27AA75DA" w:rsidR="00CE5D7D" w:rsidRPr="00A34F8A" w:rsidRDefault="00CE5D7D" w:rsidP="007E5810">
      <w:pPr>
        <w:ind w:hanging="567"/>
        <w:rPr>
          <w:rFonts w:asciiTheme="minorHAnsi" w:hAnsiTheme="minorHAnsi" w:cstheme="minorHAnsi"/>
          <w:szCs w:val="22"/>
        </w:rPr>
      </w:pPr>
    </w:p>
    <w:p w14:paraId="3F835AD3" w14:textId="1676BB5A" w:rsidR="00CE5D7D" w:rsidRPr="00A34F8A" w:rsidRDefault="00CE5D7D" w:rsidP="00CE5D7D">
      <w:pPr>
        <w:pStyle w:val="Caption"/>
        <w:rPr>
          <w:rFonts w:asciiTheme="minorHAnsi" w:hAnsiTheme="minorHAnsi" w:cstheme="minorHAnsi"/>
          <w:sz w:val="22"/>
          <w:szCs w:val="22"/>
        </w:rPr>
      </w:pPr>
    </w:p>
    <w:p w14:paraId="2D4024B9" w14:textId="77777777" w:rsidR="00CE5D7D" w:rsidRPr="00A34F8A" w:rsidRDefault="00CE5D7D" w:rsidP="00CE5D7D">
      <w:pPr>
        <w:spacing w:after="0" w:line="240" w:lineRule="auto"/>
        <w:rPr>
          <w:rFonts w:asciiTheme="minorHAnsi" w:hAnsiTheme="minorHAnsi" w:cstheme="minorHAnsi"/>
          <w:i/>
          <w:iCs/>
          <w:szCs w:val="22"/>
        </w:rPr>
      </w:pPr>
      <w:r w:rsidRPr="00A34F8A">
        <w:rPr>
          <w:rFonts w:asciiTheme="minorHAnsi" w:hAnsiTheme="minorHAnsi" w:cstheme="minorHAnsi"/>
          <w:szCs w:val="22"/>
        </w:rPr>
        <w:br w:type="page"/>
      </w:r>
    </w:p>
    <w:p w14:paraId="10CD9F68" w14:textId="65158A62" w:rsidR="00CE5D7D" w:rsidRPr="00A34F8A" w:rsidRDefault="00CE5D7D" w:rsidP="00CE5D7D">
      <w:pPr>
        <w:pStyle w:val="Caption"/>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51</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CBA results for scenario 2 (no regulations) compared to BAU baseline, from 2025 when regulations are removed to 2040, for New Zealand</w:t>
      </w:r>
    </w:p>
    <w:p w14:paraId="3B691639" w14:textId="53C0255E" w:rsidR="00CE5D7D" w:rsidRPr="00A34F8A" w:rsidRDefault="00C065D9" w:rsidP="00CE5D7D">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2211425D" wp14:editId="4BCBD856">
            <wp:extent cx="8883153" cy="4908884"/>
            <wp:effectExtent l="0" t="0" r="0" b="6350"/>
            <wp:docPr id="955949649" name="Picture 21" descr="Table detailing the modeling results by year under option 2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49649" name="Picture 21" descr="Table detailing the modeling results by year under option 2 for New Zealand."/>
                    <pic:cNvPicPr/>
                  </pic:nvPicPr>
                  <pic:blipFill>
                    <a:blip r:embed="rId46">
                      <a:extLst>
                        <a:ext uri="{28A0092B-C50C-407E-A947-70E740481C1C}">
                          <a14:useLocalDpi xmlns:a14="http://schemas.microsoft.com/office/drawing/2010/main" val="0"/>
                        </a:ext>
                      </a:extLst>
                    </a:blip>
                    <a:stretch>
                      <a:fillRect/>
                    </a:stretch>
                  </pic:blipFill>
                  <pic:spPr>
                    <a:xfrm>
                      <a:off x="0" y="0"/>
                      <a:ext cx="8903650" cy="4920211"/>
                    </a:xfrm>
                    <a:prstGeom prst="rect">
                      <a:avLst/>
                    </a:prstGeom>
                  </pic:spPr>
                </pic:pic>
              </a:graphicData>
            </a:graphic>
          </wp:inline>
        </w:drawing>
      </w:r>
    </w:p>
    <w:p w14:paraId="49866073" w14:textId="4DD402E8" w:rsidR="00CE5D7D" w:rsidRPr="00A34F8A" w:rsidRDefault="00CE5D7D" w:rsidP="00CE5D7D">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52</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CBA results for scenario 3 (Mark VI from 2025, current scope) </w:t>
      </w:r>
      <w:r w:rsidRPr="00E73C21">
        <w:rPr>
          <w:rFonts w:asciiTheme="minorHAnsi" w:hAnsiTheme="minorHAnsi" w:cstheme="minorHAnsi"/>
          <w:sz w:val="22"/>
          <w:szCs w:val="22"/>
        </w:rPr>
        <w:t>compared to BAU baseline</w:t>
      </w:r>
      <w:r w:rsidRPr="00A34F8A">
        <w:rPr>
          <w:rFonts w:asciiTheme="minorHAnsi" w:hAnsiTheme="minorHAnsi" w:cstheme="minorHAnsi"/>
          <w:sz w:val="22"/>
          <w:szCs w:val="22"/>
        </w:rPr>
        <w:t>, for Australia</w:t>
      </w:r>
    </w:p>
    <w:p w14:paraId="432EEA27" w14:textId="405F6F21" w:rsidR="00CE5D7D" w:rsidRPr="00A34F8A" w:rsidRDefault="00003131" w:rsidP="00DF2E99">
      <w:pPr>
        <w:keepNext/>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029F5205" wp14:editId="0D7A424F">
            <wp:extent cx="8905730" cy="4989095"/>
            <wp:effectExtent l="0" t="0" r="0" b="2540"/>
            <wp:docPr id="632660351" name="Picture 23" descr="Table detailing the modeling results by year under option 3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60351" name="Picture 23" descr="Table detailing the modeling results by year under option 3 for Australia."/>
                    <pic:cNvPicPr/>
                  </pic:nvPicPr>
                  <pic:blipFill>
                    <a:blip r:embed="rId47">
                      <a:extLst>
                        <a:ext uri="{28A0092B-C50C-407E-A947-70E740481C1C}">
                          <a14:useLocalDpi xmlns:a14="http://schemas.microsoft.com/office/drawing/2010/main" val="0"/>
                        </a:ext>
                      </a:extLst>
                    </a:blip>
                    <a:stretch>
                      <a:fillRect/>
                    </a:stretch>
                  </pic:blipFill>
                  <pic:spPr>
                    <a:xfrm>
                      <a:off x="0" y="0"/>
                      <a:ext cx="8921187" cy="4997754"/>
                    </a:xfrm>
                    <a:prstGeom prst="rect">
                      <a:avLst/>
                    </a:prstGeom>
                  </pic:spPr>
                </pic:pic>
              </a:graphicData>
            </a:graphic>
          </wp:inline>
        </w:drawing>
      </w:r>
    </w:p>
    <w:p w14:paraId="79D9B3DB" w14:textId="77777777" w:rsidR="00CE5D7D" w:rsidRPr="00A34F8A" w:rsidRDefault="00CE5D7D" w:rsidP="00CE5D7D">
      <w:pPr>
        <w:spacing w:after="0" w:line="240" w:lineRule="auto"/>
        <w:rPr>
          <w:rFonts w:asciiTheme="minorHAnsi" w:hAnsiTheme="minorHAnsi" w:cstheme="minorHAnsi"/>
          <w:i/>
          <w:iCs/>
          <w:szCs w:val="22"/>
        </w:rPr>
      </w:pPr>
      <w:r w:rsidRPr="00A34F8A">
        <w:rPr>
          <w:rFonts w:asciiTheme="minorHAnsi" w:hAnsiTheme="minorHAnsi" w:cstheme="minorHAnsi"/>
          <w:szCs w:val="22"/>
        </w:rPr>
        <w:br w:type="page"/>
      </w:r>
    </w:p>
    <w:p w14:paraId="2FD5C2A9" w14:textId="12C4BD4C" w:rsidR="00CE5D7D" w:rsidRPr="00A34F8A" w:rsidRDefault="00CE5D7D" w:rsidP="00CE5D7D">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53</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CBA results for scenario 3 (Mark VI from 2025, current scope) compared to BAU baseline, for New Zealand</w:t>
      </w:r>
    </w:p>
    <w:p w14:paraId="369988AA" w14:textId="762853C6" w:rsidR="00CE5D7D" w:rsidRPr="00A34F8A" w:rsidRDefault="00C844A4" w:rsidP="00AA491C">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1BF7CB4C" wp14:editId="3F501121">
            <wp:extent cx="8927366" cy="4860758"/>
            <wp:effectExtent l="0" t="0" r="1270" b="3810"/>
            <wp:docPr id="922833128" name="Picture 24" descr="Table detailing the modeling results by year under option 3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33128" name="Picture 24" descr="Table detailing the modeling results by year under option 3 for New Zealand."/>
                    <pic:cNvPicPr/>
                  </pic:nvPicPr>
                  <pic:blipFill>
                    <a:blip r:embed="rId48">
                      <a:extLst>
                        <a:ext uri="{28A0092B-C50C-407E-A947-70E740481C1C}">
                          <a14:useLocalDpi xmlns:a14="http://schemas.microsoft.com/office/drawing/2010/main" val="0"/>
                        </a:ext>
                      </a:extLst>
                    </a:blip>
                    <a:stretch>
                      <a:fillRect/>
                    </a:stretch>
                  </pic:blipFill>
                  <pic:spPr>
                    <a:xfrm>
                      <a:off x="0" y="0"/>
                      <a:ext cx="8939178" cy="4867190"/>
                    </a:xfrm>
                    <a:prstGeom prst="rect">
                      <a:avLst/>
                    </a:prstGeom>
                  </pic:spPr>
                </pic:pic>
              </a:graphicData>
            </a:graphic>
          </wp:inline>
        </w:drawing>
      </w:r>
    </w:p>
    <w:p w14:paraId="3B1CAF3C" w14:textId="77777777" w:rsidR="00CE5D7D" w:rsidRPr="00A34F8A" w:rsidRDefault="00CE5D7D" w:rsidP="00CE5D7D">
      <w:pPr>
        <w:pStyle w:val="Caption"/>
        <w:rPr>
          <w:rFonts w:asciiTheme="minorHAnsi" w:hAnsiTheme="minorHAnsi" w:cstheme="minorHAnsi"/>
          <w:sz w:val="22"/>
          <w:szCs w:val="22"/>
        </w:rPr>
      </w:pPr>
    </w:p>
    <w:p w14:paraId="567B6397" w14:textId="751D1D77" w:rsidR="00CE5D7D" w:rsidRPr="00A34F8A" w:rsidRDefault="00CE5D7D" w:rsidP="00CE5D7D">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54</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CBA results for scenario 4 (Mark VI from 2025, expanded scope) compared to </w:t>
      </w:r>
      <w:r w:rsidRPr="00C75B01">
        <w:rPr>
          <w:rFonts w:asciiTheme="minorHAnsi" w:hAnsiTheme="minorHAnsi" w:cstheme="minorHAnsi"/>
          <w:sz w:val="22"/>
          <w:szCs w:val="22"/>
        </w:rPr>
        <w:t>BAU baseline</w:t>
      </w:r>
      <w:r w:rsidRPr="00A34F8A">
        <w:rPr>
          <w:rFonts w:asciiTheme="minorHAnsi" w:hAnsiTheme="minorHAnsi" w:cstheme="minorHAnsi"/>
          <w:sz w:val="22"/>
          <w:szCs w:val="22"/>
        </w:rPr>
        <w:t>, for Australia</w:t>
      </w:r>
    </w:p>
    <w:p w14:paraId="56A88D0B" w14:textId="493D6489" w:rsidR="00CE5D7D" w:rsidRPr="00A34F8A" w:rsidRDefault="00C75B01" w:rsidP="00C5273C">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464D43A3" wp14:editId="35012F90">
            <wp:extent cx="8886245" cy="5029200"/>
            <wp:effectExtent l="0" t="0" r="3810" b="0"/>
            <wp:docPr id="1542766484" name="Picture 25" descr="Table detailing the modeling results by year under option 4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66484" name="Picture 25" descr="Table detailing the modeling results by year under option 4 for Australia."/>
                    <pic:cNvPicPr/>
                  </pic:nvPicPr>
                  <pic:blipFill>
                    <a:blip r:embed="rId49">
                      <a:extLst>
                        <a:ext uri="{28A0092B-C50C-407E-A947-70E740481C1C}">
                          <a14:useLocalDpi xmlns:a14="http://schemas.microsoft.com/office/drawing/2010/main" val="0"/>
                        </a:ext>
                      </a:extLst>
                    </a:blip>
                    <a:stretch>
                      <a:fillRect/>
                    </a:stretch>
                  </pic:blipFill>
                  <pic:spPr>
                    <a:xfrm>
                      <a:off x="0" y="0"/>
                      <a:ext cx="8896346" cy="5034917"/>
                    </a:xfrm>
                    <a:prstGeom prst="rect">
                      <a:avLst/>
                    </a:prstGeom>
                  </pic:spPr>
                </pic:pic>
              </a:graphicData>
            </a:graphic>
          </wp:inline>
        </w:drawing>
      </w:r>
    </w:p>
    <w:p w14:paraId="1B37BC22" w14:textId="77777777" w:rsidR="00CE5D7D" w:rsidRPr="00A34F8A" w:rsidRDefault="00CE5D7D" w:rsidP="00CE5D7D">
      <w:pPr>
        <w:pStyle w:val="Caption"/>
        <w:rPr>
          <w:rFonts w:asciiTheme="minorHAnsi" w:hAnsiTheme="minorHAnsi" w:cstheme="minorHAnsi"/>
          <w:sz w:val="22"/>
          <w:szCs w:val="22"/>
        </w:rPr>
      </w:pPr>
    </w:p>
    <w:p w14:paraId="443935B9" w14:textId="4162BAC4" w:rsidR="00CE5D7D" w:rsidRPr="00A34F8A" w:rsidRDefault="00CE5D7D" w:rsidP="00CE5D7D">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55</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CBA results for scenario 4 (Mark VI from 2025, expanded scope) compared to BAU baseline, for New Zealand</w:t>
      </w:r>
    </w:p>
    <w:p w14:paraId="61CEDE16" w14:textId="7BAFC6E0" w:rsidR="00CE5D7D" w:rsidRPr="00A34F8A" w:rsidRDefault="00193CBF" w:rsidP="00CB0BD3">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16BFBBFC" wp14:editId="43124767">
            <wp:extent cx="8898550" cy="4892842"/>
            <wp:effectExtent l="0" t="0" r="4445" b="0"/>
            <wp:docPr id="375835999" name="Picture 26" descr="Table detailing the modeling results by year under option 4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5999" name="Picture 26" descr="Table detailing the modeling results by year under option 4 for New Zealand."/>
                    <pic:cNvPicPr/>
                  </pic:nvPicPr>
                  <pic:blipFill>
                    <a:blip r:embed="rId50">
                      <a:extLst>
                        <a:ext uri="{28A0092B-C50C-407E-A947-70E740481C1C}">
                          <a14:useLocalDpi xmlns:a14="http://schemas.microsoft.com/office/drawing/2010/main" val="0"/>
                        </a:ext>
                      </a:extLst>
                    </a:blip>
                    <a:stretch>
                      <a:fillRect/>
                    </a:stretch>
                  </pic:blipFill>
                  <pic:spPr>
                    <a:xfrm>
                      <a:off x="0" y="0"/>
                      <a:ext cx="8913900" cy="4901282"/>
                    </a:xfrm>
                    <a:prstGeom prst="rect">
                      <a:avLst/>
                    </a:prstGeom>
                  </pic:spPr>
                </pic:pic>
              </a:graphicData>
            </a:graphic>
          </wp:inline>
        </w:drawing>
      </w:r>
    </w:p>
    <w:p w14:paraId="582AD0B3" w14:textId="77777777" w:rsidR="00CE5D7D" w:rsidRPr="00A34F8A" w:rsidRDefault="00CE5D7D" w:rsidP="00CE5D7D">
      <w:pPr>
        <w:pStyle w:val="Caption"/>
        <w:rPr>
          <w:rFonts w:asciiTheme="minorHAnsi" w:hAnsiTheme="minorHAnsi" w:cstheme="minorHAnsi"/>
          <w:sz w:val="22"/>
          <w:szCs w:val="22"/>
        </w:rPr>
      </w:pPr>
    </w:p>
    <w:p w14:paraId="7D9553A4" w14:textId="720206B8" w:rsidR="00CE5D7D" w:rsidRPr="00A34F8A" w:rsidRDefault="00CE5D7D" w:rsidP="00CE5D7D">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56</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xml:space="preserve">: CBA results for scenario 5 (Mark VI from 2025, mark VII from 2029, expanded scope) </w:t>
      </w:r>
      <w:r w:rsidRPr="00151BE0">
        <w:rPr>
          <w:rFonts w:asciiTheme="minorHAnsi" w:hAnsiTheme="minorHAnsi" w:cstheme="minorHAnsi"/>
          <w:sz w:val="22"/>
          <w:szCs w:val="22"/>
        </w:rPr>
        <w:t>compared to BAU baseline,</w:t>
      </w:r>
      <w:r w:rsidRPr="00A34F8A">
        <w:rPr>
          <w:rFonts w:asciiTheme="minorHAnsi" w:hAnsiTheme="minorHAnsi" w:cstheme="minorHAnsi"/>
          <w:sz w:val="22"/>
          <w:szCs w:val="22"/>
        </w:rPr>
        <w:t xml:space="preserve"> for Australia</w:t>
      </w:r>
    </w:p>
    <w:p w14:paraId="64B6BB01" w14:textId="67BF6B13" w:rsidR="00CE5D7D" w:rsidRPr="00A34F8A" w:rsidRDefault="00151BE0" w:rsidP="00473D05">
      <w:pPr>
        <w:pStyle w:val="Caption"/>
        <w:keepNex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6F9073A" wp14:editId="5A8B9F66">
            <wp:extent cx="8890680" cy="5173579"/>
            <wp:effectExtent l="0" t="0" r="0" b="0"/>
            <wp:docPr id="2092684126" name="Picture 27" descr="Table detailing the modeling results by year under option 5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84126" name="Picture 27" descr="Table detailing the modeling results by year under option 5 for Australia."/>
                    <pic:cNvPicPr/>
                  </pic:nvPicPr>
                  <pic:blipFill>
                    <a:blip r:embed="rId51">
                      <a:extLst>
                        <a:ext uri="{28A0092B-C50C-407E-A947-70E740481C1C}">
                          <a14:useLocalDpi xmlns:a14="http://schemas.microsoft.com/office/drawing/2010/main" val="0"/>
                        </a:ext>
                      </a:extLst>
                    </a:blip>
                    <a:stretch>
                      <a:fillRect/>
                    </a:stretch>
                  </pic:blipFill>
                  <pic:spPr>
                    <a:xfrm>
                      <a:off x="0" y="0"/>
                      <a:ext cx="8905252" cy="5182058"/>
                    </a:xfrm>
                    <a:prstGeom prst="rect">
                      <a:avLst/>
                    </a:prstGeom>
                  </pic:spPr>
                </pic:pic>
              </a:graphicData>
            </a:graphic>
          </wp:inline>
        </w:drawing>
      </w:r>
    </w:p>
    <w:p w14:paraId="5130FC17" w14:textId="77777777" w:rsidR="00CE5D7D" w:rsidRPr="00A34F8A" w:rsidRDefault="00CE5D7D" w:rsidP="00CE5D7D">
      <w:pPr>
        <w:pStyle w:val="Caption"/>
        <w:rPr>
          <w:rFonts w:asciiTheme="minorHAnsi" w:hAnsiTheme="minorHAnsi" w:cstheme="minorHAnsi"/>
          <w:sz w:val="22"/>
          <w:szCs w:val="22"/>
        </w:rPr>
      </w:pPr>
    </w:p>
    <w:p w14:paraId="5F43D951" w14:textId="37E867E3" w:rsidR="00CE5D7D" w:rsidRPr="00A34F8A" w:rsidRDefault="00CE5D7D" w:rsidP="00CE5D7D">
      <w:pPr>
        <w:pStyle w:val="Caption"/>
        <w:keepNext/>
        <w:rPr>
          <w:rFonts w:asciiTheme="minorHAnsi" w:hAnsiTheme="minorHAnsi" w:cstheme="minorHAnsi"/>
          <w:sz w:val="22"/>
          <w:szCs w:val="22"/>
        </w:rPr>
      </w:pPr>
      <w:r w:rsidRPr="00A34F8A">
        <w:rPr>
          <w:rFonts w:asciiTheme="minorHAnsi" w:hAnsiTheme="minorHAnsi" w:cstheme="minorHAnsi"/>
          <w:sz w:val="22"/>
          <w:szCs w:val="22"/>
        </w:rPr>
        <w:lastRenderedPageBreak/>
        <w:t xml:space="preserve">Table </w:t>
      </w:r>
      <w:r w:rsidRPr="00A34F8A">
        <w:rPr>
          <w:rFonts w:asciiTheme="minorHAnsi" w:hAnsiTheme="minorHAnsi" w:cstheme="minorHAnsi"/>
          <w:sz w:val="22"/>
          <w:szCs w:val="22"/>
        </w:rPr>
        <w:fldChar w:fldCharType="begin"/>
      </w:r>
      <w:r w:rsidRPr="00A34F8A">
        <w:rPr>
          <w:rFonts w:asciiTheme="minorHAnsi" w:hAnsiTheme="minorHAnsi" w:cstheme="minorHAnsi"/>
          <w:sz w:val="22"/>
          <w:szCs w:val="22"/>
        </w:rPr>
        <w:instrText xml:space="preserve"> SEQ Table \* ARABIC </w:instrText>
      </w:r>
      <w:r w:rsidRPr="00A34F8A">
        <w:rPr>
          <w:rFonts w:asciiTheme="minorHAnsi" w:hAnsiTheme="minorHAnsi" w:cstheme="minorHAnsi"/>
          <w:sz w:val="22"/>
          <w:szCs w:val="22"/>
        </w:rPr>
        <w:fldChar w:fldCharType="separate"/>
      </w:r>
      <w:r w:rsidR="00C6363F">
        <w:rPr>
          <w:rFonts w:asciiTheme="minorHAnsi" w:hAnsiTheme="minorHAnsi" w:cstheme="minorHAnsi"/>
          <w:noProof/>
          <w:sz w:val="22"/>
          <w:szCs w:val="22"/>
        </w:rPr>
        <w:t>57</w:t>
      </w:r>
      <w:r w:rsidRPr="00A34F8A">
        <w:rPr>
          <w:rFonts w:asciiTheme="minorHAnsi" w:hAnsiTheme="minorHAnsi" w:cstheme="minorHAnsi"/>
          <w:noProof/>
          <w:sz w:val="22"/>
          <w:szCs w:val="22"/>
        </w:rPr>
        <w:fldChar w:fldCharType="end"/>
      </w:r>
      <w:r w:rsidRPr="00A34F8A">
        <w:rPr>
          <w:rFonts w:asciiTheme="minorHAnsi" w:hAnsiTheme="minorHAnsi" w:cstheme="minorHAnsi"/>
          <w:sz w:val="22"/>
          <w:szCs w:val="22"/>
        </w:rPr>
        <w:t>: CBA results for scenario 5 (Mark VI from 2025, mark VII from 2029, expanded scope) compared to BAU baseline, for New Zealand</w:t>
      </w:r>
    </w:p>
    <w:p w14:paraId="48F4E5E5" w14:textId="0D0AC34B" w:rsidR="00CE5D7D" w:rsidRPr="00A34F8A" w:rsidRDefault="00E27C16" w:rsidP="0030632B">
      <w:pPr>
        <w:ind w:hanging="567"/>
        <w:rPr>
          <w:rFonts w:asciiTheme="minorHAnsi" w:hAnsiTheme="minorHAnsi" w:cstheme="minorHAnsi"/>
          <w:szCs w:val="22"/>
        </w:rPr>
      </w:pPr>
      <w:r>
        <w:rPr>
          <w:rFonts w:asciiTheme="minorHAnsi" w:hAnsiTheme="minorHAnsi" w:cstheme="minorHAnsi"/>
          <w:noProof/>
          <w:szCs w:val="22"/>
        </w:rPr>
        <w:drawing>
          <wp:inline distT="0" distB="0" distL="0" distR="0" wp14:anchorId="3A9C4F39" wp14:editId="6F31E318">
            <wp:extent cx="8886613" cy="5053263"/>
            <wp:effectExtent l="0" t="0" r="3810" b="1905"/>
            <wp:docPr id="2134801818" name="Picture 28" descr="Table detailing the modeling results by year under option 5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01818" name="Picture 28" descr="Table detailing the modeling results by year under option 5 for New Zealand."/>
                    <pic:cNvPicPr/>
                  </pic:nvPicPr>
                  <pic:blipFill>
                    <a:blip r:embed="rId52">
                      <a:extLst>
                        <a:ext uri="{28A0092B-C50C-407E-A947-70E740481C1C}">
                          <a14:useLocalDpi xmlns:a14="http://schemas.microsoft.com/office/drawing/2010/main" val="0"/>
                        </a:ext>
                      </a:extLst>
                    </a:blip>
                    <a:stretch>
                      <a:fillRect/>
                    </a:stretch>
                  </pic:blipFill>
                  <pic:spPr>
                    <a:xfrm>
                      <a:off x="0" y="0"/>
                      <a:ext cx="8896840" cy="5059079"/>
                    </a:xfrm>
                    <a:prstGeom prst="rect">
                      <a:avLst/>
                    </a:prstGeom>
                  </pic:spPr>
                </pic:pic>
              </a:graphicData>
            </a:graphic>
          </wp:inline>
        </w:drawing>
      </w:r>
    </w:p>
    <w:p w14:paraId="1FE8E03E" w14:textId="151B7A32" w:rsidR="008D6CC0" w:rsidRPr="00A34F8A" w:rsidRDefault="008D6CC0" w:rsidP="00FA56DD"/>
    <w:sectPr w:rsidR="008D6CC0" w:rsidRPr="00A34F8A" w:rsidSect="009D1D64">
      <w:headerReference w:type="even" r:id="rId53"/>
      <w:headerReference w:type="default" r:id="rId54"/>
      <w:footerReference w:type="even" r:id="rId55"/>
      <w:footerReference w:type="default" r:id="rId56"/>
      <w:headerReference w:type="first" r:id="rId57"/>
      <w:footerReference w:type="first" r:id="rId58"/>
      <w:pgSz w:w="16838" w:h="11906" w:orient="landscape" w:code="9"/>
      <w:pgMar w:top="1138" w:right="1728" w:bottom="1138" w:left="1699" w:header="576"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261CE" w14:textId="77777777" w:rsidR="00027A7E" w:rsidRDefault="00027A7E" w:rsidP="00A860BD">
      <w:pPr>
        <w:spacing w:after="0" w:line="240" w:lineRule="auto"/>
      </w:pPr>
      <w:r>
        <w:separator/>
      </w:r>
    </w:p>
  </w:endnote>
  <w:endnote w:type="continuationSeparator" w:id="0">
    <w:p w14:paraId="5C506345" w14:textId="77777777" w:rsidR="00027A7E" w:rsidRDefault="00027A7E" w:rsidP="00A860BD">
      <w:pPr>
        <w:spacing w:after="0" w:line="240" w:lineRule="auto"/>
      </w:pPr>
      <w:r>
        <w:continuationSeparator/>
      </w:r>
    </w:p>
  </w:endnote>
  <w:endnote w:type="continuationNotice" w:id="1">
    <w:p w14:paraId="158BF9F9" w14:textId="77777777" w:rsidR="00027A7E" w:rsidRDefault="00027A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skerville">
    <w:altName w:val="Cambria"/>
    <w:charset w:val="00"/>
    <w:family w:val="roman"/>
    <w:pitch w:val="variable"/>
    <w:sig w:usb0="80000067" w:usb1="02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08326" w14:textId="60A5D8E2" w:rsidR="00935C37" w:rsidRDefault="00AB5F6A">
    <w:pPr>
      <w:pStyle w:val="Footer"/>
      <w:framePr w:wrap="none" w:vAnchor="text" w:hAnchor="margin" w:xAlign="center" w:y="1"/>
      <w:rPr>
        <w:rStyle w:val="PageNumber"/>
      </w:rPr>
    </w:pPr>
    <w:r>
      <w:rPr>
        <w:noProof/>
        <w:sz w:val="18"/>
      </w:rPr>
      <mc:AlternateContent>
        <mc:Choice Requires="wps">
          <w:drawing>
            <wp:anchor distT="0" distB="0" distL="0" distR="0" simplePos="0" relativeHeight="251658248" behindDoc="0" locked="0" layoutInCell="1" allowOverlap="1" wp14:anchorId="557E3855" wp14:editId="36774A99">
              <wp:simplePos x="635" y="635"/>
              <wp:positionH relativeFrom="page">
                <wp:align>center</wp:align>
              </wp:positionH>
              <wp:positionV relativeFrom="page">
                <wp:align>bottom</wp:align>
              </wp:positionV>
              <wp:extent cx="551815" cy="404495"/>
              <wp:effectExtent l="0" t="0" r="635" b="0"/>
              <wp:wrapNone/>
              <wp:docPr id="145107428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EA71DA" w14:textId="581E8A04"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E3855" id="_x0000_t202" coordsize="21600,21600" o:spt="202" path="m,l,21600r21600,l21600,xe">
              <v:stroke joinstyle="miter"/>
              <v:path gradientshapeok="t" o:connecttype="rect"/>
            </v:shapetype>
            <v:shape id="Text Box 12" o:spid="_x0000_s1027" type="#_x0000_t202" alt="OFFICIAL" style="position:absolute;margin-left:0;margin-top:0;width:43.45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" filled="f" stroked="f">
              <v:textbox style="mso-fit-shape-to-text:t" inset="0,0,0,15pt">
                <w:txbxContent>
                  <w:p w14:paraId="57EA71DA" w14:textId="581E8A04"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v:textbox>
              <w10:wrap anchorx="page" anchory="page"/>
            </v:shape>
          </w:pict>
        </mc:Fallback>
      </mc:AlternateContent>
    </w:r>
    <w:r w:rsidR="00935C37">
      <w:rPr>
        <w:rStyle w:val="PageNumber"/>
      </w:rPr>
      <w:fldChar w:fldCharType="begin"/>
    </w:r>
    <w:r w:rsidR="00935C37">
      <w:rPr>
        <w:rStyle w:val="PageNumber"/>
      </w:rPr>
      <w:instrText xml:space="preserve"> PAGE </w:instrText>
    </w:r>
    <w:r w:rsidR="00935C37">
      <w:rPr>
        <w:rStyle w:val="PageNumber"/>
      </w:rPr>
      <w:fldChar w:fldCharType="separate"/>
    </w:r>
    <w:r w:rsidR="00935C37">
      <w:rPr>
        <w:rStyle w:val="PageNumber"/>
        <w:noProof/>
      </w:rPr>
      <w:t>1</w:t>
    </w:r>
    <w:r w:rsidR="00935C37">
      <w:rPr>
        <w:rStyle w:val="PageNumber"/>
      </w:rPr>
      <w:fldChar w:fldCharType="end"/>
    </w:r>
  </w:p>
  <w:p w14:paraId="74B442C9" w14:textId="77777777" w:rsidR="00935C37" w:rsidRDefault="00935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0498" w14:textId="51C927B7" w:rsidR="00935C37" w:rsidRDefault="00AB5F6A">
    <w:pPr>
      <w:pStyle w:val="Footer"/>
      <w:framePr w:wrap="none" w:vAnchor="text" w:hAnchor="margin" w:xAlign="center" w:y="1"/>
      <w:rPr>
        <w:rStyle w:val="PageNumber"/>
      </w:rPr>
    </w:pPr>
    <w:r>
      <w:rPr>
        <w:noProof/>
        <w:sz w:val="18"/>
      </w:rPr>
      <mc:AlternateContent>
        <mc:Choice Requires="wps">
          <w:drawing>
            <wp:anchor distT="0" distB="0" distL="0" distR="0" simplePos="0" relativeHeight="251658249" behindDoc="0" locked="0" layoutInCell="1" allowOverlap="1" wp14:anchorId="2D058434" wp14:editId="561378E3">
              <wp:simplePos x="3931920" y="10050780"/>
              <wp:positionH relativeFrom="page">
                <wp:align>center</wp:align>
              </wp:positionH>
              <wp:positionV relativeFrom="page">
                <wp:align>bottom</wp:align>
              </wp:positionV>
              <wp:extent cx="551815" cy="404495"/>
              <wp:effectExtent l="0" t="0" r="635" b="0"/>
              <wp:wrapNone/>
              <wp:docPr id="119576581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424CB4" w14:textId="7585754C"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58434" id="_x0000_t202" coordsize="21600,21600" o:spt="202" path="m,l,21600r21600,l21600,xe">
              <v:stroke joinstyle="miter"/>
              <v:path gradientshapeok="t" o:connecttype="rect"/>
            </v:shapetype>
            <v:shape id="Text Box 13" o:spid="_x0000_s1028" type="#_x0000_t202" alt="OFFICIAL" style="position:absolute;margin-left:0;margin-top:0;width:43.45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67424CB4" w14:textId="7585754C"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v:textbox>
              <w10:wrap anchorx="page" anchory="page"/>
            </v:shape>
          </w:pict>
        </mc:Fallback>
      </mc:AlternateContent>
    </w:r>
    <w:sdt>
      <w:sdtPr>
        <w:rPr>
          <w:rStyle w:val="PageNumber"/>
        </w:rPr>
        <w:id w:val="30625426"/>
        <w:docPartObj>
          <w:docPartGallery w:val="Page Numbers (Bottom of Page)"/>
          <w:docPartUnique/>
        </w:docPartObj>
      </w:sdtPr>
      <w:sdtContent>
        <w:r w:rsidR="00935C37">
          <w:rPr>
            <w:rStyle w:val="PageNumber"/>
          </w:rPr>
          <w:fldChar w:fldCharType="begin"/>
        </w:r>
        <w:r w:rsidR="00935C37">
          <w:rPr>
            <w:rStyle w:val="PageNumber"/>
          </w:rPr>
          <w:instrText xml:space="preserve"> PAGE </w:instrText>
        </w:r>
        <w:r w:rsidR="00935C37">
          <w:rPr>
            <w:rStyle w:val="PageNumber"/>
          </w:rPr>
          <w:fldChar w:fldCharType="separate"/>
        </w:r>
        <w:r w:rsidR="00935C37">
          <w:rPr>
            <w:rStyle w:val="PageNumber"/>
            <w:noProof/>
          </w:rPr>
          <w:t>1</w:t>
        </w:r>
        <w:r w:rsidR="00935C37">
          <w:rPr>
            <w:rStyle w:val="PageNumber"/>
          </w:rPr>
          <w:fldChar w:fldCharType="end"/>
        </w:r>
      </w:sdtContent>
    </w:sdt>
  </w:p>
  <w:p w14:paraId="29A717AF" w14:textId="77777777" w:rsidR="00935C37" w:rsidRPr="002F1D24" w:rsidRDefault="00935C37" w:rsidP="005D3977">
    <w:pPr>
      <w:pStyle w:val="Footer"/>
      <w:jc w:val="center"/>
    </w:pPr>
    <w:r>
      <w:rPr>
        <w:noProof/>
      </w:rPr>
      <mc:AlternateContent>
        <mc:Choice Requires="wps">
          <w:drawing>
            <wp:anchor distT="0" distB="0" distL="114300" distR="114300" simplePos="0" relativeHeight="251658240" behindDoc="0" locked="0" layoutInCell="1" allowOverlap="1" wp14:anchorId="5492FAEF" wp14:editId="25B17D7D">
              <wp:simplePos x="0" y="0"/>
              <wp:positionH relativeFrom="column">
                <wp:posOffset>4669155</wp:posOffset>
              </wp:positionH>
              <wp:positionV relativeFrom="paragraph">
                <wp:posOffset>-350308</wp:posOffset>
              </wp:positionV>
              <wp:extent cx="1176867" cy="0"/>
              <wp:effectExtent l="0" t="12700" r="17145" b="12700"/>
              <wp:wrapNone/>
              <wp:docPr id="3" name="Straight Connector 3"/>
              <wp:cNvGraphicFramePr/>
              <a:graphic xmlns:a="http://schemas.openxmlformats.org/drawingml/2006/main">
                <a:graphicData uri="http://schemas.microsoft.com/office/word/2010/wordprocessingShape">
                  <wps:wsp>
                    <wps:cNvCnPr/>
                    <wps:spPr>
                      <a:xfrm>
                        <a:off x="0" y="0"/>
                        <a:ext cx="1176867" cy="0"/>
                      </a:xfrm>
                      <a:prstGeom prst="line">
                        <a:avLst/>
                      </a:prstGeom>
                      <a:ln w="28575">
                        <a:solidFill>
                          <a:srgbClr val="EF51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30F57B"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65pt,-27.6pt" to="460.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" strokecolor="#ef5125" strokeweight="2.2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F563" w14:textId="6E49E573" w:rsidR="00DD5BC7" w:rsidRDefault="00AB5F6A">
    <w:pPr>
      <w:pStyle w:val="Footer"/>
    </w:pPr>
    <w:r>
      <w:rPr>
        <w:noProof/>
      </w:rPr>
      <mc:AlternateContent>
        <mc:Choice Requires="wps">
          <w:drawing>
            <wp:anchor distT="0" distB="0" distL="0" distR="0" simplePos="0" relativeHeight="251658251" behindDoc="0" locked="0" layoutInCell="1" allowOverlap="1" wp14:anchorId="23F45F0C" wp14:editId="35DFE89B">
              <wp:simplePos x="635" y="635"/>
              <wp:positionH relativeFrom="page">
                <wp:align>center</wp:align>
              </wp:positionH>
              <wp:positionV relativeFrom="page">
                <wp:align>bottom</wp:align>
              </wp:positionV>
              <wp:extent cx="551815" cy="404495"/>
              <wp:effectExtent l="0" t="0" r="635" b="0"/>
              <wp:wrapNone/>
              <wp:docPr id="167176688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C525D28" w14:textId="1ECC98AE"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45F0C" id="_x0000_t202" coordsize="21600,21600" o:spt="202" path="m,l,21600r21600,l21600,xe">
              <v:stroke joinstyle="miter"/>
              <v:path gradientshapeok="t" o:connecttype="rect"/>
            </v:shapetype>
            <v:shape id="Text Box 15" o:spid="_x0000_s1030" type="#_x0000_t202" alt="OFFICIAL" style="position:absolute;margin-left:0;margin-top:0;width:43.45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1C525D28" w14:textId="1ECC98AE"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5AAC" w14:textId="05D348A0" w:rsidR="00975B56" w:rsidRPr="006F5F2C" w:rsidRDefault="00AB5F6A" w:rsidP="00975B56">
    <w:pPr>
      <w:pStyle w:val="Footer"/>
    </w:pPr>
    <w:r>
      <w:rPr>
        <w:noProof/>
      </w:rPr>
      <mc:AlternateContent>
        <mc:Choice Requires="wps">
          <w:drawing>
            <wp:anchor distT="0" distB="0" distL="0" distR="0" simplePos="0" relativeHeight="251658252" behindDoc="0" locked="0" layoutInCell="1" allowOverlap="1" wp14:anchorId="1595E0EB" wp14:editId="00DEACAA">
              <wp:simplePos x="635" y="635"/>
              <wp:positionH relativeFrom="page">
                <wp:align>center</wp:align>
              </wp:positionH>
              <wp:positionV relativeFrom="page">
                <wp:align>bottom</wp:align>
              </wp:positionV>
              <wp:extent cx="551815" cy="404495"/>
              <wp:effectExtent l="0" t="0" r="635" b="0"/>
              <wp:wrapNone/>
              <wp:docPr id="50629452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9A6A47" w14:textId="08EC063B"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95E0EB" id="_x0000_t202" coordsize="21600,21600" o:spt="202" path="m,l,21600r21600,l21600,xe">
              <v:stroke joinstyle="miter"/>
              <v:path gradientshapeok="t" o:connecttype="rect"/>
            </v:shapetype>
            <v:shape id="Text Box 16" o:spid="_x0000_s1031" type="#_x0000_t202" alt="OFFICIAL" style="position:absolute;margin-left:0;margin-top:0;width:43.45pt;height:31.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529A6A47" w14:textId="08EC063B"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v:textbox>
              <w10:wrap anchorx="page" anchory="page"/>
            </v:shape>
          </w:pict>
        </mc:Fallback>
      </mc:AlternateContent>
    </w:r>
    <w:r w:rsidR="00F917D5">
      <w:t>External Power Supplies – Consultation Regulation Impact Statement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A16A" w14:textId="6DCBF64E" w:rsidR="00975B56" w:rsidRPr="006F5F2C" w:rsidRDefault="00AB5F6A" w:rsidP="00975B56">
    <w:pPr>
      <w:pStyle w:val="Footer"/>
    </w:pPr>
    <w:r>
      <w:rPr>
        <w:noProof/>
      </w:rPr>
      <mc:AlternateContent>
        <mc:Choice Requires="wps">
          <w:drawing>
            <wp:anchor distT="0" distB="0" distL="0" distR="0" simplePos="0" relativeHeight="251658250" behindDoc="0" locked="0" layoutInCell="1" allowOverlap="1" wp14:anchorId="44B50BEA" wp14:editId="54192CA2">
              <wp:simplePos x="635" y="635"/>
              <wp:positionH relativeFrom="page">
                <wp:align>center</wp:align>
              </wp:positionH>
              <wp:positionV relativeFrom="page">
                <wp:align>bottom</wp:align>
              </wp:positionV>
              <wp:extent cx="551815" cy="404495"/>
              <wp:effectExtent l="0" t="0" r="635" b="0"/>
              <wp:wrapNone/>
              <wp:docPr id="60479625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0E5F0D" w14:textId="21615D5A"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50BEA" id="_x0000_t202" coordsize="21600,21600" o:spt="202" path="m,l,21600r21600,l21600,xe">
              <v:stroke joinstyle="miter"/>
              <v:path gradientshapeok="t" o:connecttype="rect"/>
            </v:shapetype>
            <v:shape id="Text Box 14" o:spid="_x0000_s1032" type="#_x0000_t202" alt="OFFICIAL" style="position:absolute;margin-left:0;margin-top:0;width:43.45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B0E5F0D" w14:textId="21615D5A" w:rsidR="00AB5F6A" w:rsidRPr="00AB5F6A" w:rsidRDefault="00AB5F6A" w:rsidP="00AB5F6A">
                    <w:pPr>
                      <w:spacing w:after="0"/>
                      <w:rPr>
                        <w:rFonts w:eastAsia="Calibri" w:cs="Calibri"/>
                        <w:noProof/>
                        <w:color w:val="000000"/>
                        <w:sz w:val="24"/>
                        <w:szCs w:val="24"/>
                      </w:rPr>
                    </w:pPr>
                    <w:r w:rsidRPr="00AB5F6A">
                      <w:rPr>
                        <w:rFonts w:eastAsia="Calibri" w:cs="Calibri"/>
                        <w:noProof/>
                        <w:color w:val="000000"/>
                        <w:sz w:val="24"/>
                        <w:szCs w:val="24"/>
                      </w:rPr>
                      <w:t>OFFICIAL</w:t>
                    </w:r>
                  </w:p>
                </w:txbxContent>
              </v:textbox>
              <w10:wrap anchorx="page" anchory="page"/>
            </v:shape>
          </w:pict>
        </mc:Fallback>
      </mc:AlternateContent>
    </w:r>
    <w:r w:rsidR="00975B56">
      <w:t>Publication Title</w:t>
    </w:r>
    <w:r w:rsidR="00975B56">
      <w:tab/>
    </w:r>
    <w:r w:rsidR="00975B56">
      <w:fldChar w:fldCharType="begin"/>
    </w:r>
    <w:r w:rsidR="00975B56">
      <w:instrText xml:space="preserve"> PAGE   \* MERGEFORMAT </w:instrText>
    </w:r>
    <w:r w:rsidR="00975B56">
      <w:fldChar w:fldCharType="separate"/>
    </w:r>
    <w:r w:rsidR="004C22DE">
      <w:rPr>
        <w:noProof/>
      </w:rPr>
      <w:t>1</w:t>
    </w:r>
    <w:r w:rsidR="00975B5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4DA76" w14:textId="77777777" w:rsidR="00027A7E" w:rsidRDefault="00027A7E" w:rsidP="00A860BD">
      <w:pPr>
        <w:spacing w:after="0" w:line="240" w:lineRule="auto"/>
      </w:pPr>
      <w:r>
        <w:separator/>
      </w:r>
    </w:p>
  </w:footnote>
  <w:footnote w:type="continuationSeparator" w:id="0">
    <w:p w14:paraId="4A4D35E8" w14:textId="77777777" w:rsidR="00027A7E" w:rsidRDefault="00027A7E" w:rsidP="00A860BD">
      <w:pPr>
        <w:spacing w:after="0" w:line="240" w:lineRule="auto"/>
      </w:pPr>
      <w:r>
        <w:continuationSeparator/>
      </w:r>
    </w:p>
  </w:footnote>
  <w:footnote w:type="continuationNotice" w:id="1">
    <w:p w14:paraId="6CF0ACAF" w14:textId="77777777" w:rsidR="00027A7E" w:rsidRDefault="00027A7E">
      <w:pPr>
        <w:spacing w:after="0" w:line="240" w:lineRule="auto"/>
      </w:pPr>
    </w:p>
  </w:footnote>
  <w:footnote w:id="2">
    <w:p w14:paraId="0535325D" w14:textId="77777777" w:rsidR="00461579" w:rsidRPr="005F5809" w:rsidRDefault="00461579" w:rsidP="00461579">
      <w:pPr>
        <w:pStyle w:val="FootnoteText"/>
        <w:rPr>
          <w:lang w:val="en-US"/>
        </w:rPr>
      </w:pPr>
      <w:r>
        <w:rPr>
          <w:rStyle w:val="FootnoteReference"/>
        </w:rPr>
        <w:footnoteRef/>
      </w:r>
      <w:r>
        <w:t xml:space="preserve"> </w:t>
      </w:r>
      <w:r>
        <w:rPr>
          <w:lang w:val="en-US"/>
        </w:rPr>
        <w:t>All financial estimates are in present value terms to 2040, discounted at 7% in Australia and 5% in New Zealand (unless otherwise specified).</w:t>
      </w:r>
    </w:p>
  </w:footnote>
  <w:footnote w:id="3">
    <w:p w14:paraId="2321B25E" w14:textId="48A207BB" w:rsidR="00C40ECF" w:rsidRPr="0015792F" w:rsidRDefault="00C40ECF" w:rsidP="00C40ECF">
      <w:pPr>
        <w:pStyle w:val="FootnoteText"/>
      </w:pPr>
      <w:r w:rsidRPr="0015792F">
        <w:rPr>
          <w:rStyle w:val="FootnoteReference"/>
        </w:rPr>
        <w:footnoteRef/>
      </w:r>
      <w:r w:rsidRPr="0015792F">
        <w:t xml:space="preserve"> In Australia, the GEMS Act (subsection 14(1)) states that supplying a GEMS product includes a </w:t>
      </w:r>
      <w:r w:rsidRPr="0015792F">
        <w:rPr>
          <w:color w:val="000000"/>
          <w:shd w:val="clear" w:color="auto" w:fill="FFFFFF"/>
        </w:rPr>
        <w:t>supply of the product by way of sale, exchange, gift, lease, loan, hire or hire</w:t>
      </w:r>
      <w:r w:rsidRPr="0015792F">
        <w:rPr>
          <w:color w:val="000000"/>
          <w:shd w:val="clear" w:color="auto" w:fill="FFFFFF"/>
        </w:rPr>
        <w:noBreakHyphen/>
        <w:t>purchase.</w:t>
      </w:r>
      <w:r w:rsidR="00944826" w:rsidRPr="0015792F">
        <w:rPr>
          <w:color w:val="000000"/>
          <w:shd w:val="clear" w:color="auto" w:fill="FFFFFF"/>
        </w:rPr>
        <w:t xml:space="preserve"> In New Zealand the regulations cover sale, lease, hire and hire-purchase.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2759" w14:textId="5B2D46B1" w:rsidR="00DD5BC7" w:rsidRDefault="00DD5B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183D" w14:textId="6FE3F56E" w:rsidR="00DD5BC7" w:rsidRDefault="00DD5B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7ED6" w14:textId="4780068B" w:rsidR="00686676" w:rsidRPr="00686676" w:rsidRDefault="00686676" w:rsidP="00686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02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209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C43A3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E4BE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6031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867F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4A3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9"/>
    <w:multiLevelType w:val="singleLevel"/>
    <w:tmpl w:val="D28CBA6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1444C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8F5528A"/>
    <w:multiLevelType w:val="hybridMultilevel"/>
    <w:tmpl w:val="5F8E20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29520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0C11E9"/>
    <w:multiLevelType w:val="multilevel"/>
    <w:tmpl w:val="A00E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56C13"/>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F268AB"/>
    <w:multiLevelType w:val="hybridMultilevel"/>
    <w:tmpl w:val="90605EE0"/>
    <w:lvl w:ilvl="0" w:tplc="0B22832E">
      <w:start w:val="1"/>
      <w:numFmt w:val="bullet"/>
      <w:pStyle w:val="Bullet-Level1"/>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90C6DF1"/>
    <w:multiLevelType w:val="hybridMultilevel"/>
    <w:tmpl w:val="FBEC5660"/>
    <w:lvl w:ilvl="0" w:tplc="CE08C4F4">
      <w:start w:val="1"/>
      <w:numFmt w:val="bullet"/>
      <w:pStyle w:val="Section3-Description-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B3C2F"/>
    <w:multiLevelType w:val="hybridMultilevel"/>
    <w:tmpl w:val="393077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3A3413FD"/>
    <w:multiLevelType w:val="hybridMultilevel"/>
    <w:tmpl w:val="16F04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6B5C7E"/>
    <w:multiLevelType w:val="hybridMultilevel"/>
    <w:tmpl w:val="0352B2F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A04B03"/>
    <w:multiLevelType w:val="multilevel"/>
    <w:tmpl w:val="CB1E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606D8F"/>
    <w:multiLevelType w:val="multilevel"/>
    <w:tmpl w:val="AE16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F308A8"/>
    <w:multiLevelType w:val="hybridMultilevel"/>
    <w:tmpl w:val="6B0E6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486A73"/>
    <w:multiLevelType w:val="hybridMultilevel"/>
    <w:tmpl w:val="33B28E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526B72"/>
    <w:multiLevelType w:val="hybridMultilevel"/>
    <w:tmpl w:val="EF22947A"/>
    <w:lvl w:ilvl="0" w:tplc="8DFA2F80">
      <w:start w:val="1"/>
      <w:numFmt w:val="bullet"/>
      <w:pStyle w:val="Table5-Bullet-Level1"/>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AFC3B64"/>
    <w:multiLevelType w:val="hybridMultilevel"/>
    <w:tmpl w:val="3738A8EC"/>
    <w:lvl w:ilvl="0" w:tplc="14090001">
      <w:start w:val="1"/>
      <w:numFmt w:val="bullet"/>
      <w:pStyle w:val="Bullet-Level2"/>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B0E6DE1"/>
    <w:multiLevelType w:val="hybridMultilevel"/>
    <w:tmpl w:val="5BD693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55368EE"/>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273301"/>
    <w:multiLevelType w:val="hybridMultilevel"/>
    <w:tmpl w:val="3E9A0DF8"/>
    <w:lvl w:ilvl="0" w:tplc="819E1CB8">
      <w:start w:val="37"/>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F572D2D"/>
    <w:multiLevelType w:val="hybridMultilevel"/>
    <w:tmpl w:val="7A8263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9480F6C"/>
    <w:multiLevelType w:val="multilevel"/>
    <w:tmpl w:val="D63099A8"/>
    <w:styleLink w:val="ComCap-MultilevelList"/>
    <w:lvl w:ilvl="0">
      <w:start w:val="1"/>
      <w:numFmt w:val="decimal"/>
      <w:lvlText w:val="Section %1 - "/>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A1D7984"/>
    <w:multiLevelType w:val="hybridMultilevel"/>
    <w:tmpl w:val="34504A8C"/>
    <w:lvl w:ilvl="0" w:tplc="CB20036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B151BF2"/>
    <w:multiLevelType w:val="hybridMultilevel"/>
    <w:tmpl w:val="E59C0CA8"/>
    <w:lvl w:ilvl="0" w:tplc="14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C9B1C6D"/>
    <w:multiLevelType w:val="hybridMultilevel"/>
    <w:tmpl w:val="46989E68"/>
    <w:lvl w:ilvl="0" w:tplc="9B44FF5A">
      <w:start w:val="1"/>
      <w:numFmt w:val="bullet"/>
      <w:pStyle w:val="Bullet-VerticalCompact-Level1"/>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805925718">
    <w:abstractNumId w:val="23"/>
  </w:num>
  <w:num w:numId="2" w16cid:durableId="1343817529">
    <w:abstractNumId w:val="31"/>
  </w:num>
  <w:num w:numId="3" w16cid:durableId="1518081455">
    <w:abstractNumId w:val="13"/>
  </w:num>
  <w:num w:numId="4" w16cid:durableId="1792363743">
    <w:abstractNumId w:val="16"/>
  </w:num>
  <w:num w:numId="5" w16cid:durableId="487525245">
    <w:abstractNumId w:val="22"/>
  </w:num>
  <w:num w:numId="6" w16cid:durableId="531303233">
    <w:abstractNumId w:val="2"/>
  </w:num>
  <w:num w:numId="7" w16cid:durableId="623930569">
    <w:abstractNumId w:val="24"/>
  </w:num>
  <w:num w:numId="8" w16cid:durableId="118033844">
    <w:abstractNumId w:val="15"/>
  </w:num>
  <w:num w:numId="9" w16cid:durableId="1572736405">
    <w:abstractNumId w:val="30"/>
  </w:num>
  <w:num w:numId="10" w16cid:durableId="1109348876">
    <w:abstractNumId w:val="29"/>
  </w:num>
  <w:num w:numId="11" w16cid:durableId="218051683">
    <w:abstractNumId w:val="26"/>
  </w:num>
  <w:num w:numId="12" w16cid:durableId="1490709321">
    <w:abstractNumId w:val="25"/>
  </w:num>
  <w:num w:numId="13" w16cid:durableId="1682899300">
    <w:abstractNumId w:val="8"/>
  </w:num>
  <w:num w:numId="14" w16cid:durableId="545143848">
    <w:abstractNumId w:val="10"/>
  </w:num>
  <w:num w:numId="15" w16cid:durableId="1579905404">
    <w:abstractNumId w:val="12"/>
  </w:num>
  <w:num w:numId="16" w16cid:durableId="1838378622">
    <w:abstractNumId w:val="28"/>
    <w:lvlOverride w:ilvl="0">
      <w:lvl w:ilvl="0">
        <w:start w:val="1"/>
        <w:numFmt w:val="decimal"/>
        <w:lvlText w:val="SECTION %1"/>
        <w:lvlJc w:val="left"/>
        <w:pPr>
          <w:ind w:left="0" w:firstLine="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48766204">
    <w:abstractNumId w:val="3"/>
  </w:num>
  <w:num w:numId="18" w16cid:durableId="1973898659">
    <w:abstractNumId w:val="28"/>
  </w:num>
  <w:num w:numId="19" w16cid:durableId="1378428160">
    <w:abstractNumId w:val="14"/>
  </w:num>
  <w:num w:numId="20" w16cid:durableId="1230384196">
    <w:abstractNumId w:val="20"/>
  </w:num>
  <w:num w:numId="21" w16cid:durableId="1722243979">
    <w:abstractNumId w:val="0"/>
  </w:num>
  <w:num w:numId="22" w16cid:durableId="1962808922">
    <w:abstractNumId w:val="1"/>
  </w:num>
  <w:num w:numId="23" w16cid:durableId="1214926143">
    <w:abstractNumId w:val="4"/>
  </w:num>
  <w:num w:numId="24" w16cid:durableId="1252546875">
    <w:abstractNumId w:val="5"/>
  </w:num>
  <w:num w:numId="25" w16cid:durableId="1089813284">
    <w:abstractNumId w:val="6"/>
  </w:num>
  <w:num w:numId="26" w16cid:durableId="570116535">
    <w:abstractNumId w:val="7"/>
  </w:num>
  <w:num w:numId="27" w16cid:durableId="2045012576">
    <w:abstractNumId w:val="21"/>
  </w:num>
  <w:num w:numId="28" w16cid:durableId="1529179106">
    <w:abstractNumId w:val="27"/>
  </w:num>
  <w:num w:numId="29" w16cid:durableId="135731951">
    <w:abstractNumId w:val="17"/>
  </w:num>
  <w:num w:numId="30" w16cid:durableId="1892034562">
    <w:abstractNumId w:val="9"/>
  </w:num>
  <w:num w:numId="31" w16cid:durableId="327488079">
    <w:abstractNumId w:val="19"/>
  </w:num>
  <w:num w:numId="32" w16cid:durableId="1829401927">
    <w:abstractNumId w:val="18"/>
  </w:num>
  <w:num w:numId="33" w16cid:durableId="2221845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93B"/>
    <w:rsid w:val="0000066A"/>
    <w:rsid w:val="0000071D"/>
    <w:rsid w:val="00001883"/>
    <w:rsid w:val="00001AD9"/>
    <w:rsid w:val="00003131"/>
    <w:rsid w:val="00003A4E"/>
    <w:rsid w:val="00003C81"/>
    <w:rsid w:val="000046EA"/>
    <w:rsid w:val="0000519C"/>
    <w:rsid w:val="00006B45"/>
    <w:rsid w:val="0000754F"/>
    <w:rsid w:val="00012DA4"/>
    <w:rsid w:val="0001505D"/>
    <w:rsid w:val="0001506A"/>
    <w:rsid w:val="00015849"/>
    <w:rsid w:val="0001695A"/>
    <w:rsid w:val="0002016F"/>
    <w:rsid w:val="000215FA"/>
    <w:rsid w:val="00022B80"/>
    <w:rsid w:val="00022E5E"/>
    <w:rsid w:val="00023408"/>
    <w:rsid w:val="00023FEC"/>
    <w:rsid w:val="00027A7E"/>
    <w:rsid w:val="00027B02"/>
    <w:rsid w:val="00027DB9"/>
    <w:rsid w:val="00030AEB"/>
    <w:rsid w:val="00030C36"/>
    <w:rsid w:val="00031929"/>
    <w:rsid w:val="00033273"/>
    <w:rsid w:val="00034A2F"/>
    <w:rsid w:val="00034AF1"/>
    <w:rsid w:val="000359E1"/>
    <w:rsid w:val="0003607C"/>
    <w:rsid w:val="00037A8B"/>
    <w:rsid w:val="0004082F"/>
    <w:rsid w:val="00040A4E"/>
    <w:rsid w:val="000410DE"/>
    <w:rsid w:val="000415E0"/>
    <w:rsid w:val="0004398A"/>
    <w:rsid w:val="00043E97"/>
    <w:rsid w:val="00044982"/>
    <w:rsid w:val="00044BFE"/>
    <w:rsid w:val="00045634"/>
    <w:rsid w:val="00045F86"/>
    <w:rsid w:val="00046789"/>
    <w:rsid w:val="00046DF7"/>
    <w:rsid w:val="000513E4"/>
    <w:rsid w:val="00052ECC"/>
    <w:rsid w:val="00054020"/>
    <w:rsid w:val="00055589"/>
    <w:rsid w:val="00056348"/>
    <w:rsid w:val="00056493"/>
    <w:rsid w:val="000577EC"/>
    <w:rsid w:val="00057B12"/>
    <w:rsid w:val="00066CDA"/>
    <w:rsid w:val="00071311"/>
    <w:rsid w:val="0007188A"/>
    <w:rsid w:val="000722B8"/>
    <w:rsid w:val="00072A87"/>
    <w:rsid w:val="000737F9"/>
    <w:rsid w:val="000752D9"/>
    <w:rsid w:val="000806F2"/>
    <w:rsid w:val="00082FAB"/>
    <w:rsid w:val="00087A4E"/>
    <w:rsid w:val="00093C61"/>
    <w:rsid w:val="00093F10"/>
    <w:rsid w:val="00094410"/>
    <w:rsid w:val="00095127"/>
    <w:rsid w:val="000A0875"/>
    <w:rsid w:val="000A2B82"/>
    <w:rsid w:val="000A3906"/>
    <w:rsid w:val="000A3B0A"/>
    <w:rsid w:val="000A3EE3"/>
    <w:rsid w:val="000A3F62"/>
    <w:rsid w:val="000A58CB"/>
    <w:rsid w:val="000A7899"/>
    <w:rsid w:val="000B0820"/>
    <w:rsid w:val="000B17CF"/>
    <w:rsid w:val="000B3019"/>
    <w:rsid w:val="000B54B0"/>
    <w:rsid w:val="000B7473"/>
    <w:rsid w:val="000B780D"/>
    <w:rsid w:val="000B796F"/>
    <w:rsid w:val="000C26D9"/>
    <w:rsid w:val="000C4124"/>
    <w:rsid w:val="000C5900"/>
    <w:rsid w:val="000C7FE2"/>
    <w:rsid w:val="000D3536"/>
    <w:rsid w:val="000D6E27"/>
    <w:rsid w:val="000D7022"/>
    <w:rsid w:val="000E28F4"/>
    <w:rsid w:val="000E536D"/>
    <w:rsid w:val="000E767E"/>
    <w:rsid w:val="000F0FFB"/>
    <w:rsid w:val="000F2A19"/>
    <w:rsid w:val="000F4518"/>
    <w:rsid w:val="000F4E04"/>
    <w:rsid w:val="000F51CC"/>
    <w:rsid w:val="000F5D21"/>
    <w:rsid w:val="001004BC"/>
    <w:rsid w:val="00100EDD"/>
    <w:rsid w:val="00101135"/>
    <w:rsid w:val="00101884"/>
    <w:rsid w:val="00106470"/>
    <w:rsid w:val="00107222"/>
    <w:rsid w:val="0010782A"/>
    <w:rsid w:val="00110926"/>
    <w:rsid w:val="00110AC2"/>
    <w:rsid w:val="00111DAE"/>
    <w:rsid w:val="0011327F"/>
    <w:rsid w:val="00113A7B"/>
    <w:rsid w:val="00113BA1"/>
    <w:rsid w:val="00114983"/>
    <w:rsid w:val="001178D0"/>
    <w:rsid w:val="00124409"/>
    <w:rsid w:val="00125089"/>
    <w:rsid w:val="00126ED7"/>
    <w:rsid w:val="00131609"/>
    <w:rsid w:val="0013755A"/>
    <w:rsid w:val="00141285"/>
    <w:rsid w:val="00143150"/>
    <w:rsid w:val="00143DAC"/>
    <w:rsid w:val="00144BEF"/>
    <w:rsid w:val="00145120"/>
    <w:rsid w:val="00145218"/>
    <w:rsid w:val="00145409"/>
    <w:rsid w:val="00145D95"/>
    <w:rsid w:val="00146C71"/>
    <w:rsid w:val="00146FA1"/>
    <w:rsid w:val="00147C0E"/>
    <w:rsid w:val="001508F7"/>
    <w:rsid w:val="001515DA"/>
    <w:rsid w:val="00151A63"/>
    <w:rsid w:val="00151BE0"/>
    <w:rsid w:val="001525DD"/>
    <w:rsid w:val="001536A6"/>
    <w:rsid w:val="00154B6F"/>
    <w:rsid w:val="00155C1A"/>
    <w:rsid w:val="00157210"/>
    <w:rsid w:val="0015792F"/>
    <w:rsid w:val="00160900"/>
    <w:rsid w:val="001620BC"/>
    <w:rsid w:val="001621C7"/>
    <w:rsid w:val="001662C2"/>
    <w:rsid w:val="00167282"/>
    <w:rsid w:val="001676EA"/>
    <w:rsid w:val="00172459"/>
    <w:rsid w:val="0017404E"/>
    <w:rsid w:val="001774BA"/>
    <w:rsid w:val="00181FF7"/>
    <w:rsid w:val="00183639"/>
    <w:rsid w:val="00183F1C"/>
    <w:rsid w:val="00184672"/>
    <w:rsid w:val="0018490B"/>
    <w:rsid w:val="001866A8"/>
    <w:rsid w:val="00186778"/>
    <w:rsid w:val="0018693E"/>
    <w:rsid w:val="00191655"/>
    <w:rsid w:val="00192F58"/>
    <w:rsid w:val="00193CBF"/>
    <w:rsid w:val="00193F1E"/>
    <w:rsid w:val="001950C3"/>
    <w:rsid w:val="0019729A"/>
    <w:rsid w:val="001A0E53"/>
    <w:rsid w:val="001A1914"/>
    <w:rsid w:val="001A19E5"/>
    <w:rsid w:val="001A1FBA"/>
    <w:rsid w:val="001A200E"/>
    <w:rsid w:val="001A21B3"/>
    <w:rsid w:val="001A22D6"/>
    <w:rsid w:val="001A3B81"/>
    <w:rsid w:val="001A416D"/>
    <w:rsid w:val="001A5076"/>
    <w:rsid w:val="001A5217"/>
    <w:rsid w:val="001A563F"/>
    <w:rsid w:val="001A7AFB"/>
    <w:rsid w:val="001B096F"/>
    <w:rsid w:val="001B5492"/>
    <w:rsid w:val="001B600B"/>
    <w:rsid w:val="001C03A3"/>
    <w:rsid w:val="001C069C"/>
    <w:rsid w:val="001C0F26"/>
    <w:rsid w:val="001C763F"/>
    <w:rsid w:val="001D09BD"/>
    <w:rsid w:val="001D21D7"/>
    <w:rsid w:val="001D4144"/>
    <w:rsid w:val="001D4B9D"/>
    <w:rsid w:val="001D4CDB"/>
    <w:rsid w:val="001D6410"/>
    <w:rsid w:val="001D6604"/>
    <w:rsid w:val="001E0BB5"/>
    <w:rsid w:val="001E1948"/>
    <w:rsid w:val="001E1C40"/>
    <w:rsid w:val="001E3A6C"/>
    <w:rsid w:val="001E4F58"/>
    <w:rsid w:val="001E5937"/>
    <w:rsid w:val="001E5C41"/>
    <w:rsid w:val="001E5C51"/>
    <w:rsid w:val="001E6000"/>
    <w:rsid w:val="001E61DE"/>
    <w:rsid w:val="001E6AE5"/>
    <w:rsid w:val="001E6DB9"/>
    <w:rsid w:val="001E6F13"/>
    <w:rsid w:val="001E7AD3"/>
    <w:rsid w:val="001F20BD"/>
    <w:rsid w:val="001F47DC"/>
    <w:rsid w:val="001F51C9"/>
    <w:rsid w:val="001F569A"/>
    <w:rsid w:val="001F62CA"/>
    <w:rsid w:val="001F7965"/>
    <w:rsid w:val="001F7C54"/>
    <w:rsid w:val="00201F84"/>
    <w:rsid w:val="00204CF3"/>
    <w:rsid w:val="00207D61"/>
    <w:rsid w:val="00210E6A"/>
    <w:rsid w:val="002114CA"/>
    <w:rsid w:val="0021335A"/>
    <w:rsid w:val="00216942"/>
    <w:rsid w:val="002175D3"/>
    <w:rsid w:val="002202DA"/>
    <w:rsid w:val="0022254A"/>
    <w:rsid w:val="002275D6"/>
    <w:rsid w:val="002346DC"/>
    <w:rsid w:val="00234FE2"/>
    <w:rsid w:val="002369D1"/>
    <w:rsid w:val="0023769B"/>
    <w:rsid w:val="002410A2"/>
    <w:rsid w:val="00241132"/>
    <w:rsid w:val="0024119C"/>
    <w:rsid w:val="00241B9B"/>
    <w:rsid w:val="002432C7"/>
    <w:rsid w:val="00244300"/>
    <w:rsid w:val="00244DC4"/>
    <w:rsid w:val="00245114"/>
    <w:rsid w:val="00247B9E"/>
    <w:rsid w:val="0025010F"/>
    <w:rsid w:val="0025428A"/>
    <w:rsid w:val="00254485"/>
    <w:rsid w:val="00255FC2"/>
    <w:rsid w:val="00256267"/>
    <w:rsid w:val="0025747E"/>
    <w:rsid w:val="00261EDF"/>
    <w:rsid w:val="0026201F"/>
    <w:rsid w:val="0026437D"/>
    <w:rsid w:val="00264870"/>
    <w:rsid w:val="00264B10"/>
    <w:rsid w:val="00265D93"/>
    <w:rsid w:val="0026741B"/>
    <w:rsid w:val="00267C8C"/>
    <w:rsid w:val="00270BF3"/>
    <w:rsid w:val="002730A1"/>
    <w:rsid w:val="00273129"/>
    <w:rsid w:val="002737BC"/>
    <w:rsid w:val="002745BE"/>
    <w:rsid w:val="002749EA"/>
    <w:rsid w:val="002751D9"/>
    <w:rsid w:val="00275880"/>
    <w:rsid w:val="00276BD1"/>
    <w:rsid w:val="00276CC1"/>
    <w:rsid w:val="0028026A"/>
    <w:rsid w:val="0028079C"/>
    <w:rsid w:val="00280D9E"/>
    <w:rsid w:val="00281138"/>
    <w:rsid w:val="002812DC"/>
    <w:rsid w:val="002824B8"/>
    <w:rsid w:val="00286CA8"/>
    <w:rsid w:val="002937D3"/>
    <w:rsid w:val="00295E95"/>
    <w:rsid w:val="00297B81"/>
    <w:rsid w:val="00297C34"/>
    <w:rsid w:val="00297E82"/>
    <w:rsid w:val="002A0139"/>
    <w:rsid w:val="002A369C"/>
    <w:rsid w:val="002A3A85"/>
    <w:rsid w:val="002A42E4"/>
    <w:rsid w:val="002A4C96"/>
    <w:rsid w:val="002A4D78"/>
    <w:rsid w:val="002A523D"/>
    <w:rsid w:val="002A6440"/>
    <w:rsid w:val="002A6EBC"/>
    <w:rsid w:val="002B12FC"/>
    <w:rsid w:val="002B1FB3"/>
    <w:rsid w:val="002B269F"/>
    <w:rsid w:val="002B2C97"/>
    <w:rsid w:val="002B3F3D"/>
    <w:rsid w:val="002B56EF"/>
    <w:rsid w:val="002B65A2"/>
    <w:rsid w:val="002B7728"/>
    <w:rsid w:val="002C076B"/>
    <w:rsid w:val="002C1815"/>
    <w:rsid w:val="002C1CF1"/>
    <w:rsid w:val="002C26D0"/>
    <w:rsid w:val="002C29FA"/>
    <w:rsid w:val="002C2C69"/>
    <w:rsid w:val="002C38F0"/>
    <w:rsid w:val="002C4E2E"/>
    <w:rsid w:val="002C54CD"/>
    <w:rsid w:val="002C6427"/>
    <w:rsid w:val="002C796A"/>
    <w:rsid w:val="002D040F"/>
    <w:rsid w:val="002D37BB"/>
    <w:rsid w:val="002D41BD"/>
    <w:rsid w:val="002D56D8"/>
    <w:rsid w:val="002D5A36"/>
    <w:rsid w:val="002E2541"/>
    <w:rsid w:val="002E3E4C"/>
    <w:rsid w:val="002E4F32"/>
    <w:rsid w:val="002E6ABD"/>
    <w:rsid w:val="002E7222"/>
    <w:rsid w:val="002E7403"/>
    <w:rsid w:val="002E76C6"/>
    <w:rsid w:val="002F02E1"/>
    <w:rsid w:val="002F0D41"/>
    <w:rsid w:val="002F0E40"/>
    <w:rsid w:val="002F2151"/>
    <w:rsid w:val="002F22D6"/>
    <w:rsid w:val="002F2A11"/>
    <w:rsid w:val="002F3102"/>
    <w:rsid w:val="002F48BC"/>
    <w:rsid w:val="002F5D9C"/>
    <w:rsid w:val="002F650E"/>
    <w:rsid w:val="002F67EE"/>
    <w:rsid w:val="002F7776"/>
    <w:rsid w:val="00300C6F"/>
    <w:rsid w:val="00301426"/>
    <w:rsid w:val="00301F71"/>
    <w:rsid w:val="0030369A"/>
    <w:rsid w:val="0030559B"/>
    <w:rsid w:val="003059BB"/>
    <w:rsid w:val="0030632B"/>
    <w:rsid w:val="00306330"/>
    <w:rsid w:val="0030724D"/>
    <w:rsid w:val="00313AB0"/>
    <w:rsid w:val="00313E07"/>
    <w:rsid w:val="003165D0"/>
    <w:rsid w:val="00316D13"/>
    <w:rsid w:val="0032252D"/>
    <w:rsid w:val="00322EC5"/>
    <w:rsid w:val="003240BE"/>
    <w:rsid w:val="003259A0"/>
    <w:rsid w:val="00326735"/>
    <w:rsid w:val="00327002"/>
    <w:rsid w:val="003270C4"/>
    <w:rsid w:val="0032778E"/>
    <w:rsid w:val="00327E9F"/>
    <w:rsid w:val="003304F7"/>
    <w:rsid w:val="00331F18"/>
    <w:rsid w:val="00332A2C"/>
    <w:rsid w:val="00333871"/>
    <w:rsid w:val="00334207"/>
    <w:rsid w:val="0033446E"/>
    <w:rsid w:val="00334ABC"/>
    <w:rsid w:val="00334C09"/>
    <w:rsid w:val="00340E70"/>
    <w:rsid w:val="0034150F"/>
    <w:rsid w:val="00342EE8"/>
    <w:rsid w:val="0034424E"/>
    <w:rsid w:val="00344906"/>
    <w:rsid w:val="003454CD"/>
    <w:rsid w:val="00345913"/>
    <w:rsid w:val="003463D0"/>
    <w:rsid w:val="003469B9"/>
    <w:rsid w:val="003507B5"/>
    <w:rsid w:val="00354586"/>
    <w:rsid w:val="0035544D"/>
    <w:rsid w:val="00357919"/>
    <w:rsid w:val="00360A95"/>
    <w:rsid w:val="00362410"/>
    <w:rsid w:val="00362B92"/>
    <w:rsid w:val="00362BA0"/>
    <w:rsid w:val="00363B4E"/>
    <w:rsid w:val="003640E6"/>
    <w:rsid w:val="0036605F"/>
    <w:rsid w:val="00367AD5"/>
    <w:rsid w:val="003715C8"/>
    <w:rsid w:val="00374E07"/>
    <w:rsid w:val="00374FA8"/>
    <w:rsid w:val="0037606C"/>
    <w:rsid w:val="003763FB"/>
    <w:rsid w:val="00376DC6"/>
    <w:rsid w:val="003806D1"/>
    <w:rsid w:val="003831A8"/>
    <w:rsid w:val="003839C7"/>
    <w:rsid w:val="00383FE7"/>
    <w:rsid w:val="00386C19"/>
    <w:rsid w:val="00387002"/>
    <w:rsid w:val="00390F9B"/>
    <w:rsid w:val="003916BC"/>
    <w:rsid w:val="00392F08"/>
    <w:rsid w:val="003941C7"/>
    <w:rsid w:val="00395127"/>
    <w:rsid w:val="003958D8"/>
    <w:rsid w:val="00396412"/>
    <w:rsid w:val="003A0560"/>
    <w:rsid w:val="003A102E"/>
    <w:rsid w:val="003A4016"/>
    <w:rsid w:val="003A52C8"/>
    <w:rsid w:val="003A611A"/>
    <w:rsid w:val="003A7467"/>
    <w:rsid w:val="003B213E"/>
    <w:rsid w:val="003B2C1E"/>
    <w:rsid w:val="003B5ED5"/>
    <w:rsid w:val="003B6015"/>
    <w:rsid w:val="003B6E29"/>
    <w:rsid w:val="003B7E1F"/>
    <w:rsid w:val="003C130B"/>
    <w:rsid w:val="003C2832"/>
    <w:rsid w:val="003C391A"/>
    <w:rsid w:val="003C3E4E"/>
    <w:rsid w:val="003C5390"/>
    <w:rsid w:val="003C7341"/>
    <w:rsid w:val="003C7F18"/>
    <w:rsid w:val="003D1D7D"/>
    <w:rsid w:val="003D338C"/>
    <w:rsid w:val="003D36EE"/>
    <w:rsid w:val="003D4675"/>
    <w:rsid w:val="003E02C1"/>
    <w:rsid w:val="003E21AC"/>
    <w:rsid w:val="003E22E7"/>
    <w:rsid w:val="003E3D24"/>
    <w:rsid w:val="003E7912"/>
    <w:rsid w:val="003F409A"/>
    <w:rsid w:val="003F40F6"/>
    <w:rsid w:val="003F4ED8"/>
    <w:rsid w:val="003F7266"/>
    <w:rsid w:val="00400618"/>
    <w:rsid w:val="00400F7F"/>
    <w:rsid w:val="00401146"/>
    <w:rsid w:val="0040324A"/>
    <w:rsid w:val="004034F5"/>
    <w:rsid w:val="00403DB1"/>
    <w:rsid w:val="00404BE8"/>
    <w:rsid w:val="00404DC9"/>
    <w:rsid w:val="00407CBD"/>
    <w:rsid w:val="00410889"/>
    <w:rsid w:val="0041228E"/>
    <w:rsid w:val="0041354B"/>
    <w:rsid w:val="00413F3B"/>
    <w:rsid w:val="004140A9"/>
    <w:rsid w:val="0041660D"/>
    <w:rsid w:val="00416C28"/>
    <w:rsid w:val="004173FD"/>
    <w:rsid w:val="00417429"/>
    <w:rsid w:val="004179F8"/>
    <w:rsid w:val="00420573"/>
    <w:rsid w:val="00421FA2"/>
    <w:rsid w:val="004223E2"/>
    <w:rsid w:val="004239E6"/>
    <w:rsid w:val="00424619"/>
    <w:rsid w:val="00425597"/>
    <w:rsid w:val="00425776"/>
    <w:rsid w:val="004258C9"/>
    <w:rsid w:val="004258D0"/>
    <w:rsid w:val="00425D8B"/>
    <w:rsid w:val="00427475"/>
    <w:rsid w:val="00427DFA"/>
    <w:rsid w:val="00427F4F"/>
    <w:rsid w:val="00431E7C"/>
    <w:rsid w:val="004335C2"/>
    <w:rsid w:val="004356D5"/>
    <w:rsid w:val="00435CCD"/>
    <w:rsid w:val="00436853"/>
    <w:rsid w:val="00440824"/>
    <w:rsid w:val="004414FA"/>
    <w:rsid w:val="0044304F"/>
    <w:rsid w:val="004442F3"/>
    <w:rsid w:val="00444CC2"/>
    <w:rsid w:val="00446D54"/>
    <w:rsid w:val="00450D47"/>
    <w:rsid w:val="0045208C"/>
    <w:rsid w:val="00453067"/>
    <w:rsid w:val="004530A4"/>
    <w:rsid w:val="0045530A"/>
    <w:rsid w:val="00460C1D"/>
    <w:rsid w:val="00461579"/>
    <w:rsid w:val="0046495D"/>
    <w:rsid w:val="004664F7"/>
    <w:rsid w:val="00467C79"/>
    <w:rsid w:val="00470294"/>
    <w:rsid w:val="00470DE3"/>
    <w:rsid w:val="00471542"/>
    <w:rsid w:val="00471C8B"/>
    <w:rsid w:val="00472648"/>
    <w:rsid w:val="0047388F"/>
    <w:rsid w:val="00473D05"/>
    <w:rsid w:val="0047512A"/>
    <w:rsid w:val="00484195"/>
    <w:rsid w:val="004841C5"/>
    <w:rsid w:val="00485DE9"/>
    <w:rsid w:val="00486327"/>
    <w:rsid w:val="00486BE1"/>
    <w:rsid w:val="00487F66"/>
    <w:rsid w:val="00492993"/>
    <w:rsid w:val="004932ED"/>
    <w:rsid w:val="004A03AE"/>
    <w:rsid w:val="004A3F9A"/>
    <w:rsid w:val="004A5EBC"/>
    <w:rsid w:val="004A7FF5"/>
    <w:rsid w:val="004B0AD2"/>
    <w:rsid w:val="004B171E"/>
    <w:rsid w:val="004B1ED8"/>
    <w:rsid w:val="004B1FDA"/>
    <w:rsid w:val="004B2551"/>
    <w:rsid w:val="004B5D28"/>
    <w:rsid w:val="004B606D"/>
    <w:rsid w:val="004B69F0"/>
    <w:rsid w:val="004B6B3B"/>
    <w:rsid w:val="004B72CB"/>
    <w:rsid w:val="004C22DE"/>
    <w:rsid w:val="004C23DB"/>
    <w:rsid w:val="004C27E9"/>
    <w:rsid w:val="004C669F"/>
    <w:rsid w:val="004C6B16"/>
    <w:rsid w:val="004C7568"/>
    <w:rsid w:val="004D20F5"/>
    <w:rsid w:val="004D4C13"/>
    <w:rsid w:val="004D63A0"/>
    <w:rsid w:val="004D7349"/>
    <w:rsid w:val="004D78AE"/>
    <w:rsid w:val="004E0EFB"/>
    <w:rsid w:val="004E1C8F"/>
    <w:rsid w:val="004E59EF"/>
    <w:rsid w:val="004F1218"/>
    <w:rsid w:val="004F1FCF"/>
    <w:rsid w:val="004F2CE5"/>
    <w:rsid w:val="004F2DCC"/>
    <w:rsid w:val="004F5848"/>
    <w:rsid w:val="00501C3E"/>
    <w:rsid w:val="00501CC3"/>
    <w:rsid w:val="005026EE"/>
    <w:rsid w:val="005043AB"/>
    <w:rsid w:val="005047BC"/>
    <w:rsid w:val="005049A5"/>
    <w:rsid w:val="005049E6"/>
    <w:rsid w:val="00505729"/>
    <w:rsid w:val="00507277"/>
    <w:rsid w:val="00507393"/>
    <w:rsid w:val="0050752E"/>
    <w:rsid w:val="00507A92"/>
    <w:rsid w:val="005103FF"/>
    <w:rsid w:val="005124ED"/>
    <w:rsid w:val="005149A6"/>
    <w:rsid w:val="0051580A"/>
    <w:rsid w:val="00515A69"/>
    <w:rsid w:val="00517B74"/>
    <w:rsid w:val="0052033E"/>
    <w:rsid w:val="005204A4"/>
    <w:rsid w:val="005226F4"/>
    <w:rsid w:val="005231F7"/>
    <w:rsid w:val="005259BB"/>
    <w:rsid w:val="005260EC"/>
    <w:rsid w:val="00526BDC"/>
    <w:rsid w:val="00530433"/>
    <w:rsid w:val="00530D1B"/>
    <w:rsid w:val="005310D6"/>
    <w:rsid w:val="00531B8D"/>
    <w:rsid w:val="00531F58"/>
    <w:rsid w:val="005325D0"/>
    <w:rsid w:val="0053299F"/>
    <w:rsid w:val="00533004"/>
    <w:rsid w:val="005337DB"/>
    <w:rsid w:val="00535A0B"/>
    <w:rsid w:val="005368C3"/>
    <w:rsid w:val="00540301"/>
    <w:rsid w:val="00541BE0"/>
    <w:rsid w:val="0054464F"/>
    <w:rsid w:val="00544900"/>
    <w:rsid w:val="005468C1"/>
    <w:rsid w:val="00546C32"/>
    <w:rsid w:val="00551871"/>
    <w:rsid w:val="00551B7A"/>
    <w:rsid w:val="00552BAB"/>
    <w:rsid w:val="005536FF"/>
    <w:rsid w:val="00553722"/>
    <w:rsid w:val="0055404F"/>
    <w:rsid w:val="005543E7"/>
    <w:rsid w:val="005558FC"/>
    <w:rsid w:val="0055773E"/>
    <w:rsid w:val="005608CA"/>
    <w:rsid w:val="00560DA5"/>
    <w:rsid w:val="00561CF6"/>
    <w:rsid w:val="00563323"/>
    <w:rsid w:val="005646A3"/>
    <w:rsid w:val="00567D54"/>
    <w:rsid w:val="0057046D"/>
    <w:rsid w:val="00570A22"/>
    <w:rsid w:val="005721DD"/>
    <w:rsid w:val="00572CAF"/>
    <w:rsid w:val="00573B8D"/>
    <w:rsid w:val="00574A38"/>
    <w:rsid w:val="0057656B"/>
    <w:rsid w:val="00576987"/>
    <w:rsid w:val="00577B6B"/>
    <w:rsid w:val="00581BA2"/>
    <w:rsid w:val="00582FF2"/>
    <w:rsid w:val="00583887"/>
    <w:rsid w:val="00584450"/>
    <w:rsid w:val="00584B2D"/>
    <w:rsid w:val="0058655A"/>
    <w:rsid w:val="00586E1F"/>
    <w:rsid w:val="00587624"/>
    <w:rsid w:val="00591E62"/>
    <w:rsid w:val="0059280B"/>
    <w:rsid w:val="0059334E"/>
    <w:rsid w:val="00594D72"/>
    <w:rsid w:val="005950C2"/>
    <w:rsid w:val="0059649E"/>
    <w:rsid w:val="005969EF"/>
    <w:rsid w:val="005979A6"/>
    <w:rsid w:val="005A0BBC"/>
    <w:rsid w:val="005A242C"/>
    <w:rsid w:val="005A3414"/>
    <w:rsid w:val="005A3674"/>
    <w:rsid w:val="005A373A"/>
    <w:rsid w:val="005A6025"/>
    <w:rsid w:val="005A7E9F"/>
    <w:rsid w:val="005B2297"/>
    <w:rsid w:val="005B292D"/>
    <w:rsid w:val="005B3861"/>
    <w:rsid w:val="005B3B1E"/>
    <w:rsid w:val="005B7C46"/>
    <w:rsid w:val="005C1486"/>
    <w:rsid w:val="005C19E8"/>
    <w:rsid w:val="005C30BE"/>
    <w:rsid w:val="005C5FFD"/>
    <w:rsid w:val="005C6C8F"/>
    <w:rsid w:val="005C6CFE"/>
    <w:rsid w:val="005D0AA8"/>
    <w:rsid w:val="005D0BB9"/>
    <w:rsid w:val="005D0C2E"/>
    <w:rsid w:val="005D3977"/>
    <w:rsid w:val="005D4779"/>
    <w:rsid w:val="005D5DF0"/>
    <w:rsid w:val="005D6858"/>
    <w:rsid w:val="005D70B4"/>
    <w:rsid w:val="005E09B9"/>
    <w:rsid w:val="005E1878"/>
    <w:rsid w:val="005E1E04"/>
    <w:rsid w:val="005E3B93"/>
    <w:rsid w:val="005E4BC3"/>
    <w:rsid w:val="005E65AF"/>
    <w:rsid w:val="005E6D82"/>
    <w:rsid w:val="005F1B7D"/>
    <w:rsid w:val="005F2637"/>
    <w:rsid w:val="005F275B"/>
    <w:rsid w:val="005F2B60"/>
    <w:rsid w:val="005F356E"/>
    <w:rsid w:val="005F52AE"/>
    <w:rsid w:val="005F585B"/>
    <w:rsid w:val="005F6755"/>
    <w:rsid w:val="005F6C98"/>
    <w:rsid w:val="005F7190"/>
    <w:rsid w:val="00600A5C"/>
    <w:rsid w:val="006016C1"/>
    <w:rsid w:val="00601CA7"/>
    <w:rsid w:val="00602D18"/>
    <w:rsid w:val="00603099"/>
    <w:rsid w:val="0060328F"/>
    <w:rsid w:val="00603EB7"/>
    <w:rsid w:val="006045AC"/>
    <w:rsid w:val="00604FCE"/>
    <w:rsid w:val="00605FCE"/>
    <w:rsid w:val="00606BE5"/>
    <w:rsid w:val="006118E2"/>
    <w:rsid w:val="00613593"/>
    <w:rsid w:val="00614258"/>
    <w:rsid w:val="00615051"/>
    <w:rsid w:val="00615E4B"/>
    <w:rsid w:val="00620351"/>
    <w:rsid w:val="00621A1F"/>
    <w:rsid w:val="006237E5"/>
    <w:rsid w:val="0062402A"/>
    <w:rsid w:val="00627905"/>
    <w:rsid w:val="00627D01"/>
    <w:rsid w:val="00630FF4"/>
    <w:rsid w:val="00634772"/>
    <w:rsid w:val="00635BAA"/>
    <w:rsid w:val="006369DF"/>
    <w:rsid w:val="006421C0"/>
    <w:rsid w:val="0064411E"/>
    <w:rsid w:val="00645440"/>
    <w:rsid w:val="00645B08"/>
    <w:rsid w:val="00650542"/>
    <w:rsid w:val="00651E15"/>
    <w:rsid w:val="0065296A"/>
    <w:rsid w:val="00654554"/>
    <w:rsid w:val="0065568F"/>
    <w:rsid w:val="00656193"/>
    <w:rsid w:val="00656A45"/>
    <w:rsid w:val="0066263E"/>
    <w:rsid w:val="00662812"/>
    <w:rsid w:val="00663564"/>
    <w:rsid w:val="00664E15"/>
    <w:rsid w:val="00667158"/>
    <w:rsid w:val="006674E4"/>
    <w:rsid w:val="00670515"/>
    <w:rsid w:val="006734C2"/>
    <w:rsid w:val="00675007"/>
    <w:rsid w:val="00680559"/>
    <w:rsid w:val="00680998"/>
    <w:rsid w:val="00681EA6"/>
    <w:rsid w:val="00682303"/>
    <w:rsid w:val="006830AD"/>
    <w:rsid w:val="006846D4"/>
    <w:rsid w:val="00684AB8"/>
    <w:rsid w:val="006853FE"/>
    <w:rsid w:val="00686676"/>
    <w:rsid w:val="00690BEF"/>
    <w:rsid w:val="00690CD6"/>
    <w:rsid w:val="00690E2D"/>
    <w:rsid w:val="00691AC7"/>
    <w:rsid w:val="00692902"/>
    <w:rsid w:val="006946AD"/>
    <w:rsid w:val="00695630"/>
    <w:rsid w:val="006964A6"/>
    <w:rsid w:val="00697C9D"/>
    <w:rsid w:val="006A0981"/>
    <w:rsid w:val="006A17C3"/>
    <w:rsid w:val="006A4525"/>
    <w:rsid w:val="006A4B11"/>
    <w:rsid w:val="006A59C7"/>
    <w:rsid w:val="006A63E9"/>
    <w:rsid w:val="006B0F92"/>
    <w:rsid w:val="006B1463"/>
    <w:rsid w:val="006B14B5"/>
    <w:rsid w:val="006B1BED"/>
    <w:rsid w:val="006B4105"/>
    <w:rsid w:val="006B5E4B"/>
    <w:rsid w:val="006B744B"/>
    <w:rsid w:val="006C0EBB"/>
    <w:rsid w:val="006C1C25"/>
    <w:rsid w:val="006C3DC9"/>
    <w:rsid w:val="006C5304"/>
    <w:rsid w:val="006C7B62"/>
    <w:rsid w:val="006D0789"/>
    <w:rsid w:val="006D1038"/>
    <w:rsid w:val="006D1D6D"/>
    <w:rsid w:val="006D2B32"/>
    <w:rsid w:val="006D35C2"/>
    <w:rsid w:val="006D3B58"/>
    <w:rsid w:val="006D3BB9"/>
    <w:rsid w:val="006D6E5F"/>
    <w:rsid w:val="006D75F7"/>
    <w:rsid w:val="006E0B0B"/>
    <w:rsid w:val="006E0E61"/>
    <w:rsid w:val="006E3026"/>
    <w:rsid w:val="006E3A3F"/>
    <w:rsid w:val="006E3BBA"/>
    <w:rsid w:val="006E4219"/>
    <w:rsid w:val="006E677E"/>
    <w:rsid w:val="006F0952"/>
    <w:rsid w:val="006F15A8"/>
    <w:rsid w:val="006F3F57"/>
    <w:rsid w:val="006F4B60"/>
    <w:rsid w:val="006F5513"/>
    <w:rsid w:val="006F5F2C"/>
    <w:rsid w:val="006F5FD1"/>
    <w:rsid w:val="0070379E"/>
    <w:rsid w:val="00703F3D"/>
    <w:rsid w:val="00705C5E"/>
    <w:rsid w:val="00706E33"/>
    <w:rsid w:val="007072FD"/>
    <w:rsid w:val="00710242"/>
    <w:rsid w:val="00711057"/>
    <w:rsid w:val="0071177D"/>
    <w:rsid w:val="007119BB"/>
    <w:rsid w:val="00711F4B"/>
    <w:rsid w:val="007122C1"/>
    <w:rsid w:val="00714E6E"/>
    <w:rsid w:val="00716971"/>
    <w:rsid w:val="007236F5"/>
    <w:rsid w:val="00724393"/>
    <w:rsid w:val="007264FF"/>
    <w:rsid w:val="00726930"/>
    <w:rsid w:val="00727A7B"/>
    <w:rsid w:val="00730D99"/>
    <w:rsid w:val="0073125A"/>
    <w:rsid w:val="00732020"/>
    <w:rsid w:val="00734990"/>
    <w:rsid w:val="007354F5"/>
    <w:rsid w:val="00735506"/>
    <w:rsid w:val="00736E3E"/>
    <w:rsid w:val="007403A3"/>
    <w:rsid w:val="007405D0"/>
    <w:rsid w:val="00740B78"/>
    <w:rsid w:val="007420AA"/>
    <w:rsid w:val="00745441"/>
    <w:rsid w:val="00745936"/>
    <w:rsid w:val="00745982"/>
    <w:rsid w:val="00746A15"/>
    <w:rsid w:val="00747E93"/>
    <w:rsid w:val="0075372C"/>
    <w:rsid w:val="00754D00"/>
    <w:rsid w:val="00755C9B"/>
    <w:rsid w:val="00755E27"/>
    <w:rsid w:val="0076170A"/>
    <w:rsid w:val="00761FEC"/>
    <w:rsid w:val="00766728"/>
    <w:rsid w:val="00766994"/>
    <w:rsid w:val="00770957"/>
    <w:rsid w:val="00771169"/>
    <w:rsid w:val="00771503"/>
    <w:rsid w:val="007719FE"/>
    <w:rsid w:val="00772DFD"/>
    <w:rsid w:val="00773643"/>
    <w:rsid w:val="00775CE4"/>
    <w:rsid w:val="0077675B"/>
    <w:rsid w:val="00776762"/>
    <w:rsid w:val="00777419"/>
    <w:rsid w:val="00777589"/>
    <w:rsid w:val="00783BDC"/>
    <w:rsid w:val="0078493D"/>
    <w:rsid w:val="007918F8"/>
    <w:rsid w:val="00791DED"/>
    <w:rsid w:val="00792766"/>
    <w:rsid w:val="0079438C"/>
    <w:rsid w:val="00794661"/>
    <w:rsid w:val="007A0BF7"/>
    <w:rsid w:val="007A2781"/>
    <w:rsid w:val="007A4399"/>
    <w:rsid w:val="007A6945"/>
    <w:rsid w:val="007A76CC"/>
    <w:rsid w:val="007A77ED"/>
    <w:rsid w:val="007B4A8F"/>
    <w:rsid w:val="007B591E"/>
    <w:rsid w:val="007B7AA4"/>
    <w:rsid w:val="007C04F3"/>
    <w:rsid w:val="007C3AB3"/>
    <w:rsid w:val="007C55DE"/>
    <w:rsid w:val="007C6B83"/>
    <w:rsid w:val="007D3965"/>
    <w:rsid w:val="007D44AA"/>
    <w:rsid w:val="007D5EA3"/>
    <w:rsid w:val="007D64E3"/>
    <w:rsid w:val="007D652F"/>
    <w:rsid w:val="007E0381"/>
    <w:rsid w:val="007E2E0A"/>
    <w:rsid w:val="007E4BF5"/>
    <w:rsid w:val="007E5810"/>
    <w:rsid w:val="007E5B2B"/>
    <w:rsid w:val="007E7B12"/>
    <w:rsid w:val="007F195E"/>
    <w:rsid w:val="007F4554"/>
    <w:rsid w:val="007F5566"/>
    <w:rsid w:val="007F7096"/>
    <w:rsid w:val="008004CB"/>
    <w:rsid w:val="008013AA"/>
    <w:rsid w:val="008015A5"/>
    <w:rsid w:val="00804A6E"/>
    <w:rsid w:val="008067C0"/>
    <w:rsid w:val="00806E69"/>
    <w:rsid w:val="0081245B"/>
    <w:rsid w:val="00812B82"/>
    <w:rsid w:val="008159E1"/>
    <w:rsid w:val="00816F5C"/>
    <w:rsid w:val="0081714A"/>
    <w:rsid w:val="00820B36"/>
    <w:rsid w:val="008229CC"/>
    <w:rsid w:val="00831E0C"/>
    <w:rsid w:val="00832CCF"/>
    <w:rsid w:val="00834FD2"/>
    <w:rsid w:val="00835B9E"/>
    <w:rsid w:val="00836A71"/>
    <w:rsid w:val="008377BD"/>
    <w:rsid w:val="008400AC"/>
    <w:rsid w:val="008403DA"/>
    <w:rsid w:val="00841DA1"/>
    <w:rsid w:val="008429F7"/>
    <w:rsid w:val="008431AA"/>
    <w:rsid w:val="00843C46"/>
    <w:rsid w:val="00846A3E"/>
    <w:rsid w:val="00846FED"/>
    <w:rsid w:val="00847286"/>
    <w:rsid w:val="0085015A"/>
    <w:rsid w:val="00851582"/>
    <w:rsid w:val="0085171A"/>
    <w:rsid w:val="00852B4C"/>
    <w:rsid w:val="00852DB5"/>
    <w:rsid w:val="00861226"/>
    <w:rsid w:val="00862DCB"/>
    <w:rsid w:val="008652BC"/>
    <w:rsid w:val="008669E7"/>
    <w:rsid w:val="00866CDE"/>
    <w:rsid w:val="008716E3"/>
    <w:rsid w:val="00871FB0"/>
    <w:rsid w:val="0087232C"/>
    <w:rsid w:val="00872BB2"/>
    <w:rsid w:val="00873F7C"/>
    <w:rsid w:val="00875F6F"/>
    <w:rsid w:val="00876235"/>
    <w:rsid w:val="0087708E"/>
    <w:rsid w:val="0088088E"/>
    <w:rsid w:val="00880D04"/>
    <w:rsid w:val="008814E1"/>
    <w:rsid w:val="00881771"/>
    <w:rsid w:val="008817D7"/>
    <w:rsid w:val="00884226"/>
    <w:rsid w:val="00886394"/>
    <w:rsid w:val="008904B4"/>
    <w:rsid w:val="008907FC"/>
    <w:rsid w:val="00891910"/>
    <w:rsid w:val="00891BCB"/>
    <w:rsid w:val="00892407"/>
    <w:rsid w:val="008926C2"/>
    <w:rsid w:val="00892876"/>
    <w:rsid w:val="00892CF3"/>
    <w:rsid w:val="00893726"/>
    <w:rsid w:val="00894392"/>
    <w:rsid w:val="00896495"/>
    <w:rsid w:val="00896B5D"/>
    <w:rsid w:val="008A04DC"/>
    <w:rsid w:val="008A0E1B"/>
    <w:rsid w:val="008A1470"/>
    <w:rsid w:val="008A174F"/>
    <w:rsid w:val="008A1FD0"/>
    <w:rsid w:val="008A2112"/>
    <w:rsid w:val="008A696B"/>
    <w:rsid w:val="008A7C97"/>
    <w:rsid w:val="008B0436"/>
    <w:rsid w:val="008B054E"/>
    <w:rsid w:val="008B2A1A"/>
    <w:rsid w:val="008B2F2C"/>
    <w:rsid w:val="008B3A19"/>
    <w:rsid w:val="008B5603"/>
    <w:rsid w:val="008B7E39"/>
    <w:rsid w:val="008C0C0D"/>
    <w:rsid w:val="008C1752"/>
    <w:rsid w:val="008C1C88"/>
    <w:rsid w:val="008C2025"/>
    <w:rsid w:val="008C2618"/>
    <w:rsid w:val="008C435A"/>
    <w:rsid w:val="008C4686"/>
    <w:rsid w:val="008C5176"/>
    <w:rsid w:val="008C5B78"/>
    <w:rsid w:val="008C5BBF"/>
    <w:rsid w:val="008C6CC3"/>
    <w:rsid w:val="008C71F8"/>
    <w:rsid w:val="008C750D"/>
    <w:rsid w:val="008D3967"/>
    <w:rsid w:val="008D3E4C"/>
    <w:rsid w:val="008D4670"/>
    <w:rsid w:val="008D4CC5"/>
    <w:rsid w:val="008D5581"/>
    <w:rsid w:val="008D60E4"/>
    <w:rsid w:val="008D6CC0"/>
    <w:rsid w:val="008D6F45"/>
    <w:rsid w:val="008D7608"/>
    <w:rsid w:val="008D7B8C"/>
    <w:rsid w:val="008D7FA6"/>
    <w:rsid w:val="008E0E41"/>
    <w:rsid w:val="008E0F63"/>
    <w:rsid w:val="008E1C7E"/>
    <w:rsid w:val="008E3C8D"/>
    <w:rsid w:val="008E4155"/>
    <w:rsid w:val="008E5C7D"/>
    <w:rsid w:val="008E70AC"/>
    <w:rsid w:val="008F232C"/>
    <w:rsid w:val="008F26E9"/>
    <w:rsid w:val="008F2C26"/>
    <w:rsid w:val="008F34ED"/>
    <w:rsid w:val="008F3F0B"/>
    <w:rsid w:val="008F3FDD"/>
    <w:rsid w:val="008F63A1"/>
    <w:rsid w:val="008F7B24"/>
    <w:rsid w:val="009019F4"/>
    <w:rsid w:val="0090254B"/>
    <w:rsid w:val="00905317"/>
    <w:rsid w:val="009065EA"/>
    <w:rsid w:val="00906B0A"/>
    <w:rsid w:val="00906EBB"/>
    <w:rsid w:val="0091138A"/>
    <w:rsid w:val="00912D57"/>
    <w:rsid w:val="009132C9"/>
    <w:rsid w:val="009136CF"/>
    <w:rsid w:val="0091492F"/>
    <w:rsid w:val="00914F0E"/>
    <w:rsid w:val="00915E6E"/>
    <w:rsid w:val="00916F9B"/>
    <w:rsid w:val="0092183B"/>
    <w:rsid w:val="00921A9E"/>
    <w:rsid w:val="0092324B"/>
    <w:rsid w:val="00926DAA"/>
    <w:rsid w:val="0092798D"/>
    <w:rsid w:val="00930377"/>
    <w:rsid w:val="00931AAD"/>
    <w:rsid w:val="00931D4E"/>
    <w:rsid w:val="00931F4E"/>
    <w:rsid w:val="009341E6"/>
    <w:rsid w:val="00935C37"/>
    <w:rsid w:val="00935D2C"/>
    <w:rsid w:val="00936B91"/>
    <w:rsid w:val="00936D46"/>
    <w:rsid w:val="0094070D"/>
    <w:rsid w:val="009408DF"/>
    <w:rsid w:val="00940F16"/>
    <w:rsid w:val="00941427"/>
    <w:rsid w:val="00941806"/>
    <w:rsid w:val="009422B4"/>
    <w:rsid w:val="0094298E"/>
    <w:rsid w:val="00943BBA"/>
    <w:rsid w:val="00944826"/>
    <w:rsid w:val="00945D32"/>
    <w:rsid w:val="00946495"/>
    <w:rsid w:val="009476D7"/>
    <w:rsid w:val="00950279"/>
    <w:rsid w:val="009503FA"/>
    <w:rsid w:val="00950780"/>
    <w:rsid w:val="00950C58"/>
    <w:rsid w:val="00951599"/>
    <w:rsid w:val="00951DA4"/>
    <w:rsid w:val="00953578"/>
    <w:rsid w:val="0095469B"/>
    <w:rsid w:val="009549FE"/>
    <w:rsid w:val="0096047B"/>
    <w:rsid w:val="00961FEE"/>
    <w:rsid w:val="00962E85"/>
    <w:rsid w:val="00963B26"/>
    <w:rsid w:val="00966FD0"/>
    <w:rsid w:val="00971350"/>
    <w:rsid w:val="00971628"/>
    <w:rsid w:val="009742CB"/>
    <w:rsid w:val="00974721"/>
    <w:rsid w:val="00975B56"/>
    <w:rsid w:val="00975F90"/>
    <w:rsid w:val="00976406"/>
    <w:rsid w:val="00980D9A"/>
    <w:rsid w:val="00983CDB"/>
    <w:rsid w:val="00984E84"/>
    <w:rsid w:val="00986A11"/>
    <w:rsid w:val="00987806"/>
    <w:rsid w:val="009878DB"/>
    <w:rsid w:val="00990FBF"/>
    <w:rsid w:val="00991491"/>
    <w:rsid w:val="00992E3D"/>
    <w:rsid w:val="00993327"/>
    <w:rsid w:val="00995287"/>
    <w:rsid w:val="00996567"/>
    <w:rsid w:val="0099737E"/>
    <w:rsid w:val="00997A58"/>
    <w:rsid w:val="009A032C"/>
    <w:rsid w:val="009A073B"/>
    <w:rsid w:val="009A364C"/>
    <w:rsid w:val="009A46F8"/>
    <w:rsid w:val="009A4963"/>
    <w:rsid w:val="009A4D53"/>
    <w:rsid w:val="009A54F8"/>
    <w:rsid w:val="009A717B"/>
    <w:rsid w:val="009A72E2"/>
    <w:rsid w:val="009A79E2"/>
    <w:rsid w:val="009A7D65"/>
    <w:rsid w:val="009B082E"/>
    <w:rsid w:val="009B0D6F"/>
    <w:rsid w:val="009B1136"/>
    <w:rsid w:val="009B4267"/>
    <w:rsid w:val="009B4EC7"/>
    <w:rsid w:val="009B4F8C"/>
    <w:rsid w:val="009B52A6"/>
    <w:rsid w:val="009B7B2E"/>
    <w:rsid w:val="009C0091"/>
    <w:rsid w:val="009C2DCC"/>
    <w:rsid w:val="009C42E9"/>
    <w:rsid w:val="009C43B6"/>
    <w:rsid w:val="009C68D0"/>
    <w:rsid w:val="009D036E"/>
    <w:rsid w:val="009D0872"/>
    <w:rsid w:val="009D10A6"/>
    <w:rsid w:val="009D1450"/>
    <w:rsid w:val="009D1D5B"/>
    <w:rsid w:val="009D1D64"/>
    <w:rsid w:val="009D2F33"/>
    <w:rsid w:val="009D355F"/>
    <w:rsid w:val="009D35E5"/>
    <w:rsid w:val="009D5183"/>
    <w:rsid w:val="009D6676"/>
    <w:rsid w:val="009D69A2"/>
    <w:rsid w:val="009D7029"/>
    <w:rsid w:val="009E15F9"/>
    <w:rsid w:val="009E19DC"/>
    <w:rsid w:val="009E1B24"/>
    <w:rsid w:val="009E1E2F"/>
    <w:rsid w:val="009E1FC5"/>
    <w:rsid w:val="009E3AC8"/>
    <w:rsid w:val="009E4576"/>
    <w:rsid w:val="009E4797"/>
    <w:rsid w:val="009E5B62"/>
    <w:rsid w:val="009E602B"/>
    <w:rsid w:val="009E60AD"/>
    <w:rsid w:val="009E7442"/>
    <w:rsid w:val="009F3717"/>
    <w:rsid w:val="009F53F1"/>
    <w:rsid w:val="009F7015"/>
    <w:rsid w:val="009F7335"/>
    <w:rsid w:val="009F7D37"/>
    <w:rsid w:val="00A0269F"/>
    <w:rsid w:val="00A032E5"/>
    <w:rsid w:val="00A0477E"/>
    <w:rsid w:val="00A11B4F"/>
    <w:rsid w:val="00A11B9B"/>
    <w:rsid w:val="00A11D95"/>
    <w:rsid w:val="00A13D4D"/>
    <w:rsid w:val="00A14969"/>
    <w:rsid w:val="00A17506"/>
    <w:rsid w:val="00A21EAC"/>
    <w:rsid w:val="00A24094"/>
    <w:rsid w:val="00A2409B"/>
    <w:rsid w:val="00A25588"/>
    <w:rsid w:val="00A26D48"/>
    <w:rsid w:val="00A31964"/>
    <w:rsid w:val="00A321CC"/>
    <w:rsid w:val="00A325DE"/>
    <w:rsid w:val="00A33565"/>
    <w:rsid w:val="00A339EB"/>
    <w:rsid w:val="00A33EDC"/>
    <w:rsid w:val="00A34F8A"/>
    <w:rsid w:val="00A3534D"/>
    <w:rsid w:val="00A37053"/>
    <w:rsid w:val="00A438DE"/>
    <w:rsid w:val="00A43B6A"/>
    <w:rsid w:val="00A44CB0"/>
    <w:rsid w:val="00A45585"/>
    <w:rsid w:val="00A4681F"/>
    <w:rsid w:val="00A47572"/>
    <w:rsid w:val="00A50358"/>
    <w:rsid w:val="00A50D22"/>
    <w:rsid w:val="00A52F4B"/>
    <w:rsid w:val="00A54ABA"/>
    <w:rsid w:val="00A553A1"/>
    <w:rsid w:val="00A56413"/>
    <w:rsid w:val="00A567FE"/>
    <w:rsid w:val="00A575F4"/>
    <w:rsid w:val="00A60746"/>
    <w:rsid w:val="00A60D55"/>
    <w:rsid w:val="00A60D9B"/>
    <w:rsid w:val="00A60F7E"/>
    <w:rsid w:val="00A6406E"/>
    <w:rsid w:val="00A647E1"/>
    <w:rsid w:val="00A64BE5"/>
    <w:rsid w:val="00A662EE"/>
    <w:rsid w:val="00A67731"/>
    <w:rsid w:val="00A70A16"/>
    <w:rsid w:val="00A7211A"/>
    <w:rsid w:val="00A723EB"/>
    <w:rsid w:val="00A72C91"/>
    <w:rsid w:val="00A73DBB"/>
    <w:rsid w:val="00A747B6"/>
    <w:rsid w:val="00A80926"/>
    <w:rsid w:val="00A820CC"/>
    <w:rsid w:val="00A8236A"/>
    <w:rsid w:val="00A82E83"/>
    <w:rsid w:val="00A85062"/>
    <w:rsid w:val="00A8550B"/>
    <w:rsid w:val="00A860BD"/>
    <w:rsid w:val="00A912B5"/>
    <w:rsid w:val="00A91811"/>
    <w:rsid w:val="00A928BB"/>
    <w:rsid w:val="00A92B05"/>
    <w:rsid w:val="00A9630B"/>
    <w:rsid w:val="00A97E89"/>
    <w:rsid w:val="00AA00A9"/>
    <w:rsid w:val="00AA26FF"/>
    <w:rsid w:val="00AA3354"/>
    <w:rsid w:val="00AA405C"/>
    <w:rsid w:val="00AA491C"/>
    <w:rsid w:val="00AA5D99"/>
    <w:rsid w:val="00AA6A3B"/>
    <w:rsid w:val="00AB113F"/>
    <w:rsid w:val="00AB30BD"/>
    <w:rsid w:val="00AB5F6A"/>
    <w:rsid w:val="00AC479E"/>
    <w:rsid w:val="00AC5273"/>
    <w:rsid w:val="00AC62D1"/>
    <w:rsid w:val="00AC648F"/>
    <w:rsid w:val="00AC77F9"/>
    <w:rsid w:val="00AD004D"/>
    <w:rsid w:val="00AD0559"/>
    <w:rsid w:val="00AD0789"/>
    <w:rsid w:val="00AD2516"/>
    <w:rsid w:val="00AD4D6C"/>
    <w:rsid w:val="00AE0155"/>
    <w:rsid w:val="00AE1732"/>
    <w:rsid w:val="00AE39EB"/>
    <w:rsid w:val="00AE3A46"/>
    <w:rsid w:val="00AE4CAE"/>
    <w:rsid w:val="00AE6A15"/>
    <w:rsid w:val="00AE6FDF"/>
    <w:rsid w:val="00AF112E"/>
    <w:rsid w:val="00AF2D55"/>
    <w:rsid w:val="00AF6026"/>
    <w:rsid w:val="00AF6336"/>
    <w:rsid w:val="00B00C6E"/>
    <w:rsid w:val="00B02F15"/>
    <w:rsid w:val="00B037D5"/>
    <w:rsid w:val="00B043B9"/>
    <w:rsid w:val="00B04770"/>
    <w:rsid w:val="00B062DF"/>
    <w:rsid w:val="00B12958"/>
    <w:rsid w:val="00B129BD"/>
    <w:rsid w:val="00B1326A"/>
    <w:rsid w:val="00B15FE6"/>
    <w:rsid w:val="00B163DC"/>
    <w:rsid w:val="00B200B5"/>
    <w:rsid w:val="00B23C18"/>
    <w:rsid w:val="00B271D9"/>
    <w:rsid w:val="00B303B1"/>
    <w:rsid w:val="00B30408"/>
    <w:rsid w:val="00B30B3C"/>
    <w:rsid w:val="00B30BFA"/>
    <w:rsid w:val="00B31915"/>
    <w:rsid w:val="00B3327A"/>
    <w:rsid w:val="00B35196"/>
    <w:rsid w:val="00B36C55"/>
    <w:rsid w:val="00B36F48"/>
    <w:rsid w:val="00B3712A"/>
    <w:rsid w:val="00B40539"/>
    <w:rsid w:val="00B41C82"/>
    <w:rsid w:val="00B4324D"/>
    <w:rsid w:val="00B4393E"/>
    <w:rsid w:val="00B45B21"/>
    <w:rsid w:val="00B5169D"/>
    <w:rsid w:val="00B52CDA"/>
    <w:rsid w:val="00B537E0"/>
    <w:rsid w:val="00B56316"/>
    <w:rsid w:val="00B57D02"/>
    <w:rsid w:val="00B638D8"/>
    <w:rsid w:val="00B63B61"/>
    <w:rsid w:val="00B63B68"/>
    <w:rsid w:val="00B660DE"/>
    <w:rsid w:val="00B66D4F"/>
    <w:rsid w:val="00B67226"/>
    <w:rsid w:val="00B673E0"/>
    <w:rsid w:val="00B67D9B"/>
    <w:rsid w:val="00B71771"/>
    <w:rsid w:val="00B72AF4"/>
    <w:rsid w:val="00B74ECD"/>
    <w:rsid w:val="00B75A5A"/>
    <w:rsid w:val="00B76066"/>
    <w:rsid w:val="00B800E0"/>
    <w:rsid w:val="00B81B34"/>
    <w:rsid w:val="00B83DA7"/>
    <w:rsid w:val="00B84F64"/>
    <w:rsid w:val="00B857CF"/>
    <w:rsid w:val="00B86D61"/>
    <w:rsid w:val="00B87380"/>
    <w:rsid w:val="00B87A94"/>
    <w:rsid w:val="00B87D0E"/>
    <w:rsid w:val="00B94C6F"/>
    <w:rsid w:val="00B94F3B"/>
    <w:rsid w:val="00B95F9B"/>
    <w:rsid w:val="00B972A5"/>
    <w:rsid w:val="00BA069D"/>
    <w:rsid w:val="00BA0881"/>
    <w:rsid w:val="00BA09B6"/>
    <w:rsid w:val="00BA1614"/>
    <w:rsid w:val="00BA1797"/>
    <w:rsid w:val="00BA3799"/>
    <w:rsid w:val="00BA5247"/>
    <w:rsid w:val="00BA57CB"/>
    <w:rsid w:val="00BA6622"/>
    <w:rsid w:val="00BA7105"/>
    <w:rsid w:val="00BA7508"/>
    <w:rsid w:val="00BA769C"/>
    <w:rsid w:val="00BB2076"/>
    <w:rsid w:val="00BB2CEE"/>
    <w:rsid w:val="00BB63CA"/>
    <w:rsid w:val="00BB7961"/>
    <w:rsid w:val="00BC0D87"/>
    <w:rsid w:val="00BC22B2"/>
    <w:rsid w:val="00BC3002"/>
    <w:rsid w:val="00BC50B9"/>
    <w:rsid w:val="00BD172E"/>
    <w:rsid w:val="00BD3749"/>
    <w:rsid w:val="00BD3BE8"/>
    <w:rsid w:val="00BD486B"/>
    <w:rsid w:val="00BD543E"/>
    <w:rsid w:val="00BD56B0"/>
    <w:rsid w:val="00BD79F1"/>
    <w:rsid w:val="00BE1020"/>
    <w:rsid w:val="00BE1E04"/>
    <w:rsid w:val="00BE3D5A"/>
    <w:rsid w:val="00BE414B"/>
    <w:rsid w:val="00BE7835"/>
    <w:rsid w:val="00BF173B"/>
    <w:rsid w:val="00BF1ACD"/>
    <w:rsid w:val="00BF37B5"/>
    <w:rsid w:val="00BF3C0D"/>
    <w:rsid w:val="00BF3CB8"/>
    <w:rsid w:val="00BF4125"/>
    <w:rsid w:val="00BF472E"/>
    <w:rsid w:val="00BF5773"/>
    <w:rsid w:val="00BF58EF"/>
    <w:rsid w:val="00BF6EDF"/>
    <w:rsid w:val="00BF7BE6"/>
    <w:rsid w:val="00C00C6E"/>
    <w:rsid w:val="00C02546"/>
    <w:rsid w:val="00C035C5"/>
    <w:rsid w:val="00C0379D"/>
    <w:rsid w:val="00C03C25"/>
    <w:rsid w:val="00C04801"/>
    <w:rsid w:val="00C04862"/>
    <w:rsid w:val="00C05246"/>
    <w:rsid w:val="00C065D9"/>
    <w:rsid w:val="00C076B3"/>
    <w:rsid w:val="00C1205B"/>
    <w:rsid w:val="00C129E9"/>
    <w:rsid w:val="00C1502A"/>
    <w:rsid w:val="00C17394"/>
    <w:rsid w:val="00C1749C"/>
    <w:rsid w:val="00C21470"/>
    <w:rsid w:val="00C22C42"/>
    <w:rsid w:val="00C23E30"/>
    <w:rsid w:val="00C26176"/>
    <w:rsid w:val="00C270CF"/>
    <w:rsid w:val="00C303E5"/>
    <w:rsid w:val="00C3074D"/>
    <w:rsid w:val="00C31454"/>
    <w:rsid w:val="00C31458"/>
    <w:rsid w:val="00C31DB3"/>
    <w:rsid w:val="00C3485E"/>
    <w:rsid w:val="00C354CF"/>
    <w:rsid w:val="00C359C6"/>
    <w:rsid w:val="00C35AA1"/>
    <w:rsid w:val="00C402AE"/>
    <w:rsid w:val="00C4087B"/>
    <w:rsid w:val="00C40ECF"/>
    <w:rsid w:val="00C415D4"/>
    <w:rsid w:val="00C42DAB"/>
    <w:rsid w:val="00C4388F"/>
    <w:rsid w:val="00C43D16"/>
    <w:rsid w:val="00C43F8F"/>
    <w:rsid w:val="00C45179"/>
    <w:rsid w:val="00C45B11"/>
    <w:rsid w:val="00C46556"/>
    <w:rsid w:val="00C46ED4"/>
    <w:rsid w:val="00C4706A"/>
    <w:rsid w:val="00C4725B"/>
    <w:rsid w:val="00C50801"/>
    <w:rsid w:val="00C510C8"/>
    <w:rsid w:val="00C5273C"/>
    <w:rsid w:val="00C53C60"/>
    <w:rsid w:val="00C53D86"/>
    <w:rsid w:val="00C53F15"/>
    <w:rsid w:val="00C540BD"/>
    <w:rsid w:val="00C547E3"/>
    <w:rsid w:val="00C560D7"/>
    <w:rsid w:val="00C5641D"/>
    <w:rsid w:val="00C57C27"/>
    <w:rsid w:val="00C57CDA"/>
    <w:rsid w:val="00C6008C"/>
    <w:rsid w:val="00C60EF4"/>
    <w:rsid w:val="00C61786"/>
    <w:rsid w:val="00C62C26"/>
    <w:rsid w:val="00C63078"/>
    <w:rsid w:val="00C6363F"/>
    <w:rsid w:val="00C64131"/>
    <w:rsid w:val="00C6550D"/>
    <w:rsid w:val="00C657C9"/>
    <w:rsid w:val="00C65B7A"/>
    <w:rsid w:val="00C65CE2"/>
    <w:rsid w:val="00C66BC7"/>
    <w:rsid w:val="00C67525"/>
    <w:rsid w:val="00C71714"/>
    <w:rsid w:val="00C71FE5"/>
    <w:rsid w:val="00C723D7"/>
    <w:rsid w:val="00C7272D"/>
    <w:rsid w:val="00C753CE"/>
    <w:rsid w:val="00C75B01"/>
    <w:rsid w:val="00C75FB7"/>
    <w:rsid w:val="00C766F8"/>
    <w:rsid w:val="00C80550"/>
    <w:rsid w:val="00C833CD"/>
    <w:rsid w:val="00C83F70"/>
    <w:rsid w:val="00C844A4"/>
    <w:rsid w:val="00C849DC"/>
    <w:rsid w:val="00C86F1F"/>
    <w:rsid w:val="00C86F20"/>
    <w:rsid w:val="00C87529"/>
    <w:rsid w:val="00C87655"/>
    <w:rsid w:val="00C93B2B"/>
    <w:rsid w:val="00C93B42"/>
    <w:rsid w:val="00C949DA"/>
    <w:rsid w:val="00C97EBA"/>
    <w:rsid w:val="00CA00E5"/>
    <w:rsid w:val="00CA0C59"/>
    <w:rsid w:val="00CA19F8"/>
    <w:rsid w:val="00CA2D6E"/>
    <w:rsid w:val="00CA3187"/>
    <w:rsid w:val="00CA5029"/>
    <w:rsid w:val="00CA53A0"/>
    <w:rsid w:val="00CA5581"/>
    <w:rsid w:val="00CA5AD3"/>
    <w:rsid w:val="00CA6B28"/>
    <w:rsid w:val="00CA72A3"/>
    <w:rsid w:val="00CB0BD3"/>
    <w:rsid w:val="00CB1EF3"/>
    <w:rsid w:val="00CB42EA"/>
    <w:rsid w:val="00CB53FA"/>
    <w:rsid w:val="00CB57C0"/>
    <w:rsid w:val="00CB64AA"/>
    <w:rsid w:val="00CB64B4"/>
    <w:rsid w:val="00CC00C1"/>
    <w:rsid w:val="00CC02B7"/>
    <w:rsid w:val="00CC0888"/>
    <w:rsid w:val="00CC0E18"/>
    <w:rsid w:val="00CC3AD4"/>
    <w:rsid w:val="00CC5447"/>
    <w:rsid w:val="00CC56A4"/>
    <w:rsid w:val="00CC6A18"/>
    <w:rsid w:val="00CC6E38"/>
    <w:rsid w:val="00CD0357"/>
    <w:rsid w:val="00CD099F"/>
    <w:rsid w:val="00CD3D6E"/>
    <w:rsid w:val="00CD58A8"/>
    <w:rsid w:val="00CD78B5"/>
    <w:rsid w:val="00CE1663"/>
    <w:rsid w:val="00CE405C"/>
    <w:rsid w:val="00CE45D0"/>
    <w:rsid w:val="00CE47CF"/>
    <w:rsid w:val="00CE58B4"/>
    <w:rsid w:val="00CE5D7D"/>
    <w:rsid w:val="00CE6210"/>
    <w:rsid w:val="00CE63DE"/>
    <w:rsid w:val="00CE6B0B"/>
    <w:rsid w:val="00CF2B2D"/>
    <w:rsid w:val="00CF3F3B"/>
    <w:rsid w:val="00CF5AEA"/>
    <w:rsid w:val="00D00748"/>
    <w:rsid w:val="00D01C2E"/>
    <w:rsid w:val="00D034AA"/>
    <w:rsid w:val="00D03501"/>
    <w:rsid w:val="00D03878"/>
    <w:rsid w:val="00D03F6F"/>
    <w:rsid w:val="00D05D32"/>
    <w:rsid w:val="00D072EA"/>
    <w:rsid w:val="00D10515"/>
    <w:rsid w:val="00D10AE9"/>
    <w:rsid w:val="00D112D2"/>
    <w:rsid w:val="00D12049"/>
    <w:rsid w:val="00D12DE0"/>
    <w:rsid w:val="00D135FB"/>
    <w:rsid w:val="00D139D8"/>
    <w:rsid w:val="00D20265"/>
    <w:rsid w:val="00D20A75"/>
    <w:rsid w:val="00D20BF7"/>
    <w:rsid w:val="00D21B1F"/>
    <w:rsid w:val="00D21D9A"/>
    <w:rsid w:val="00D221B4"/>
    <w:rsid w:val="00D22D8D"/>
    <w:rsid w:val="00D232ED"/>
    <w:rsid w:val="00D23CCB"/>
    <w:rsid w:val="00D256EF"/>
    <w:rsid w:val="00D257CB"/>
    <w:rsid w:val="00D261D4"/>
    <w:rsid w:val="00D311F6"/>
    <w:rsid w:val="00D324AC"/>
    <w:rsid w:val="00D33E42"/>
    <w:rsid w:val="00D34406"/>
    <w:rsid w:val="00D35113"/>
    <w:rsid w:val="00D354EE"/>
    <w:rsid w:val="00D3623B"/>
    <w:rsid w:val="00D36631"/>
    <w:rsid w:val="00D42D6F"/>
    <w:rsid w:val="00D44EB1"/>
    <w:rsid w:val="00D47B51"/>
    <w:rsid w:val="00D47F30"/>
    <w:rsid w:val="00D50CE3"/>
    <w:rsid w:val="00D51225"/>
    <w:rsid w:val="00D51697"/>
    <w:rsid w:val="00D51F9F"/>
    <w:rsid w:val="00D53C0B"/>
    <w:rsid w:val="00D5406A"/>
    <w:rsid w:val="00D54ACC"/>
    <w:rsid w:val="00D54F09"/>
    <w:rsid w:val="00D55065"/>
    <w:rsid w:val="00D60518"/>
    <w:rsid w:val="00D6293B"/>
    <w:rsid w:val="00D63003"/>
    <w:rsid w:val="00D63CE8"/>
    <w:rsid w:val="00D66404"/>
    <w:rsid w:val="00D66DB3"/>
    <w:rsid w:val="00D67989"/>
    <w:rsid w:val="00D72256"/>
    <w:rsid w:val="00D722B1"/>
    <w:rsid w:val="00D7262C"/>
    <w:rsid w:val="00D8170C"/>
    <w:rsid w:val="00D81A99"/>
    <w:rsid w:val="00D81F6E"/>
    <w:rsid w:val="00D84942"/>
    <w:rsid w:val="00D84D49"/>
    <w:rsid w:val="00D85D9A"/>
    <w:rsid w:val="00D86BBA"/>
    <w:rsid w:val="00D873E7"/>
    <w:rsid w:val="00D87FD5"/>
    <w:rsid w:val="00D90063"/>
    <w:rsid w:val="00D9022B"/>
    <w:rsid w:val="00D933AD"/>
    <w:rsid w:val="00D9397E"/>
    <w:rsid w:val="00D93F01"/>
    <w:rsid w:val="00D95D4D"/>
    <w:rsid w:val="00D967EA"/>
    <w:rsid w:val="00D97023"/>
    <w:rsid w:val="00DA09B1"/>
    <w:rsid w:val="00DA1EBB"/>
    <w:rsid w:val="00DA3E29"/>
    <w:rsid w:val="00DA3F6A"/>
    <w:rsid w:val="00DA4ECC"/>
    <w:rsid w:val="00DA5E5A"/>
    <w:rsid w:val="00DA6132"/>
    <w:rsid w:val="00DA7696"/>
    <w:rsid w:val="00DB186B"/>
    <w:rsid w:val="00DB1A20"/>
    <w:rsid w:val="00DB3E50"/>
    <w:rsid w:val="00DB511B"/>
    <w:rsid w:val="00DB7146"/>
    <w:rsid w:val="00DB7458"/>
    <w:rsid w:val="00DC1835"/>
    <w:rsid w:val="00DC1EC5"/>
    <w:rsid w:val="00DC1F20"/>
    <w:rsid w:val="00DC5694"/>
    <w:rsid w:val="00DC656F"/>
    <w:rsid w:val="00DC75E2"/>
    <w:rsid w:val="00DD0B23"/>
    <w:rsid w:val="00DD0F97"/>
    <w:rsid w:val="00DD11E8"/>
    <w:rsid w:val="00DD152E"/>
    <w:rsid w:val="00DD2D44"/>
    <w:rsid w:val="00DD4093"/>
    <w:rsid w:val="00DD5BC7"/>
    <w:rsid w:val="00DD6546"/>
    <w:rsid w:val="00DD6D08"/>
    <w:rsid w:val="00DE04B7"/>
    <w:rsid w:val="00DE0AD3"/>
    <w:rsid w:val="00DE17E2"/>
    <w:rsid w:val="00DE26DA"/>
    <w:rsid w:val="00DE4055"/>
    <w:rsid w:val="00DE4115"/>
    <w:rsid w:val="00DE42C4"/>
    <w:rsid w:val="00DE49F8"/>
    <w:rsid w:val="00DE6091"/>
    <w:rsid w:val="00DF160B"/>
    <w:rsid w:val="00DF2E99"/>
    <w:rsid w:val="00DF3D9C"/>
    <w:rsid w:val="00DF5EAF"/>
    <w:rsid w:val="00E01F56"/>
    <w:rsid w:val="00E030FE"/>
    <w:rsid w:val="00E05FB6"/>
    <w:rsid w:val="00E06349"/>
    <w:rsid w:val="00E06707"/>
    <w:rsid w:val="00E06EC4"/>
    <w:rsid w:val="00E07F46"/>
    <w:rsid w:val="00E1105F"/>
    <w:rsid w:val="00E13108"/>
    <w:rsid w:val="00E1348B"/>
    <w:rsid w:val="00E20998"/>
    <w:rsid w:val="00E20A0F"/>
    <w:rsid w:val="00E22712"/>
    <w:rsid w:val="00E22B9A"/>
    <w:rsid w:val="00E2353B"/>
    <w:rsid w:val="00E26607"/>
    <w:rsid w:val="00E2681F"/>
    <w:rsid w:val="00E278EB"/>
    <w:rsid w:val="00E27949"/>
    <w:rsid w:val="00E27B0C"/>
    <w:rsid w:val="00E27C16"/>
    <w:rsid w:val="00E30548"/>
    <w:rsid w:val="00E3112B"/>
    <w:rsid w:val="00E322ED"/>
    <w:rsid w:val="00E32408"/>
    <w:rsid w:val="00E360F9"/>
    <w:rsid w:val="00E37E28"/>
    <w:rsid w:val="00E405DC"/>
    <w:rsid w:val="00E454B1"/>
    <w:rsid w:val="00E50202"/>
    <w:rsid w:val="00E513D8"/>
    <w:rsid w:val="00E5261F"/>
    <w:rsid w:val="00E54B28"/>
    <w:rsid w:val="00E55FF1"/>
    <w:rsid w:val="00E6169F"/>
    <w:rsid w:val="00E61EA6"/>
    <w:rsid w:val="00E625BD"/>
    <w:rsid w:val="00E64F34"/>
    <w:rsid w:val="00E7062A"/>
    <w:rsid w:val="00E72969"/>
    <w:rsid w:val="00E72DAE"/>
    <w:rsid w:val="00E73C21"/>
    <w:rsid w:val="00E74717"/>
    <w:rsid w:val="00E74A23"/>
    <w:rsid w:val="00E75E44"/>
    <w:rsid w:val="00E83453"/>
    <w:rsid w:val="00E92026"/>
    <w:rsid w:val="00E927E7"/>
    <w:rsid w:val="00E93095"/>
    <w:rsid w:val="00E94E11"/>
    <w:rsid w:val="00E952EA"/>
    <w:rsid w:val="00E96DA5"/>
    <w:rsid w:val="00E97D47"/>
    <w:rsid w:val="00EA12CC"/>
    <w:rsid w:val="00EA241D"/>
    <w:rsid w:val="00EA4E08"/>
    <w:rsid w:val="00EA5261"/>
    <w:rsid w:val="00EA5909"/>
    <w:rsid w:val="00EA67B9"/>
    <w:rsid w:val="00EB01BD"/>
    <w:rsid w:val="00EB20A6"/>
    <w:rsid w:val="00EB22A5"/>
    <w:rsid w:val="00EB26D0"/>
    <w:rsid w:val="00EB2D99"/>
    <w:rsid w:val="00EB3C21"/>
    <w:rsid w:val="00EB3C47"/>
    <w:rsid w:val="00EB4CB4"/>
    <w:rsid w:val="00EB6DBC"/>
    <w:rsid w:val="00EC165F"/>
    <w:rsid w:val="00EC3C77"/>
    <w:rsid w:val="00EC3F9C"/>
    <w:rsid w:val="00EC4DA4"/>
    <w:rsid w:val="00EC5545"/>
    <w:rsid w:val="00EC6DA6"/>
    <w:rsid w:val="00ED017D"/>
    <w:rsid w:val="00ED1A72"/>
    <w:rsid w:val="00ED296C"/>
    <w:rsid w:val="00ED393C"/>
    <w:rsid w:val="00ED637A"/>
    <w:rsid w:val="00ED6CFD"/>
    <w:rsid w:val="00EE427C"/>
    <w:rsid w:val="00EE4E06"/>
    <w:rsid w:val="00EE54CD"/>
    <w:rsid w:val="00EE6469"/>
    <w:rsid w:val="00EF0125"/>
    <w:rsid w:val="00F002D8"/>
    <w:rsid w:val="00F01F11"/>
    <w:rsid w:val="00F020F0"/>
    <w:rsid w:val="00F027A1"/>
    <w:rsid w:val="00F02D2D"/>
    <w:rsid w:val="00F048B0"/>
    <w:rsid w:val="00F05D96"/>
    <w:rsid w:val="00F1199F"/>
    <w:rsid w:val="00F13955"/>
    <w:rsid w:val="00F1401E"/>
    <w:rsid w:val="00F14A2E"/>
    <w:rsid w:val="00F14C03"/>
    <w:rsid w:val="00F163F1"/>
    <w:rsid w:val="00F16582"/>
    <w:rsid w:val="00F16A6B"/>
    <w:rsid w:val="00F17097"/>
    <w:rsid w:val="00F17D44"/>
    <w:rsid w:val="00F21EE7"/>
    <w:rsid w:val="00F237B4"/>
    <w:rsid w:val="00F23C95"/>
    <w:rsid w:val="00F259FE"/>
    <w:rsid w:val="00F26ECE"/>
    <w:rsid w:val="00F26F6B"/>
    <w:rsid w:val="00F30EF0"/>
    <w:rsid w:val="00F31D22"/>
    <w:rsid w:val="00F328DE"/>
    <w:rsid w:val="00F342AC"/>
    <w:rsid w:val="00F345D3"/>
    <w:rsid w:val="00F350BE"/>
    <w:rsid w:val="00F42580"/>
    <w:rsid w:val="00F434C3"/>
    <w:rsid w:val="00F43621"/>
    <w:rsid w:val="00F45091"/>
    <w:rsid w:val="00F466E4"/>
    <w:rsid w:val="00F46D6E"/>
    <w:rsid w:val="00F47D69"/>
    <w:rsid w:val="00F511FE"/>
    <w:rsid w:val="00F517F2"/>
    <w:rsid w:val="00F51F70"/>
    <w:rsid w:val="00F5265F"/>
    <w:rsid w:val="00F5278A"/>
    <w:rsid w:val="00F529B8"/>
    <w:rsid w:val="00F52B05"/>
    <w:rsid w:val="00F53316"/>
    <w:rsid w:val="00F53950"/>
    <w:rsid w:val="00F54560"/>
    <w:rsid w:val="00F56960"/>
    <w:rsid w:val="00F56F62"/>
    <w:rsid w:val="00F57267"/>
    <w:rsid w:val="00F575E0"/>
    <w:rsid w:val="00F57724"/>
    <w:rsid w:val="00F57B9A"/>
    <w:rsid w:val="00F60100"/>
    <w:rsid w:val="00F60849"/>
    <w:rsid w:val="00F61D6A"/>
    <w:rsid w:val="00F63183"/>
    <w:rsid w:val="00F63268"/>
    <w:rsid w:val="00F64061"/>
    <w:rsid w:val="00F6644D"/>
    <w:rsid w:val="00F70D18"/>
    <w:rsid w:val="00F71411"/>
    <w:rsid w:val="00F75691"/>
    <w:rsid w:val="00F778BD"/>
    <w:rsid w:val="00F77907"/>
    <w:rsid w:val="00F809EF"/>
    <w:rsid w:val="00F83BEB"/>
    <w:rsid w:val="00F85932"/>
    <w:rsid w:val="00F87210"/>
    <w:rsid w:val="00F87656"/>
    <w:rsid w:val="00F90203"/>
    <w:rsid w:val="00F90D5D"/>
    <w:rsid w:val="00F917D5"/>
    <w:rsid w:val="00F947DD"/>
    <w:rsid w:val="00F947EC"/>
    <w:rsid w:val="00F95E51"/>
    <w:rsid w:val="00F964B5"/>
    <w:rsid w:val="00F97693"/>
    <w:rsid w:val="00F97CCF"/>
    <w:rsid w:val="00FA0085"/>
    <w:rsid w:val="00FA1C41"/>
    <w:rsid w:val="00FA1C50"/>
    <w:rsid w:val="00FA3956"/>
    <w:rsid w:val="00FA4138"/>
    <w:rsid w:val="00FA495D"/>
    <w:rsid w:val="00FA56DD"/>
    <w:rsid w:val="00FA652C"/>
    <w:rsid w:val="00FB2136"/>
    <w:rsid w:val="00FB244C"/>
    <w:rsid w:val="00FB299C"/>
    <w:rsid w:val="00FB4620"/>
    <w:rsid w:val="00FB5156"/>
    <w:rsid w:val="00FB531B"/>
    <w:rsid w:val="00FB54A9"/>
    <w:rsid w:val="00FB6BAF"/>
    <w:rsid w:val="00FB6CCE"/>
    <w:rsid w:val="00FB6FBB"/>
    <w:rsid w:val="00FB7013"/>
    <w:rsid w:val="00FB7DE9"/>
    <w:rsid w:val="00FC0EB3"/>
    <w:rsid w:val="00FC13BC"/>
    <w:rsid w:val="00FC176C"/>
    <w:rsid w:val="00FC19A1"/>
    <w:rsid w:val="00FC654B"/>
    <w:rsid w:val="00FD018D"/>
    <w:rsid w:val="00FD3030"/>
    <w:rsid w:val="00FD3456"/>
    <w:rsid w:val="00FD459B"/>
    <w:rsid w:val="00FD624F"/>
    <w:rsid w:val="00FD791E"/>
    <w:rsid w:val="00FE0B2F"/>
    <w:rsid w:val="00FE2815"/>
    <w:rsid w:val="00FE2C98"/>
    <w:rsid w:val="00FE4137"/>
    <w:rsid w:val="00FE5524"/>
    <w:rsid w:val="00FE78A2"/>
    <w:rsid w:val="00FF4D8D"/>
    <w:rsid w:val="0ADEA962"/>
    <w:rsid w:val="0B2C527A"/>
    <w:rsid w:val="0F10D76A"/>
    <w:rsid w:val="3000D331"/>
    <w:rsid w:val="31F26845"/>
    <w:rsid w:val="39F63047"/>
    <w:rsid w:val="422523C2"/>
    <w:rsid w:val="45A5514C"/>
    <w:rsid w:val="515FC9CF"/>
    <w:rsid w:val="52DD7E1A"/>
    <w:rsid w:val="5B0866F6"/>
    <w:rsid w:val="6933A32C"/>
    <w:rsid w:val="71F82FFB"/>
    <w:rsid w:val="77B57E6C"/>
    <w:rsid w:val="7A01B3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6EF8"/>
  <w15:docId w15:val="{5F72D5F3-4F22-4E9A-B7C2-145E8870A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B60"/>
    <w:pPr>
      <w:spacing w:after="120" w:line="276" w:lineRule="auto"/>
    </w:pPr>
    <w:rPr>
      <w:rFonts w:ascii="Calibri" w:hAnsi="Calibri"/>
      <w:sz w:val="22"/>
    </w:rPr>
  </w:style>
  <w:style w:type="paragraph" w:styleId="Heading1">
    <w:name w:val="heading 1"/>
    <w:basedOn w:val="Normal"/>
    <w:next w:val="Normal"/>
    <w:link w:val="Heading1Char"/>
    <w:uiPriority w:val="9"/>
    <w:qFormat/>
    <w:rsid w:val="00570A22"/>
    <w:pPr>
      <w:keepNext/>
      <w:keepLines/>
      <w:spacing w:before="200" w:line="240" w:lineRule="auto"/>
      <w:outlineLvl w:val="0"/>
    </w:pPr>
    <w:rPr>
      <w:rFonts w:eastAsiaTheme="majorEastAsia" w:cstheme="majorBidi"/>
      <w:b/>
      <w:bCs/>
      <w:color w:val="ED1B24"/>
      <w:sz w:val="32"/>
      <w:szCs w:val="28"/>
    </w:rPr>
  </w:style>
  <w:style w:type="paragraph" w:styleId="Heading2">
    <w:name w:val="heading 2"/>
    <w:basedOn w:val="Normal"/>
    <w:next w:val="Normal"/>
    <w:link w:val="Heading2Char"/>
    <w:uiPriority w:val="9"/>
    <w:qFormat/>
    <w:rsid w:val="00570A22"/>
    <w:pPr>
      <w:keepNext/>
      <w:keepLines/>
      <w:spacing w:before="200" w:line="240" w:lineRule="auto"/>
      <w:outlineLvl w:val="1"/>
    </w:pPr>
    <w:rPr>
      <w:rFonts w:eastAsiaTheme="majorEastAsia" w:cstheme="majorBidi"/>
      <w:bCs/>
      <w:color w:val="ED1B24"/>
      <w:sz w:val="28"/>
      <w:szCs w:val="26"/>
    </w:rPr>
  </w:style>
  <w:style w:type="paragraph" w:styleId="Heading3">
    <w:name w:val="heading 3"/>
    <w:basedOn w:val="Normal"/>
    <w:next w:val="Normal"/>
    <w:link w:val="Heading3Char"/>
    <w:uiPriority w:val="9"/>
    <w:qFormat/>
    <w:rsid w:val="00570A22"/>
    <w:pPr>
      <w:keepNext/>
      <w:keepLines/>
      <w:spacing w:before="200" w:line="240" w:lineRule="auto"/>
      <w:outlineLvl w:val="2"/>
    </w:pPr>
    <w:rPr>
      <w:rFonts w:eastAsiaTheme="majorEastAsia" w:cstheme="majorBidi"/>
      <w:b/>
      <w:bCs/>
      <w:color w:val="000000"/>
      <w:sz w:val="24"/>
    </w:rPr>
  </w:style>
  <w:style w:type="paragraph" w:styleId="Heading4">
    <w:name w:val="heading 4"/>
    <w:basedOn w:val="Normal"/>
    <w:next w:val="Normal"/>
    <w:link w:val="Heading4Char"/>
    <w:uiPriority w:val="9"/>
    <w:qFormat/>
    <w:rsid w:val="00570A22"/>
    <w:pPr>
      <w:keepNext/>
      <w:keepLines/>
      <w:spacing w:before="200" w:line="240" w:lineRule="auto"/>
      <w:outlineLvl w:val="3"/>
    </w:pPr>
    <w:rPr>
      <w:rFonts w:eastAsiaTheme="majorEastAsia" w:cstheme="majorBidi"/>
      <w:bCs/>
      <w:iCs/>
      <w:color w:val="000000"/>
    </w:rPr>
  </w:style>
  <w:style w:type="paragraph" w:styleId="Heading5">
    <w:name w:val="heading 5"/>
    <w:basedOn w:val="Heading4"/>
    <w:next w:val="Normal"/>
    <w:link w:val="Heading5Char"/>
    <w:uiPriority w:val="9"/>
    <w:semiHidden/>
    <w:unhideWhenUsed/>
    <w:qFormat/>
    <w:rsid w:val="005E09B9"/>
    <w:pPr>
      <w:numPr>
        <w:ilvl w:val="3"/>
      </w:numPr>
      <w:tabs>
        <w:tab w:val="num" w:pos="567"/>
      </w:tabs>
      <w:spacing w:before="240" w:after="240"/>
      <w:ind w:left="-567"/>
      <w:outlineLvl w:val="4"/>
    </w:pPr>
    <w:rPr>
      <w:rFonts w:asciiTheme="majorHAnsi" w:hAnsiTheme="majorHAnsi"/>
      <w:b/>
      <w:bCs w:val="0"/>
      <w:color w:val="365F91" w:themeColor="accent1" w:themeShade="BF"/>
      <w:sz w:val="24"/>
      <w:szCs w:val="26"/>
    </w:rPr>
  </w:style>
  <w:style w:type="paragraph" w:styleId="Heading6">
    <w:name w:val="heading 6"/>
    <w:basedOn w:val="Normal"/>
    <w:next w:val="Normal"/>
    <w:link w:val="Heading6Char"/>
    <w:uiPriority w:val="9"/>
    <w:semiHidden/>
    <w:unhideWhenUsed/>
    <w:qFormat/>
    <w:rsid w:val="005E09B9"/>
    <w:pPr>
      <w:keepNext/>
      <w:keepLines/>
      <w:spacing w:before="40" w:after="0" w:line="312" w:lineRule="auto"/>
      <w:outlineLvl w:val="5"/>
    </w:pPr>
    <w:rPr>
      <w:rFonts w:asciiTheme="majorHAnsi" w:eastAsiaTheme="majorEastAsia" w:hAnsiTheme="majorHAnsi" w:cstheme="majorBidi"/>
      <w:color w:val="243F60" w:themeColor="accent1" w:themeShade="7F"/>
      <w:sz w:val="20"/>
      <w:szCs w:val="24"/>
    </w:rPr>
  </w:style>
  <w:style w:type="paragraph" w:styleId="Heading7">
    <w:name w:val="heading 7"/>
    <w:basedOn w:val="Normal"/>
    <w:next w:val="Normal"/>
    <w:link w:val="Heading7Char"/>
    <w:uiPriority w:val="9"/>
    <w:semiHidden/>
    <w:unhideWhenUsed/>
    <w:qFormat/>
    <w:rsid w:val="005E09B9"/>
    <w:pPr>
      <w:keepNext/>
      <w:keepLines/>
      <w:spacing w:before="40" w:after="0" w:line="312" w:lineRule="auto"/>
      <w:outlineLvl w:val="6"/>
    </w:pPr>
    <w:rPr>
      <w:rFonts w:asciiTheme="majorHAnsi" w:eastAsiaTheme="majorEastAsia" w:hAnsiTheme="majorHAnsi" w:cstheme="majorBidi"/>
      <w:i/>
      <w:iCs/>
      <w:color w:val="243F60" w:themeColor="accent1" w:themeShade="7F"/>
      <w:sz w:val="20"/>
      <w:szCs w:val="24"/>
    </w:rPr>
  </w:style>
  <w:style w:type="paragraph" w:styleId="Heading8">
    <w:name w:val="heading 8"/>
    <w:basedOn w:val="Normal"/>
    <w:next w:val="Normal"/>
    <w:link w:val="Heading8Char"/>
    <w:uiPriority w:val="9"/>
    <w:semiHidden/>
    <w:unhideWhenUsed/>
    <w:qFormat/>
    <w:rsid w:val="005E09B9"/>
    <w:pPr>
      <w:keepNext/>
      <w:keepLines/>
      <w:spacing w:before="40" w:after="0" w:line="312"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09B9"/>
    <w:pPr>
      <w:keepNext/>
      <w:keepLines/>
      <w:spacing w:before="40" w:after="0" w:line="312"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3FA"/>
    <w:pPr>
      <w:spacing w:after="0" w:line="240" w:lineRule="auto"/>
    </w:pPr>
  </w:style>
  <w:style w:type="character" w:customStyle="1" w:styleId="HeaderChar">
    <w:name w:val="Header Char"/>
    <w:basedOn w:val="DefaultParagraphFont"/>
    <w:link w:val="Header"/>
    <w:uiPriority w:val="99"/>
    <w:rsid w:val="009503FA"/>
    <w:rPr>
      <w:rFonts w:ascii="Calibri" w:hAnsi="Calibri"/>
      <w:sz w:val="22"/>
    </w:rPr>
  </w:style>
  <w:style w:type="paragraph" w:styleId="Footer">
    <w:name w:val="footer"/>
    <w:basedOn w:val="Normal"/>
    <w:link w:val="FooterChar"/>
    <w:uiPriority w:val="99"/>
    <w:unhideWhenUsed/>
    <w:rsid w:val="00FD791E"/>
    <w:pPr>
      <w:pBdr>
        <w:top w:val="single" w:sz="4" w:space="3" w:color="ED1B24"/>
      </w:pBdr>
      <w:tabs>
        <w:tab w:val="right" w:pos="9630"/>
      </w:tabs>
      <w:spacing w:after="0" w:line="240" w:lineRule="auto"/>
    </w:pPr>
    <w:rPr>
      <w:sz w:val="19"/>
    </w:rPr>
  </w:style>
  <w:style w:type="character" w:customStyle="1" w:styleId="FooterChar">
    <w:name w:val="Footer Char"/>
    <w:basedOn w:val="DefaultParagraphFont"/>
    <w:link w:val="Footer"/>
    <w:uiPriority w:val="99"/>
    <w:rsid w:val="00FD791E"/>
    <w:rPr>
      <w:rFonts w:ascii="Calibri" w:hAnsi="Calibri"/>
      <w:sz w:val="19"/>
    </w:rPr>
  </w:style>
  <w:style w:type="table" w:styleId="TableGrid">
    <w:name w:val="Table Grid"/>
    <w:basedOn w:val="TableNormal"/>
    <w:uiPriority w:val="39"/>
    <w:rsid w:val="006F5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690CD6"/>
    <w:pPr>
      <w:keepNext/>
      <w:spacing w:before="20" w:after="20" w:line="240" w:lineRule="auto"/>
    </w:pPr>
  </w:style>
  <w:style w:type="paragraph" w:styleId="Date">
    <w:name w:val="Date"/>
    <w:basedOn w:val="Normal"/>
    <w:next w:val="Normal"/>
    <w:link w:val="DateChar"/>
    <w:uiPriority w:val="99"/>
    <w:qFormat/>
    <w:rsid w:val="00207D61"/>
    <w:pPr>
      <w:spacing w:after="360"/>
    </w:pPr>
  </w:style>
  <w:style w:type="character" w:customStyle="1" w:styleId="DateChar">
    <w:name w:val="Date Char"/>
    <w:basedOn w:val="DefaultParagraphFont"/>
    <w:link w:val="Date"/>
    <w:uiPriority w:val="99"/>
    <w:rsid w:val="00207D61"/>
    <w:rPr>
      <w:rFonts w:ascii="Calibri" w:hAnsi="Calibri"/>
      <w:sz w:val="22"/>
    </w:rPr>
  </w:style>
  <w:style w:type="character" w:customStyle="1" w:styleId="Heading1Char">
    <w:name w:val="Heading 1 Char"/>
    <w:basedOn w:val="DefaultParagraphFont"/>
    <w:link w:val="Heading1"/>
    <w:uiPriority w:val="9"/>
    <w:rsid w:val="00570A22"/>
    <w:rPr>
      <w:rFonts w:ascii="Calibri" w:eastAsiaTheme="majorEastAsia" w:hAnsi="Calibri" w:cstheme="majorBidi"/>
      <w:b/>
      <w:bCs/>
      <w:color w:val="ED1B24"/>
      <w:sz w:val="32"/>
      <w:szCs w:val="28"/>
    </w:rPr>
  </w:style>
  <w:style w:type="character" w:customStyle="1" w:styleId="Heading2Char">
    <w:name w:val="Heading 2 Char"/>
    <w:basedOn w:val="DefaultParagraphFont"/>
    <w:link w:val="Heading2"/>
    <w:uiPriority w:val="9"/>
    <w:rsid w:val="00570A22"/>
    <w:rPr>
      <w:rFonts w:ascii="Calibri" w:eastAsiaTheme="majorEastAsia" w:hAnsi="Calibri" w:cstheme="majorBidi"/>
      <w:bCs/>
      <w:color w:val="ED1B24"/>
      <w:sz w:val="28"/>
      <w:szCs w:val="26"/>
    </w:rPr>
  </w:style>
  <w:style w:type="character" w:customStyle="1" w:styleId="Heading3Char">
    <w:name w:val="Heading 3 Char"/>
    <w:basedOn w:val="DefaultParagraphFont"/>
    <w:link w:val="Heading3"/>
    <w:uiPriority w:val="9"/>
    <w:rsid w:val="00570A22"/>
    <w:rPr>
      <w:rFonts w:ascii="Calibri" w:eastAsiaTheme="majorEastAsia" w:hAnsi="Calibri" w:cstheme="majorBidi"/>
      <w:b/>
      <w:bCs/>
      <w:color w:val="000000"/>
      <w:sz w:val="24"/>
    </w:rPr>
  </w:style>
  <w:style w:type="character" w:customStyle="1" w:styleId="Heading4Char">
    <w:name w:val="Heading 4 Char"/>
    <w:basedOn w:val="DefaultParagraphFont"/>
    <w:link w:val="Heading4"/>
    <w:uiPriority w:val="9"/>
    <w:rsid w:val="00570A22"/>
    <w:rPr>
      <w:rFonts w:ascii="Calibri" w:eastAsiaTheme="majorEastAsia" w:hAnsi="Calibri" w:cstheme="majorBidi"/>
      <w:bCs/>
      <w:iCs/>
      <w:color w:val="000000"/>
      <w:sz w:val="22"/>
    </w:rPr>
  </w:style>
  <w:style w:type="character" w:styleId="PageNumber">
    <w:name w:val="page number"/>
    <w:basedOn w:val="DefaultParagraphFont"/>
    <w:uiPriority w:val="99"/>
    <w:semiHidden/>
    <w:unhideWhenUsed/>
    <w:rsid w:val="006F4B60"/>
    <w:rPr>
      <w:sz w:val="18"/>
    </w:rPr>
  </w:style>
  <w:style w:type="paragraph" w:customStyle="1" w:styleId="TableHeading">
    <w:name w:val="TableHeading"/>
    <w:basedOn w:val="TableText"/>
    <w:qFormat/>
    <w:rsid w:val="00690CD6"/>
    <w:pPr>
      <w:spacing w:before="60" w:after="60"/>
    </w:pPr>
    <w:rPr>
      <w:color w:val="FFFFFF"/>
    </w:rPr>
  </w:style>
  <w:style w:type="paragraph" w:customStyle="1" w:styleId="ReportTitle">
    <w:name w:val="ReportTitle"/>
    <w:basedOn w:val="Normal"/>
    <w:rsid w:val="00620351"/>
    <w:pPr>
      <w:spacing w:before="2960" w:after="4000" w:line="240" w:lineRule="auto"/>
    </w:pPr>
    <w:rPr>
      <w:b/>
      <w:color w:val="FFFFFF"/>
      <w:sz w:val="60"/>
    </w:rPr>
  </w:style>
  <w:style w:type="paragraph" w:customStyle="1" w:styleId="CopyrightInfo">
    <w:name w:val="CopyrightInfo"/>
    <w:basedOn w:val="Normal"/>
    <w:rsid w:val="00620351"/>
    <w:rPr>
      <w:sz w:val="16"/>
    </w:rPr>
  </w:style>
  <w:style w:type="paragraph" w:customStyle="1" w:styleId="ChapterTitle">
    <w:name w:val="ChapterTitle"/>
    <w:qFormat/>
    <w:rsid w:val="00706E33"/>
    <w:pPr>
      <w:pBdr>
        <w:bottom w:val="single" w:sz="12" w:space="1" w:color="ED1B24"/>
      </w:pBdr>
      <w:spacing w:after="720"/>
      <w:outlineLvl w:val="0"/>
    </w:pPr>
    <w:rPr>
      <w:rFonts w:ascii="Calibri" w:eastAsiaTheme="majorEastAsia" w:hAnsi="Calibri" w:cstheme="majorBidi"/>
      <w:b/>
      <w:bCs/>
      <w:color w:val="ED1B24"/>
      <w:sz w:val="50"/>
      <w:szCs w:val="28"/>
    </w:rPr>
  </w:style>
  <w:style w:type="paragraph" w:styleId="FootnoteText">
    <w:name w:val="footnote text"/>
    <w:basedOn w:val="Normal"/>
    <w:link w:val="FootnoteTextChar"/>
    <w:uiPriority w:val="99"/>
    <w:semiHidden/>
    <w:unhideWhenUsed/>
    <w:rsid w:val="00706E33"/>
    <w:pPr>
      <w:spacing w:after="0" w:line="240" w:lineRule="auto"/>
    </w:pPr>
    <w:rPr>
      <w:sz w:val="20"/>
    </w:rPr>
  </w:style>
  <w:style w:type="character" w:customStyle="1" w:styleId="FootnoteTextChar">
    <w:name w:val="Footnote Text Char"/>
    <w:basedOn w:val="DefaultParagraphFont"/>
    <w:link w:val="FootnoteText"/>
    <w:uiPriority w:val="99"/>
    <w:semiHidden/>
    <w:rsid w:val="00706E33"/>
    <w:rPr>
      <w:rFonts w:ascii="Calibri" w:hAnsi="Calibri"/>
    </w:rPr>
  </w:style>
  <w:style w:type="character" w:styleId="FootnoteReference">
    <w:name w:val="footnote reference"/>
    <w:basedOn w:val="DefaultParagraphFont"/>
    <w:uiPriority w:val="99"/>
    <w:semiHidden/>
    <w:unhideWhenUsed/>
    <w:rsid w:val="00706E33"/>
    <w:rPr>
      <w:vertAlign w:val="superscript"/>
    </w:rPr>
  </w:style>
  <w:style w:type="paragraph" w:customStyle="1" w:styleId="ContentsTitle">
    <w:name w:val="ContentsTitle"/>
    <w:basedOn w:val="ChapterTitle"/>
    <w:rsid w:val="00706E33"/>
    <w:pPr>
      <w:outlineLvl w:val="9"/>
    </w:pPr>
  </w:style>
  <w:style w:type="paragraph" w:styleId="TOCHeading">
    <w:name w:val="TOC Heading"/>
    <w:basedOn w:val="Heading1"/>
    <w:next w:val="Normal"/>
    <w:uiPriority w:val="39"/>
    <w:unhideWhenUsed/>
    <w:qFormat/>
    <w:rsid w:val="00706E33"/>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03607C"/>
    <w:pPr>
      <w:tabs>
        <w:tab w:val="right" w:leader="dot" w:pos="8449"/>
      </w:tabs>
      <w:spacing w:after="100"/>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3763FB"/>
    <w:pPr>
      <w:tabs>
        <w:tab w:val="right" w:leader="dot" w:pos="8449"/>
      </w:tabs>
      <w:spacing w:after="100"/>
    </w:pPr>
    <w:rPr>
      <w:rFonts w:asciiTheme="minorHAnsi" w:eastAsiaTheme="minorEastAsia" w:hAnsiTheme="minorHAnsi" w:cstheme="minorBidi"/>
      <w:b/>
      <w:szCs w:val="22"/>
      <w:lang w:val="en-US" w:eastAsia="ja-JP"/>
    </w:rPr>
  </w:style>
  <w:style w:type="paragraph" w:styleId="TOC3">
    <w:name w:val="toc 3"/>
    <w:basedOn w:val="Normal"/>
    <w:next w:val="Normal"/>
    <w:autoRedefine/>
    <w:uiPriority w:val="39"/>
    <w:unhideWhenUsed/>
    <w:qFormat/>
    <w:rsid w:val="00706E33"/>
    <w:pPr>
      <w:spacing w:after="100"/>
      <w:ind w:left="440"/>
    </w:pPr>
    <w:rPr>
      <w:rFonts w:asciiTheme="minorHAnsi" w:eastAsiaTheme="minorEastAsia" w:hAnsiTheme="minorHAnsi" w:cstheme="minorBidi"/>
      <w:szCs w:val="22"/>
      <w:lang w:val="en-US" w:eastAsia="ja-JP"/>
    </w:rPr>
  </w:style>
  <w:style w:type="table" w:customStyle="1" w:styleId="E3">
    <w:name w:val="E3"/>
    <w:basedOn w:val="TableNormal"/>
    <w:uiPriority w:val="99"/>
    <w:rsid w:val="00706E33"/>
    <w:rPr>
      <w:rFonts w:ascii="Calibri" w:hAnsi="Calibri"/>
      <w:sz w:val="22"/>
    </w:rPr>
    <w:tblPr>
      <w:tblBorders>
        <w:bottom w:val="single" w:sz="4" w:space="0" w:color="000000"/>
        <w:insideH w:val="single" w:sz="4" w:space="0" w:color="000000"/>
      </w:tblBorders>
    </w:tblPr>
    <w:tblStylePr w:type="firstRow">
      <w:rPr>
        <w:rFonts w:ascii="Calibri" w:hAnsi="Calibri"/>
        <w:color w:val="FFFFFF"/>
        <w:sz w:val="22"/>
      </w:rPr>
      <w:tblPr/>
      <w:tcPr>
        <w:shd w:val="clear" w:color="auto" w:fill="ED1B24"/>
      </w:tcPr>
    </w:tblStylePr>
  </w:style>
  <w:style w:type="paragraph" w:customStyle="1" w:styleId="TableName">
    <w:name w:val="TableName"/>
    <w:basedOn w:val="TableText"/>
    <w:qFormat/>
    <w:rsid w:val="00690CD6"/>
    <w:pPr>
      <w:keepLines/>
      <w:tabs>
        <w:tab w:val="left" w:pos="1080"/>
      </w:tabs>
      <w:spacing w:before="180" w:after="120"/>
      <w:ind w:left="1080" w:hanging="1080"/>
    </w:pPr>
    <w:rPr>
      <w:b/>
    </w:rPr>
  </w:style>
  <w:style w:type="character" w:customStyle="1" w:styleId="normaltextrun">
    <w:name w:val="normaltextrun"/>
    <w:basedOn w:val="DefaultParagraphFont"/>
    <w:rsid w:val="00EC3F9C"/>
  </w:style>
  <w:style w:type="character" w:customStyle="1" w:styleId="eop">
    <w:name w:val="eop"/>
    <w:basedOn w:val="DefaultParagraphFont"/>
    <w:rsid w:val="00EC3F9C"/>
  </w:style>
  <w:style w:type="paragraph" w:customStyle="1" w:styleId="paragraph">
    <w:name w:val="paragraph"/>
    <w:basedOn w:val="Normal"/>
    <w:rsid w:val="00F259F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wacimagecontainer">
    <w:name w:val="wacimagecontainer"/>
    <w:basedOn w:val="DefaultParagraphFont"/>
    <w:rsid w:val="00F259FE"/>
  </w:style>
  <w:style w:type="character" w:styleId="Hyperlink">
    <w:name w:val="Hyperlink"/>
    <w:basedOn w:val="DefaultParagraphFont"/>
    <w:uiPriority w:val="99"/>
    <w:unhideWhenUsed/>
    <w:rsid w:val="00BF173B"/>
    <w:rPr>
      <w:color w:val="0000FF" w:themeColor="hyperlink"/>
      <w:u w:val="single"/>
    </w:rPr>
  </w:style>
  <w:style w:type="character" w:styleId="UnresolvedMention">
    <w:name w:val="Unresolved Mention"/>
    <w:basedOn w:val="DefaultParagraphFont"/>
    <w:uiPriority w:val="99"/>
    <w:unhideWhenUsed/>
    <w:rsid w:val="00BF173B"/>
    <w:rPr>
      <w:color w:val="605E5C"/>
      <w:shd w:val="clear" w:color="auto" w:fill="E1DFDD"/>
    </w:rPr>
  </w:style>
  <w:style w:type="character" w:styleId="CommentReference">
    <w:name w:val="annotation reference"/>
    <w:basedOn w:val="DefaultParagraphFont"/>
    <w:uiPriority w:val="99"/>
    <w:semiHidden/>
    <w:unhideWhenUsed/>
    <w:rsid w:val="00461579"/>
    <w:rPr>
      <w:sz w:val="16"/>
      <w:szCs w:val="16"/>
    </w:rPr>
  </w:style>
  <w:style w:type="paragraph" w:styleId="CommentText">
    <w:name w:val="annotation text"/>
    <w:basedOn w:val="Normal"/>
    <w:link w:val="CommentTextChar"/>
    <w:uiPriority w:val="99"/>
    <w:unhideWhenUsed/>
    <w:rsid w:val="00461579"/>
    <w:pPr>
      <w:spacing w:line="240" w:lineRule="auto"/>
    </w:pPr>
    <w:rPr>
      <w:rFonts w:ascii="Arial" w:hAnsi="Arial" w:cstheme="minorBidi"/>
      <w:color w:val="363838"/>
      <w:sz w:val="20"/>
    </w:rPr>
  </w:style>
  <w:style w:type="character" w:customStyle="1" w:styleId="CommentTextChar">
    <w:name w:val="Comment Text Char"/>
    <w:basedOn w:val="DefaultParagraphFont"/>
    <w:link w:val="CommentText"/>
    <w:uiPriority w:val="99"/>
    <w:rsid w:val="00461579"/>
    <w:rPr>
      <w:rFonts w:ascii="Arial" w:hAnsi="Arial" w:cstheme="minorBidi"/>
      <w:color w:val="363838"/>
    </w:rPr>
  </w:style>
  <w:style w:type="character" w:styleId="Mention">
    <w:name w:val="Mention"/>
    <w:basedOn w:val="DefaultParagraphFont"/>
    <w:uiPriority w:val="99"/>
    <w:unhideWhenUsed/>
    <w:rsid w:val="008C5176"/>
    <w:rPr>
      <w:color w:val="2B579A"/>
      <w:shd w:val="clear" w:color="auto" w:fill="E1DFDD"/>
    </w:rPr>
  </w:style>
  <w:style w:type="paragraph" w:styleId="ListParagraph">
    <w:name w:val="List Paragraph"/>
    <w:basedOn w:val="Normal"/>
    <w:uiPriority w:val="34"/>
    <w:qFormat/>
    <w:rsid w:val="0092183B"/>
    <w:pPr>
      <w:spacing w:line="312" w:lineRule="auto"/>
      <w:ind w:left="567" w:hanging="567"/>
      <w:contextualSpacing/>
    </w:pPr>
    <w:rPr>
      <w:rFonts w:ascii="Arial" w:hAnsi="Arial" w:cstheme="minorBidi"/>
      <w:color w:val="363838"/>
      <w:sz w:val="20"/>
      <w:szCs w:val="24"/>
    </w:rPr>
  </w:style>
  <w:style w:type="paragraph" w:customStyle="1" w:styleId="Bullet-VerticalCompact-Level1">
    <w:name w:val="Bullet - Vertical Compact - Level 1"/>
    <w:basedOn w:val="Normal"/>
    <w:qFormat/>
    <w:rsid w:val="00F17D44"/>
    <w:pPr>
      <w:numPr>
        <w:numId w:val="2"/>
      </w:numPr>
      <w:spacing w:after="0" w:line="312" w:lineRule="auto"/>
      <w:ind w:left="567" w:hanging="567"/>
    </w:pPr>
    <w:rPr>
      <w:rFonts w:ascii="Arial" w:hAnsi="Arial" w:cstheme="minorBidi"/>
      <w:color w:val="363838"/>
      <w:sz w:val="20"/>
      <w:szCs w:val="24"/>
    </w:rPr>
  </w:style>
  <w:style w:type="table" w:customStyle="1" w:styleId="ComCap4-nested">
    <w:name w:val="ComCap 4 - nested"/>
    <w:basedOn w:val="TableNormal"/>
    <w:uiPriority w:val="99"/>
    <w:rsid w:val="008C0C0D"/>
    <w:rPr>
      <w:rFonts w:asciiTheme="minorHAnsi" w:hAnsiTheme="minorHAnsi" w:cstheme="minorBidi"/>
      <w:sz w:val="24"/>
      <w:szCs w:val="24"/>
    </w:rPr>
    <w:tblPr>
      <w:tblBorders>
        <w:insideH w:val="single" w:sz="12" w:space="0" w:color="BFBFBF" w:themeColor="background1" w:themeShade="BF"/>
      </w:tblBorders>
      <w:tblCellMar>
        <w:top w:w="198" w:type="dxa"/>
        <w:bottom w:w="142" w:type="dxa"/>
      </w:tblCellMar>
    </w:tblPr>
    <w:tcPr>
      <w:vAlign w:val="center"/>
    </w:tcPr>
    <w:tblStylePr w:type="firstRow">
      <w:rPr>
        <w:b/>
        <w:color w:val="FFFFFF" w:themeColor="background1"/>
      </w:rPr>
      <w:tblPr/>
      <w:tcPr>
        <w:tcBorders>
          <w:top w:val="nil"/>
          <w:left w:val="nil"/>
          <w:bottom w:val="nil"/>
          <w:right w:val="nil"/>
          <w:insideH w:val="nil"/>
          <w:insideV w:val="nil"/>
          <w:tl2br w:val="nil"/>
          <w:tr2bl w:val="nil"/>
        </w:tcBorders>
        <w:shd w:val="clear" w:color="auto" w:fill="16345D"/>
      </w:tcPr>
    </w:tblStylePr>
  </w:style>
  <w:style w:type="paragraph" w:customStyle="1" w:styleId="Table1-columnheadingdata">
    <w:name w:val="Table1 - column heading (data)"/>
    <w:basedOn w:val="Normal"/>
    <w:qFormat/>
    <w:rsid w:val="008C0C0D"/>
    <w:pPr>
      <w:spacing w:after="0" w:line="240" w:lineRule="auto"/>
    </w:pPr>
    <w:rPr>
      <w:rFonts w:ascii="Arial" w:hAnsi="Arial" w:cstheme="minorBidi"/>
      <w:color w:val="FFFFFF" w:themeColor="background1"/>
      <w:sz w:val="20"/>
      <w:szCs w:val="24"/>
    </w:rPr>
  </w:style>
  <w:style w:type="paragraph" w:customStyle="1" w:styleId="Table2-Rowheadingdata">
    <w:name w:val="Table2 - Row heading (data)"/>
    <w:basedOn w:val="Normal"/>
    <w:autoRedefine/>
    <w:qFormat/>
    <w:rsid w:val="008C0C0D"/>
    <w:pPr>
      <w:spacing w:after="0" w:line="240" w:lineRule="auto"/>
    </w:pPr>
    <w:rPr>
      <w:rFonts w:ascii="Arial" w:hAnsi="Arial" w:cstheme="minorBidi"/>
      <w:b/>
      <w:bCs/>
      <w:color w:val="16345D"/>
      <w:sz w:val="20"/>
      <w:szCs w:val="24"/>
    </w:rPr>
  </w:style>
  <w:style w:type="paragraph" w:customStyle="1" w:styleId="Table3-Normaldata-centred">
    <w:name w:val="Table3 - Normal (data) - centred"/>
    <w:basedOn w:val="Normal"/>
    <w:qFormat/>
    <w:rsid w:val="008C0C0D"/>
    <w:pPr>
      <w:spacing w:after="0" w:line="240" w:lineRule="auto"/>
      <w:jc w:val="center"/>
    </w:pPr>
    <w:rPr>
      <w:rFonts w:ascii="Arial" w:hAnsi="Arial" w:cstheme="minorBidi"/>
      <w:color w:val="363838"/>
      <w:sz w:val="20"/>
      <w:szCs w:val="24"/>
    </w:rPr>
  </w:style>
  <w:style w:type="paragraph" w:styleId="Caption">
    <w:name w:val="caption"/>
    <w:uiPriority w:val="35"/>
    <w:unhideWhenUsed/>
    <w:qFormat/>
    <w:rsid w:val="00154B6F"/>
    <w:pPr>
      <w:ind w:left="-567"/>
    </w:pPr>
    <w:rPr>
      <w:rFonts w:ascii="Arial" w:hAnsi="Arial" w:cstheme="minorBidi"/>
      <w:i/>
      <w:iCs/>
      <w:color w:val="363838"/>
      <w:szCs w:val="18"/>
    </w:rPr>
  </w:style>
  <w:style w:type="paragraph" w:customStyle="1" w:styleId="Heading4-Unnumbered">
    <w:name w:val="Heading 4 - Unnumbered"/>
    <w:next w:val="Normal"/>
    <w:qFormat/>
    <w:rsid w:val="00961FEE"/>
    <w:pPr>
      <w:spacing w:before="240" w:after="240"/>
      <w:ind w:left="-567"/>
    </w:pPr>
    <w:rPr>
      <w:rFonts w:ascii="Arial" w:hAnsi="Arial" w:cstheme="minorBidi"/>
      <w:b/>
      <w:color w:val="16345D"/>
      <w:sz w:val="24"/>
      <w:szCs w:val="24"/>
    </w:rPr>
  </w:style>
  <w:style w:type="table" w:customStyle="1" w:styleId="TableGrid1">
    <w:name w:val="Table Grid1"/>
    <w:basedOn w:val="TableNormal"/>
    <w:next w:val="TableGrid"/>
    <w:uiPriority w:val="39"/>
    <w:rsid w:val="00450D47"/>
    <w:rPr>
      <w:rFonts w:ascii="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rPr>
    </w:tblStylePr>
  </w:style>
  <w:style w:type="character" w:styleId="Emphasis">
    <w:name w:val="Emphasis"/>
    <w:basedOn w:val="DefaultParagraphFont"/>
    <w:uiPriority w:val="20"/>
    <w:qFormat/>
    <w:rsid w:val="00EB4CB4"/>
    <w:rPr>
      <w:i/>
      <w:iCs/>
    </w:rPr>
  </w:style>
  <w:style w:type="paragraph" w:customStyle="1" w:styleId="Bullet-Level1">
    <w:name w:val="Bullet - Level 1"/>
    <w:basedOn w:val="Normal"/>
    <w:rsid w:val="0075372C"/>
    <w:pPr>
      <w:numPr>
        <w:numId w:val="3"/>
      </w:numPr>
      <w:spacing w:line="312" w:lineRule="auto"/>
      <w:ind w:left="360"/>
    </w:pPr>
    <w:rPr>
      <w:rFonts w:ascii="Arial" w:hAnsi="Arial" w:cstheme="minorBidi"/>
      <w:color w:val="363838"/>
      <w:sz w:val="20"/>
      <w:szCs w:val="24"/>
    </w:rPr>
  </w:style>
  <w:style w:type="paragraph" w:customStyle="1" w:styleId="Table3-Normal">
    <w:name w:val="Table3 - Normal"/>
    <w:basedOn w:val="Normal"/>
    <w:qFormat/>
    <w:rsid w:val="00645440"/>
    <w:pPr>
      <w:spacing w:after="0" w:line="240" w:lineRule="auto"/>
    </w:pPr>
    <w:rPr>
      <w:rFonts w:ascii="Arial" w:hAnsi="Arial" w:cstheme="minorBidi"/>
      <w:color w:val="363838"/>
      <w:sz w:val="20"/>
      <w:szCs w:val="24"/>
    </w:rPr>
  </w:style>
  <w:style w:type="paragraph" w:customStyle="1" w:styleId="Table2-Rowheading">
    <w:name w:val="Table2 - Row heading"/>
    <w:basedOn w:val="Table3-Normal"/>
    <w:qFormat/>
    <w:rsid w:val="00872BB2"/>
    <w:rPr>
      <w:b/>
      <w:bCs/>
      <w:color w:val="16345D"/>
    </w:rPr>
  </w:style>
  <w:style w:type="paragraph" w:customStyle="1" w:styleId="Table1-Columnheading">
    <w:name w:val="Table1 - Column heading"/>
    <w:basedOn w:val="Table3-Normal"/>
    <w:qFormat/>
    <w:rsid w:val="00872BB2"/>
    <w:rPr>
      <w:color w:val="FFFFFF" w:themeColor="background1"/>
    </w:rPr>
  </w:style>
  <w:style w:type="paragraph" w:customStyle="1" w:styleId="BlueLineTop">
    <w:name w:val="Blue Line Top"/>
    <w:basedOn w:val="Normal"/>
    <w:next w:val="Normal"/>
    <w:qFormat/>
    <w:rsid w:val="00872BB2"/>
    <w:pPr>
      <w:pBdr>
        <w:bottom w:val="single" w:sz="24" w:space="1" w:color="1F497D" w:themeColor="text2"/>
      </w:pBdr>
      <w:spacing w:line="312" w:lineRule="auto"/>
      <w:ind w:left="-567"/>
    </w:pPr>
    <w:rPr>
      <w:rFonts w:ascii="Arial" w:hAnsi="Arial" w:cstheme="minorBidi"/>
      <w:color w:val="363838"/>
      <w:sz w:val="20"/>
      <w:szCs w:val="24"/>
    </w:rPr>
  </w:style>
  <w:style w:type="paragraph" w:customStyle="1" w:styleId="BlueLineBottom">
    <w:name w:val="Blue Line Bottom"/>
    <w:basedOn w:val="BlueLineTop"/>
    <w:next w:val="Normal"/>
    <w:qFormat/>
    <w:rsid w:val="006D3BB9"/>
    <w:pPr>
      <w:pBdr>
        <w:top w:val="single" w:sz="24" w:space="1" w:color="1F497D" w:themeColor="text2"/>
        <w:bottom w:val="none" w:sz="0" w:space="0" w:color="auto"/>
      </w:pBdr>
    </w:pPr>
    <w:rPr>
      <w:sz w:val="16"/>
    </w:rPr>
  </w:style>
  <w:style w:type="paragraph" w:customStyle="1" w:styleId="Table3-Normaldata">
    <w:name w:val="Table3 - Normal (data)"/>
    <w:basedOn w:val="Table3-Normal"/>
    <w:qFormat/>
    <w:rsid w:val="00872BB2"/>
  </w:style>
  <w:style w:type="paragraph" w:customStyle="1" w:styleId="Table5-Bullet-Level1">
    <w:name w:val="Table5 - Bullet - Level 1"/>
    <w:basedOn w:val="Normal"/>
    <w:qFormat/>
    <w:rsid w:val="008C750D"/>
    <w:pPr>
      <w:numPr>
        <w:numId w:val="5"/>
      </w:numPr>
      <w:spacing w:after="0" w:line="312" w:lineRule="auto"/>
      <w:ind w:left="284" w:hanging="284"/>
    </w:pPr>
    <w:rPr>
      <w:rFonts w:ascii="Arial" w:hAnsi="Arial" w:cstheme="minorBidi"/>
      <w:color w:val="363838"/>
      <w:sz w:val="20"/>
      <w:szCs w:val="24"/>
    </w:rPr>
  </w:style>
  <w:style w:type="paragraph" w:styleId="ListNumber3">
    <w:name w:val="List Number 3"/>
    <w:basedOn w:val="Normal"/>
    <w:uiPriority w:val="99"/>
    <w:unhideWhenUsed/>
    <w:rsid w:val="008C750D"/>
    <w:pPr>
      <w:numPr>
        <w:numId w:val="6"/>
      </w:numPr>
      <w:spacing w:line="312" w:lineRule="auto"/>
      <w:contextualSpacing/>
    </w:pPr>
    <w:rPr>
      <w:rFonts w:ascii="Arial" w:hAnsi="Arial" w:cstheme="minorBidi"/>
      <w:color w:val="363838"/>
      <w:sz w:val="20"/>
      <w:szCs w:val="24"/>
    </w:rPr>
  </w:style>
  <w:style w:type="paragraph" w:customStyle="1" w:styleId="Bullet-Level2">
    <w:name w:val="Bullet - Level 2"/>
    <w:basedOn w:val="Bullet-Level1"/>
    <w:qFormat/>
    <w:rsid w:val="00BE1020"/>
    <w:pPr>
      <w:numPr>
        <w:numId w:val="1"/>
      </w:numPr>
      <w:ind w:left="1134"/>
    </w:pPr>
  </w:style>
  <w:style w:type="character" w:customStyle="1" w:styleId="BlueBold">
    <w:name w:val="Blue Bold"/>
    <w:basedOn w:val="DefaultParagraphFont"/>
    <w:uiPriority w:val="1"/>
    <w:qFormat/>
    <w:rsid w:val="003640E6"/>
    <w:rPr>
      <w:b/>
      <w:color w:val="4F81BD" w:themeColor="accent1"/>
    </w:rPr>
  </w:style>
  <w:style w:type="character" w:customStyle="1" w:styleId="Heading5Char">
    <w:name w:val="Heading 5 Char"/>
    <w:basedOn w:val="DefaultParagraphFont"/>
    <w:link w:val="Heading5"/>
    <w:uiPriority w:val="9"/>
    <w:semiHidden/>
    <w:rsid w:val="005E09B9"/>
    <w:rPr>
      <w:rFonts w:asciiTheme="majorHAnsi" w:eastAsiaTheme="majorEastAsia" w:hAnsiTheme="majorHAnsi" w:cstheme="majorBidi"/>
      <w:b/>
      <w:iCs/>
      <w:color w:val="365F91" w:themeColor="accent1" w:themeShade="BF"/>
      <w:sz w:val="24"/>
      <w:szCs w:val="26"/>
    </w:rPr>
  </w:style>
  <w:style w:type="character" w:customStyle="1" w:styleId="Heading6Char">
    <w:name w:val="Heading 6 Char"/>
    <w:basedOn w:val="DefaultParagraphFont"/>
    <w:link w:val="Heading6"/>
    <w:uiPriority w:val="9"/>
    <w:semiHidden/>
    <w:rsid w:val="005E09B9"/>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5E09B9"/>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5E09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09B9"/>
    <w:rPr>
      <w:rFonts w:asciiTheme="majorHAnsi" w:eastAsiaTheme="majorEastAsia" w:hAnsiTheme="majorHAnsi" w:cstheme="majorBidi"/>
      <w:i/>
      <w:iCs/>
      <w:color w:val="272727" w:themeColor="text1" w:themeTint="D8"/>
      <w:sz w:val="21"/>
      <w:szCs w:val="21"/>
    </w:rPr>
  </w:style>
  <w:style w:type="paragraph" w:customStyle="1" w:styleId="Bullet-Level3">
    <w:name w:val="Bullet - Level 3"/>
    <w:basedOn w:val="Bullet-Level2"/>
    <w:qFormat/>
    <w:rsid w:val="005E09B9"/>
    <w:pPr>
      <w:ind w:left="1701" w:hanging="567"/>
    </w:pPr>
  </w:style>
  <w:style w:type="paragraph" w:customStyle="1" w:styleId="Table6-Bullet-Level2">
    <w:name w:val="Table6 - Bullet - Level 2"/>
    <w:basedOn w:val="Table5-Bullet-Level1"/>
    <w:qFormat/>
    <w:rsid w:val="005E09B9"/>
    <w:pPr>
      <w:numPr>
        <w:numId w:val="0"/>
      </w:numPr>
      <w:ind w:left="568" w:hanging="284"/>
    </w:pPr>
  </w:style>
  <w:style w:type="table" w:customStyle="1" w:styleId="ComCap-Table">
    <w:name w:val="ComCap - Table"/>
    <w:basedOn w:val="TableNormal"/>
    <w:uiPriority w:val="99"/>
    <w:rsid w:val="005E09B9"/>
    <w:rPr>
      <w:rFonts w:ascii="Arial" w:hAnsi="Arial" w:cstheme="minorBidi"/>
      <w:color w:val="363838"/>
      <w:szCs w:val="24"/>
    </w:rPr>
    <w:tblPr>
      <w:tblInd w:w="-567" w:type="dxa"/>
      <w:tblBorders>
        <w:top w:val="single" w:sz="24" w:space="0" w:color="16345D"/>
        <w:bottom w:val="single" w:sz="24" w:space="0" w:color="16345D"/>
        <w:insideH w:val="single" w:sz="12" w:space="0" w:color="BFBFBF" w:themeColor="background1" w:themeShade="BF"/>
      </w:tblBorders>
      <w:tblCellMar>
        <w:top w:w="170" w:type="dxa"/>
        <w:left w:w="0" w:type="dxa"/>
        <w:bottom w:w="113" w:type="dxa"/>
        <w:right w:w="170" w:type="dxa"/>
      </w:tblCellMar>
    </w:tblPr>
    <w:tblStylePr w:type="firstRow">
      <w:pPr>
        <w:wordWrap/>
        <w:spacing w:beforeLines="0" w:before="0" w:beforeAutospacing="0" w:afterLines="0" w:after="0" w:afterAutospacing="0" w:line="240" w:lineRule="auto"/>
      </w:pPr>
      <w:rPr>
        <w:rFonts w:ascii="Arial" w:hAnsi="Arial"/>
        <w:b/>
        <w:i w:val="0"/>
        <w:color w:val="FFFFFF" w:themeColor="background1"/>
        <w:sz w:val="20"/>
      </w:rPr>
      <w:tblPr/>
      <w:tcPr>
        <w:tcBorders>
          <w:top w:val="single" w:sz="12" w:space="0" w:color="16345D"/>
          <w:left w:val="single" w:sz="12" w:space="0" w:color="16345D"/>
          <w:bottom w:val="single" w:sz="12" w:space="0" w:color="16345D"/>
          <w:right w:val="single" w:sz="12" w:space="0" w:color="16345D"/>
          <w:insideH w:val="nil"/>
          <w:insideV w:val="single" w:sz="12" w:space="0" w:color="16345D"/>
          <w:tl2br w:val="nil"/>
          <w:tr2bl w:val="nil"/>
        </w:tcBorders>
        <w:shd w:val="clear" w:color="auto" w:fill="16345D"/>
      </w:tcPr>
    </w:tblStylePr>
  </w:style>
  <w:style w:type="table" w:styleId="PlainTable3">
    <w:name w:val="Plain Table 3"/>
    <w:basedOn w:val="TableNormal"/>
    <w:uiPriority w:val="43"/>
    <w:rsid w:val="005E09B9"/>
    <w:rPr>
      <w:rFonts w:asciiTheme="minorHAnsi" w:hAnsiTheme="minorHAnsi"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omCap-Opt2">
    <w:name w:val="ComCap - Opt2"/>
    <w:basedOn w:val="ComCap-Table"/>
    <w:uiPriority w:val="99"/>
    <w:rsid w:val="005E09B9"/>
    <w:tblPr/>
    <w:tblStylePr w:type="firstRow">
      <w:pPr>
        <w:wordWrap/>
        <w:spacing w:beforeLines="0" w:before="0" w:beforeAutospacing="0" w:afterLines="0" w:after="0" w:afterAutospacing="0" w:line="240" w:lineRule="auto"/>
      </w:pPr>
      <w:rPr>
        <w:rFonts w:ascii="Arial" w:hAnsi="Arial"/>
        <w:b/>
        <w:i w:val="0"/>
        <w:color w:val="363838"/>
        <w:sz w:val="20"/>
      </w:rPr>
      <w:tblPr/>
      <w:tcPr>
        <w:tcBorders>
          <w:top w:val="single" w:sz="24" w:space="0" w:color="16345D"/>
          <w:left w:val="nil"/>
          <w:bottom w:val="nil"/>
          <w:right w:val="nil"/>
          <w:insideH w:val="single" w:sz="6" w:space="0" w:color="auto"/>
          <w:insideV w:val="nil"/>
          <w:tl2br w:val="nil"/>
          <w:tr2bl w:val="nil"/>
        </w:tcBorders>
        <w:shd w:val="clear" w:color="auto" w:fill="16345D"/>
      </w:tcPr>
    </w:tblStylePr>
  </w:style>
  <w:style w:type="table" w:customStyle="1" w:styleId="ComCap3nest">
    <w:name w:val="ComCap 3 nest"/>
    <w:basedOn w:val="TableNormal"/>
    <w:uiPriority w:val="99"/>
    <w:rsid w:val="005E09B9"/>
    <w:rPr>
      <w:rFonts w:asciiTheme="minorHAnsi" w:hAnsiTheme="minorHAnsi" w:cstheme="minorBidi"/>
      <w:sz w:val="24"/>
      <w:szCs w:val="24"/>
    </w:rPr>
    <w:tblPr>
      <w:tblInd w:w="-567" w:type="dxa"/>
      <w:tblBorders>
        <w:top w:val="single" w:sz="24" w:space="0" w:color="16345D"/>
        <w:bottom w:val="single" w:sz="24" w:space="0" w:color="16345D"/>
      </w:tblBorders>
      <w:tblCellMar>
        <w:top w:w="170" w:type="dxa"/>
        <w:left w:w="0" w:type="dxa"/>
        <w:right w:w="0" w:type="dxa"/>
      </w:tblCellMar>
    </w:tblPr>
  </w:style>
  <w:style w:type="paragraph" w:customStyle="1" w:styleId="Table7-Tablenumber">
    <w:name w:val="Table7 - Table number"/>
    <w:basedOn w:val="Table3-Normal"/>
    <w:qFormat/>
    <w:rsid w:val="005E09B9"/>
    <w:rPr>
      <w:i/>
      <w:sz w:val="16"/>
    </w:rPr>
  </w:style>
  <w:style w:type="paragraph" w:styleId="TableofFigures">
    <w:name w:val="table of figures"/>
    <w:basedOn w:val="Normal"/>
    <w:next w:val="Normal"/>
    <w:uiPriority w:val="99"/>
    <w:unhideWhenUsed/>
    <w:rsid w:val="005E09B9"/>
    <w:pPr>
      <w:spacing w:after="0" w:line="312" w:lineRule="auto"/>
    </w:pPr>
    <w:rPr>
      <w:rFonts w:ascii="Arial" w:hAnsi="Arial" w:cstheme="minorBidi"/>
      <w:color w:val="363838"/>
      <w:sz w:val="20"/>
      <w:szCs w:val="24"/>
    </w:rPr>
  </w:style>
  <w:style w:type="paragraph" w:customStyle="1" w:styleId="XDATA2-Subtitle">
    <w:name w:val="XDATA2 - Subtitle"/>
    <w:basedOn w:val="Table3-Normal"/>
    <w:qFormat/>
    <w:rsid w:val="005E09B9"/>
  </w:style>
  <w:style w:type="paragraph" w:customStyle="1" w:styleId="Table4-NormalIndent">
    <w:name w:val="Table4 - Normal Indent"/>
    <w:basedOn w:val="Table3-Normal"/>
    <w:qFormat/>
    <w:rsid w:val="005E09B9"/>
    <w:pPr>
      <w:ind w:left="567"/>
    </w:pPr>
  </w:style>
  <w:style w:type="paragraph" w:customStyle="1" w:styleId="Normal-Small">
    <w:name w:val="Normal - Small"/>
    <w:basedOn w:val="Normal"/>
    <w:qFormat/>
    <w:rsid w:val="005E09B9"/>
    <w:pPr>
      <w:spacing w:line="312" w:lineRule="auto"/>
    </w:pPr>
    <w:rPr>
      <w:rFonts w:ascii="Arial" w:hAnsi="Arial" w:cstheme="minorBidi"/>
      <w:color w:val="363838"/>
      <w:sz w:val="16"/>
      <w:szCs w:val="16"/>
    </w:rPr>
  </w:style>
  <w:style w:type="paragraph" w:customStyle="1" w:styleId="XDATA1-Title">
    <w:name w:val="XDATA1 - Title"/>
    <w:basedOn w:val="Table3-Normal"/>
    <w:qFormat/>
    <w:rsid w:val="005E09B9"/>
  </w:style>
  <w:style w:type="paragraph" w:styleId="TOC4">
    <w:name w:val="toc 4"/>
    <w:basedOn w:val="TOC3"/>
    <w:next w:val="Normal"/>
    <w:autoRedefine/>
    <w:uiPriority w:val="39"/>
    <w:unhideWhenUsed/>
    <w:rsid w:val="005E09B9"/>
    <w:pPr>
      <w:tabs>
        <w:tab w:val="right" w:leader="dot" w:pos="8449"/>
      </w:tabs>
      <w:spacing w:before="60" w:after="0" w:line="240" w:lineRule="auto"/>
      <w:ind w:left="400"/>
    </w:pPr>
    <w:rPr>
      <w:rFonts w:eastAsiaTheme="minorHAnsi" w:cstheme="minorHAnsi"/>
      <w:bCs/>
      <w:color w:val="363838"/>
      <w:sz w:val="20"/>
      <w:szCs w:val="20"/>
      <w:lang w:val="en-AU" w:eastAsia="en-US"/>
    </w:rPr>
  </w:style>
  <w:style w:type="paragraph" w:styleId="TOC5">
    <w:name w:val="toc 5"/>
    <w:aliases w:val="TOC 5 - Appendix TOC"/>
    <w:basedOn w:val="TOC4"/>
    <w:next w:val="Normal"/>
    <w:autoRedefine/>
    <w:uiPriority w:val="39"/>
    <w:unhideWhenUsed/>
    <w:rsid w:val="005E09B9"/>
    <w:rPr>
      <w:color w:val="FFFFFF" w:themeColor="background1"/>
    </w:rPr>
  </w:style>
  <w:style w:type="paragraph" w:styleId="TOC6">
    <w:name w:val="toc 6"/>
    <w:basedOn w:val="TOC5"/>
    <w:next w:val="Normal"/>
    <w:autoRedefine/>
    <w:uiPriority w:val="39"/>
    <w:unhideWhenUsed/>
    <w:rsid w:val="005E09B9"/>
    <w:pPr>
      <w:ind w:left="800"/>
    </w:pPr>
  </w:style>
  <w:style w:type="paragraph" w:styleId="TOC7">
    <w:name w:val="toc 7"/>
    <w:basedOn w:val="TOC6"/>
    <w:next w:val="Normal"/>
    <w:autoRedefine/>
    <w:uiPriority w:val="39"/>
    <w:unhideWhenUsed/>
    <w:rsid w:val="005E09B9"/>
    <w:pPr>
      <w:ind w:left="1000"/>
    </w:pPr>
  </w:style>
  <w:style w:type="paragraph" w:styleId="TOC8">
    <w:name w:val="toc 8"/>
    <w:basedOn w:val="TOC7"/>
    <w:next w:val="Normal"/>
    <w:autoRedefine/>
    <w:uiPriority w:val="39"/>
    <w:unhideWhenUsed/>
    <w:rsid w:val="005E09B9"/>
    <w:pPr>
      <w:ind w:left="1200"/>
    </w:pPr>
  </w:style>
  <w:style w:type="paragraph" w:styleId="TOC9">
    <w:name w:val="toc 9"/>
    <w:basedOn w:val="TOC8"/>
    <w:next w:val="Normal"/>
    <w:autoRedefine/>
    <w:uiPriority w:val="39"/>
    <w:unhideWhenUsed/>
    <w:rsid w:val="005E09B9"/>
    <w:pPr>
      <w:ind w:left="1400"/>
    </w:pPr>
  </w:style>
  <w:style w:type="paragraph" w:customStyle="1" w:styleId="Section2-Description">
    <w:name w:val="Section2 -  Description"/>
    <w:qFormat/>
    <w:rsid w:val="005E09B9"/>
    <w:pPr>
      <w:framePr w:wrap="around" w:vAnchor="page" w:hAnchor="page" w:xAlign="center" w:y="1"/>
      <w:spacing w:line="312" w:lineRule="auto"/>
      <w:suppressOverlap/>
    </w:pPr>
    <w:rPr>
      <w:rFonts w:ascii="Baskerville" w:hAnsi="Baskerville" w:cstheme="minorBidi"/>
      <w:color w:val="FFFFFF" w:themeColor="background1"/>
      <w:sz w:val="28"/>
      <w:szCs w:val="28"/>
    </w:rPr>
  </w:style>
  <w:style w:type="paragraph" w:customStyle="1" w:styleId="Cover1-Title">
    <w:name w:val="Cover1 - Title"/>
    <w:autoRedefine/>
    <w:qFormat/>
    <w:rsid w:val="005E09B9"/>
    <w:pPr>
      <w:framePr w:hSpace="181" w:wrap="around" w:vAnchor="text" w:hAnchor="page" w:xAlign="center" w:y="1"/>
    </w:pPr>
    <w:rPr>
      <w:rFonts w:ascii="Baskerville" w:eastAsiaTheme="majorEastAsia" w:hAnsi="Baskerville" w:cstheme="majorBidi"/>
      <w:noProof/>
      <w:color w:val="FFFFFF" w:themeColor="background1"/>
      <w:sz w:val="72"/>
      <w:szCs w:val="48"/>
    </w:rPr>
  </w:style>
  <w:style w:type="paragraph" w:customStyle="1" w:styleId="Section1-Heading">
    <w:name w:val="Section1 -  Heading"/>
    <w:qFormat/>
    <w:rsid w:val="005E09B9"/>
    <w:pPr>
      <w:framePr w:wrap="around" w:vAnchor="page" w:hAnchor="page" w:xAlign="center" w:y="1"/>
      <w:suppressOverlap/>
    </w:pPr>
    <w:rPr>
      <w:rFonts w:ascii="Baskerville" w:eastAsiaTheme="majorEastAsia" w:hAnsi="Baskerville" w:cstheme="majorBidi"/>
      <w:color w:val="FFFFFF" w:themeColor="background1"/>
      <w:sz w:val="72"/>
      <w:szCs w:val="72"/>
    </w:rPr>
  </w:style>
  <w:style w:type="paragraph" w:customStyle="1" w:styleId="TOC-Heading">
    <w:name w:val="TOC - Heading"/>
    <w:next w:val="Normal"/>
    <w:qFormat/>
    <w:rsid w:val="005E09B9"/>
    <w:pPr>
      <w:ind w:left="-567"/>
    </w:pPr>
    <w:rPr>
      <w:rFonts w:ascii="Arial" w:eastAsiaTheme="majorEastAsia" w:hAnsi="Arial" w:cstheme="majorBidi"/>
      <w:b/>
      <w:color w:val="16345D"/>
      <w:sz w:val="48"/>
      <w:szCs w:val="26"/>
    </w:rPr>
  </w:style>
  <w:style w:type="numbering" w:customStyle="1" w:styleId="ComCap-MultilevelList">
    <w:name w:val="ComCap - Multilevel List"/>
    <w:uiPriority w:val="99"/>
    <w:rsid w:val="005E09B9"/>
    <w:pPr>
      <w:numPr>
        <w:numId w:val="18"/>
      </w:numPr>
    </w:pPr>
  </w:style>
  <w:style w:type="numbering" w:customStyle="1" w:styleId="CurrentList1">
    <w:name w:val="Current List1"/>
    <w:uiPriority w:val="99"/>
    <w:rsid w:val="005E09B9"/>
    <w:pPr>
      <w:numPr>
        <w:numId w:val="12"/>
      </w:numPr>
    </w:pPr>
  </w:style>
  <w:style w:type="numbering" w:customStyle="1" w:styleId="CurrentList2">
    <w:name w:val="Current List2"/>
    <w:uiPriority w:val="99"/>
    <w:rsid w:val="005E09B9"/>
    <w:pPr>
      <w:numPr>
        <w:numId w:val="13"/>
      </w:numPr>
    </w:pPr>
  </w:style>
  <w:style w:type="numbering" w:customStyle="1" w:styleId="CurrentList3">
    <w:name w:val="Current List3"/>
    <w:uiPriority w:val="99"/>
    <w:rsid w:val="005E09B9"/>
    <w:pPr>
      <w:numPr>
        <w:numId w:val="14"/>
      </w:numPr>
    </w:pPr>
  </w:style>
  <w:style w:type="numbering" w:customStyle="1" w:styleId="CurrentList4">
    <w:name w:val="Current List4"/>
    <w:uiPriority w:val="99"/>
    <w:rsid w:val="005E09B9"/>
    <w:pPr>
      <w:numPr>
        <w:numId w:val="15"/>
      </w:numPr>
    </w:pPr>
  </w:style>
  <w:style w:type="paragraph" w:customStyle="1" w:styleId="Appendix-Title">
    <w:name w:val="Appendix - Title"/>
    <w:basedOn w:val="Section1-Heading"/>
    <w:qFormat/>
    <w:rsid w:val="005E09B9"/>
    <w:pPr>
      <w:framePr w:hSpace="181" w:wrap="around" w:vAnchor="text" w:hAnchor="text"/>
      <w:suppressOverlap w:val="0"/>
    </w:pPr>
  </w:style>
  <w:style w:type="paragraph" w:customStyle="1" w:styleId="Heading2-Unnumbered">
    <w:name w:val="Heading 2 - Unnumbered"/>
    <w:next w:val="Normal"/>
    <w:qFormat/>
    <w:rsid w:val="005E09B9"/>
    <w:pPr>
      <w:spacing w:before="240" w:after="240"/>
      <w:ind w:left="-567"/>
    </w:pPr>
    <w:rPr>
      <w:rFonts w:ascii="Arial" w:hAnsi="Arial" w:cstheme="minorBidi"/>
      <w:b/>
      <w:color w:val="16345D"/>
      <w:sz w:val="48"/>
      <w:szCs w:val="24"/>
    </w:rPr>
  </w:style>
  <w:style w:type="paragraph" w:customStyle="1" w:styleId="Heading3-Unnumbered">
    <w:name w:val="Heading 3 - Unnumbered"/>
    <w:next w:val="Normal"/>
    <w:qFormat/>
    <w:rsid w:val="005E09B9"/>
    <w:pPr>
      <w:spacing w:before="240" w:after="240"/>
      <w:ind w:left="-567"/>
    </w:pPr>
    <w:rPr>
      <w:rFonts w:ascii="Arial" w:hAnsi="Arial" w:cstheme="minorBidi"/>
      <w:b/>
      <w:color w:val="16345D"/>
      <w:sz w:val="36"/>
      <w:szCs w:val="24"/>
    </w:rPr>
  </w:style>
  <w:style w:type="paragraph" w:styleId="NoSpacing">
    <w:name w:val="No Spacing"/>
    <w:basedOn w:val="Normal"/>
    <w:link w:val="NoSpacingChar"/>
    <w:uiPriority w:val="1"/>
    <w:qFormat/>
    <w:rsid w:val="005E09B9"/>
    <w:pPr>
      <w:spacing w:after="0" w:line="312" w:lineRule="auto"/>
    </w:pPr>
    <w:rPr>
      <w:rFonts w:ascii="Arial" w:eastAsiaTheme="minorEastAsia" w:hAnsi="Arial" w:cstheme="minorBidi"/>
      <w:color w:val="363838"/>
      <w:szCs w:val="22"/>
      <w:lang w:val="en-US" w:eastAsia="zh-CN"/>
    </w:rPr>
  </w:style>
  <w:style w:type="character" w:customStyle="1" w:styleId="NoSpacingChar">
    <w:name w:val="No Spacing Char"/>
    <w:basedOn w:val="DefaultParagraphFont"/>
    <w:link w:val="NoSpacing"/>
    <w:uiPriority w:val="1"/>
    <w:rsid w:val="005E09B9"/>
    <w:rPr>
      <w:rFonts w:ascii="Arial" w:eastAsiaTheme="minorEastAsia" w:hAnsi="Arial" w:cstheme="minorBidi"/>
      <w:color w:val="363838"/>
      <w:sz w:val="22"/>
      <w:szCs w:val="22"/>
      <w:lang w:val="en-US" w:eastAsia="zh-CN"/>
    </w:rPr>
  </w:style>
  <w:style w:type="paragraph" w:customStyle="1" w:styleId="EmphasisQuote">
    <w:name w:val="Emphasis Quote"/>
    <w:next w:val="Normal"/>
    <w:qFormat/>
    <w:rsid w:val="005E09B9"/>
    <w:pPr>
      <w:spacing w:before="360" w:after="360" w:line="312" w:lineRule="auto"/>
      <w:ind w:left="-567"/>
    </w:pPr>
    <w:rPr>
      <w:rFonts w:ascii="Baskerville" w:hAnsi="Baskerville" w:cstheme="minorBidi"/>
      <w:i/>
      <w:iCs/>
      <w:color w:val="16345D"/>
      <w:sz w:val="48"/>
      <w:szCs w:val="60"/>
    </w:rPr>
  </w:style>
  <w:style w:type="paragraph" w:customStyle="1" w:styleId="Appendices-Title">
    <w:name w:val="Appendices - Title"/>
    <w:basedOn w:val="Section1-Heading"/>
    <w:qFormat/>
    <w:rsid w:val="005E09B9"/>
    <w:pPr>
      <w:framePr w:hSpace="181" w:wrap="around" w:vAnchor="text" w:hAnchor="text" w:xAlign="left"/>
    </w:pPr>
  </w:style>
  <w:style w:type="paragraph" w:customStyle="1" w:styleId="CaseStudy-Heading">
    <w:name w:val="CaseStudy - Heading"/>
    <w:qFormat/>
    <w:rsid w:val="005E09B9"/>
    <w:pPr>
      <w:spacing w:after="180"/>
    </w:pPr>
    <w:rPr>
      <w:rFonts w:ascii="Arial" w:hAnsi="Arial" w:cstheme="minorBidi"/>
      <w:b/>
      <w:color w:val="363838"/>
      <w:sz w:val="28"/>
      <w:szCs w:val="24"/>
    </w:rPr>
  </w:style>
  <w:style w:type="paragraph" w:customStyle="1" w:styleId="Bullet-VerticalCompact-Level2">
    <w:name w:val="Bullet - Vertical Compact - Level 2"/>
    <w:basedOn w:val="Bullet-VerticalCompact-Level1"/>
    <w:next w:val="Normal"/>
    <w:qFormat/>
    <w:rsid w:val="005E09B9"/>
    <w:pPr>
      <w:ind w:left="1134"/>
    </w:pPr>
  </w:style>
  <w:style w:type="paragraph" w:customStyle="1" w:styleId="Section3-Description-Bullet">
    <w:name w:val="Section3 - Description - Bullet"/>
    <w:basedOn w:val="Section2-Description"/>
    <w:qFormat/>
    <w:rsid w:val="005E09B9"/>
    <w:pPr>
      <w:framePr w:hSpace="181" w:wrap="around" w:vAnchor="text" w:hAnchor="text"/>
      <w:numPr>
        <w:numId w:val="19"/>
      </w:numPr>
      <w:ind w:left="567" w:hanging="567"/>
    </w:pPr>
  </w:style>
  <w:style w:type="paragraph" w:customStyle="1" w:styleId="Cover2-Subtitle">
    <w:name w:val="Cover2 - Subtitle"/>
    <w:autoRedefine/>
    <w:qFormat/>
    <w:rsid w:val="005E09B9"/>
    <w:pPr>
      <w:framePr w:hSpace="181" w:wrap="around" w:vAnchor="text" w:hAnchor="page" w:xAlign="center" w:y="1"/>
      <w:spacing w:line="312" w:lineRule="auto"/>
    </w:pPr>
    <w:rPr>
      <w:rFonts w:ascii="Arial" w:hAnsi="Arial" w:cstheme="minorBidi"/>
      <w:noProof/>
      <w:color w:val="FFFFFF" w:themeColor="background1"/>
      <w:sz w:val="36"/>
      <w:szCs w:val="24"/>
    </w:rPr>
  </w:style>
  <w:style w:type="paragraph" w:customStyle="1" w:styleId="BackCover1-Tagline">
    <w:name w:val="Back Cover1 - Tagline"/>
    <w:qFormat/>
    <w:rsid w:val="005E09B9"/>
    <w:pPr>
      <w:spacing w:line="312" w:lineRule="auto"/>
    </w:pPr>
    <w:rPr>
      <w:rFonts w:ascii="Arial" w:hAnsi="Arial" w:cstheme="minorBidi"/>
      <w:color w:val="FFFFFF" w:themeColor="background1"/>
      <w:sz w:val="36"/>
      <w:szCs w:val="36"/>
    </w:rPr>
  </w:style>
  <w:style w:type="paragraph" w:customStyle="1" w:styleId="BackCover2-Details">
    <w:name w:val="Back Cover2 - Details"/>
    <w:qFormat/>
    <w:rsid w:val="005E09B9"/>
    <w:pPr>
      <w:spacing w:line="312" w:lineRule="auto"/>
    </w:pPr>
    <w:rPr>
      <w:rFonts w:ascii="Arial" w:hAnsi="Arial" w:cstheme="minorBidi"/>
      <w:color w:val="FFFFFF" w:themeColor="background1"/>
      <w:sz w:val="16"/>
      <w:szCs w:val="16"/>
    </w:rPr>
  </w:style>
  <w:style w:type="character" w:styleId="FollowedHyperlink">
    <w:name w:val="FollowedHyperlink"/>
    <w:basedOn w:val="DefaultParagraphFont"/>
    <w:uiPriority w:val="99"/>
    <w:semiHidden/>
    <w:unhideWhenUsed/>
    <w:rsid w:val="005E09B9"/>
    <w:rPr>
      <w:color w:val="800080" w:themeColor="followedHyperlink"/>
      <w:u w:val="single"/>
    </w:rPr>
  </w:style>
  <w:style w:type="paragraph" w:customStyle="1" w:styleId="Cover3-versioning">
    <w:name w:val="Cover3 - versioning"/>
    <w:basedOn w:val="Cover2-Subtitle"/>
    <w:autoRedefine/>
    <w:qFormat/>
    <w:rsid w:val="005E09B9"/>
    <w:pPr>
      <w:framePr w:wrap="around"/>
      <w:spacing w:before="240"/>
    </w:pPr>
    <w:rPr>
      <w:sz w:val="24"/>
    </w:rPr>
  </w:style>
  <w:style w:type="paragraph" w:customStyle="1" w:styleId="AppendixTitlenotinTOC">
    <w:name w:val="Appendix Title (not in TOC)"/>
    <w:basedOn w:val="Appendix-Title"/>
    <w:qFormat/>
    <w:rsid w:val="005E09B9"/>
    <w:pPr>
      <w:framePr w:wrap="around" w:vAnchor="page" w:hAnchor="page" w:xAlign="left"/>
      <w:suppressOverlap/>
    </w:pPr>
  </w:style>
  <w:style w:type="paragraph" w:customStyle="1" w:styleId="MaintitleforTOC">
    <w:name w:val="Main title for TOC"/>
    <w:basedOn w:val="Heading2-Unnumbered"/>
    <w:qFormat/>
    <w:rsid w:val="005E09B9"/>
  </w:style>
  <w:style w:type="paragraph" w:styleId="CommentSubject">
    <w:name w:val="annotation subject"/>
    <w:basedOn w:val="CommentText"/>
    <w:next w:val="CommentText"/>
    <w:link w:val="CommentSubjectChar"/>
    <w:uiPriority w:val="99"/>
    <w:semiHidden/>
    <w:unhideWhenUsed/>
    <w:rsid w:val="005E09B9"/>
    <w:rPr>
      <w:b/>
      <w:bCs/>
    </w:rPr>
  </w:style>
  <w:style w:type="character" w:customStyle="1" w:styleId="CommentSubjectChar">
    <w:name w:val="Comment Subject Char"/>
    <w:basedOn w:val="CommentTextChar"/>
    <w:link w:val="CommentSubject"/>
    <w:uiPriority w:val="99"/>
    <w:semiHidden/>
    <w:rsid w:val="005E09B9"/>
    <w:rPr>
      <w:rFonts w:ascii="Arial" w:hAnsi="Arial" w:cstheme="minorBidi"/>
      <w:b/>
      <w:bCs/>
      <w:color w:val="363838"/>
    </w:rPr>
  </w:style>
  <w:style w:type="paragraph" w:styleId="ListNumber2">
    <w:name w:val="List Number 2"/>
    <w:basedOn w:val="Normal"/>
    <w:uiPriority w:val="99"/>
    <w:unhideWhenUsed/>
    <w:rsid w:val="005E09B9"/>
    <w:pPr>
      <w:tabs>
        <w:tab w:val="num" w:pos="643"/>
      </w:tabs>
      <w:spacing w:line="312" w:lineRule="auto"/>
      <w:ind w:left="643" w:hanging="360"/>
      <w:contextualSpacing/>
    </w:pPr>
    <w:rPr>
      <w:rFonts w:ascii="Arial" w:hAnsi="Arial" w:cstheme="minorBidi"/>
      <w:color w:val="363838"/>
      <w:sz w:val="20"/>
      <w:szCs w:val="24"/>
    </w:rPr>
  </w:style>
  <w:style w:type="paragraph" w:styleId="Quote">
    <w:name w:val="Quote"/>
    <w:basedOn w:val="Normal"/>
    <w:next w:val="Normal"/>
    <w:link w:val="QuoteChar"/>
    <w:uiPriority w:val="29"/>
    <w:qFormat/>
    <w:rsid w:val="005E09B9"/>
    <w:pPr>
      <w:spacing w:before="200" w:after="160" w:line="312" w:lineRule="auto"/>
      <w:ind w:left="864" w:right="864"/>
      <w:jc w:val="center"/>
    </w:pPr>
    <w:rPr>
      <w:rFonts w:ascii="Arial" w:hAnsi="Arial" w:cstheme="minorBidi"/>
      <w:i/>
      <w:iCs/>
      <w:color w:val="404040" w:themeColor="text1" w:themeTint="BF"/>
      <w:sz w:val="20"/>
      <w:szCs w:val="24"/>
    </w:rPr>
  </w:style>
  <w:style w:type="character" w:customStyle="1" w:styleId="QuoteChar">
    <w:name w:val="Quote Char"/>
    <w:basedOn w:val="DefaultParagraphFont"/>
    <w:link w:val="Quote"/>
    <w:uiPriority w:val="29"/>
    <w:rsid w:val="005E09B9"/>
    <w:rPr>
      <w:rFonts w:ascii="Arial" w:hAnsi="Arial" w:cstheme="minorBidi"/>
      <w:i/>
      <w:iCs/>
      <w:color w:val="404040" w:themeColor="text1" w:themeTint="BF"/>
      <w:szCs w:val="24"/>
    </w:rPr>
  </w:style>
  <w:style w:type="paragraph" w:styleId="ListNumber">
    <w:name w:val="List Number"/>
    <w:basedOn w:val="Normal"/>
    <w:uiPriority w:val="99"/>
    <w:unhideWhenUsed/>
    <w:rsid w:val="005E09B9"/>
    <w:pPr>
      <w:tabs>
        <w:tab w:val="num" w:pos="360"/>
      </w:tabs>
      <w:spacing w:line="312" w:lineRule="auto"/>
      <w:ind w:left="360" w:hanging="360"/>
      <w:contextualSpacing/>
    </w:pPr>
    <w:rPr>
      <w:rFonts w:ascii="Arial" w:hAnsi="Arial" w:cstheme="minorBidi"/>
      <w:color w:val="363838"/>
      <w:sz w:val="20"/>
      <w:szCs w:val="24"/>
    </w:rPr>
  </w:style>
  <w:style w:type="paragraph" w:styleId="ListBullet2">
    <w:name w:val="List Bullet 2"/>
    <w:basedOn w:val="Normal"/>
    <w:uiPriority w:val="99"/>
    <w:unhideWhenUsed/>
    <w:rsid w:val="005E09B9"/>
    <w:pPr>
      <w:tabs>
        <w:tab w:val="num" w:pos="643"/>
      </w:tabs>
      <w:spacing w:line="312" w:lineRule="auto"/>
      <w:ind w:left="643" w:hanging="360"/>
      <w:contextualSpacing/>
    </w:pPr>
    <w:rPr>
      <w:rFonts w:ascii="Arial" w:hAnsi="Arial" w:cstheme="minorBidi"/>
      <w:color w:val="363838"/>
      <w:sz w:val="20"/>
      <w:szCs w:val="24"/>
    </w:rPr>
  </w:style>
  <w:style w:type="paragraph" w:styleId="NormalWeb">
    <w:name w:val="Normal (Web)"/>
    <w:basedOn w:val="Normal"/>
    <w:uiPriority w:val="99"/>
    <w:semiHidden/>
    <w:unhideWhenUsed/>
    <w:rsid w:val="005E09B9"/>
    <w:pPr>
      <w:spacing w:before="100" w:beforeAutospacing="1" w:after="100" w:afterAutospacing="1" w:line="240" w:lineRule="auto"/>
    </w:pPr>
    <w:rPr>
      <w:rFonts w:ascii="Times New Roman" w:eastAsia="Times New Roman" w:hAnsi="Times New Roman"/>
      <w:sz w:val="24"/>
      <w:szCs w:val="24"/>
      <w:lang w:eastAsia="en-GB"/>
    </w:rPr>
  </w:style>
  <w:style w:type="character" w:styleId="SubtleEmphasis">
    <w:name w:val="Subtle Emphasis"/>
    <w:basedOn w:val="DefaultParagraphFont"/>
    <w:uiPriority w:val="19"/>
    <w:qFormat/>
    <w:rsid w:val="005E09B9"/>
    <w:rPr>
      <w:i/>
      <w:iCs/>
      <w:color w:val="404040" w:themeColor="text1" w:themeTint="BF"/>
    </w:rPr>
  </w:style>
  <w:style w:type="paragraph" w:styleId="Bibliography">
    <w:name w:val="Bibliography"/>
    <w:basedOn w:val="Normal"/>
    <w:next w:val="Normal"/>
    <w:uiPriority w:val="37"/>
    <w:unhideWhenUsed/>
    <w:rsid w:val="005E09B9"/>
    <w:pPr>
      <w:spacing w:line="312" w:lineRule="auto"/>
    </w:pPr>
    <w:rPr>
      <w:rFonts w:ascii="Arial" w:hAnsi="Arial" w:cstheme="minorBidi"/>
      <w:color w:val="363838"/>
      <w:sz w:val="20"/>
      <w:szCs w:val="24"/>
    </w:rPr>
  </w:style>
  <w:style w:type="paragraph" w:styleId="Revision">
    <w:name w:val="Revision"/>
    <w:hidden/>
    <w:uiPriority w:val="99"/>
    <w:semiHidden/>
    <w:rsid w:val="005E09B9"/>
    <w:rPr>
      <w:rFonts w:ascii="Arial" w:hAnsi="Arial" w:cstheme="minorBidi"/>
      <w:color w:val="363838"/>
      <w:szCs w:val="24"/>
    </w:rPr>
  </w:style>
  <w:style w:type="paragraph" w:styleId="BalloonText">
    <w:name w:val="Balloon Text"/>
    <w:basedOn w:val="Normal"/>
    <w:link w:val="BalloonTextChar"/>
    <w:uiPriority w:val="99"/>
    <w:semiHidden/>
    <w:unhideWhenUsed/>
    <w:rsid w:val="005E09B9"/>
    <w:pPr>
      <w:spacing w:after="0" w:line="240" w:lineRule="auto"/>
    </w:pPr>
    <w:rPr>
      <w:rFonts w:ascii="Segoe UI" w:hAnsi="Segoe UI" w:cs="Segoe UI"/>
      <w:color w:val="363838"/>
      <w:sz w:val="18"/>
      <w:szCs w:val="18"/>
    </w:rPr>
  </w:style>
  <w:style w:type="character" w:customStyle="1" w:styleId="BalloonTextChar">
    <w:name w:val="Balloon Text Char"/>
    <w:basedOn w:val="DefaultParagraphFont"/>
    <w:link w:val="BalloonText"/>
    <w:uiPriority w:val="99"/>
    <w:semiHidden/>
    <w:rsid w:val="005E09B9"/>
    <w:rPr>
      <w:rFonts w:ascii="Segoe UI" w:hAnsi="Segoe UI" w:cs="Segoe UI"/>
      <w:color w:val="363838"/>
      <w:sz w:val="18"/>
      <w:szCs w:val="18"/>
    </w:rPr>
  </w:style>
  <w:style w:type="paragraph" w:styleId="EndnoteText">
    <w:name w:val="endnote text"/>
    <w:basedOn w:val="Normal"/>
    <w:link w:val="EndnoteTextChar"/>
    <w:uiPriority w:val="99"/>
    <w:semiHidden/>
    <w:unhideWhenUsed/>
    <w:rsid w:val="00AC648F"/>
    <w:pPr>
      <w:spacing w:after="0" w:line="240" w:lineRule="auto"/>
    </w:pPr>
    <w:rPr>
      <w:sz w:val="20"/>
    </w:rPr>
  </w:style>
  <w:style w:type="character" w:customStyle="1" w:styleId="EndnoteTextChar">
    <w:name w:val="Endnote Text Char"/>
    <w:basedOn w:val="DefaultParagraphFont"/>
    <w:link w:val="EndnoteText"/>
    <w:uiPriority w:val="99"/>
    <w:semiHidden/>
    <w:rsid w:val="00AC648F"/>
    <w:rPr>
      <w:rFonts w:ascii="Calibri" w:hAnsi="Calibri"/>
    </w:rPr>
  </w:style>
  <w:style w:type="character" w:styleId="EndnoteReference">
    <w:name w:val="endnote reference"/>
    <w:basedOn w:val="DefaultParagraphFont"/>
    <w:uiPriority w:val="99"/>
    <w:semiHidden/>
    <w:unhideWhenUsed/>
    <w:rsid w:val="00AC648F"/>
    <w:rPr>
      <w:vertAlign w:val="superscript"/>
    </w:rPr>
  </w:style>
  <w:style w:type="character" w:styleId="Strong">
    <w:name w:val="Strong"/>
    <w:basedOn w:val="DefaultParagraphFont"/>
    <w:uiPriority w:val="22"/>
    <w:qFormat/>
    <w:rsid w:val="00C31454"/>
    <w:rPr>
      <w:b/>
      <w:bCs/>
    </w:rPr>
  </w:style>
  <w:style w:type="character" w:customStyle="1" w:styleId="fui-flex">
    <w:name w:val="fui-flex"/>
    <w:basedOn w:val="DefaultParagraphFont"/>
    <w:rsid w:val="00C31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740">
      <w:bodyDiv w:val="1"/>
      <w:marLeft w:val="0"/>
      <w:marRight w:val="0"/>
      <w:marTop w:val="0"/>
      <w:marBottom w:val="0"/>
      <w:divBdr>
        <w:top w:val="none" w:sz="0" w:space="0" w:color="auto"/>
        <w:left w:val="none" w:sz="0" w:space="0" w:color="auto"/>
        <w:bottom w:val="none" w:sz="0" w:space="0" w:color="auto"/>
        <w:right w:val="none" w:sz="0" w:space="0" w:color="auto"/>
      </w:divBdr>
    </w:div>
    <w:div w:id="8144559">
      <w:bodyDiv w:val="1"/>
      <w:marLeft w:val="0"/>
      <w:marRight w:val="0"/>
      <w:marTop w:val="0"/>
      <w:marBottom w:val="0"/>
      <w:divBdr>
        <w:top w:val="none" w:sz="0" w:space="0" w:color="auto"/>
        <w:left w:val="none" w:sz="0" w:space="0" w:color="auto"/>
        <w:bottom w:val="none" w:sz="0" w:space="0" w:color="auto"/>
        <w:right w:val="none" w:sz="0" w:space="0" w:color="auto"/>
      </w:divBdr>
    </w:div>
    <w:div w:id="9112284">
      <w:bodyDiv w:val="1"/>
      <w:marLeft w:val="0"/>
      <w:marRight w:val="0"/>
      <w:marTop w:val="0"/>
      <w:marBottom w:val="0"/>
      <w:divBdr>
        <w:top w:val="none" w:sz="0" w:space="0" w:color="auto"/>
        <w:left w:val="none" w:sz="0" w:space="0" w:color="auto"/>
        <w:bottom w:val="none" w:sz="0" w:space="0" w:color="auto"/>
        <w:right w:val="none" w:sz="0" w:space="0" w:color="auto"/>
      </w:divBdr>
    </w:div>
    <w:div w:id="23336976">
      <w:bodyDiv w:val="1"/>
      <w:marLeft w:val="0"/>
      <w:marRight w:val="0"/>
      <w:marTop w:val="0"/>
      <w:marBottom w:val="0"/>
      <w:divBdr>
        <w:top w:val="none" w:sz="0" w:space="0" w:color="auto"/>
        <w:left w:val="none" w:sz="0" w:space="0" w:color="auto"/>
        <w:bottom w:val="none" w:sz="0" w:space="0" w:color="auto"/>
        <w:right w:val="none" w:sz="0" w:space="0" w:color="auto"/>
      </w:divBdr>
    </w:div>
    <w:div w:id="27218231">
      <w:bodyDiv w:val="1"/>
      <w:marLeft w:val="0"/>
      <w:marRight w:val="0"/>
      <w:marTop w:val="0"/>
      <w:marBottom w:val="0"/>
      <w:divBdr>
        <w:top w:val="none" w:sz="0" w:space="0" w:color="auto"/>
        <w:left w:val="none" w:sz="0" w:space="0" w:color="auto"/>
        <w:bottom w:val="none" w:sz="0" w:space="0" w:color="auto"/>
        <w:right w:val="none" w:sz="0" w:space="0" w:color="auto"/>
      </w:divBdr>
    </w:div>
    <w:div w:id="27798638">
      <w:bodyDiv w:val="1"/>
      <w:marLeft w:val="0"/>
      <w:marRight w:val="0"/>
      <w:marTop w:val="0"/>
      <w:marBottom w:val="0"/>
      <w:divBdr>
        <w:top w:val="none" w:sz="0" w:space="0" w:color="auto"/>
        <w:left w:val="none" w:sz="0" w:space="0" w:color="auto"/>
        <w:bottom w:val="none" w:sz="0" w:space="0" w:color="auto"/>
        <w:right w:val="none" w:sz="0" w:space="0" w:color="auto"/>
      </w:divBdr>
    </w:div>
    <w:div w:id="30765940">
      <w:bodyDiv w:val="1"/>
      <w:marLeft w:val="0"/>
      <w:marRight w:val="0"/>
      <w:marTop w:val="0"/>
      <w:marBottom w:val="0"/>
      <w:divBdr>
        <w:top w:val="none" w:sz="0" w:space="0" w:color="auto"/>
        <w:left w:val="none" w:sz="0" w:space="0" w:color="auto"/>
        <w:bottom w:val="none" w:sz="0" w:space="0" w:color="auto"/>
        <w:right w:val="none" w:sz="0" w:space="0" w:color="auto"/>
      </w:divBdr>
    </w:div>
    <w:div w:id="58789452">
      <w:bodyDiv w:val="1"/>
      <w:marLeft w:val="0"/>
      <w:marRight w:val="0"/>
      <w:marTop w:val="0"/>
      <w:marBottom w:val="0"/>
      <w:divBdr>
        <w:top w:val="none" w:sz="0" w:space="0" w:color="auto"/>
        <w:left w:val="none" w:sz="0" w:space="0" w:color="auto"/>
        <w:bottom w:val="none" w:sz="0" w:space="0" w:color="auto"/>
        <w:right w:val="none" w:sz="0" w:space="0" w:color="auto"/>
      </w:divBdr>
    </w:div>
    <w:div w:id="62683020">
      <w:bodyDiv w:val="1"/>
      <w:marLeft w:val="0"/>
      <w:marRight w:val="0"/>
      <w:marTop w:val="0"/>
      <w:marBottom w:val="0"/>
      <w:divBdr>
        <w:top w:val="none" w:sz="0" w:space="0" w:color="auto"/>
        <w:left w:val="none" w:sz="0" w:space="0" w:color="auto"/>
        <w:bottom w:val="none" w:sz="0" w:space="0" w:color="auto"/>
        <w:right w:val="none" w:sz="0" w:space="0" w:color="auto"/>
      </w:divBdr>
    </w:div>
    <w:div w:id="64383565">
      <w:bodyDiv w:val="1"/>
      <w:marLeft w:val="0"/>
      <w:marRight w:val="0"/>
      <w:marTop w:val="0"/>
      <w:marBottom w:val="0"/>
      <w:divBdr>
        <w:top w:val="none" w:sz="0" w:space="0" w:color="auto"/>
        <w:left w:val="none" w:sz="0" w:space="0" w:color="auto"/>
        <w:bottom w:val="none" w:sz="0" w:space="0" w:color="auto"/>
        <w:right w:val="none" w:sz="0" w:space="0" w:color="auto"/>
      </w:divBdr>
    </w:div>
    <w:div w:id="65155867">
      <w:bodyDiv w:val="1"/>
      <w:marLeft w:val="0"/>
      <w:marRight w:val="0"/>
      <w:marTop w:val="0"/>
      <w:marBottom w:val="0"/>
      <w:divBdr>
        <w:top w:val="none" w:sz="0" w:space="0" w:color="auto"/>
        <w:left w:val="none" w:sz="0" w:space="0" w:color="auto"/>
        <w:bottom w:val="none" w:sz="0" w:space="0" w:color="auto"/>
        <w:right w:val="none" w:sz="0" w:space="0" w:color="auto"/>
      </w:divBdr>
    </w:div>
    <w:div w:id="71434436">
      <w:bodyDiv w:val="1"/>
      <w:marLeft w:val="0"/>
      <w:marRight w:val="0"/>
      <w:marTop w:val="0"/>
      <w:marBottom w:val="0"/>
      <w:divBdr>
        <w:top w:val="none" w:sz="0" w:space="0" w:color="auto"/>
        <w:left w:val="none" w:sz="0" w:space="0" w:color="auto"/>
        <w:bottom w:val="none" w:sz="0" w:space="0" w:color="auto"/>
        <w:right w:val="none" w:sz="0" w:space="0" w:color="auto"/>
      </w:divBdr>
    </w:div>
    <w:div w:id="72090702">
      <w:bodyDiv w:val="1"/>
      <w:marLeft w:val="0"/>
      <w:marRight w:val="0"/>
      <w:marTop w:val="0"/>
      <w:marBottom w:val="0"/>
      <w:divBdr>
        <w:top w:val="none" w:sz="0" w:space="0" w:color="auto"/>
        <w:left w:val="none" w:sz="0" w:space="0" w:color="auto"/>
        <w:bottom w:val="none" w:sz="0" w:space="0" w:color="auto"/>
        <w:right w:val="none" w:sz="0" w:space="0" w:color="auto"/>
      </w:divBdr>
    </w:div>
    <w:div w:id="73206891">
      <w:bodyDiv w:val="1"/>
      <w:marLeft w:val="0"/>
      <w:marRight w:val="0"/>
      <w:marTop w:val="0"/>
      <w:marBottom w:val="0"/>
      <w:divBdr>
        <w:top w:val="none" w:sz="0" w:space="0" w:color="auto"/>
        <w:left w:val="none" w:sz="0" w:space="0" w:color="auto"/>
        <w:bottom w:val="none" w:sz="0" w:space="0" w:color="auto"/>
        <w:right w:val="none" w:sz="0" w:space="0" w:color="auto"/>
      </w:divBdr>
    </w:div>
    <w:div w:id="76444701">
      <w:bodyDiv w:val="1"/>
      <w:marLeft w:val="0"/>
      <w:marRight w:val="0"/>
      <w:marTop w:val="0"/>
      <w:marBottom w:val="0"/>
      <w:divBdr>
        <w:top w:val="none" w:sz="0" w:space="0" w:color="auto"/>
        <w:left w:val="none" w:sz="0" w:space="0" w:color="auto"/>
        <w:bottom w:val="none" w:sz="0" w:space="0" w:color="auto"/>
        <w:right w:val="none" w:sz="0" w:space="0" w:color="auto"/>
      </w:divBdr>
    </w:div>
    <w:div w:id="77488528">
      <w:bodyDiv w:val="1"/>
      <w:marLeft w:val="0"/>
      <w:marRight w:val="0"/>
      <w:marTop w:val="0"/>
      <w:marBottom w:val="0"/>
      <w:divBdr>
        <w:top w:val="none" w:sz="0" w:space="0" w:color="auto"/>
        <w:left w:val="none" w:sz="0" w:space="0" w:color="auto"/>
        <w:bottom w:val="none" w:sz="0" w:space="0" w:color="auto"/>
        <w:right w:val="none" w:sz="0" w:space="0" w:color="auto"/>
      </w:divBdr>
    </w:div>
    <w:div w:id="80105123">
      <w:bodyDiv w:val="1"/>
      <w:marLeft w:val="0"/>
      <w:marRight w:val="0"/>
      <w:marTop w:val="0"/>
      <w:marBottom w:val="0"/>
      <w:divBdr>
        <w:top w:val="none" w:sz="0" w:space="0" w:color="auto"/>
        <w:left w:val="none" w:sz="0" w:space="0" w:color="auto"/>
        <w:bottom w:val="none" w:sz="0" w:space="0" w:color="auto"/>
        <w:right w:val="none" w:sz="0" w:space="0" w:color="auto"/>
      </w:divBdr>
    </w:div>
    <w:div w:id="80686821">
      <w:bodyDiv w:val="1"/>
      <w:marLeft w:val="0"/>
      <w:marRight w:val="0"/>
      <w:marTop w:val="0"/>
      <w:marBottom w:val="0"/>
      <w:divBdr>
        <w:top w:val="none" w:sz="0" w:space="0" w:color="auto"/>
        <w:left w:val="none" w:sz="0" w:space="0" w:color="auto"/>
        <w:bottom w:val="none" w:sz="0" w:space="0" w:color="auto"/>
        <w:right w:val="none" w:sz="0" w:space="0" w:color="auto"/>
      </w:divBdr>
    </w:div>
    <w:div w:id="81148296">
      <w:bodyDiv w:val="1"/>
      <w:marLeft w:val="0"/>
      <w:marRight w:val="0"/>
      <w:marTop w:val="0"/>
      <w:marBottom w:val="0"/>
      <w:divBdr>
        <w:top w:val="none" w:sz="0" w:space="0" w:color="auto"/>
        <w:left w:val="none" w:sz="0" w:space="0" w:color="auto"/>
        <w:bottom w:val="none" w:sz="0" w:space="0" w:color="auto"/>
        <w:right w:val="none" w:sz="0" w:space="0" w:color="auto"/>
      </w:divBdr>
    </w:div>
    <w:div w:id="91361673">
      <w:bodyDiv w:val="1"/>
      <w:marLeft w:val="0"/>
      <w:marRight w:val="0"/>
      <w:marTop w:val="0"/>
      <w:marBottom w:val="0"/>
      <w:divBdr>
        <w:top w:val="none" w:sz="0" w:space="0" w:color="auto"/>
        <w:left w:val="none" w:sz="0" w:space="0" w:color="auto"/>
        <w:bottom w:val="none" w:sz="0" w:space="0" w:color="auto"/>
        <w:right w:val="none" w:sz="0" w:space="0" w:color="auto"/>
      </w:divBdr>
    </w:div>
    <w:div w:id="104859562">
      <w:bodyDiv w:val="1"/>
      <w:marLeft w:val="0"/>
      <w:marRight w:val="0"/>
      <w:marTop w:val="0"/>
      <w:marBottom w:val="0"/>
      <w:divBdr>
        <w:top w:val="none" w:sz="0" w:space="0" w:color="auto"/>
        <w:left w:val="none" w:sz="0" w:space="0" w:color="auto"/>
        <w:bottom w:val="none" w:sz="0" w:space="0" w:color="auto"/>
        <w:right w:val="none" w:sz="0" w:space="0" w:color="auto"/>
      </w:divBdr>
    </w:div>
    <w:div w:id="106972367">
      <w:bodyDiv w:val="1"/>
      <w:marLeft w:val="0"/>
      <w:marRight w:val="0"/>
      <w:marTop w:val="0"/>
      <w:marBottom w:val="0"/>
      <w:divBdr>
        <w:top w:val="none" w:sz="0" w:space="0" w:color="auto"/>
        <w:left w:val="none" w:sz="0" w:space="0" w:color="auto"/>
        <w:bottom w:val="none" w:sz="0" w:space="0" w:color="auto"/>
        <w:right w:val="none" w:sz="0" w:space="0" w:color="auto"/>
      </w:divBdr>
    </w:div>
    <w:div w:id="108548295">
      <w:bodyDiv w:val="1"/>
      <w:marLeft w:val="0"/>
      <w:marRight w:val="0"/>
      <w:marTop w:val="0"/>
      <w:marBottom w:val="0"/>
      <w:divBdr>
        <w:top w:val="none" w:sz="0" w:space="0" w:color="auto"/>
        <w:left w:val="none" w:sz="0" w:space="0" w:color="auto"/>
        <w:bottom w:val="none" w:sz="0" w:space="0" w:color="auto"/>
        <w:right w:val="none" w:sz="0" w:space="0" w:color="auto"/>
      </w:divBdr>
    </w:div>
    <w:div w:id="113328417">
      <w:bodyDiv w:val="1"/>
      <w:marLeft w:val="0"/>
      <w:marRight w:val="0"/>
      <w:marTop w:val="0"/>
      <w:marBottom w:val="0"/>
      <w:divBdr>
        <w:top w:val="none" w:sz="0" w:space="0" w:color="auto"/>
        <w:left w:val="none" w:sz="0" w:space="0" w:color="auto"/>
        <w:bottom w:val="none" w:sz="0" w:space="0" w:color="auto"/>
        <w:right w:val="none" w:sz="0" w:space="0" w:color="auto"/>
      </w:divBdr>
    </w:div>
    <w:div w:id="114447583">
      <w:bodyDiv w:val="1"/>
      <w:marLeft w:val="0"/>
      <w:marRight w:val="0"/>
      <w:marTop w:val="0"/>
      <w:marBottom w:val="0"/>
      <w:divBdr>
        <w:top w:val="none" w:sz="0" w:space="0" w:color="auto"/>
        <w:left w:val="none" w:sz="0" w:space="0" w:color="auto"/>
        <w:bottom w:val="none" w:sz="0" w:space="0" w:color="auto"/>
        <w:right w:val="none" w:sz="0" w:space="0" w:color="auto"/>
      </w:divBdr>
    </w:div>
    <w:div w:id="129398854">
      <w:bodyDiv w:val="1"/>
      <w:marLeft w:val="0"/>
      <w:marRight w:val="0"/>
      <w:marTop w:val="0"/>
      <w:marBottom w:val="0"/>
      <w:divBdr>
        <w:top w:val="none" w:sz="0" w:space="0" w:color="auto"/>
        <w:left w:val="none" w:sz="0" w:space="0" w:color="auto"/>
        <w:bottom w:val="none" w:sz="0" w:space="0" w:color="auto"/>
        <w:right w:val="none" w:sz="0" w:space="0" w:color="auto"/>
      </w:divBdr>
    </w:div>
    <w:div w:id="131140929">
      <w:bodyDiv w:val="1"/>
      <w:marLeft w:val="0"/>
      <w:marRight w:val="0"/>
      <w:marTop w:val="0"/>
      <w:marBottom w:val="0"/>
      <w:divBdr>
        <w:top w:val="none" w:sz="0" w:space="0" w:color="auto"/>
        <w:left w:val="none" w:sz="0" w:space="0" w:color="auto"/>
        <w:bottom w:val="none" w:sz="0" w:space="0" w:color="auto"/>
        <w:right w:val="none" w:sz="0" w:space="0" w:color="auto"/>
      </w:divBdr>
    </w:div>
    <w:div w:id="137959499">
      <w:bodyDiv w:val="1"/>
      <w:marLeft w:val="0"/>
      <w:marRight w:val="0"/>
      <w:marTop w:val="0"/>
      <w:marBottom w:val="0"/>
      <w:divBdr>
        <w:top w:val="none" w:sz="0" w:space="0" w:color="auto"/>
        <w:left w:val="none" w:sz="0" w:space="0" w:color="auto"/>
        <w:bottom w:val="none" w:sz="0" w:space="0" w:color="auto"/>
        <w:right w:val="none" w:sz="0" w:space="0" w:color="auto"/>
      </w:divBdr>
    </w:div>
    <w:div w:id="148986668">
      <w:bodyDiv w:val="1"/>
      <w:marLeft w:val="0"/>
      <w:marRight w:val="0"/>
      <w:marTop w:val="0"/>
      <w:marBottom w:val="0"/>
      <w:divBdr>
        <w:top w:val="none" w:sz="0" w:space="0" w:color="auto"/>
        <w:left w:val="none" w:sz="0" w:space="0" w:color="auto"/>
        <w:bottom w:val="none" w:sz="0" w:space="0" w:color="auto"/>
        <w:right w:val="none" w:sz="0" w:space="0" w:color="auto"/>
      </w:divBdr>
    </w:div>
    <w:div w:id="151727409">
      <w:bodyDiv w:val="1"/>
      <w:marLeft w:val="0"/>
      <w:marRight w:val="0"/>
      <w:marTop w:val="0"/>
      <w:marBottom w:val="0"/>
      <w:divBdr>
        <w:top w:val="none" w:sz="0" w:space="0" w:color="auto"/>
        <w:left w:val="none" w:sz="0" w:space="0" w:color="auto"/>
        <w:bottom w:val="none" w:sz="0" w:space="0" w:color="auto"/>
        <w:right w:val="none" w:sz="0" w:space="0" w:color="auto"/>
      </w:divBdr>
    </w:div>
    <w:div w:id="160851102">
      <w:bodyDiv w:val="1"/>
      <w:marLeft w:val="0"/>
      <w:marRight w:val="0"/>
      <w:marTop w:val="0"/>
      <w:marBottom w:val="0"/>
      <w:divBdr>
        <w:top w:val="none" w:sz="0" w:space="0" w:color="auto"/>
        <w:left w:val="none" w:sz="0" w:space="0" w:color="auto"/>
        <w:bottom w:val="none" w:sz="0" w:space="0" w:color="auto"/>
        <w:right w:val="none" w:sz="0" w:space="0" w:color="auto"/>
      </w:divBdr>
    </w:div>
    <w:div w:id="161316782">
      <w:bodyDiv w:val="1"/>
      <w:marLeft w:val="0"/>
      <w:marRight w:val="0"/>
      <w:marTop w:val="0"/>
      <w:marBottom w:val="0"/>
      <w:divBdr>
        <w:top w:val="none" w:sz="0" w:space="0" w:color="auto"/>
        <w:left w:val="none" w:sz="0" w:space="0" w:color="auto"/>
        <w:bottom w:val="none" w:sz="0" w:space="0" w:color="auto"/>
        <w:right w:val="none" w:sz="0" w:space="0" w:color="auto"/>
      </w:divBdr>
    </w:div>
    <w:div w:id="162017329">
      <w:bodyDiv w:val="1"/>
      <w:marLeft w:val="0"/>
      <w:marRight w:val="0"/>
      <w:marTop w:val="0"/>
      <w:marBottom w:val="0"/>
      <w:divBdr>
        <w:top w:val="none" w:sz="0" w:space="0" w:color="auto"/>
        <w:left w:val="none" w:sz="0" w:space="0" w:color="auto"/>
        <w:bottom w:val="none" w:sz="0" w:space="0" w:color="auto"/>
        <w:right w:val="none" w:sz="0" w:space="0" w:color="auto"/>
      </w:divBdr>
    </w:div>
    <w:div w:id="167017166">
      <w:bodyDiv w:val="1"/>
      <w:marLeft w:val="0"/>
      <w:marRight w:val="0"/>
      <w:marTop w:val="0"/>
      <w:marBottom w:val="0"/>
      <w:divBdr>
        <w:top w:val="none" w:sz="0" w:space="0" w:color="auto"/>
        <w:left w:val="none" w:sz="0" w:space="0" w:color="auto"/>
        <w:bottom w:val="none" w:sz="0" w:space="0" w:color="auto"/>
        <w:right w:val="none" w:sz="0" w:space="0" w:color="auto"/>
      </w:divBdr>
    </w:div>
    <w:div w:id="168715207">
      <w:bodyDiv w:val="1"/>
      <w:marLeft w:val="0"/>
      <w:marRight w:val="0"/>
      <w:marTop w:val="0"/>
      <w:marBottom w:val="0"/>
      <w:divBdr>
        <w:top w:val="none" w:sz="0" w:space="0" w:color="auto"/>
        <w:left w:val="none" w:sz="0" w:space="0" w:color="auto"/>
        <w:bottom w:val="none" w:sz="0" w:space="0" w:color="auto"/>
        <w:right w:val="none" w:sz="0" w:space="0" w:color="auto"/>
      </w:divBdr>
    </w:div>
    <w:div w:id="181943525">
      <w:bodyDiv w:val="1"/>
      <w:marLeft w:val="0"/>
      <w:marRight w:val="0"/>
      <w:marTop w:val="0"/>
      <w:marBottom w:val="0"/>
      <w:divBdr>
        <w:top w:val="none" w:sz="0" w:space="0" w:color="auto"/>
        <w:left w:val="none" w:sz="0" w:space="0" w:color="auto"/>
        <w:bottom w:val="none" w:sz="0" w:space="0" w:color="auto"/>
        <w:right w:val="none" w:sz="0" w:space="0" w:color="auto"/>
      </w:divBdr>
    </w:div>
    <w:div w:id="185489469">
      <w:bodyDiv w:val="1"/>
      <w:marLeft w:val="0"/>
      <w:marRight w:val="0"/>
      <w:marTop w:val="0"/>
      <w:marBottom w:val="0"/>
      <w:divBdr>
        <w:top w:val="none" w:sz="0" w:space="0" w:color="auto"/>
        <w:left w:val="none" w:sz="0" w:space="0" w:color="auto"/>
        <w:bottom w:val="none" w:sz="0" w:space="0" w:color="auto"/>
        <w:right w:val="none" w:sz="0" w:space="0" w:color="auto"/>
      </w:divBdr>
    </w:div>
    <w:div w:id="192815867">
      <w:bodyDiv w:val="1"/>
      <w:marLeft w:val="0"/>
      <w:marRight w:val="0"/>
      <w:marTop w:val="0"/>
      <w:marBottom w:val="0"/>
      <w:divBdr>
        <w:top w:val="none" w:sz="0" w:space="0" w:color="auto"/>
        <w:left w:val="none" w:sz="0" w:space="0" w:color="auto"/>
        <w:bottom w:val="none" w:sz="0" w:space="0" w:color="auto"/>
        <w:right w:val="none" w:sz="0" w:space="0" w:color="auto"/>
      </w:divBdr>
    </w:div>
    <w:div w:id="199322322">
      <w:bodyDiv w:val="1"/>
      <w:marLeft w:val="0"/>
      <w:marRight w:val="0"/>
      <w:marTop w:val="0"/>
      <w:marBottom w:val="0"/>
      <w:divBdr>
        <w:top w:val="none" w:sz="0" w:space="0" w:color="auto"/>
        <w:left w:val="none" w:sz="0" w:space="0" w:color="auto"/>
        <w:bottom w:val="none" w:sz="0" w:space="0" w:color="auto"/>
        <w:right w:val="none" w:sz="0" w:space="0" w:color="auto"/>
      </w:divBdr>
    </w:div>
    <w:div w:id="199629332">
      <w:bodyDiv w:val="1"/>
      <w:marLeft w:val="0"/>
      <w:marRight w:val="0"/>
      <w:marTop w:val="0"/>
      <w:marBottom w:val="0"/>
      <w:divBdr>
        <w:top w:val="none" w:sz="0" w:space="0" w:color="auto"/>
        <w:left w:val="none" w:sz="0" w:space="0" w:color="auto"/>
        <w:bottom w:val="none" w:sz="0" w:space="0" w:color="auto"/>
        <w:right w:val="none" w:sz="0" w:space="0" w:color="auto"/>
      </w:divBdr>
    </w:div>
    <w:div w:id="199705394">
      <w:bodyDiv w:val="1"/>
      <w:marLeft w:val="0"/>
      <w:marRight w:val="0"/>
      <w:marTop w:val="0"/>
      <w:marBottom w:val="0"/>
      <w:divBdr>
        <w:top w:val="none" w:sz="0" w:space="0" w:color="auto"/>
        <w:left w:val="none" w:sz="0" w:space="0" w:color="auto"/>
        <w:bottom w:val="none" w:sz="0" w:space="0" w:color="auto"/>
        <w:right w:val="none" w:sz="0" w:space="0" w:color="auto"/>
      </w:divBdr>
    </w:div>
    <w:div w:id="203371262">
      <w:bodyDiv w:val="1"/>
      <w:marLeft w:val="0"/>
      <w:marRight w:val="0"/>
      <w:marTop w:val="0"/>
      <w:marBottom w:val="0"/>
      <w:divBdr>
        <w:top w:val="none" w:sz="0" w:space="0" w:color="auto"/>
        <w:left w:val="none" w:sz="0" w:space="0" w:color="auto"/>
        <w:bottom w:val="none" w:sz="0" w:space="0" w:color="auto"/>
        <w:right w:val="none" w:sz="0" w:space="0" w:color="auto"/>
      </w:divBdr>
      <w:divsChild>
        <w:div w:id="126551204">
          <w:marLeft w:val="0"/>
          <w:marRight w:val="0"/>
          <w:marTop w:val="0"/>
          <w:marBottom w:val="0"/>
          <w:divBdr>
            <w:top w:val="none" w:sz="0" w:space="0" w:color="auto"/>
            <w:left w:val="none" w:sz="0" w:space="0" w:color="auto"/>
            <w:bottom w:val="none" w:sz="0" w:space="0" w:color="auto"/>
            <w:right w:val="none" w:sz="0" w:space="0" w:color="auto"/>
          </w:divBdr>
          <w:divsChild>
            <w:div w:id="2137598402">
              <w:marLeft w:val="0"/>
              <w:marRight w:val="0"/>
              <w:marTop w:val="0"/>
              <w:marBottom w:val="0"/>
              <w:divBdr>
                <w:top w:val="none" w:sz="0" w:space="0" w:color="auto"/>
                <w:left w:val="none" w:sz="0" w:space="0" w:color="auto"/>
                <w:bottom w:val="none" w:sz="0" w:space="0" w:color="auto"/>
                <w:right w:val="none" w:sz="0" w:space="0" w:color="auto"/>
              </w:divBdr>
            </w:div>
          </w:divsChild>
        </w:div>
        <w:div w:id="1565214989">
          <w:marLeft w:val="0"/>
          <w:marRight w:val="0"/>
          <w:marTop w:val="0"/>
          <w:marBottom w:val="0"/>
          <w:divBdr>
            <w:top w:val="none" w:sz="0" w:space="0" w:color="auto"/>
            <w:left w:val="none" w:sz="0" w:space="0" w:color="auto"/>
            <w:bottom w:val="none" w:sz="0" w:space="0" w:color="auto"/>
            <w:right w:val="none" w:sz="0" w:space="0" w:color="auto"/>
          </w:divBdr>
          <w:divsChild>
            <w:div w:id="360595122">
              <w:marLeft w:val="0"/>
              <w:marRight w:val="0"/>
              <w:marTop w:val="0"/>
              <w:marBottom w:val="0"/>
              <w:divBdr>
                <w:top w:val="none" w:sz="0" w:space="0" w:color="auto"/>
                <w:left w:val="none" w:sz="0" w:space="0" w:color="auto"/>
                <w:bottom w:val="none" w:sz="0" w:space="0" w:color="auto"/>
                <w:right w:val="none" w:sz="0" w:space="0" w:color="auto"/>
              </w:divBdr>
            </w:div>
          </w:divsChild>
        </w:div>
        <w:div w:id="1660420299">
          <w:marLeft w:val="0"/>
          <w:marRight w:val="0"/>
          <w:marTop w:val="0"/>
          <w:marBottom w:val="0"/>
          <w:divBdr>
            <w:top w:val="none" w:sz="0" w:space="0" w:color="auto"/>
            <w:left w:val="none" w:sz="0" w:space="0" w:color="auto"/>
            <w:bottom w:val="none" w:sz="0" w:space="0" w:color="auto"/>
            <w:right w:val="none" w:sz="0" w:space="0" w:color="auto"/>
          </w:divBdr>
          <w:divsChild>
            <w:div w:id="326633728">
              <w:marLeft w:val="0"/>
              <w:marRight w:val="0"/>
              <w:marTop w:val="0"/>
              <w:marBottom w:val="0"/>
              <w:divBdr>
                <w:top w:val="none" w:sz="0" w:space="0" w:color="auto"/>
                <w:left w:val="none" w:sz="0" w:space="0" w:color="auto"/>
                <w:bottom w:val="none" w:sz="0" w:space="0" w:color="auto"/>
                <w:right w:val="none" w:sz="0" w:space="0" w:color="auto"/>
              </w:divBdr>
            </w:div>
            <w:div w:id="350372963">
              <w:marLeft w:val="0"/>
              <w:marRight w:val="0"/>
              <w:marTop w:val="0"/>
              <w:marBottom w:val="0"/>
              <w:divBdr>
                <w:top w:val="none" w:sz="0" w:space="0" w:color="auto"/>
                <w:left w:val="none" w:sz="0" w:space="0" w:color="auto"/>
                <w:bottom w:val="none" w:sz="0" w:space="0" w:color="auto"/>
                <w:right w:val="none" w:sz="0" w:space="0" w:color="auto"/>
              </w:divBdr>
            </w:div>
            <w:div w:id="942689789">
              <w:marLeft w:val="0"/>
              <w:marRight w:val="0"/>
              <w:marTop w:val="0"/>
              <w:marBottom w:val="0"/>
              <w:divBdr>
                <w:top w:val="none" w:sz="0" w:space="0" w:color="auto"/>
                <w:left w:val="none" w:sz="0" w:space="0" w:color="auto"/>
                <w:bottom w:val="none" w:sz="0" w:space="0" w:color="auto"/>
                <w:right w:val="none" w:sz="0" w:space="0" w:color="auto"/>
              </w:divBdr>
            </w:div>
            <w:div w:id="1303658760">
              <w:marLeft w:val="0"/>
              <w:marRight w:val="0"/>
              <w:marTop w:val="0"/>
              <w:marBottom w:val="0"/>
              <w:divBdr>
                <w:top w:val="none" w:sz="0" w:space="0" w:color="auto"/>
                <w:left w:val="none" w:sz="0" w:space="0" w:color="auto"/>
                <w:bottom w:val="none" w:sz="0" w:space="0" w:color="auto"/>
                <w:right w:val="none" w:sz="0" w:space="0" w:color="auto"/>
              </w:divBdr>
            </w:div>
          </w:divsChild>
        </w:div>
        <w:div w:id="1927961062">
          <w:marLeft w:val="0"/>
          <w:marRight w:val="0"/>
          <w:marTop w:val="0"/>
          <w:marBottom w:val="0"/>
          <w:divBdr>
            <w:top w:val="none" w:sz="0" w:space="0" w:color="auto"/>
            <w:left w:val="none" w:sz="0" w:space="0" w:color="auto"/>
            <w:bottom w:val="none" w:sz="0" w:space="0" w:color="auto"/>
            <w:right w:val="none" w:sz="0" w:space="0" w:color="auto"/>
          </w:divBdr>
          <w:divsChild>
            <w:div w:id="676880336">
              <w:marLeft w:val="0"/>
              <w:marRight w:val="0"/>
              <w:marTop w:val="0"/>
              <w:marBottom w:val="0"/>
              <w:divBdr>
                <w:top w:val="none" w:sz="0" w:space="0" w:color="auto"/>
                <w:left w:val="none" w:sz="0" w:space="0" w:color="auto"/>
                <w:bottom w:val="none" w:sz="0" w:space="0" w:color="auto"/>
                <w:right w:val="none" w:sz="0" w:space="0" w:color="auto"/>
              </w:divBdr>
            </w:div>
            <w:div w:id="1128084366">
              <w:marLeft w:val="0"/>
              <w:marRight w:val="0"/>
              <w:marTop w:val="0"/>
              <w:marBottom w:val="0"/>
              <w:divBdr>
                <w:top w:val="none" w:sz="0" w:space="0" w:color="auto"/>
                <w:left w:val="none" w:sz="0" w:space="0" w:color="auto"/>
                <w:bottom w:val="none" w:sz="0" w:space="0" w:color="auto"/>
                <w:right w:val="none" w:sz="0" w:space="0" w:color="auto"/>
              </w:divBdr>
            </w:div>
            <w:div w:id="1199927351">
              <w:marLeft w:val="0"/>
              <w:marRight w:val="0"/>
              <w:marTop w:val="0"/>
              <w:marBottom w:val="0"/>
              <w:divBdr>
                <w:top w:val="none" w:sz="0" w:space="0" w:color="auto"/>
                <w:left w:val="none" w:sz="0" w:space="0" w:color="auto"/>
                <w:bottom w:val="none" w:sz="0" w:space="0" w:color="auto"/>
                <w:right w:val="none" w:sz="0" w:space="0" w:color="auto"/>
              </w:divBdr>
            </w:div>
            <w:div w:id="16239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0899">
      <w:bodyDiv w:val="1"/>
      <w:marLeft w:val="0"/>
      <w:marRight w:val="0"/>
      <w:marTop w:val="0"/>
      <w:marBottom w:val="0"/>
      <w:divBdr>
        <w:top w:val="none" w:sz="0" w:space="0" w:color="auto"/>
        <w:left w:val="none" w:sz="0" w:space="0" w:color="auto"/>
        <w:bottom w:val="none" w:sz="0" w:space="0" w:color="auto"/>
        <w:right w:val="none" w:sz="0" w:space="0" w:color="auto"/>
      </w:divBdr>
    </w:div>
    <w:div w:id="208155541">
      <w:bodyDiv w:val="1"/>
      <w:marLeft w:val="0"/>
      <w:marRight w:val="0"/>
      <w:marTop w:val="0"/>
      <w:marBottom w:val="0"/>
      <w:divBdr>
        <w:top w:val="none" w:sz="0" w:space="0" w:color="auto"/>
        <w:left w:val="none" w:sz="0" w:space="0" w:color="auto"/>
        <w:bottom w:val="none" w:sz="0" w:space="0" w:color="auto"/>
        <w:right w:val="none" w:sz="0" w:space="0" w:color="auto"/>
      </w:divBdr>
    </w:div>
    <w:div w:id="212618870">
      <w:bodyDiv w:val="1"/>
      <w:marLeft w:val="0"/>
      <w:marRight w:val="0"/>
      <w:marTop w:val="0"/>
      <w:marBottom w:val="0"/>
      <w:divBdr>
        <w:top w:val="none" w:sz="0" w:space="0" w:color="auto"/>
        <w:left w:val="none" w:sz="0" w:space="0" w:color="auto"/>
        <w:bottom w:val="none" w:sz="0" w:space="0" w:color="auto"/>
        <w:right w:val="none" w:sz="0" w:space="0" w:color="auto"/>
      </w:divBdr>
    </w:div>
    <w:div w:id="216471799">
      <w:bodyDiv w:val="1"/>
      <w:marLeft w:val="0"/>
      <w:marRight w:val="0"/>
      <w:marTop w:val="0"/>
      <w:marBottom w:val="0"/>
      <w:divBdr>
        <w:top w:val="none" w:sz="0" w:space="0" w:color="auto"/>
        <w:left w:val="none" w:sz="0" w:space="0" w:color="auto"/>
        <w:bottom w:val="none" w:sz="0" w:space="0" w:color="auto"/>
        <w:right w:val="none" w:sz="0" w:space="0" w:color="auto"/>
      </w:divBdr>
      <w:divsChild>
        <w:div w:id="26026920">
          <w:marLeft w:val="0"/>
          <w:marRight w:val="0"/>
          <w:marTop w:val="0"/>
          <w:marBottom w:val="0"/>
          <w:divBdr>
            <w:top w:val="none" w:sz="0" w:space="0" w:color="auto"/>
            <w:left w:val="none" w:sz="0" w:space="0" w:color="auto"/>
            <w:bottom w:val="none" w:sz="0" w:space="0" w:color="auto"/>
            <w:right w:val="none" w:sz="0" w:space="0" w:color="auto"/>
          </w:divBdr>
          <w:divsChild>
            <w:div w:id="47186570">
              <w:marLeft w:val="0"/>
              <w:marRight w:val="0"/>
              <w:marTop w:val="0"/>
              <w:marBottom w:val="0"/>
              <w:divBdr>
                <w:top w:val="none" w:sz="0" w:space="0" w:color="auto"/>
                <w:left w:val="none" w:sz="0" w:space="0" w:color="auto"/>
                <w:bottom w:val="none" w:sz="0" w:space="0" w:color="auto"/>
                <w:right w:val="none" w:sz="0" w:space="0" w:color="auto"/>
              </w:divBdr>
            </w:div>
          </w:divsChild>
        </w:div>
        <w:div w:id="52196175">
          <w:marLeft w:val="0"/>
          <w:marRight w:val="0"/>
          <w:marTop w:val="0"/>
          <w:marBottom w:val="0"/>
          <w:divBdr>
            <w:top w:val="none" w:sz="0" w:space="0" w:color="auto"/>
            <w:left w:val="none" w:sz="0" w:space="0" w:color="auto"/>
            <w:bottom w:val="none" w:sz="0" w:space="0" w:color="auto"/>
            <w:right w:val="none" w:sz="0" w:space="0" w:color="auto"/>
          </w:divBdr>
          <w:divsChild>
            <w:div w:id="864363082">
              <w:marLeft w:val="0"/>
              <w:marRight w:val="0"/>
              <w:marTop w:val="0"/>
              <w:marBottom w:val="0"/>
              <w:divBdr>
                <w:top w:val="none" w:sz="0" w:space="0" w:color="auto"/>
                <w:left w:val="none" w:sz="0" w:space="0" w:color="auto"/>
                <w:bottom w:val="none" w:sz="0" w:space="0" w:color="auto"/>
                <w:right w:val="none" w:sz="0" w:space="0" w:color="auto"/>
              </w:divBdr>
            </w:div>
          </w:divsChild>
        </w:div>
        <w:div w:id="53167884">
          <w:marLeft w:val="0"/>
          <w:marRight w:val="0"/>
          <w:marTop w:val="0"/>
          <w:marBottom w:val="0"/>
          <w:divBdr>
            <w:top w:val="none" w:sz="0" w:space="0" w:color="auto"/>
            <w:left w:val="none" w:sz="0" w:space="0" w:color="auto"/>
            <w:bottom w:val="none" w:sz="0" w:space="0" w:color="auto"/>
            <w:right w:val="none" w:sz="0" w:space="0" w:color="auto"/>
          </w:divBdr>
          <w:divsChild>
            <w:div w:id="1886286883">
              <w:marLeft w:val="0"/>
              <w:marRight w:val="0"/>
              <w:marTop w:val="0"/>
              <w:marBottom w:val="0"/>
              <w:divBdr>
                <w:top w:val="none" w:sz="0" w:space="0" w:color="auto"/>
                <w:left w:val="none" w:sz="0" w:space="0" w:color="auto"/>
                <w:bottom w:val="none" w:sz="0" w:space="0" w:color="auto"/>
                <w:right w:val="none" w:sz="0" w:space="0" w:color="auto"/>
              </w:divBdr>
            </w:div>
          </w:divsChild>
        </w:div>
        <w:div w:id="68771799">
          <w:marLeft w:val="0"/>
          <w:marRight w:val="0"/>
          <w:marTop w:val="0"/>
          <w:marBottom w:val="0"/>
          <w:divBdr>
            <w:top w:val="none" w:sz="0" w:space="0" w:color="auto"/>
            <w:left w:val="none" w:sz="0" w:space="0" w:color="auto"/>
            <w:bottom w:val="none" w:sz="0" w:space="0" w:color="auto"/>
            <w:right w:val="none" w:sz="0" w:space="0" w:color="auto"/>
          </w:divBdr>
          <w:divsChild>
            <w:div w:id="1533958904">
              <w:marLeft w:val="0"/>
              <w:marRight w:val="0"/>
              <w:marTop w:val="0"/>
              <w:marBottom w:val="0"/>
              <w:divBdr>
                <w:top w:val="none" w:sz="0" w:space="0" w:color="auto"/>
                <w:left w:val="none" w:sz="0" w:space="0" w:color="auto"/>
                <w:bottom w:val="none" w:sz="0" w:space="0" w:color="auto"/>
                <w:right w:val="none" w:sz="0" w:space="0" w:color="auto"/>
              </w:divBdr>
            </w:div>
          </w:divsChild>
        </w:div>
        <w:div w:id="101075390">
          <w:marLeft w:val="0"/>
          <w:marRight w:val="0"/>
          <w:marTop w:val="0"/>
          <w:marBottom w:val="0"/>
          <w:divBdr>
            <w:top w:val="none" w:sz="0" w:space="0" w:color="auto"/>
            <w:left w:val="none" w:sz="0" w:space="0" w:color="auto"/>
            <w:bottom w:val="none" w:sz="0" w:space="0" w:color="auto"/>
            <w:right w:val="none" w:sz="0" w:space="0" w:color="auto"/>
          </w:divBdr>
          <w:divsChild>
            <w:div w:id="1889802879">
              <w:marLeft w:val="0"/>
              <w:marRight w:val="0"/>
              <w:marTop w:val="0"/>
              <w:marBottom w:val="0"/>
              <w:divBdr>
                <w:top w:val="none" w:sz="0" w:space="0" w:color="auto"/>
                <w:left w:val="none" w:sz="0" w:space="0" w:color="auto"/>
                <w:bottom w:val="none" w:sz="0" w:space="0" w:color="auto"/>
                <w:right w:val="none" w:sz="0" w:space="0" w:color="auto"/>
              </w:divBdr>
            </w:div>
          </w:divsChild>
        </w:div>
        <w:div w:id="103966598">
          <w:marLeft w:val="0"/>
          <w:marRight w:val="0"/>
          <w:marTop w:val="0"/>
          <w:marBottom w:val="0"/>
          <w:divBdr>
            <w:top w:val="none" w:sz="0" w:space="0" w:color="auto"/>
            <w:left w:val="none" w:sz="0" w:space="0" w:color="auto"/>
            <w:bottom w:val="none" w:sz="0" w:space="0" w:color="auto"/>
            <w:right w:val="none" w:sz="0" w:space="0" w:color="auto"/>
          </w:divBdr>
          <w:divsChild>
            <w:div w:id="627391712">
              <w:marLeft w:val="0"/>
              <w:marRight w:val="0"/>
              <w:marTop w:val="0"/>
              <w:marBottom w:val="0"/>
              <w:divBdr>
                <w:top w:val="none" w:sz="0" w:space="0" w:color="auto"/>
                <w:left w:val="none" w:sz="0" w:space="0" w:color="auto"/>
                <w:bottom w:val="none" w:sz="0" w:space="0" w:color="auto"/>
                <w:right w:val="none" w:sz="0" w:space="0" w:color="auto"/>
              </w:divBdr>
            </w:div>
          </w:divsChild>
        </w:div>
        <w:div w:id="108012782">
          <w:marLeft w:val="0"/>
          <w:marRight w:val="0"/>
          <w:marTop w:val="0"/>
          <w:marBottom w:val="0"/>
          <w:divBdr>
            <w:top w:val="none" w:sz="0" w:space="0" w:color="auto"/>
            <w:left w:val="none" w:sz="0" w:space="0" w:color="auto"/>
            <w:bottom w:val="none" w:sz="0" w:space="0" w:color="auto"/>
            <w:right w:val="none" w:sz="0" w:space="0" w:color="auto"/>
          </w:divBdr>
          <w:divsChild>
            <w:div w:id="1810244040">
              <w:marLeft w:val="0"/>
              <w:marRight w:val="0"/>
              <w:marTop w:val="0"/>
              <w:marBottom w:val="0"/>
              <w:divBdr>
                <w:top w:val="none" w:sz="0" w:space="0" w:color="auto"/>
                <w:left w:val="none" w:sz="0" w:space="0" w:color="auto"/>
                <w:bottom w:val="none" w:sz="0" w:space="0" w:color="auto"/>
                <w:right w:val="none" w:sz="0" w:space="0" w:color="auto"/>
              </w:divBdr>
            </w:div>
          </w:divsChild>
        </w:div>
        <w:div w:id="120390624">
          <w:marLeft w:val="0"/>
          <w:marRight w:val="0"/>
          <w:marTop w:val="0"/>
          <w:marBottom w:val="0"/>
          <w:divBdr>
            <w:top w:val="none" w:sz="0" w:space="0" w:color="auto"/>
            <w:left w:val="none" w:sz="0" w:space="0" w:color="auto"/>
            <w:bottom w:val="none" w:sz="0" w:space="0" w:color="auto"/>
            <w:right w:val="none" w:sz="0" w:space="0" w:color="auto"/>
          </w:divBdr>
          <w:divsChild>
            <w:div w:id="1470054798">
              <w:marLeft w:val="0"/>
              <w:marRight w:val="0"/>
              <w:marTop w:val="0"/>
              <w:marBottom w:val="0"/>
              <w:divBdr>
                <w:top w:val="none" w:sz="0" w:space="0" w:color="auto"/>
                <w:left w:val="none" w:sz="0" w:space="0" w:color="auto"/>
                <w:bottom w:val="none" w:sz="0" w:space="0" w:color="auto"/>
                <w:right w:val="none" w:sz="0" w:space="0" w:color="auto"/>
              </w:divBdr>
            </w:div>
          </w:divsChild>
        </w:div>
        <w:div w:id="152914805">
          <w:marLeft w:val="0"/>
          <w:marRight w:val="0"/>
          <w:marTop w:val="0"/>
          <w:marBottom w:val="0"/>
          <w:divBdr>
            <w:top w:val="none" w:sz="0" w:space="0" w:color="auto"/>
            <w:left w:val="none" w:sz="0" w:space="0" w:color="auto"/>
            <w:bottom w:val="none" w:sz="0" w:space="0" w:color="auto"/>
            <w:right w:val="none" w:sz="0" w:space="0" w:color="auto"/>
          </w:divBdr>
          <w:divsChild>
            <w:div w:id="1844664026">
              <w:marLeft w:val="0"/>
              <w:marRight w:val="0"/>
              <w:marTop w:val="0"/>
              <w:marBottom w:val="0"/>
              <w:divBdr>
                <w:top w:val="none" w:sz="0" w:space="0" w:color="auto"/>
                <w:left w:val="none" w:sz="0" w:space="0" w:color="auto"/>
                <w:bottom w:val="none" w:sz="0" w:space="0" w:color="auto"/>
                <w:right w:val="none" w:sz="0" w:space="0" w:color="auto"/>
              </w:divBdr>
            </w:div>
          </w:divsChild>
        </w:div>
        <w:div w:id="158276175">
          <w:marLeft w:val="0"/>
          <w:marRight w:val="0"/>
          <w:marTop w:val="0"/>
          <w:marBottom w:val="0"/>
          <w:divBdr>
            <w:top w:val="none" w:sz="0" w:space="0" w:color="auto"/>
            <w:left w:val="none" w:sz="0" w:space="0" w:color="auto"/>
            <w:bottom w:val="none" w:sz="0" w:space="0" w:color="auto"/>
            <w:right w:val="none" w:sz="0" w:space="0" w:color="auto"/>
          </w:divBdr>
          <w:divsChild>
            <w:div w:id="950891208">
              <w:marLeft w:val="0"/>
              <w:marRight w:val="0"/>
              <w:marTop w:val="0"/>
              <w:marBottom w:val="0"/>
              <w:divBdr>
                <w:top w:val="none" w:sz="0" w:space="0" w:color="auto"/>
                <w:left w:val="none" w:sz="0" w:space="0" w:color="auto"/>
                <w:bottom w:val="none" w:sz="0" w:space="0" w:color="auto"/>
                <w:right w:val="none" w:sz="0" w:space="0" w:color="auto"/>
              </w:divBdr>
            </w:div>
          </w:divsChild>
        </w:div>
        <w:div w:id="171341821">
          <w:marLeft w:val="0"/>
          <w:marRight w:val="0"/>
          <w:marTop w:val="0"/>
          <w:marBottom w:val="0"/>
          <w:divBdr>
            <w:top w:val="none" w:sz="0" w:space="0" w:color="auto"/>
            <w:left w:val="none" w:sz="0" w:space="0" w:color="auto"/>
            <w:bottom w:val="none" w:sz="0" w:space="0" w:color="auto"/>
            <w:right w:val="none" w:sz="0" w:space="0" w:color="auto"/>
          </w:divBdr>
          <w:divsChild>
            <w:div w:id="1173183214">
              <w:marLeft w:val="0"/>
              <w:marRight w:val="0"/>
              <w:marTop w:val="0"/>
              <w:marBottom w:val="0"/>
              <w:divBdr>
                <w:top w:val="none" w:sz="0" w:space="0" w:color="auto"/>
                <w:left w:val="none" w:sz="0" w:space="0" w:color="auto"/>
                <w:bottom w:val="none" w:sz="0" w:space="0" w:color="auto"/>
                <w:right w:val="none" w:sz="0" w:space="0" w:color="auto"/>
              </w:divBdr>
            </w:div>
          </w:divsChild>
        </w:div>
        <w:div w:id="177815408">
          <w:marLeft w:val="0"/>
          <w:marRight w:val="0"/>
          <w:marTop w:val="0"/>
          <w:marBottom w:val="0"/>
          <w:divBdr>
            <w:top w:val="none" w:sz="0" w:space="0" w:color="auto"/>
            <w:left w:val="none" w:sz="0" w:space="0" w:color="auto"/>
            <w:bottom w:val="none" w:sz="0" w:space="0" w:color="auto"/>
            <w:right w:val="none" w:sz="0" w:space="0" w:color="auto"/>
          </w:divBdr>
          <w:divsChild>
            <w:div w:id="1067344650">
              <w:marLeft w:val="0"/>
              <w:marRight w:val="0"/>
              <w:marTop w:val="0"/>
              <w:marBottom w:val="0"/>
              <w:divBdr>
                <w:top w:val="none" w:sz="0" w:space="0" w:color="auto"/>
                <w:left w:val="none" w:sz="0" w:space="0" w:color="auto"/>
                <w:bottom w:val="none" w:sz="0" w:space="0" w:color="auto"/>
                <w:right w:val="none" w:sz="0" w:space="0" w:color="auto"/>
              </w:divBdr>
            </w:div>
          </w:divsChild>
        </w:div>
        <w:div w:id="199635344">
          <w:marLeft w:val="0"/>
          <w:marRight w:val="0"/>
          <w:marTop w:val="0"/>
          <w:marBottom w:val="0"/>
          <w:divBdr>
            <w:top w:val="none" w:sz="0" w:space="0" w:color="auto"/>
            <w:left w:val="none" w:sz="0" w:space="0" w:color="auto"/>
            <w:bottom w:val="none" w:sz="0" w:space="0" w:color="auto"/>
            <w:right w:val="none" w:sz="0" w:space="0" w:color="auto"/>
          </w:divBdr>
          <w:divsChild>
            <w:div w:id="1618684454">
              <w:marLeft w:val="0"/>
              <w:marRight w:val="0"/>
              <w:marTop w:val="0"/>
              <w:marBottom w:val="0"/>
              <w:divBdr>
                <w:top w:val="none" w:sz="0" w:space="0" w:color="auto"/>
                <w:left w:val="none" w:sz="0" w:space="0" w:color="auto"/>
                <w:bottom w:val="none" w:sz="0" w:space="0" w:color="auto"/>
                <w:right w:val="none" w:sz="0" w:space="0" w:color="auto"/>
              </w:divBdr>
            </w:div>
          </w:divsChild>
        </w:div>
        <w:div w:id="242764319">
          <w:marLeft w:val="0"/>
          <w:marRight w:val="0"/>
          <w:marTop w:val="0"/>
          <w:marBottom w:val="0"/>
          <w:divBdr>
            <w:top w:val="none" w:sz="0" w:space="0" w:color="auto"/>
            <w:left w:val="none" w:sz="0" w:space="0" w:color="auto"/>
            <w:bottom w:val="none" w:sz="0" w:space="0" w:color="auto"/>
            <w:right w:val="none" w:sz="0" w:space="0" w:color="auto"/>
          </w:divBdr>
          <w:divsChild>
            <w:div w:id="2020430334">
              <w:marLeft w:val="0"/>
              <w:marRight w:val="0"/>
              <w:marTop w:val="0"/>
              <w:marBottom w:val="0"/>
              <w:divBdr>
                <w:top w:val="none" w:sz="0" w:space="0" w:color="auto"/>
                <w:left w:val="none" w:sz="0" w:space="0" w:color="auto"/>
                <w:bottom w:val="none" w:sz="0" w:space="0" w:color="auto"/>
                <w:right w:val="none" w:sz="0" w:space="0" w:color="auto"/>
              </w:divBdr>
            </w:div>
          </w:divsChild>
        </w:div>
        <w:div w:id="249315929">
          <w:marLeft w:val="0"/>
          <w:marRight w:val="0"/>
          <w:marTop w:val="0"/>
          <w:marBottom w:val="0"/>
          <w:divBdr>
            <w:top w:val="none" w:sz="0" w:space="0" w:color="auto"/>
            <w:left w:val="none" w:sz="0" w:space="0" w:color="auto"/>
            <w:bottom w:val="none" w:sz="0" w:space="0" w:color="auto"/>
            <w:right w:val="none" w:sz="0" w:space="0" w:color="auto"/>
          </w:divBdr>
          <w:divsChild>
            <w:div w:id="650521800">
              <w:marLeft w:val="0"/>
              <w:marRight w:val="0"/>
              <w:marTop w:val="0"/>
              <w:marBottom w:val="0"/>
              <w:divBdr>
                <w:top w:val="none" w:sz="0" w:space="0" w:color="auto"/>
                <w:left w:val="none" w:sz="0" w:space="0" w:color="auto"/>
                <w:bottom w:val="none" w:sz="0" w:space="0" w:color="auto"/>
                <w:right w:val="none" w:sz="0" w:space="0" w:color="auto"/>
              </w:divBdr>
            </w:div>
          </w:divsChild>
        </w:div>
        <w:div w:id="295112236">
          <w:marLeft w:val="0"/>
          <w:marRight w:val="0"/>
          <w:marTop w:val="0"/>
          <w:marBottom w:val="0"/>
          <w:divBdr>
            <w:top w:val="none" w:sz="0" w:space="0" w:color="auto"/>
            <w:left w:val="none" w:sz="0" w:space="0" w:color="auto"/>
            <w:bottom w:val="none" w:sz="0" w:space="0" w:color="auto"/>
            <w:right w:val="none" w:sz="0" w:space="0" w:color="auto"/>
          </w:divBdr>
          <w:divsChild>
            <w:div w:id="497814045">
              <w:marLeft w:val="0"/>
              <w:marRight w:val="0"/>
              <w:marTop w:val="0"/>
              <w:marBottom w:val="0"/>
              <w:divBdr>
                <w:top w:val="none" w:sz="0" w:space="0" w:color="auto"/>
                <w:left w:val="none" w:sz="0" w:space="0" w:color="auto"/>
                <w:bottom w:val="none" w:sz="0" w:space="0" w:color="auto"/>
                <w:right w:val="none" w:sz="0" w:space="0" w:color="auto"/>
              </w:divBdr>
            </w:div>
          </w:divsChild>
        </w:div>
        <w:div w:id="307632057">
          <w:marLeft w:val="0"/>
          <w:marRight w:val="0"/>
          <w:marTop w:val="0"/>
          <w:marBottom w:val="0"/>
          <w:divBdr>
            <w:top w:val="none" w:sz="0" w:space="0" w:color="auto"/>
            <w:left w:val="none" w:sz="0" w:space="0" w:color="auto"/>
            <w:bottom w:val="none" w:sz="0" w:space="0" w:color="auto"/>
            <w:right w:val="none" w:sz="0" w:space="0" w:color="auto"/>
          </w:divBdr>
          <w:divsChild>
            <w:div w:id="484710969">
              <w:marLeft w:val="0"/>
              <w:marRight w:val="0"/>
              <w:marTop w:val="0"/>
              <w:marBottom w:val="0"/>
              <w:divBdr>
                <w:top w:val="none" w:sz="0" w:space="0" w:color="auto"/>
                <w:left w:val="none" w:sz="0" w:space="0" w:color="auto"/>
                <w:bottom w:val="none" w:sz="0" w:space="0" w:color="auto"/>
                <w:right w:val="none" w:sz="0" w:space="0" w:color="auto"/>
              </w:divBdr>
            </w:div>
          </w:divsChild>
        </w:div>
        <w:div w:id="324674965">
          <w:marLeft w:val="0"/>
          <w:marRight w:val="0"/>
          <w:marTop w:val="0"/>
          <w:marBottom w:val="0"/>
          <w:divBdr>
            <w:top w:val="none" w:sz="0" w:space="0" w:color="auto"/>
            <w:left w:val="none" w:sz="0" w:space="0" w:color="auto"/>
            <w:bottom w:val="none" w:sz="0" w:space="0" w:color="auto"/>
            <w:right w:val="none" w:sz="0" w:space="0" w:color="auto"/>
          </w:divBdr>
          <w:divsChild>
            <w:div w:id="584657446">
              <w:marLeft w:val="0"/>
              <w:marRight w:val="0"/>
              <w:marTop w:val="0"/>
              <w:marBottom w:val="0"/>
              <w:divBdr>
                <w:top w:val="none" w:sz="0" w:space="0" w:color="auto"/>
                <w:left w:val="none" w:sz="0" w:space="0" w:color="auto"/>
                <w:bottom w:val="none" w:sz="0" w:space="0" w:color="auto"/>
                <w:right w:val="none" w:sz="0" w:space="0" w:color="auto"/>
              </w:divBdr>
            </w:div>
          </w:divsChild>
        </w:div>
        <w:div w:id="342129018">
          <w:marLeft w:val="0"/>
          <w:marRight w:val="0"/>
          <w:marTop w:val="0"/>
          <w:marBottom w:val="0"/>
          <w:divBdr>
            <w:top w:val="none" w:sz="0" w:space="0" w:color="auto"/>
            <w:left w:val="none" w:sz="0" w:space="0" w:color="auto"/>
            <w:bottom w:val="none" w:sz="0" w:space="0" w:color="auto"/>
            <w:right w:val="none" w:sz="0" w:space="0" w:color="auto"/>
          </w:divBdr>
          <w:divsChild>
            <w:div w:id="99567962">
              <w:marLeft w:val="0"/>
              <w:marRight w:val="0"/>
              <w:marTop w:val="0"/>
              <w:marBottom w:val="0"/>
              <w:divBdr>
                <w:top w:val="none" w:sz="0" w:space="0" w:color="auto"/>
                <w:left w:val="none" w:sz="0" w:space="0" w:color="auto"/>
                <w:bottom w:val="none" w:sz="0" w:space="0" w:color="auto"/>
                <w:right w:val="none" w:sz="0" w:space="0" w:color="auto"/>
              </w:divBdr>
            </w:div>
          </w:divsChild>
        </w:div>
        <w:div w:id="370611066">
          <w:marLeft w:val="0"/>
          <w:marRight w:val="0"/>
          <w:marTop w:val="0"/>
          <w:marBottom w:val="0"/>
          <w:divBdr>
            <w:top w:val="none" w:sz="0" w:space="0" w:color="auto"/>
            <w:left w:val="none" w:sz="0" w:space="0" w:color="auto"/>
            <w:bottom w:val="none" w:sz="0" w:space="0" w:color="auto"/>
            <w:right w:val="none" w:sz="0" w:space="0" w:color="auto"/>
          </w:divBdr>
          <w:divsChild>
            <w:div w:id="1357998008">
              <w:marLeft w:val="0"/>
              <w:marRight w:val="0"/>
              <w:marTop w:val="0"/>
              <w:marBottom w:val="0"/>
              <w:divBdr>
                <w:top w:val="none" w:sz="0" w:space="0" w:color="auto"/>
                <w:left w:val="none" w:sz="0" w:space="0" w:color="auto"/>
                <w:bottom w:val="none" w:sz="0" w:space="0" w:color="auto"/>
                <w:right w:val="none" w:sz="0" w:space="0" w:color="auto"/>
              </w:divBdr>
            </w:div>
          </w:divsChild>
        </w:div>
        <w:div w:id="415829133">
          <w:marLeft w:val="0"/>
          <w:marRight w:val="0"/>
          <w:marTop w:val="0"/>
          <w:marBottom w:val="0"/>
          <w:divBdr>
            <w:top w:val="none" w:sz="0" w:space="0" w:color="auto"/>
            <w:left w:val="none" w:sz="0" w:space="0" w:color="auto"/>
            <w:bottom w:val="none" w:sz="0" w:space="0" w:color="auto"/>
            <w:right w:val="none" w:sz="0" w:space="0" w:color="auto"/>
          </w:divBdr>
          <w:divsChild>
            <w:div w:id="869496420">
              <w:marLeft w:val="0"/>
              <w:marRight w:val="0"/>
              <w:marTop w:val="0"/>
              <w:marBottom w:val="0"/>
              <w:divBdr>
                <w:top w:val="none" w:sz="0" w:space="0" w:color="auto"/>
                <w:left w:val="none" w:sz="0" w:space="0" w:color="auto"/>
                <w:bottom w:val="none" w:sz="0" w:space="0" w:color="auto"/>
                <w:right w:val="none" w:sz="0" w:space="0" w:color="auto"/>
              </w:divBdr>
            </w:div>
          </w:divsChild>
        </w:div>
        <w:div w:id="431711193">
          <w:marLeft w:val="0"/>
          <w:marRight w:val="0"/>
          <w:marTop w:val="0"/>
          <w:marBottom w:val="0"/>
          <w:divBdr>
            <w:top w:val="none" w:sz="0" w:space="0" w:color="auto"/>
            <w:left w:val="none" w:sz="0" w:space="0" w:color="auto"/>
            <w:bottom w:val="none" w:sz="0" w:space="0" w:color="auto"/>
            <w:right w:val="none" w:sz="0" w:space="0" w:color="auto"/>
          </w:divBdr>
          <w:divsChild>
            <w:div w:id="1176504905">
              <w:marLeft w:val="0"/>
              <w:marRight w:val="0"/>
              <w:marTop w:val="0"/>
              <w:marBottom w:val="0"/>
              <w:divBdr>
                <w:top w:val="none" w:sz="0" w:space="0" w:color="auto"/>
                <w:left w:val="none" w:sz="0" w:space="0" w:color="auto"/>
                <w:bottom w:val="none" w:sz="0" w:space="0" w:color="auto"/>
                <w:right w:val="none" w:sz="0" w:space="0" w:color="auto"/>
              </w:divBdr>
            </w:div>
          </w:divsChild>
        </w:div>
        <w:div w:id="451436921">
          <w:marLeft w:val="0"/>
          <w:marRight w:val="0"/>
          <w:marTop w:val="0"/>
          <w:marBottom w:val="0"/>
          <w:divBdr>
            <w:top w:val="none" w:sz="0" w:space="0" w:color="auto"/>
            <w:left w:val="none" w:sz="0" w:space="0" w:color="auto"/>
            <w:bottom w:val="none" w:sz="0" w:space="0" w:color="auto"/>
            <w:right w:val="none" w:sz="0" w:space="0" w:color="auto"/>
          </w:divBdr>
          <w:divsChild>
            <w:div w:id="1147741714">
              <w:marLeft w:val="0"/>
              <w:marRight w:val="0"/>
              <w:marTop w:val="0"/>
              <w:marBottom w:val="0"/>
              <w:divBdr>
                <w:top w:val="none" w:sz="0" w:space="0" w:color="auto"/>
                <w:left w:val="none" w:sz="0" w:space="0" w:color="auto"/>
                <w:bottom w:val="none" w:sz="0" w:space="0" w:color="auto"/>
                <w:right w:val="none" w:sz="0" w:space="0" w:color="auto"/>
              </w:divBdr>
            </w:div>
          </w:divsChild>
        </w:div>
        <w:div w:id="452286057">
          <w:marLeft w:val="0"/>
          <w:marRight w:val="0"/>
          <w:marTop w:val="0"/>
          <w:marBottom w:val="0"/>
          <w:divBdr>
            <w:top w:val="none" w:sz="0" w:space="0" w:color="auto"/>
            <w:left w:val="none" w:sz="0" w:space="0" w:color="auto"/>
            <w:bottom w:val="none" w:sz="0" w:space="0" w:color="auto"/>
            <w:right w:val="none" w:sz="0" w:space="0" w:color="auto"/>
          </w:divBdr>
          <w:divsChild>
            <w:div w:id="77989465">
              <w:marLeft w:val="0"/>
              <w:marRight w:val="0"/>
              <w:marTop w:val="0"/>
              <w:marBottom w:val="0"/>
              <w:divBdr>
                <w:top w:val="none" w:sz="0" w:space="0" w:color="auto"/>
                <w:left w:val="none" w:sz="0" w:space="0" w:color="auto"/>
                <w:bottom w:val="none" w:sz="0" w:space="0" w:color="auto"/>
                <w:right w:val="none" w:sz="0" w:space="0" w:color="auto"/>
              </w:divBdr>
            </w:div>
          </w:divsChild>
        </w:div>
        <w:div w:id="473956359">
          <w:marLeft w:val="0"/>
          <w:marRight w:val="0"/>
          <w:marTop w:val="0"/>
          <w:marBottom w:val="0"/>
          <w:divBdr>
            <w:top w:val="none" w:sz="0" w:space="0" w:color="auto"/>
            <w:left w:val="none" w:sz="0" w:space="0" w:color="auto"/>
            <w:bottom w:val="none" w:sz="0" w:space="0" w:color="auto"/>
            <w:right w:val="none" w:sz="0" w:space="0" w:color="auto"/>
          </w:divBdr>
          <w:divsChild>
            <w:div w:id="1049258803">
              <w:marLeft w:val="0"/>
              <w:marRight w:val="0"/>
              <w:marTop w:val="0"/>
              <w:marBottom w:val="0"/>
              <w:divBdr>
                <w:top w:val="none" w:sz="0" w:space="0" w:color="auto"/>
                <w:left w:val="none" w:sz="0" w:space="0" w:color="auto"/>
                <w:bottom w:val="none" w:sz="0" w:space="0" w:color="auto"/>
                <w:right w:val="none" w:sz="0" w:space="0" w:color="auto"/>
              </w:divBdr>
            </w:div>
          </w:divsChild>
        </w:div>
        <w:div w:id="488980608">
          <w:marLeft w:val="0"/>
          <w:marRight w:val="0"/>
          <w:marTop w:val="0"/>
          <w:marBottom w:val="0"/>
          <w:divBdr>
            <w:top w:val="none" w:sz="0" w:space="0" w:color="auto"/>
            <w:left w:val="none" w:sz="0" w:space="0" w:color="auto"/>
            <w:bottom w:val="none" w:sz="0" w:space="0" w:color="auto"/>
            <w:right w:val="none" w:sz="0" w:space="0" w:color="auto"/>
          </w:divBdr>
          <w:divsChild>
            <w:div w:id="161702933">
              <w:marLeft w:val="0"/>
              <w:marRight w:val="0"/>
              <w:marTop w:val="0"/>
              <w:marBottom w:val="0"/>
              <w:divBdr>
                <w:top w:val="none" w:sz="0" w:space="0" w:color="auto"/>
                <w:left w:val="none" w:sz="0" w:space="0" w:color="auto"/>
                <w:bottom w:val="none" w:sz="0" w:space="0" w:color="auto"/>
                <w:right w:val="none" w:sz="0" w:space="0" w:color="auto"/>
              </w:divBdr>
            </w:div>
          </w:divsChild>
        </w:div>
        <w:div w:id="489563547">
          <w:marLeft w:val="0"/>
          <w:marRight w:val="0"/>
          <w:marTop w:val="0"/>
          <w:marBottom w:val="0"/>
          <w:divBdr>
            <w:top w:val="none" w:sz="0" w:space="0" w:color="auto"/>
            <w:left w:val="none" w:sz="0" w:space="0" w:color="auto"/>
            <w:bottom w:val="none" w:sz="0" w:space="0" w:color="auto"/>
            <w:right w:val="none" w:sz="0" w:space="0" w:color="auto"/>
          </w:divBdr>
          <w:divsChild>
            <w:div w:id="1345210097">
              <w:marLeft w:val="0"/>
              <w:marRight w:val="0"/>
              <w:marTop w:val="0"/>
              <w:marBottom w:val="0"/>
              <w:divBdr>
                <w:top w:val="none" w:sz="0" w:space="0" w:color="auto"/>
                <w:left w:val="none" w:sz="0" w:space="0" w:color="auto"/>
                <w:bottom w:val="none" w:sz="0" w:space="0" w:color="auto"/>
                <w:right w:val="none" w:sz="0" w:space="0" w:color="auto"/>
              </w:divBdr>
            </w:div>
          </w:divsChild>
        </w:div>
        <w:div w:id="506360365">
          <w:marLeft w:val="0"/>
          <w:marRight w:val="0"/>
          <w:marTop w:val="0"/>
          <w:marBottom w:val="0"/>
          <w:divBdr>
            <w:top w:val="none" w:sz="0" w:space="0" w:color="auto"/>
            <w:left w:val="none" w:sz="0" w:space="0" w:color="auto"/>
            <w:bottom w:val="none" w:sz="0" w:space="0" w:color="auto"/>
            <w:right w:val="none" w:sz="0" w:space="0" w:color="auto"/>
          </w:divBdr>
          <w:divsChild>
            <w:div w:id="1568802370">
              <w:marLeft w:val="0"/>
              <w:marRight w:val="0"/>
              <w:marTop w:val="0"/>
              <w:marBottom w:val="0"/>
              <w:divBdr>
                <w:top w:val="none" w:sz="0" w:space="0" w:color="auto"/>
                <w:left w:val="none" w:sz="0" w:space="0" w:color="auto"/>
                <w:bottom w:val="none" w:sz="0" w:space="0" w:color="auto"/>
                <w:right w:val="none" w:sz="0" w:space="0" w:color="auto"/>
              </w:divBdr>
            </w:div>
          </w:divsChild>
        </w:div>
        <w:div w:id="509762797">
          <w:marLeft w:val="0"/>
          <w:marRight w:val="0"/>
          <w:marTop w:val="0"/>
          <w:marBottom w:val="0"/>
          <w:divBdr>
            <w:top w:val="none" w:sz="0" w:space="0" w:color="auto"/>
            <w:left w:val="none" w:sz="0" w:space="0" w:color="auto"/>
            <w:bottom w:val="none" w:sz="0" w:space="0" w:color="auto"/>
            <w:right w:val="none" w:sz="0" w:space="0" w:color="auto"/>
          </w:divBdr>
          <w:divsChild>
            <w:div w:id="901449339">
              <w:marLeft w:val="0"/>
              <w:marRight w:val="0"/>
              <w:marTop w:val="0"/>
              <w:marBottom w:val="0"/>
              <w:divBdr>
                <w:top w:val="none" w:sz="0" w:space="0" w:color="auto"/>
                <w:left w:val="none" w:sz="0" w:space="0" w:color="auto"/>
                <w:bottom w:val="none" w:sz="0" w:space="0" w:color="auto"/>
                <w:right w:val="none" w:sz="0" w:space="0" w:color="auto"/>
              </w:divBdr>
            </w:div>
          </w:divsChild>
        </w:div>
        <w:div w:id="537477010">
          <w:marLeft w:val="0"/>
          <w:marRight w:val="0"/>
          <w:marTop w:val="0"/>
          <w:marBottom w:val="0"/>
          <w:divBdr>
            <w:top w:val="none" w:sz="0" w:space="0" w:color="auto"/>
            <w:left w:val="none" w:sz="0" w:space="0" w:color="auto"/>
            <w:bottom w:val="none" w:sz="0" w:space="0" w:color="auto"/>
            <w:right w:val="none" w:sz="0" w:space="0" w:color="auto"/>
          </w:divBdr>
          <w:divsChild>
            <w:div w:id="1948081920">
              <w:marLeft w:val="0"/>
              <w:marRight w:val="0"/>
              <w:marTop w:val="0"/>
              <w:marBottom w:val="0"/>
              <w:divBdr>
                <w:top w:val="none" w:sz="0" w:space="0" w:color="auto"/>
                <w:left w:val="none" w:sz="0" w:space="0" w:color="auto"/>
                <w:bottom w:val="none" w:sz="0" w:space="0" w:color="auto"/>
                <w:right w:val="none" w:sz="0" w:space="0" w:color="auto"/>
              </w:divBdr>
            </w:div>
          </w:divsChild>
        </w:div>
        <w:div w:id="545066113">
          <w:marLeft w:val="0"/>
          <w:marRight w:val="0"/>
          <w:marTop w:val="0"/>
          <w:marBottom w:val="0"/>
          <w:divBdr>
            <w:top w:val="none" w:sz="0" w:space="0" w:color="auto"/>
            <w:left w:val="none" w:sz="0" w:space="0" w:color="auto"/>
            <w:bottom w:val="none" w:sz="0" w:space="0" w:color="auto"/>
            <w:right w:val="none" w:sz="0" w:space="0" w:color="auto"/>
          </w:divBdr>
          <w:divsChild>
            <w:div w:id="2069916423">
              <w:marLeft w:val="0"/>
              <w:marRight w:val="0"/>
              <w:marTop w:val="0"/>
              <w:marBottom w:val="0"/>
              <w:divBdr>
                <w:top w:val="none" w:sz="0" w:space="0" w:color="auto"/>
                <w:left w:val="none" w:sz="0" w:space="0" w:color="auto"/>
                <w:bottom w:val="none" w:sz="0" w:space="0" w:color="auto"/>
                <w:right w:val="none" w:sz="0" w:space="0" w:color="auto"/>
              </w:divBdr>
            </w:div>
          </w:divsChild>
        </w:div>
        <w:div w:id="555971366">
          <w:marLeft w:val="0"/>
          <w:marRight w:val="0"/>
          <w:marTop w:val="0"/>
          <w:marBottom w:val="0"/>
          <w:divBdr>
            <w:top w:val="none" w:sz="0" w:space="0" w:color="auto"/>
            <w:left w:val="none" w:sz="0" w:space="0" w:color="auto"/>
            <w:bottom w:val="none" w:sz="0" w:space="0" w:color="auto"/>
            <w:right w:val="none" w:sz="0" w:space="0" w:color="auto"/>
          </w:divBdr>
          <w:divsChild>
            <w:div w:id="426393542">
              <w:marLeft w:val="0"/>
              <w:marRight w:val="0"/>
              <w:marTop w:val="0"/>
              <w:marBottom w:val="0"/>
              <w:divBdr>
                <w:top w:val="none" w:sz="0" w:space="0" w:color="auto"/>
                <w:left w:val="none" w:sz="0" w:space="0" w:color="auto"/>
                <w:bottom w:val="none" w:sz="0" w:space="0" w:color="auto"/>
                <w:right w:val="none" w:sz="0" w:space="0" w:color="auto"/>
              </w:divBdr>
            </w:div>
          </w:divsChild>
        </w:div>
        <w:div w:id="564681152">
          <w:marLeft w:val="0"/>
          <w:marRight w:val="0"/>
          <w:marTop w:val="0"/>
          <w:marBottom w:val="0"/>
          <w:divBdr>
            <w:top w:val="none" w:sz="0" w:space="0" w:color="auto"/>
            <w:left w:val="none" w:sz="0" w:space="0" w:color="auto"/>
            <w:bottom w:val="none" w:sz="0" w:space="0" w:color="auto"/>
            <w:right w:val="none" w:sz="0" w:space="0" w:color="auto"/>
          </w:divBdr>
          <w:divsChild>
            <w:div w:id="1432895436">
              <w:marLeft w:val="0"/>
              <w:marRight w:val="0"/>
              <w:marTop w:val="0"/>
              <w:marBottom w:val="0"/>
              <w:divBdr>
                <w:top w:val="none" w:sz="0" w:space="0" w:color="auto"/>
                <w:left w:val="none" w:sz="0" w:space="0" w:color="auto"/>
                <w:bottom w:val="none" w:sz="0" w:space="0" w:color="auto"/>
                <w:right w:val="none" w:sz="0" w:space="0" w:color="auto"/>
              </w:divBdr>
            </w:div>
          </w:divsChild>
        </w:div>
        <w:div w:id="565579355">
          <w:marLeft w:val="0"/>
          <w:marRight w:val="0"/>
          <w:marTop w:val="0"/>
          <w:marBottom w:val="0"/>
          <w:divBdr>
            <w:top w:val="none" w:sz="0" w:space="0" w:color="auto"/>
            <w:left w:val="none" w:sz="0" w:space="0" w:color="auto"/>
            <w:bottom w:val="none" w:sz="0" w:space="0" w:color="auto"/>
            <w:right w:val="none" w:sz="0" w:space="0" w:color="auto"/>
          </w:divBdr>
          <w:divsChild>
            <w:div w:id="1584798976">
              <w:marLeft w:val="0"/>
              <w:marRight w:val="0"/>
              <w:marTop w:val="0"/>
              <w:marBottom w:val="0"/>
              <w:divBdr>
                <w:top w:val="none" w:sz="0" w:space="0" w:color="auto"/>
                <w:left w:val="none" w:sz="0" w:space="0" w:color="auto"/>
                <w:bottom w:val="none" w:sz="0" w:space="0" w:color="auto"/>
                <w:right w:val="none" w:sz="0" w:space="0" w:color="auto"/>
              </w:divBdr>
            </w:div>
          </w:divsChild>
        </w:div>
        <w:div w:id="638386768">
          <w:marLeft w:val="0"/>
          <w:marRight w:val="0"/>
          <w:marTop w:val="0"/>
          <w:marBottom w:val="0"/>
          <w:divBdr>
            <w:top w:val="none" w:sz="0" w:space="0" w:color="auto"/>
            <w:left w:val="none" w:sz="0" w:space="0" w:color="auto"/>
            <w:bottom w:val="none" w:sz="0" w:space="0" w:color="auto"/>
            <w:right w:val="none" w:sz="0" w:space="0" w:color="auto"/>
          </w:divBdr>
          <w:divsChild>
            <w:div w:id="1578779320">
              <w:marLeft w:val="0"/>
              <w:marRight w:val="0"/>
              <w:marTop w:val="0"/>
              <w:marBottom w:val="0"/>
              <w:divBdr>
                <w:top w:val="none" w:sz="0" w:space="0" w:color="auto"/>
                <w:left w:val="none" w:sz="0" w:space="0" w:color="auto"/>
                <w:bottom w:val="none" w:sz="0" w:space="0" w:color="auto"/>
                <w:right w:val="none" w:sz="0" w:space="0" w:color="auto"/>
              </w:divBdr>
            </w:div>
          </w:divsChild>
        </w:div>
        <w:div w:id="664086869">
          <w:marLeft w:val="0"/>
          <w:marRight w:val="0"/>
          <w:marTop w:val="0"/>
          <w:marBottom w:val="0"/>
          <w:divBdr>
            <w:top w:val="none" w:sz="0" w:space="0" w:color="auto"/>
            <w:left w:val="none" w:sz="0" w:space="0" w:color="auto"/>
            <w:bottom w:val="none" w:sz="0" w:space="0" w:color="auto"/>
            <w:right w:val="none" w:sz="0" w:space="0" w:color="auto"/>
          </w:divBdr>
          <w:divsChild>
            <w:div w:id="772431953">
              <w:marLeft w:val="0"/>
              <w:marRight w:val="0"/>
              <w:marTop w:val="0"/>
              <w:marBottom w:val="0"/>
              <w:divBdr>
                <w:top w:val="none" w:sz="0" w:space="0" w:color="auto"/>
                <w:left w:val="none" w:sz="0" w:space="0" w:color="auto"/>
                <w:bottom w:val="none" w:sz="0" w:space="0" w:color="auto"/>
                <w:right w:val="none" w:sz="0" w:space="0" w:color="auto"/>
              </w:divBdr>
            </w:div>
          </w:divsChild>
        </w:div>
        <w:div w:id="708993838">
          <w:marLeft w:val="0"/>
          <w:marRight w:val="0"/>
          <w:marTop w:val="0"/>
          <w:marBottom w:val="0"/>
          <w:divBdr>
            <w:top w:val="none" w:sz="0" w:space="0" w:color="auto"/>
            <w:left w:val="none" w:sz="0" w:space="0" w:color="auto"/>
            <w:bottom w:val="none" w:sz="0" w:space="0" w:color="auto"/>
            <w:right w:val="none" w:sz="0" w:space="0" w:color="auto"/>
          </w:divBdr>
          <w:divsChild>
            <w:div w:id="287323504">
              <w:marLeft w:val="0"/>
              <w:marRight w:val="0"/>
              <w:marTop w:val="0"/>
              <w:marBottom w:val="0"/>
              <w:divBdr>
                <w:top w:val="none" w:sz="0" w:space="0" w:color="auto"/>
                <w:left w:val="none" w:sz="0" w:space="0" w:color="auto"/>
                <w:bottom w:val="none" w:sz="0" w:space="0" w:color="auto"/>
                <w:right w:val="none" w:sz="0" w:space="0" w:color="auto"/>
              </w:divBdr>
            </w:div>
          </w:divsChild>
        </w:div>
        <w:div w:id="732236742">
          <w:marLeft w:val="0"/>
          <w:marRight w:val="0"/>
          <w:marTop w:val="0"/>
          <w:marBottom w:val="0"/>
          <w:divBdr>
            <w:top w:val="none" w:sz="0" w:space="0" w:color="auto"/>
            <w:left w:val="none" w:sz="0" w:space="0" w:color="auto"/>
            <w:bottom w:val="none" w:sz="0" w:space="0" w:color="auto"/>
            <w:right w:val="none" w:sz="0" w:space="0" w:color="auto"/>
          </w:divBdr>
          <w:divsChild>
            <w:div w:id="1939366366">
              <w:marLeft w:val="0"/>
              <w:marRight w:val="0"/>
              <w:marTop w:val="0"/>
              <w:marBottom w:val="0"/>
              <w:divBdr>
                <w:top w:val="none" w:sz="0" w:space="0" w:color="auto"/>
                <w:left w:val="none" w:sz="0" w:space="0" w:color="auto"/>
                <w:bottom w:val="none" w:sz="0" w:space="0" w:color="auto"/>
                <w:right w:val="none" w:sz="0" w:space="0" w:color="auto"/>
              </w:divBdr>
            </w:div>
          </w:divsChild>
        </w:div>
        <w:div w:id="737019067">
          <w:marLeft w:val="0"/>
          <w:marRight w:val="0"/>
          <w:marTop w:val="0"/>
          <w:marBottom w:val="0"/>
          <w:divBdr>
            <w:top w:val="none" w:sz="0" w:space="0" w:color="auto"/>
            <w:left w:val="none" w:sz="0" w:space="0" w:color="auto"/>
            <w:bottom w:val="none" w:sz="0" w:space="0" w:color="auto"/>
            <w:right w:val="none" w:sz="0" w:space="0" w:color="auto"/>
          </w:divBdr>
          <w:divsChild>
            <w:div w:id="1152136700">
              <w:marLeft w:val="0"/>
              <w:marRight w:val="0"/>
              <w:marTop w:val="0"/>
              <w:marBottom w:val="0"/>
              <w:divBdr>
                <w:top w:val="none" w:sz="0" w:space="0" w:color="auto"/>
                <w:left w:val="none" w:sz="0" w:space="0" w:color="auto"/>
                <w:bottom w:val="none" w:sz="0" w:space="0" w:color="auto"/>
                <w:right w:val="none" w:sz="0" w:space="0" w:color="auto"/>
              </w:divBdr>
            </w:div>
          </w:divsChild>
        </w:div>
        <w:div w:id="738792897">
          <w:marLeft w:val="0"/>
          <w:marRight w:val="0"/>
          <w:marTop w:val="0"/>
          <w:marBottom w:val="0"/>
          <w:divBdr>
            <w:top w:val="none" w:sz="0" w:space="0" w:color="auto"/>
            <w:left w:val="none" w:sz="0" w:space="0" w:color="auto"/>
            <w:bottom w:val="none" w:sz="0" w:space="0" w:color="auto"/>
            <w:right w:val="none" w:sz="0" w:space="0" w:color="auto"/>
          </w:divBdr>
          <w:divsChild>
            <w:div w:id="1310750629">
              <w:marLeft w:val="0"/>
              <w:marRight w:val="0"/>
              <w:marTop w:val="0"/>
              <w:marBottom w:val="0"/>
              <w:divBdr>
                <w:top w:val="none" w:sz="0" w:space="0" w:color="auto"/>
                <w:left w:val="none" w:sz="0" w:space="0" w:color="auto"/>
                <w:bottom w:val="none" w:sz="0" w:space="0" w:color="auto"/>
                <w:right w:val="none" w:sz="0" w:space="0" w:color="auto"/>
              </w:divBdr>
            </w:div>
          </w:divsChild>
        </w:div>
        <w:div w:id="744769235">
          <w:marLeft w:val="0"/>
          <w:marRight w:val="0"/>
          <w:marTop w:val="0"/>
          <w:marBottom w:val="0"/>
          <w:divBdr>
            <w:top w:val="none" w:sz="0" w:space="0" w:color="auto"/>
            <w:left w:val="none" w:sz="0" w:space="0" w:color="auto"/>
            <w:bottom w:val="none" w:sz="0" w:space="0" w:color="auto"/>
            <w:right w:val="none" w:sz="0" w:space="0" w:color="auto"/>
          </w:divBdr>
          <w:divsChild>
            <w:div w:id="4986966">
              <w:marLeft w:val="0"/>
              <w:marRight w:val="0"/>
              <w:marTop w:val="0"/>
              <w:marBottom w:val="0"/>
              <w:divBdr>
                <w:top w:val="none" w:sz="0" w:space="0" w:color="auto"/>
                <w:left w:val="none" w:sz="0" w:space="0" w:color="auto"/>
                <w:bottom w:val="none" w:sz="0" w:space="0" w:color="auto"/>
                <w:right w:val="none" w:sz="0" w:space="0" w:color="auto"/>
              </w:divBdr>
            </w:div>
          </w:divsChild>
        </w:div>
        <w:div w:id="802498671">
          <w:marLeft w:val="0"/>
          <w:marRight w:val="0"/>
          <w:marTop w:val="0"/>
          <w:marBottom w:val="0"/>
          <w:divBdr>
            <w:top w:val="none" w:sz="0" w:space="0" w:color="auto"/>
            <w:left w:val="none" w:sz="0" w:space="0" w:color="auto"/>
            <w:bottom w:val="none" w:sz="0" w:space="0" w:color="auto"/>
            <w:right w:val="none" w:sz="0" w:space="0" w:color="auto"/>
          </w:divBdr>
          <w:divsChild>
            <w:div w:id="926378059">
              <w:marLeft w:val="0"/>
              <w:marRight w:val="0"/>
              <w:marTop w:val="0"/>
              <w:marBottom w:val="0"/>
              <w:divBdr>
                <w:top w:val="none" w:sz="0" w:space="0" w:color="auto"/>
                <w:left w:val="none" w:sz="0" w:space="0" w:color="auto"/>
                <w:bottom w:val="none" w:sz="0" w:space="0" w:color="auto"/>
                <w:right w:val="none" w:sz="0" w:space="0" w:color="auto"/>
              </w:divBdr>
            </w:div>
          </w:divsChild>
        </w:div>
        <w:div w:id="816603888">
          <w:marLeft w:val="0"/>
          <w:marRight w:val="0"/>
          <w:marTop w:val="0"/>
          <w:marBottom w:val="0"/>
          <w:divBdr>
            <w:top w:val="none" w:sz="0" w:space="0" w:color="auto"/>
            <w:left w:val="none" w:sz="0" w:space="0" w:color="auto"/>
            <w:bottom w:val="none" w:sz="0" w:space="0" w:color="auto"/>
            <w:right w:val="none" w:sz="0" w:space="0" w:color="auto"/>
          </w:divBdr>
          <w:divsChild>
            <w:div w:id="110590235">
              <w:marLeft w:val="0"/>
              <w:marRight w:val="0"/>
              <w:marTop w:val="0"/>
              <w:marBottom w:val="0"/>
              <w:divBdr>
                <w:top w:val="none" w:sz="0" w:space="0" w:color="auto"/>
                <w:left w:val="none" w:sz="0" w:space="0" w:color="auto"/>
                <w:bottom w:val="none" w:sz="0" w:space="0" w:color="auto"/>
                <w:right w:val="none" w:sz="0" w:space="0" w:color="auto"/>
              </w:divBdr>
            </w:div>
          </w:divsChild>
        </w:div>
        <w:div w:id="818112270">
          <w:marLeft w:val="0"/>
          <w:marRight w:val="0"/>
          <w:marTop w:val="0"/>
          <w:marBottom w:val="0"/>
          <w:divBdr>
            <w:top w:val="none" w:sz="0" w:space="0" w:color="auto"/>
            <w:left w:val="none" w:sz="0" w:space="0" w:color="auto"/>
            <w:bottom w:val="none" w:sz="0" w:space="0" w:color="auto"/>
            <w:right w:val="none" w:sz="0" w:space="0" w:color="auto"/>
          </w:divBdr>
          <w:divsChild>
            <w:div w:id="374695511">
              <w:marLeft w:val="0"/>
              <w:marRight w:val="0"/>
              <w:marTop w:val="0"/>
              <w:marBottom w:val="0"/>
              <w:divBdr>
                <w:top w:val="none" w:sz="0" w:space="0" w:color="auto"/>
                <w:left w:val="none" w:sz="0" w:space="0" w:color="auto"/>
                <w:bottom w:val="none" w:sz="0" w:space="0" w:color="auto"/>
                <w:right w:val="none" w:sz="0" w:space="0" w:color="auto"/>
              </w:divBdr>
            </w:div>
          </w:divsChild>
        </w:div>
        <w:div w:id="826365856">
          <w:marLeft w:val="0"/>
          <w:marRight w:val="0"/>
          <w:marTop w:val="0"/>
          <w:marBottom w:val="0"/>
          <w:divBdr>
            <w:top w:val="none" w:sz="0" w:space="0" w:color="auto"/>
            <w:left w:val="none" w:sz="0" w:space="0" w:color="auto"/>
            <w:bottom w:val="none" w:sz="0" w:space="0" w:color="auto"/>
            <w:right w:val="none" w:sz="0" w:space="0" w:color="auto"/>
          </w:divBdr>
          <w:divsChild>
            <w:div w:id="1090543284">
              <w:marLeft w:val="0"/>
              <w:marRight w:val="0"/>
              <w:marTop w:val="0"/>
              <w:marBottom w:val="0"/>
              <w:divBdr>
                <w:top w:val="none" w:sz="0" w:space="0" w:color="auto"/>
                <w:left w:val="none" w:sz="0" w:space="0" w:color="auto"/>
                <w:bottom w:val="none" w:sz="0" w:space="0" w:color="auto"/>
                <w:right w:val="none" w:sz="0" w:space="0" w:color="auto"/>
              </w:divBdr>
            </w:div>
          </w:divsChild>
        </w:div>
        <w:div w:id="868375946">
          <w:marLeft w:val="0"/>
          <w:marRight w:val="0"/>
          <w:marTop w:val="0"/>
          <w:marBottom w:val="0"/>
          <w:divBdr>
            <w:top w:val="none" w:sz="0" w:space="0" w:color="auto"/>
            <w:left w:val="none" w:sz="0" w:space="0" w:color="auto"/>
            <w:bottom w:val="none" w:sz="0" w:space="0" w:color="auto"/>
            <w:right w:val="none" w:sz="0" w:space="0" w:color="auto"/>
          </w:divBdr>
          <w:divsChild>
            <w:div w:id="1487821641">
              <w:marLeft w:val="0"/>
              <w:marRight w:val="0"/>
              <w:marTop w:val="0"/>
              <w:marBottom w:val="0"/>
              <w:divBdr>
                <w:top w:val="none" w:sz="0" w:space="0" w:color="auto"/>
                <w:left w:val="none" w:sz="0" w:space="0" w:color="auto"/>
                <w:bottom w:val="none" w:sz="0" w:space="0" w:color="auto"/>
                <w:right w:val="none" w:sz="0" w:space="0" w:color="auto"/>
              </w:divBdr>
            </w:div>
          </w:divsChild>
        </w:div>
        <w:div w:id="871191333">
          <w:marLeft w:val="0"/>
          <w:marRight w:val="0"/>
          <w:marTop w:val="0"/>
          <w:marBottom w:val="0"/>
          <w:divBdr>
            <w:top w:val="none" w:sz="0" w:space="0" w:color="auto"/>
            <w:left w:val="none" w:sz="0" w:space="0" w:color="auto"/>
            <w:bottom w:val="none" w:sz="0" w:space="0" w:color="auto"/>
            <w:right w:val="none" w:sz="0" w:space="0" w:color="auto"/>
          </w:divBdr>
          <w:divsChild>
            <w:div w:id="283848248">
              <w:marLeft w:val="0"/>
              <w:marRight w:val="0"/>
              <w:marTop w:val="0"/>
              <w:marBottom w:val="0"/>
              <w:divBdr>
                <w:top w:val="none" w:sz="0" w:space="0" w:color="auto"/>
                <w:left w:val="none" w:sz="0" w:space="0" w:color="auto"/>
                <w:bottom w:val="none" w:sz="0" w:space="0" w:color="auto"/>
                <w:right w:val="none" w:sz="0" w:space="0" w:color="auto"/>
              </w:divBdr>
            </w:div>
          </w:divsChild>
        </w:div>
        <w:div w:id="933827528">
          <w:marLeft w:val="0"/>
          <w:marRight w:val="0"/>
          <w:marTop w:val="0"/>
          <w:marBottom w:val="0"/>
          <w:divBdr>
            <w:top w:val="none" w:sz="0" w:space="0" w:color="auto"/>
            <w:left w:val="none" w:sz="0" w:space="0" w:color="auto"/>
            <w:bottom w:val="none" w:sz="0" w:space="0" w:color="auto"/>
            <w:right w:val="none" w:sz="0" w:space="0" w:color="auto"/>
          </w:divBdr>
          <w:divsChild>
            <w:div w:id="1496922688">
              <w:marLeft w:val="0"/>
              <w:marRight w:val="0"/>
              <w:marTop w:val="0"/>
              <w:marBottom w:val="0"/>
              <w:divBdr>
                <w:top w:val="none" w:sz="0" w:space="0" w:color="auto"/>
                <w:left w:val="none" w:sz="0" w:space="0" w:color="auto"/>
                <w:bottom w:val="none" w:sz="0" w:space="0" w:color="auto"/>
                <w:right w:val="none" w:sz="0" w:space="0" w:color="auto"/>
              </w:divBdr>
            </w:div>
          </w:divsChild>
        </w:div>
        <w:div w:id="1013143956">
          <w:marLeft w:val="0"/>
          <w:marRight w:val="0"/>
          <w:marTop w:val="0"/>
          <w:marBottom w:val="0"/>
          <w:divBdr>
            <w:top w:val="none" w:sz="0" w:space="0" w:color="auto"/>
            <w:left w:val="none" w:sz="0" w:space="0" w:color="auto"/>
            <w:bottom w:val="none" w:sz="0" w:space="0" w:color="auto"/>
            <w:right w:val="none" w:sz="0" w:space="0" w:color="auto"/>
          </w:divBdr>
          <w:divsChild>
            <w:div w:id="1996836137">
              <w:marLeft w:val="0"/>
              <w:marRight w:val="0"/>
              <w:marTop w:val="0"/>
              <w:marBottom w:val="0"/>
              <w:divBdr>
                <w:top w:val="none" w:sz="0" w:space="0" w:color="auto"/>
                <w:left w:val="none" w:sz="0" w:space="0" w:color="auto"/>
                <w:bottom w:val="none" w:sz="0" w:space="0" w:color="auto"/>
                <w:right w:val="none" w:sz="0" w:space="0" w:color="auto"/>
              </w:divBdr>
            </w:div>
          </w:divsChild>
        </w:div>
        <w:div w:id="1020159042">
          <w:marLeft w:val="0"/>
          <w:marRight w:val="0"/>
          <w:marTop w:val="0"/>
          <w:marBottom w:val="0"/>
          <w:divBdr>
            <w:top w:val="none" w:sz="0" w:space="0" w:color="auto"/>
            <w:left w:val="none" w:sz="0" w:space="0" w:color="auto"/>
            <w:bottom w:val="none" w:sz="0" w:space="0" w:color="auto"/>
            <w:right w:val="none" w:sz="0" w:space="0" w:color="auto"/>
          </w:divBdr>
          <w:divsChild>
            <w:div w:id="178743955">
              <w:marLeft w:val="0"/>
              <w:marRight w:val="0"/>
              <w:marTop w:val="0"/>
              <w:marBottom w:val="0"/>
              <w:divBdr>
                <w:top w:val="none" w:sz="0" w:space="0" w:color="auto"/>
                <w:left w:val="none" w:sz="0" w:space="0" w:color="auto"/>
                <w:bottom w:val="none" w:sz="0" w:space="0" w:color="auto"/>
                <w:right w:val="none" w:sz="0" w:space="0" w:color="auto"/>
              </w:divBdr>
            </w:div>
          </w:divsChild>
        </w:div>
        <w:div w:id="1068383837">
          <w:marLeft w:val="0"/>
          <w:marRight w:val="0"/>
          <w:marTop w:val="0"/>
          <w:marBottom w:val="0"/>
          <w:divBdr>
            <w:top w:val="none" w:sz="0" w:space="0" w:color="auto"/>
            <w:left w:val="none" w:sz="0" w:space="0" w:color="auto"/>
            <w:bottom w:val="none" w:sz="0" w:space="0" w:color="auto"/>
            <w:right w:val="none" w:sz="0" w:space="0" w:color="auto"/>
          </w:divBdr>
          <w:divsChild>
            <w:div w:id="1237320736">
              <w:marLeft w:val="0"/>
              <w:marRight w:val="0"/>
              <w:marTop w:val="0"/>
              <w:marBottom w:val="0"/>
              <w:divBdr>
                <w:top w:val="none" w:sz="0" w:space="0" w:color="auto"/>
                <w:left w:val="none" w:sz="0" w:space="0" w:color="auto"/>
                <w:bottom w:val="none" w:sz="0" w:space="0" w:color="auto"/>
                <w:right w:val="none" w:sz="0" w:space="0" w:color="auto"/>
              </w:divBdr>
            </w:div>
          </w:divsChild>
        </w:div>
        <w:div w:id="1069495539">
          <w:marLeft w:val="0"/>
          <w:marRight w:val="0"/>
          <w:marTop w:val="0"/>
          <w:marBottom w:val="0"/>
          <w:divBdr>
            <w:top w:val="none" w:sz="0" w:space="0" w:color="auto"/>
            <w:left w:val="none" w:sz="0" w:space="0" w:color="auto"/>
            <w:bottom w:val="none" w:sz="0" w:space="0" w:color="auto"/>
            <w:right w:val="none" w:sz="0" w:space="0" w:color="auto"/>
          </w:divBdr>
          <w:divsChild>
            <w:div w:id="890504881">
              <w:marLeft w:val="0"/>
              <w:marRight w:val="0"/>
              <w:marTop w:val="0"/>
              <w:marBottom w:val="0"/>
              <w:divBdr>
                <w:top w:val="none" w:sz="0" w:space="0" w:color="auto"/>
                <w:left w:val="none" w:sz="0" w:space="0" w:color="auto"/>
                <w:bottom w:val="none" w:sz="0" w:space="0" w:color="auto"/>
                <w:right w:val="none" w:sz="0" w:space="0" w:color="auto"/>
              </w:divBdr>
            </w:div>
          </w:divsChild>
        </w:div>
        <w:div w:id="1078789404">
          <w:marLeft w:val="0"/>
          <w:marRight w:val="0"/>
          <w:marTop w:val="0"/>
          <w:marBottom w:val="0"/>
          <w:divBdr>
            <w:top w:val="none" w:sz="0" w:space="0" w:color="auto"/>
            <w:left w:val="none" w:sz="0" w:space="0" w:color="auto"/>
            <w:bottom w:val="none" w:sz="0" w:space="0" w:color="auto"/>
            <w:right w:val="none" w:sz="0" w:space="0" w:color="auto"/>
          </w:divBdr>
          <w:divsChild>
            <w:div w:id="640229987">
              <w:marLeft w:val="0"/>
              <w:marRight w:val="0"/>
              <w:marTop w:val="0"/>
              <w:marBottom w:val="0"/>
              <w:divBdr>
                <w:top w:val="none" w:sz="0" w:space="0" w:color="auto"/>
                <w:left w:val="none" w:sz="0" w:space="0" w:color="auto"/>
                <w:bottom w:val="none" w:sz="0" w:space="0" w:color="auto"/>
                <w:right w:val="none" w:sz="0" w:space="0" w:color="auto"/>
              </w:divBdr>
            </w:div>
          </w:divsChild>
        </w:div>
        <w:div w:id="1083063747">
          <w:marLeft w:val="0"/>
          <w:marRight w:val="0"/>
          <w:marTop w:val="0"/>
          <w:marBottom w:val="0"/>
          <w:divBdr>
            <w:top w:val="none" w:sz="0" w:space="0" w:color="auto"/>
            <w:left w:val="none" w:sz="0" w:space="0" w:color="auto"/>
            <w:bottom w:val="none" w:sz="0" w:space="0" w:color="auto"/>
            <w:right w:val="none" w:sz="0" w:space="0" w:color="auto"/>
          </w:divBdr>
          <w:divsChild>
            <w:div w:id="367296122">
              <w:marLeft w:val="0"/>
              <w:marRight w:val="0"/>
              <w:marTop w:val="0"/>
              <w:marBottom w:val="0"/>
              <w:divBdr>
                <w:top w:val="none" w:sz="0" w:space="0" w:color="auto"/>
                <w:left w:val="none" w:sz="0" w:space="0" w:color="auto"/>
                <w:bottom w:val="none" w:sz="0" w:space="0" w:color="auto"/>
                <w:right w:val="none" w:sz="0" w:space="0" w:color="auto"/>
              </w:divBdr>
            </w:div>
          </w:divsChild>
        </w:div>
        <w:div w:id="1104879954">
          <w:marLeft w:val="0"/>
          <w:marRight w:val="0"/>
          <w:marTop w:val="0"/>
          <w:marBottom w:val="0"/>
          <w:divBdr>
            <w:top w:val="none" w:sz="0" w:space="0" w:color="auto"/>
            <w:left w:val="none" w:sz="0" w:space="0" w:color="auto"/>
            <w:bottom w:val="none" w:sz="0" w:space="0" w:color="auto"/>
            <w:right w:val="none" w:sz="0" w:space="0" w:color="auto"/>
          </w:divBdr>
          <w:divsChild>
            <w:div w:id="154339877">
              <w:marLeft w:val="0"/>
              <w:marRight w:val="0"/>
              <w:marTop w:val="0"/>
              <w:marBottom w:val="0"/>
              <w:divBdr>
                <w:top w:val="none" w:sz="0" w:space="0" w:color="auto"/>
                <w:left w:val="none" w:sz="0" w:space="0" w:color="auto"/>
                <w:bottom w:val="none" w:sz="0" w:space="0" w:color="auto"/>
                <w:right w:val="none" w:sz="0" w:space="0" w:color="auto"/>
              </w:divBdr>
            </w:div>
          </w:divsChild>
        </w:div>
        <w:div w:id="1111898800">
          <w:marLeft w:val="0"/>
          <w:marRight w:val="0"/>
          <w:marTop w:val="0"/>
          <w:marBottom w:val="0"/>
          <w:divBdr>
            <w:top w:val="none" w:sz="0" w:space="0" w:color="auto"/>
            <w:left w:val="none" w:sz="0" w:space="0" w:color="auto"/>
            <w:bottom w:val="none" w:sz="0" w:space="0" w:color="auto"/>
            <w:right w:val="none" w:sz="0" w:space="0" w:color="auto"/>
          </w:divBdr>
          <w:divsChild>
            <w:div w:id="340787752">
              <w:marLeft w:val="0"/>
              <w:marRight w:val="0"/>
              <w:marTop w:val="0"/>
              <w:marBottom w:val="0"/>
              <w:divBdr>
                <w:top w:val="none" w:sz="0" w:space="0" w:color="auto"/>
                <w:left w:val="none" w:sz="0" w:space="0" w:color="auto"/>
                <w:bottom w:val="none" w:sz="0" w:space="0" w:color="auto"/>
                <w:right w:val="none" w:sz="0" w:space="0" w:color="auto"/>
              </w:divBdr>
            </w:div>
          </w:divsChild>
        </w:div>
        <w:div w:id="1180318363">
          <w:marLeft w:val="0"/>
          <w:marRight w:val="0"/>
          <w:marTop w:val="0"/>
          <w:marBottom w:val="0"/>
          <w:divBdr>
            <w:top w:val="none" w:sz="0" w:space="0" w:color="auto"/>
            <w:left w:val="none" w:sz="0" w:space="0" w:color="auto"/>
            <w:bottom w:val="none" w:sz="0" w:space="0" w:color="auto"/>
            <w:right w:val="none" w:sz="0" w:space="0" w:color="auto"/>
          </w:divBdr>
          <w:divsChild>
            <w:div w:id="627128386">
              <w:marLeft w:val="0"/>
              <w:marRight w:val="0"/>
              <w:marTop w:val="0"/>
              <w:marBottom w:val="0"/>
              <w:divBdr>
                <w:top w:val="none" w:sz="0" w:space="0" w:color="auto"/>
                <w:left w:val="none" w:sz="0" w:space="0" w:color="auto"/>
                <w:bottom w:val="none" w:sz="0" w:space="0" w:color="auto"/>
                <w:right w:val="none" w:sz="0" w:space="0" w:color="auto"/>
              </w:divBdr>
            </w:div>
          </w:divsChild>
        </w:div>
        <w:div w:id="1181311482">
          <w:marLeft w:val="0"/>
          <w:marRight w:val="0"/>
          <w:marTop w:val="0"/>
          <w:marBottom w:val="0"/>
          <w:divBdr>
            <w:top w:val="none" w:sz="0" w:space="0" w:color="auto"/>
            <w:left w:val="none" w:sz="0" w:space="0" w:color="auto"/>
            <w:bottom w:val="none" w:sz="0" w:space="0" w:color="auto"/>
            <w:right w:val="none" w:sz="0" w:space="0" w:color="auto"/>
          </w:divBdr>
          <w:divsChild>
            <w:div w:id="665594017">
              <w:marLeft w:val="0"/>
              <w:marRight w:val="0"/>
              <w:marTop w:val="0"/>
              <w:marBottom w:val="0"/>
              <w:divBdr>
                <w:top w:val="none" w:sz="0" w:space="0" w:color="auto"/>
                <w:left w:val="none" w:sz="0" w:space="0" w:color="auto"/>
                <w:bottom w:val="none" w:sz="0" w:space="0" w:color="auto"/>
                <w:right w:val="none" w:sz="0" w:space="0" w:color="auto"/>
              </w:divBdr>
            </w:div>
          </w:divsChild>
        </w:div>
        <w:div w:id="1194269522">
          <w:marLeft w:val="0"/>
          <w:marRight w:val="0"/>
          <w:marTop w:val="0"/>
          <w:marBottom w:val="0"/>
          <w:divBdr>
            <w:top w:val="none" w:sz="0" w:space="0" w:color="auto"/>
            <w:left w:val="none" w:sz="0" w:space="0" w:color="auto"/>
            <w:bottom w:val="none" w:sz="0" w:space="0" w:color="auto"/>
            <w:right w:val="none" w:sz="0" w:space="0" w:color="auto"/>
          </w:divBdr>
          <w:divsChild>
            <w:div w:id="699739861">
              <w:marLeft w:val="0"/>
              <w:marRight w:val="0"/>
              <w:marTop w:val="0"/>
              <w:marBottom w:val="0"/>
              <w:divBdr>
                <w:top w:val="none" w:sz="0" w:space="0" w:color="auto"/>
                <w:left w:val="none" w:sz="0" w:space="0" w:color="auto"/>
                <w:bottom w:val="none" w:sz="0" w:space="0" w:color="auto"/>
                <w:right w:val="none" w:sz="0" w:space="0" w:color="auto"/>
              </w:divBdr>
            </w:div>
          </w:divsChild>
        </w:div>
        <w:div w:id="1197545856">
          <w:marLeft w:val="0"/>
          <w:marRight w:val="0"/>
          <w:marTop w:val="0"/>
          <w:marBottom w:val="0"/>
          <w:divBdr>
            <w:top w:val="none" w:sz="0" w:space="0" w:color="auto"/>
            <w:left w:val="none" w:sz="0" w:space="0" w:color="auto"/>
            <w:bottom w:val="none" w:sz="0" w:space="0" w:color="auto"/>
            <w:right w:val="none" w:sz="0" w:space="0" w:color="auto"/>
          </w:divBdr>
          <w:divsChild>
            <w:div w:id="1570267088">
              <w:marLeft w:val="0"/>
              <w:marRight w:val="0"/>
              <w:marTop w:val="0"/>
              <w:marBottom w:val="0"/>
              <w:divBdr>
                <w:top w:val="none" w:sz="0" w:space="0" w:color="auto"/>
                <w:left w:val="none" w:sz="0" w:space="0" w:color="auto"/>
                <w:bottom w:val="none" w:sz="0" w:space="0" w:color="auto"/>
                <w:right w:val="none" w:sz="0" w:space="0" w:color="auto"/>
              </w:divBdr>
            </w:div>
          </w:divsChild>
        </w:div>
        <w:div w:id="1210069574">
          <w:marLeft w:val="0"/>
          <w:marRight w:val="0"/>
          <w:marTop w:val="0"/>
          <w:marBottom w:val="0"/>
          <w:divBdr>
            <w:top w:val="none" w:sz="0" w:space="0" w:color="auto"/>
            <w:left w:val="none" w:sz="0" w:space="0" w:color="auto"/>
            <w:bottom w:val="none" w:sz="0" w:space="0" w:color="auto"/>
            <w:right w:val="none" w:sz="0" w:space="0" w:color="auto"/>
          </w:divBdr>
          <w:divsChild>
            <w:div w:id="869759310">
              <w:marLeft w:val="0"/>
              <w:marRight w:val="0"/>
              <w:marTop w:val="0"/>
              <w:marBottom w:val="0"/>
              <w:divBdr>
                <w:top w:val="none" w:sz="0" w:space="0" w:color="auto"/>
                <w:left w:val="none" w:sz="0" w:space="0" w:color="auto"/>
                <w:bottom w:val="none" w:sz="0" w:space="0" w:color="auto"/>
                <w:right w:val="none" w:sz="0" w:space="0" w:color="auto"/>
              </w:divBdr>
            </w:div>
          </w:divsChild>
        </w:div>
        <w:div w:id="1243218891">
          <w:marLeft w:val="0"/>
          <w:marRight w:val="0"/>
          <w:marTop w:val="0"/>
          <w:marBottom w:val="0"/>
          <w:divBdr>
            <w:top w:val="none" w:sz="0" w:space="0" w:color="auto"/>
            <w:left w:val="none" w:sz="0" w:space="0" w:color="auto"/>
            <w:bottom w:val="none" w:sz="0" w:space="0" w:color="auto"/>
            <w:right w:val="none" w:sz="0" w:space="0" w:color="auto"/>
          </w:divBdr>
          <w:divsChild>
            <w:div w:id="574172615">
              <w:marLeft w:val="0"/>
              <w:marRight w:val="0"/>
              <w:marTop w:val="0"/>
              <w:marBottom w:val="0"/>
              <w:divBdr>
                <w:top w:val="none" w:sz="0" w:space="0" w:color="auto"/>
                <w:left w:val="none" w:sz="0" w:space="0" w:color="auto"/>
                <w:bottom w:val="none" w:sz="0" w:space="0" w:color="auto"/>
                <w:right w:val="none" w:sz="0" w:space="0" w:color="auto"/>
              </w:divBdr>
            </w:div>
          </w:divsChild>
        </w:div>
        <w:div w:id="1305312380">
          <w:marLeft w:val="0"/>
          <w:marRight w:val="0"/>
          <w:marTop w:val="0"/>
          <w:marBottom w:val="0"/>
          <w:divBdr>
            <w:top w:val="none" w:sz="0" w:space="0" w:color="auto"/>
            <w:left w:val="none" w:sz="0" w:space="0" w:color="auto"/>
            <w:bottom w:val="none" w:sz="0" w:space="0" w:color="auto"/>
            <w:right w:val="none" w:sz="0" w:space="0" w:color="auto"/>
          </w:divBdr>
          <w:divsChild>
            <w:div w:id="950893118">
              <w:marLeft w:val="0"/>
              <w:marRight w:val="0"/>
              <w:marTop w:val="0"/>
              <w:marBottom w:val="0"/>
              <w:divBdr>
                <w:top w:val="none" w:sz="0" w:space="0" w:color="auto"/>
                <w:left w:val="none" w:sz="0" w:space="0" w:color="auto"/>
                <w:bottom w:val="none" w:sz="0" w:space="0" w:color="auto"/>
                <w:right w:val="none" w:sz="0" w:space="0" w:color="auto"/>
              </w:divBdr>
            </w:div>
          </w:divsChild>
        </w:div>
        <w:div w:id="1321160053">
          <w:marLeft w:val="0"/>
          <w:marRight w:val="0"/>
          <w:marTop w:val="0"/>
          <w:marBottom w:val="0"/>
          <w:divBdr>
            <w:top w:val="none" w:sz="0" w:space="0" w:color="auto"/>
            <w:left w:val="none" w:sz="0" w:space="0" w:color="auto"/>
            <w:bottom w:val="none" w:sz="0" w:space="0" w:color="auto"/>
            <w:right w:val="none" w:sz="0" w:space="0" w:color="auto"/>
          </w:divBdr>
          <w:divsChild>
            <w:div w:id="2075858430">
              <w:marLeft w:val="0"/>
              <w:marRight w:val="0"/>
              <w:marTop w:val="0"/>
              <w:marBottom w:val="0"/>
              <w:divBdr>
                <w:top w:val="none" w:sz="0" w:space="0" w:color="auto"/>
                <w:left w:val="none" w:sz="0" w:space="0" w:color="auto"/>
                <w:bottom w:val="none" w:sz="0" w:space="0" w:color="auto"/>
                <w:right w:val="none" w:sz="0" w:space="0" w:color="auto"/>
              </w:divBdr>
            </w:div>
          </w:divsChild>
        </w:div>
        <w:div w:id="1345748768">
          <w:marLeft w:val="0"/>
          <w:marRight w:val="0"/>
          <w:marTop w:val="0"/>
          <w:marBottom w:val="0"/>
          <w:divBdr>
            <w:top w:val="none" w:sz="0" w:space="0" w:color="auto"/>
            <w:left w:val="none" w:sz="0" w:space="0" w:color="auto"/>
            <w:bottom w:val="none" w:sz="0" w:space="0" w:color="auto"/>
            <w:right w:val="none" w:sz="0" w:space="0" w:color="auto"/>
          </w:divBdr>
          <w:divsChild>
            <w:div w:id="1529945679">
              <w:marLeft w:val="0"/>
              <w:marRight w:val="0"/>
              <w:marTop w:val="0"/>
              <w:marBottom w:val="0"/>
              <w:divBdr>
                <w:top w:val="none" w:sz="0" w:space="0" w:color="auto"/>
                <w:left w:val="none" w:sz="0" w:space="0" w:color="auto"/>
                <w:bottom w:val="none" w:sz="0" w:space="0" w:color="auto"/>
                <w:right w:val="none" w:sz="0" w:space="0" w:color="auto"/>
              </w:divBdr>
            </w:div>
          </w:divsChild>
        </w:div>
        <w:div w:id="1347512384">
          <w:marLeft w:val="0"/>
          <w:marRight w:val="0"/>
          <w:marTop w:val="0"/>
          <w:marBottom w:val="0"/>
          <w:divBdr>
            <w:top w:val="none" w:sz="0" w:space="0" w:color="auto"/>
            <w:left w:val="none" w:sz="0" w:space="0" w:color="auto"/>
            <w:bottom w:val="none" w:sz="0" w:space="0" w:color="auto"/>
            <w:right w:val="none" w:sz="0" w:space="0" w:color="auto"/>
          </w:divBdr>
          <w:divsChild>
            <w:div w:id="16322189">
              <w:marLeft w:val="0"/>
              <w:marRight w:val="0"/>
              <w:marTop w:val="0"/>
              <w:marBottom w:val="0"/>
              <w:divBdr>
                <w:top w:val="none" w:sz="0" w:space="0" w:color="auto"/>
                <w:left w:val="none" w:sz="0" w:space="0" w:color="auto"/>
                <w:bottom w:val="none" w:sz="0" w:space="0" w:color="auto"/>
                <w:right w:val="none" w:sz="0" w:space="0" w:color="auto"/>
              </w:divBdr>
            </w:div>
          </w:divsChild>
        </w:div>
        <w:div w:id="1359814984">
          <w:marLeft w:val="0"/>
          <w:marRight w:val="0"/>
          <w:marTop w:val="0"/>
          <w:marBottom w:val="0"/>
          <w:divBdr>
            <w:top w:val="none" w:sz="0" w:space="0" w:color="auto"/>
            <w:left w:val="none" w:sz="0" w:space="0" w:color="auto"/>
            <w:bottom w:val="none" w:sz="0" w:space="0" w:color="auto"/>
            <w:right w:val="none" w:sz="0" w:space="0" w:color="auto"/>
          </w:divBdr>
          <w:divsChild>
            <w:div w:id="264925140">
              <w:marLeft w:val="0"/>
              <w:marRight w:val="0"/>
              <w:marTop w:val="0"/>
              <w:marBottom w:val="0"/>
              <w:divBdr>
                <w:top w:val="none" w:sz="0" w:space="0" w:color="auto"/>
                <w:left w:val="none" w:sz="0" w:space="0" w:color="auto"/>
                <w:bottom w:val="none" w:sz="0" w:space="0" w:color="auto"/>
                <w:right w:val="none" w:sz="0" w:space="0" w:color="auto"/>
              </w:divBdr>
            </w:div>
          </w:divsChild>
        </w:div>
        <w:div w:id="1368138610">
          <w:marLeft w:val="0"/>
          <w:marRight w:val="0"/>
          <w:marTop w:val="0"/>
          <w:marBottom w:val="0"/>
          <w:divBdr>
            <w:top w:val="none" w:sz="0" w:space="0" w:color="auto"/>
            <w:left w:val="none" w:sz="0" w:space="0" w:color="auto"/>
            <w:bottom w:val="none" w:sz="0" w:space="0" w:color="auto"/>
            <w:right w:val="none" w:sz="0" w:space="0" w:color="auto"/>
          </w:divBdr>
          <w:divsChild>
            <w:div w:id="1537814156">
              <w:marLeft w:val="0"/>
              <w:marRight w:val="0"/>
              <w:marTop w:val="0"/>
              <w:marBottom w:val="0"/>
              <w:divBdr>
                <w:top w:val="none" w:sz="0" w:space="0" w:color="auto"/>
                <w:left w:val="none" w:sz="0" w:space="0" w:color="auto"/>
                <w:bottom w:val="none" w:sz="0" w:space="0" w:color="auto"/>
                <w:right w:val="none" w:sz="0" w:space="0" w:color="auto"/>
              </w:divBdr>
            </w:div>
          </w:divsChild>
        </w:div>
        <w:div w:id="1373503696">
          <w:marLeft w:val="0"/>
          <w:marRight w:val="0"/>
          <w:marTop w:val="0"/>
          <w:marBottom w:val="0"/>
          <w:divBdr>
            <w:top w:val="none" w:sz="0" w:space="0" w:color="auto"/>
            <w:left w:val="none" w:sz="0" w:space="0" w:color="auto"/>
            <w:bottom w:val="none" w:sz="0" w:space="0" w:color="auto"/>
            <w:right w:val="none" w:sz="0" w:space="0" w:color="auto"/>
          </w:divBdr>
          <w:divsChild>
            <w:div w:id="879972443">
              <w:marLeft w:val="0"/>
              <w:marRight w:val="0"/>
              <w:marTop w:val="0"/>
              <w:marBottom w:val="0"/>
              <w:divBdr>
                <w:top w:val="none" w:sz="0" w:space="0" w:color="auto"/>
                <w:left w:val="none" w:sz="0" w:space="0" w:color="auto"/>
                <w:bottom w:val="none" w:sz="0" w:space="0" w:color="auto"/>
                <w:right w:val="none" w:sz="0" w:space="0" w:color="auto"/>
              </w:divBdr>
            </w:div>
          </w:divsChild>
        </w:div>
        <w:div w:id="1412503957">
          <w:marLeft w:val="0"/>
          <w:marRight w:val="0"/>
          <w:marTop w:val="0"/>
          <w:marBottom w:val="0"/>
          <w:divBdr>
            <w:top w:val="none" w:sz="0" w:space="0" w:color="auto"/>
            <w:left w:val="none" w:sz="0" w:space="0" w:color="auto"/>
            <w:bottom w:val="none" w:sz="0" w:space="0" w:color="auto"/>
            <w:right w:val="none" w:sz="0" w:space="0" w:color="auto"/>
          </w:divBdr>
          <w:divsChild>
            <w:div w:id="965357730">
              <w:marLeft w:val="0"/>
              <w:marRight w:val="0"/>
              <w:marTop w:val="0"/>
              <w:marBottom w:val="0"/>
              <w:divBdr>
                <w:top w:val="none" w:sz="0" w:space="0" w:color="auto"/>
                <w:left w:val="none" w:sz="0" w:space="0" w:color="auto"/>
                <w:bottom w:val="none" w:sz="0" w:space="0" w:color="auto"/>
                <w:right w:val="none" w:sz="0" w:space="0" w:color="auto"/>
              </w:divBdr>
            </w:div>
          </w:divsChild>
        </w:div>
        <w:div w:id="1438670499">
          <w:marLeft w:val="0"/>
          <w:marRight w:val="0"/>
          <w:marTop w:val="0"/>
          <w:marBottom w:val="0"/>
          <w:divBdr>
            <w:top w:val="none" w:sz="0" w:space="0" w:color="auto"/>
            <w:left w:val="none" w:sz="0" w:space="0" w:color="auto"/>
            <w:bottom w:val="none" w:sz="0" w:space="0" w:color="auto"/>
            <w:right w:val="none" w:sz="0" w:space="0" w:color="auto"/>
          </w:divBdr>
          <w:divsChild>
            <w:div w:id="571163024">
              <w:marLeft w:val="0"/>
              <w:marRight w:val="0"/>
              <w:marTop w:val="0"/>
              <w:marBottom w:val="0"/>
              <w:divBdr>
                <w:top w:val="none" w:sz="0" w:space="0" w:color="auto"/>
                <w:left w:val="none" w:sz="0" w:space="0" w:color="auto"/>
                <w:bottom w:val="none" w:sz="0" w:space="0" w:color="auto"/>
                <w:right w:val="none" w:sz="0" w:space="0" w:color="auto"/>
              </w:divBdr>
            </w:div>
          </w:divsChild>
        </w:div>
        <w:div w:id="1469349664">
          <w:marLeft w:val="0"/>
          <w:marRight w:val="0"/>
          <w:marTop w:val="0"/>
          <w:marBottom w:val="0"/>
          <w:divBdr>
            <w:top w:val="none" w:sz="0" w:space="0" w:color="auto"/>
            <w:left w:val="none" w:sz="0" w:space="0" w:color="auto"/>
            <w:bottom w:val="none" w:sz="0" w:space="0" w:color="auto"/>
            <w:right w:val="none" w:sz="0" w:space="0" w:color="auto"/>
          </w:divBdr>
          <w:divsChild>
            <w:div w:id="188031277">
              <w:marLeft w:val="0"/>
              <w:marRight w:val="0"/>
              <w:marTop w:val="0"/>
              <w:marBottom w:val="0"/>
              <w:divBdr>
                <w:top w:val="none" w:sz="0" w:space="0" w:color="auto"/>
                <w:left w:val="none" w:sz="0" w:space="0" w:color="auto"/>
                <w:bottom w:val="none" w:sz="0" w:space="0" w:color="auto"/>
                <w:right w:val="none" w:sz="0" w:space="0" w:color="auto"/>
              </w:divBdr>
            </w:div>
          </w:divsChild>
        </w:div>
        <w:div w:id="1484851619">
          <w:marLeft w:val="0"/>
          <w:marRight w:val="0"/>
          <w:marTop w:val="0"/>
          <w:marBottom w:val="0"/>
          <w:divBdr>
            <w:top w:val="none" w:sz="0" w:space="0" w:color="auto"/>
            <w:left w:val="none" w:sz="0" w:space="0" w:color="auto"/>
            <w:bottom w:val="none" w:sz="0" w:space="0" w:color="auto"/>
            <w:right w:val="none" w:sz="0" w:space="0" w:color="auto"/>
          </w:divBdr>
          <w:divsChild>
            <w:div w:id="233202794">
              <w:marLeft w:val="0"/>
              <w:marRight w:val="0"/>
              <w:marTop w:val="0"/>
              <w:marBottom w:val="0"/>
              <w:divBdr>
                <w:top w:val="none" w:sz="0" w:space="0" w:color="auto"/>
                <w:left w:val="none" w:sz="0" w:space="0" w:color="auto"/>
                <w:bottom w:val="none" w:sz="0" w:space="0" w:color="auto"/>
                <w:right w:val="none" w:sz="0" w:space="0" w:color="auto"/>
              </w:divBdr>
            </w:div>
          </w:divsChild>
        </w:div>
        <w:div w:id="1544168528">
          <w:marLeft w:val="0"/>
          <w:marRight w:val="0"/>
          <w:marTop w:val="0"/>
          <w:marBottom w:val="0"/>
          <w:divBdr>
            <w:top w:val="none" w:sz="0" w:space="0" w:color="auto"/>
            <w:left w:val="none" w:sz="0" w:space="0" w:color="auto"/>
            <w:bottom w:val="none" w:sz="0" w:space="0" w:color="auto"/>
            <w:right w:val="none" w:sz="0" w:space="0" w:color="auto"/>
          </w:divBdr>
          <w:divsChild>
            <w:div w:id="578518234">
              <w:marLeft w:val="0"/>
              <w:marRight w:val="0"/>
              <w:marTop w:val="0"/>
              <w:marBottom w:val="0"/>
              <w:divBdr>
                <w:top w:val="none" w:sz="0" w:space="0" w:color="auto"/>
                <w:left w:val="none" w:sz="0" w:space="0" w:color="auto"/>
                <w:bottom w:val="none" w:sz="0" w:space="0" w:color="auto"/>
                <w:right w:val="none" w:sz="0" w:space="0" w:color="auto"/>
              </w:divBdr>
            </w:div>
          </w:divsChild>
        </w:div>
        <w:div w:id="1546867568">
          <w:marLeft w:val="0"/>
          <w:marRight w:val="0"/>
          <w:marTop w:val="0"/>
          <w:marBottom w:val="0"/>
          <w:divBdr>
            <w:top w:val="none" w:sz="0" w:space="0" w:color="auto"/>
            <w:left w:val="none" w:sz="0" w:space="0" w:color="auto"/>
            <w:bottom w:val="none" w:sz="0" w:space="0" w:color="auto"/>
            <w:right w:val="none" w:sz="0" w:space="0" w:color="auto"/>
          </w:divBdr>
          <w:divsChild>
            <w:div w:id="2137216529">
              <w:marLeft w:val="0"/>
              <w:marRight w:val="0"/>
              <w:marTop w:val="0"/>
              <w:marBottom w:val="0"/>
              <w:divBdr>
                <w:top w:val="none" w:sz="0" w:space="0" w:color="auto"/>
                <w:left w:val="none" w:sz="0" w:space="0" w:color="auto"/>
                <w:bottom w:val="none" w:sz="0" w:space="0" w:color="auto"/>
                <w:right w:val="none" w:sz="0" w:space="0" w:color="auto"/>
              </w:divBdr>
            </w:div>
          </w:divsChild>
        </w:div>
        <w:div w:id="1547059655">
          <w:marLeft w:val="0"/>
          <w:marRight w:val="0"/>
          <w:marTop w:val="0"/>
          <w:marBottom w:val="0"/>
          <w:divBdr>
            <w:top w:val="none" w:sz="0" w:space="0" w:color="auto"/>
            <w:left w:val="none" w:sz="0" w:space="0" w:color="auto"/>
            <w:bottom w:val="none" w:sz="0" w:space="0" w:color="auto"/>
            <w:right w:val="none" w:sz="0" w:space="0" w:color="auto"/>
          </w:divBdr>
          <w:divsChild>
            <w:div w:id="1109861824">
              <w:marLeft w:val="0"/>
              <w:marRight w:val="0"/>
              <w:marTop w:val="0"/>
              <w:marBottom w:val="0"/>
              <w:divBdr>
                <w:top w:val="none" w:sz="0" w:space="0" w:color="auto"/>
                <w:left w:val="none" w:sz="0" w:space="0" w:color="auto"/>
                <w:bottom w:val="none" w:sz="0" w:space="0" w:color="auto"/>
                <w:right w:val="none" w:sz="0" w:space="0" w:color="auto"/>
              </w:divBdr>
            </w:div>
          </w:divsChild>
        </w:div>
        <w:div w:id="1559705081">
          <w:marLeft w:val="0"/>
          <w:marRight w:val="0"/>
          <w:marTop w:val="0"/>
          <w:marBottom w:val="0"/>
          <w:divBdr>
            <w:top w:val="none" w:sz="0" w:space="0" w:color="auto"/>
            <w:left w:val="none" w:sz="0" w:space="0" w:color="auto"/>
            <w:bottom w:val="none" w:sz="0" w:space="0" w:color="auto"/>
            <w:right w:val="none" w:sz="0" w:space="0" w:color="auto"/>
          </w:divBdr>
          <w:divsChild>
            <w:div w:id="545488637">
              <w:marLeft w:val="0"/>
              <w:marRight w:val="0"/>
              <w:marTop w:val="0"/>
              <w:marBottom w:val="0"/>
              <w:divBdr>
                <w:top w:val="none" w:sz="0" w:space="0" w:color="auto"/>
                <w:left w:val="none" w:sz="0" w:space="0" w:color="auto"/>
                <w:bottom w:val="none" w:sz="0" w:space="0" w:color="auto"/>
                <w:right w:val="none" w:sz="0" w:space="0" w:color="auto"/>
              </w:divBdr>
            </w:div>
          </w:divsChild>
        </w:div>
        <w:div w:id="1563902936">
          <w:marLeft w:val="0"/>
          <w:marRight w:val="0"/>
          <w:marTop w:val="0"/>
          <w:marBottom w:val="0"/>
          <w:divBdr>
            <w:top w:val="none" w:sz="0" w:space="0" w:color="auto"/>
            <w:left w:val="none" w:sz="0" w:space="0" w:color="auto"/>
            <w:bottom w:val="none" w:sz="0" w:space="0" w:color="auto"/>
            <w:right w:val="none" w:sz="0" w:space="0" w:color="auto"/>
          </w:divBdr>
          <w:divsChild>
            <w:div w:id="1495685168">
              <w:marLeft w:val="0"/>
              <w:marRight w:val="0"/>
              <w:marTop w:val="0"/>
              <w:marBottom w:val="0"/>
              <w:divBdr>
                <w:top w:val="none" w:sz="0" w:space="0" w:color="auto"/>
                <w:left w:val="none" w:sz="0" w:space="0" w:color="auto"/>
                <w:bottom w:val="none" w:sz="0" w:space="0" w:color="auto"/>
                <w:right w:val="none" w:sz="0" w:space="0" w:color="auto"/>
              </w:divBdr>
            </w:div>
          </w:divsChild>
        </w:div>
        <w:div w:id="1591155064">
          <w:marLeft w:val="0"/>
          <w:marRight w:val="0"/>
          <w:marTop w:val="0"/>
          <w:marBottom w:val="0"/>
          <w:divBdr>
            <w:top w:val="none" w:sz="0" w:space="0" w:color="auto"/>
            <w:left w:val="none" w:sz="0" w:space="0" w:color="auto"/>
            <w:bottom w:val="none" w:sz="0" w:space="0" w:color="auto"/>
            <w:right w:val="none" w:sz="0" w:space="0" w:color="auto"/>
          </w:divBdr>
          <w:divsChild>
            <w:div w:id="614555107">
              <w:marLeft w:val="0"/>
              <w:marRight w:val="0"/>
              <w:marTop w:val="0"/>
              <w:marBottom w:val="0"/>
              <w:divBdr>
                <w:top w:val="none" w:sz="0" w:space="0" w:color="auto"/>
                <w:left w:val="none" w:sz="0" w:space="0" w:color="auto"/>
                <w:bottom w:val="none" w:sz="0" w:space="0" w:color="auto"/>
                <w:right w:val="none" w:sz="0" w:space="0" w:color="auto"/>
              </w:divBdr>
            </w:div>
          </w:divsChild>
        </w:div>
        <w:div w:id="1601798008">
          <w:marLeft w:val="0"/>
          <w:marRight w:val="0"/>
          <w:marTop w:val="0"/>
          <w:marBottom w:val="0"/>
          <w:divBdr>
            <w:top w:val="none" w:sz="0" w:space="0" w:color="auto"/>
            <w:left w:val="none" w:sz="0" w:space="0" w:color="auto"/>
            <w:bottom w:val="none" w:sz="0" w:space="0" w:color="auto"/>
            <w:right w:val="none" w:sz="0" w:space="0" w:color="auto"/>
          </w:divBdr>
          <w:divsChild>
            <w:div w:id="1988898081">
              <w:marLeft w:val="0"/>
              <w:marRight w:val="0"/>
              <w:marTop w:val="0"/>
              <w:marBottom w:val="0"/>
              <w:divBdr>
                <w:top w:val="none" w:sz="0" w:space="0" w:color="auto"/>
                <w:left w:val="none" w:sz="0" w:space="0" w:color="auto"/>
                <w:bottom w:val="none" w:sz="0" w:space="0" w:color="auto"/>
                <w:right w:val="none" w:sz="0" w:space="0" w:color="auto"/>
              </w:divBdr>
            </w:div>
          </w:divsChild>
        </w:div>
        <w:div w:id="1615748988">
          <w:marLeft w:val="0"/>
          <w:marRight w:val="0"/>
          <w:marTop w:val="0"/>
          <w:marBottom w:val="0"/>
          <w:divBdr>
            <w:top w:val="none" w:sz="0" w:space="0" w:color="auto"/>
            <w:left w:val="none" w:sz="0" w:space="0" w:color="auto"/>
            <w:bottom w:val="none" w:sz="0" w:space="0" w:color="auto"/>
            <w:right w:val="none" w:sz="0" w:space="0" w:color="auto"/>
          </w:divBdr>
          <w:divsChild>
            <w:div w:id="562839355">
              <w:marLeft w:val="0"/>
              <w:marRight w:val="0"/>
              <w:marTop w:val="0"/>
              <w:marBottom w:val="0"/>
              <w:divBdr>
                <w:top w:val="none" w:sz="0" w:space="0" w:color="auto"/>
                <w:left w:val="none" w:sz="0" w:space="0" w:color="auto"/>
                <w:bottom w:val="none" w:sz="0" w:space="0" w:color="auto"/>
                <w:right w:val="none" w:sz="0" w:space="0" w:color="auto"/>
              </w:divBdr>
            </w:div>
          </w:divsChild>
        </w:div>
        <w:div w:id="1662351501">
          <w:marLeft w:val="0"/>
          <w:marRight w:val="0"/>
          <w:marTop w:val="0"/>
          <w:marBottom w:val="0"/>
          <w:divBdr>
            <w:top w:val="none" w:sz="0" w:space="0" w:color="auto"/>
            <w:left w:val="none" w:sz="0" w:space="0" w:color="auto"/>
            <w:bottom w:val="none" w:sz="0" w:space="0" w:color="auto"/>
            <w:right w:val="none" w:sz="0" w:space="0" w:color="auto"/>
          </w:divBdr>
          <w:divsChild>
            <w:div w:id="704059610">
              <w:marLeft w:val="0"/>
              <w:marRight w:val="0"/>
              <w:marTop w:val="0"/>
              <w:marBottom w:val="0"/>
              <w:divBdr>
                <w:top w:val="none" w:sz="0" w:space="0" w:color="auto"/>
                <w:left w:val="none" w:sz="0" w:space="0" w:color="auto"/>
                <w:bottom w:val="none" w:sz="0" w:space="0" w:color="auto"/>
                <w:right w:val="none" w:sz="0" w:space="0" w:color="auto"/>
              </w:divBdr>
            </w:div>
          </w:divsChild>
        </w:div>
        <w:div w:id="1694259512">
          <w:marLeft w:val="0"/>
          <w:marRight w:val="0"/>
          <w:marTop w:val="0"/>
          <w:marBottom w:val="0"/>
          <w:divBdr>
            <w:top w:val="none" w:sz="0" w:space="0" w:color="auto"/>
            <w:left w:val="none" w:sz="0" w:space="0" w:color="auto"/>
            <w:bottom w:val="none" w:sz="0" w:space="0" w:color="auto"/>
            <w:right w:val="none" w:sz="0" w:space="0" w:color="auto"/>
          </w:divBdr>
          <w:divsChild>
            <w:div w:id="487095564">
              <w:marLeft w:val="0"/>
              <w:marRight w:val="0"/>
              <w:marTop w:val="0"/>
              <w:marBottom w:val="0"/>
              <w:divBdr>
                <w:top w:val="none" w:sz="0" w:space="0" w:color="auto"/>
                <w:left w:val="none" w:sz="0" w:space="0" w:color="auto"/>
                <w:bottom w:val="none" w:sz="0" w:space="0" w:color="auto"/>
                <w:right w:val="none" w:sz="0" w:space="0" w:color="auto"/>
              </w:divBdr>
            </w:div>
          </w:divsChild>
        </w:div>
        <w:div w:id="1751271946">
          <w:marLeft w:val="0"/>
          <w:marRight w:val="0"/>
          <w:marTop w:val="0"/>
          <w:marBottom w:val="0"/>
          <w:divBdr>
            <w:top w:val="none" w:sz="0" w:space="0" w:color="auto"/>
            <w:left w:val="none" w:sz="0" w:space="0" w:color="auto"/>
            <w:bottom w:val="none" w:sz="0" w:space="0" w:color="auto"/>
            <w:right w:val="none" w:sz="0" w:space="0" w:color="auto"/>
          </w:divBdr>
          <w:divsChild>
            <w:div w:id="2049450883">
              <w:marLeft w:val="0"/>
              <w:marRight w:val="0"/>
              <w:marTop w:val="0"/>
              <w:marBottom w:val="0"/>
              <w:divBdr>
                <w:top w:val="none" w:sz="0" w:space="0" w:color="auto"/>
                <w:left w:val="none" w:sz="0" w:space="0" w:color="auto"/>
                <w:bottom w:val="none" w:sz="0" w:space="0" w:color="auto"/>
                <w:right w:val="none" w:sz="0" w:space="0" w:color="auto"/>
              </w:divBdr>
            </w:div>
          </w:divsChild>
        </w:div>
        <w:div w:id="1764453636">
          <w:marLeft w:val="0"/>
          <w:marRight w:val="0"/>
          <w:marTop w:val="0"/>
          <w:marBottom w:val="0"/>
          <w:divBdr>
            <w:top w:val="none" w:sz="0" w:space="0" w:color="auto"/>
            <w:left w:val="none" w:sz="0" w:space="0" w:color="auto"/>
            <w:bottom w:val="none" w:sz="0" w:space="0" w:color="auto"/>
            <w:right w:val="none" w:sz="0" w:space="0" w:color="auto"/>
          </w:divBdr>
          <w:divsChild>
            <w:div w:id="1152134353">
              <w:marLeft w:val="0"/>
              <w:marRight w:val="0"/>
              <w:marTop w:val="0"/>
              <w:marBottom w:val="0"/>
              <w:divBdr>
                <w:top w:val="none" w:sz="0" w:space="0" w:color="auto"/>
                <w:left w:val="none" w:sz="0" w:space="0" w:color="auto"/>
                <w:bottom w:val="none" w:sz="0" w:space="0" w:color="auto"/>
                <w:right w:val="none" w:sz="0" w:space="0" w:color="auto"/>
              </w:divBdr>
            </w:div>
          </w:divsChild>
        </w:div>
        <w:div w:id="1793162203">
          <w:marLeft w:val="0"/>
          <w:marRight w:val="0"/>
          <w:marTop w:val="0"/>
          <w:marBottom w:val="0"/>
          <w:divBdr>
            <w:top w:val="none" w:sz="0" w:space="0" w:color="auto"/>
            <w:left w:val="none" w:sz="0" w:space="0" w:color="auto"/>
            <w:bottom w:val="none" w:sz="0" w:space="0" w:color="auto"/>
            <w:right w:val="none" w:sz="0" w:space="0" w:color="auto"/>
          </w:divBdr>
          <w:divsChild>
            <w:div w:id="317349674">
              <w:marLeft w:val="0"/>
              <w:marRight w:val="0"/>
              <w:marTop w:val="0"/>
              <w:marBottom w:val="0"/>
              <w:divBdr>
                <w:top w:val="none" w:sz="0" w:space="0" w:color="auto"/>
                <w:left w:val="none" w:sz="0" w:space="0" w:color="auto"/>
                <w:bottom w:val="none" w:sz="0" w:space="0" w:color="auto"/>
                <w:right w:val="none" w:sz="0" w:space="0" w:color="auto"/>
              </w:divBdr>
            </w:div>
          </w:divsChild>
        </w:div>
        <w:div w:id="1857576482">
          <w:marLeft w:val="0"/>
          <w:marRight w:val="0"/>
          <w:marTop w:val="0"/>
          <w:marBottom w:val="0"/>
          <w:divBdr>
            <w:top w:val="none" w:sz="0" w:space="0" w:color="auto"/>
            <w:left w:val="none" w:sz="0" w:space="0" w:color="auto"/>
            <w:bottom w:val="none" w:sz="0" w:space="0" w:color="auto"/>
            <w:right w:val="none" w:sz="0" w:space="0" w:color="auto"/>
          </w:divBdr>
          <w:divsChild>
            <w:div w:id="1420832978">
              <w:marLeft w:val="0"/>
              <w:marRight w:val="0"/>
              <w:marTop w:val="0"/>
              <w:marBottom w:val="0"/>
              <w:divBdr>
                <w:top w:val="none" w:sz="0" w:space="0" w:color="auto"/>
                <w:left w:val="none" w:sz="0" w:space="0" w:color="auto"/>
                <w:bottom w:val="none" w:sz="0" w:space="0" w:color="auto"/>
                <w:right w:val="none" w:sz="0" w:space="0" w:color="auto"/>
              </w:divBdr>
            </w:div>
          </w:divsChild>
        </w:div>
        <w:div w:id="1865744559">
          <w:marLeft w:val="0"/>
          <w:marRight w:val="0"/>
          <w:marTop w:val="0"/>
          <w:marBottom w:val="0"/>
          <w:divBdr>
            <w:top w:val="none" w:sz="0" w:space="0" w:color="auto"/>
            <w:left w:val="none" w:sz="0" w:space="0" w:color="auto"/>
            <w:bottom w:val="none" w:sz="0" w:space="0" w:color="auto"/>
            <w:right w:val="none" w:sz="0" w:space="0" w:color="auto"/>
          </w:divBdr>
          <w:divsChild>
            <w:div w:id="861090776">
              <w:marLeft w:val="0"/>
              <w:marRight w:val="0"/>
              <w:marTop w:val="0"/>
              <w:marBottom w:val="0"/>
              <w:divBdr>
                <w:top w:val="none" w:sz="0" w:space="0" w:color="auto"/>
                <w:left w:val="none" w:sz="0" w:space="0" w:color="auto"/>
                <w:bottom w:val="none" w:sz="0" w:space="0" w:color="auto"/>
                <w:right w:val="none" w:sz="0" w:space="0" w:color="auto"/>
              </w:divBdr>
            </w:div>
          </w:divsChild>
        </w:div>
        <w:div w:id="1873957473">
          <w:marLeft w:val="0"/>
          <w:marRight w:val="0"/>
          <w:marTop w:val="0"/>
          <w:marBottom w:val="0"/>
          <w:divBdr>
            <w:top w:val="none" w:sz="0" w:space="0" w:color="auto"/>
            <w:left w:val="none" w:sz="0" w:space="0" w:color="auto"/>
            <w:bottom w:val="none" w:sz="0" w:space="0" w:color="auto"/>
            <w:right w:val="none" w:sz="0" w:space="0" w:color="auto"/>
          </w:divBdr>
          <w:divsChild>
            <w:div w:id="1149978782">
              <w:marLeft w:val="0"/>
              <w:marRight w:val="0"/>
              <w:marTop w:val="0"/>
              <w:marBottom w:val="0"/>
              <w:divBdr>
                <w:top w:val="none" w:sz="0" w:space="0" w:color="auto"/>
                <w:left w:val="none" w:sz="0" w:space="0" w:color="auto"/>
                <w:bottom w:val="none" w:sz="0" w:space="0" w:color="auto"/>
                <w:right w:val="none" w:sz="0" w:space="0" w:color="auto"/>
              </w:divBdr>
            </w:div>
          </w:divsChild>
        </w:div>
        <w:div w:id="1900435722">
          <w:marLeft w:val="0"/>
          <w:marRight w:val="0"/>
          <w:marTop w:val="0"/>
          <w:marBottom w:val="0"/>
          <w:divBdr>
            <w:top w:val="none" w:sz="0" w:space="0" w:color="auto"/>
            <w:left w:val="none" w:sz="0" w:space="0" w:color="auto"/>
            <w:bottom w:val="none" w:sz="0" w:space="0" w:color="auto"/>
            <w:right w:val="none" w:sz="0" w:space="0" w:color="auto"/>
          </w:divBdr>
          <w:divsChild>
            <w:div w:id="227154148">
              <w:marLeft w:val="0"/>
              <w:marRight w:val="0"/>
              <w:marTop w:val="0"/>
              <w:marBottom w:val="0"/>
              <w:divBdr>
                <w:top w:val="none" w:sz="0" w:space="0" w:color="auto"/>
                <w:left w:val="none" w:sz="0" w:space="0" w:color="auto"/>
                <w:bottom w:val="none" w:sz="0" w:space="0" w:color="auto"/>
                <w:right w:val="none" w:sz="0" w:space="0" w:color="auto"/>
              </w:divBdr>
            </w:div>
          </w:divsChild>
        </w:div>
        <w:div w:id="1936161284">
          <w:marLeft w:val="0"/>
          <w:marRight w:val="0"/>
          <w:marTop w:val="0"/>
          <w:marBottom w:val="0"/>
          <w:divBdr>
            <w:top w:val="none" w:sz="0" w:space="0" w:color="auto"/>
            <w:left w:val="none" w:sz="0" w:space="0" w:color="auto"/>
            <w:bottom w:val="none" w:sz="0" w:space="0" w:color="auto"/>
            <w:right w:val="none" w:sz="0" w:space="0" w:color="auto"/>
          </w:divBdr>
          <w:divsChild>
            <w:div w:id="472723896">
              <w:marLeft w:val="0"/>
              <w:marRight w:val="0"/>
              <w:marTop w:val="0"/>
              <w:marBottom w:val="0"/>
              <w:divBdr>
                <w:top w:val="none" w:sz="0" w:space="0" w:color="auto"/>
                <w:left w:val="none" w:sz="0" w:space="0" w:color="auto"/>
                <w:bottom w:val="none" w:sz="0" w:space="0" w:color="auto"/>
                <w:right w:val="none" w:sz="0" w:space="0" w:color="auto"/>
              </w:divBdr>
            </w:div>
          </w:divsChild>
        </w:div>
        <w:div w:id="1941718843">
          <w:marLeft w:val="0"/>
          <w:marRight w:val="0"/>
          <w:marTop w:val="0"/>
          <w:marBottom w:val="0"/>
          <w:divBdr>
            <w:top w:val="none" w:sz="0" w:space="0" w:color="auto"/>
            <w:left w:val="none" w:sz="0" w:space="0" w:color="auto"/>
            <w:bottom w:val="none" w:sz="0" w:space="0" w:color="auto"/>
            <w:right w:val="none" w:sz="0" w:space="0" w:color="auto"/>
          </w:divBdr>
          <w:divsChild>
            <w:div w:id="598755596">
              <w:marLeft w:val="0"/>
              <w:marRight w:val="0"/>
              <w:marTop w:val="0"/>
              <w:marBottom w:val="0"/>
              <w:divBdr>
                <w:top w:val="none" w:sz="0" w:space="0" w:color="auto"/>
                <w:left w:val="none" w:sz="0" w:space="0" w:color="auto"/>
                <w:bottom w:val="none" w:sz="0" w:space="0" w:color="auto"/>
                <w:right w:val="none" w:sz="0" w:space="0" w:color="auto"/>
              </w:divBdr>
            </w:div>
          </w:divsChild>
        </w:div>
        <w:div w:id="1947687329">
          <w:marLeft w:val="0"/>
          <w:marRight w:val="0"/>
          <w:marTop w:val="0"/>
          <w:marBottom w:val="0"/>
          <w:divBdr>
            <w:top w:val="none" w:sz="0" w:space="0" w:color="auto"/>
            <w:left w:val="none" w:sz="0" w:space="0" w:color="auto"/>
            <w:bottom w:val="none" w:sz="0" w:space="0" w:color="auto"/>
            <w:right w:val="none" w:sz="0" w:space="0" w:color="auto"/>
          </w:divBdr>
          <w:divsChild>
            <w:div w:id="106891488">
              <w:marLeft w:val="0"/>
              <w:marRight w:val="0"/>
              <w:marTop w:val="0"/>
              <w:marBottom w:val="0"/>
              <w:divBdr>
                <w:top w:val="none" w:sz="0" w:space="0" w:color="auto"/>
                <w:left w:val="none" w:sz="0" w:space="0" w:color="auto"/>
                <w:bottom w:val="none" w:sz="0" w:space="0" w:color="auto"/>
                <w:right w:val="none" w:sz="0" w:space="0" w:color="auto"/>
              </w:divBdr>
            </w:div>
          </w:divsChild>
        </w:div>
        <w:div w:id="1949922074">
          <w:marLeft w:val="0"/>
          <w:marRight w:val="0"/>
          <w:marTop w:val="0"/>
          <w:marBottom w:val="0"/>
          <w:divBdr>
            <w:top w:val="none" w:sz="0" w:space="0" w:color="auto"/>
            <w:left w:val="none" w:sz="0" w:space="0" w:color="auto"/>
            <w:bottom w:val="none" w:sz="0" w:space="0" w:color="auto"/>
            <w:right w:val="none" w:sz="0" w:space="0" w:color="auto"/>
          </w:divBdr>
          <w:divsChild>
            <w:div w:id="1095054466">
              <w:marLeft w:val="0"/>
              <w:marRight w:val="0"/>
              <w:marTop w:val="0"/>
              <w:marBottom w:val="0"/>
              <w:divBdr>
                <w:top w:val="none" w:sz="0" w:space="0" w:color="auto"/>
                <w:left w:val="none" w:sz="0" w:space="0" w:color="auto"/>
                <w:bottom w:val="none" w:sz="0" w:space="0" w:color="auto"/>
                <w:right w:val="none" w:sz="0" w:space="0" w:color="auto"/>
              </w:divBdr>
            </w:div>
          </w:divsChild>
        </w:div>
        <w:div w:id="1951669510">
          <w:marLeft w:val="0"/>
          <w:marRight w:val="0"/>
          <w:marTop w:val="0"/>
          <w:marBottom w:val="0"/>
          <w:divBdr>
            <w:top w:val="none" w:sz="0" w:space="0" w:color="auto"/>
            <w:left w:val="none" w:sz="0" w:space="0" w:color="auto"/>
            <w:bottom w:val="none" w:sz="0" w:space="0" w:color="auto"/>
            <w:right w:val="none" w:sz="0" w:space="0" w:color="auto"/>
          </w:divBdr>
          <w:divsChild>
            <w:div w:id="778183862">
              <w:marLeft w:val="0"/>
              <w:marRight w:val="0"/>
              <w:marTop w:val="0"/>
              <w:marBottom w:val="0"/>
              <w:divBdr>
                <w:top w:val="none" w:sz="0" w:space="0" w:color="auto"/>
                <w:left w:val="none" w:sz="0" w:space="0" w:color="auto"/>
                <w:bottom w:val="none" w:sz="0" w:space="0" w:color="auto"/>
                <w:right w:val="none" w:sz="0" w:space="0" w:color="auto"/>
              </w:divBdr>
            </w:div>
          </w:divsChild>
        </w:div>
        <w:div w:id="1957373851">
          <w:marLeft w:val="0"/>
          <w:marRight w:val="0"/>
          <w:marTop w:val="0"/>
          <w:marBottom w:val="0"/>
          <w:divBdr>
            <w:top w:val="none" w:sz="0" w:space="0" w:color="auto"/>
            <w:left w:val="none" w:sz="0" w:space="0" w:color="auto"/>
            <w:bottom w:val="none" w:sz="0" w:space="0" w:color="auto"/>
            <w:right w:val="none" w:sz="0" w:space="0" w:color="auto"/>
          </w:divBdr>
          <w:divsChild>
            <w:div w:id="21711200">
              <w:marLeft w:val="0"/>
              <w:marRight w:val="0"/>
              <w:marTop w:val="0"/>
              <w:marBottom w:val="0"/>
              <w:divBdr>
                <w:top w:val="none" w:sz="0" w:space="0" w:color="auto"/>
                <w:left w:val="none" w:sz="0" w:space="0" w:color="auto"/>
                <w:bottom w:val="none" w:sz="0" w:space="0" w:color="auto"/>
                <w:right w:val="none" w:sz="0" w:space="0" w:color="auto"/>
              </w:divBdr>
            </w:div>
          </w:divsChild>
        </w:div>
        <w:div w:id="1975090978">
          <w:marLeft w:val="0"/>
          <w:marRight w:val="0"/>
          <w:marTop w:val="0"/>
          <w:marBottom w:val="0"/>
          <w:divBdr>
            <w:top w:val="none" w:sz="0" w:space="0" w:color="auto"/>
            <w:left w:val="none" w:sz="0" w:space="0" w:color="auto"/>
            <w:bottom w:val="none" w:sz="0" w:space="0" w:color="auto"/>
            <w:right w:val="none" w:sz="0" w:space="0" w:color="auto"/>
          </w:divBdr>
          <w:divsChild>
            <w:div w:id="838888699">
              <w:marLeft w:val="0"/>
              <w:marRight w:val="0"/>
              <w:marTop w:val="0"/>
              <w:marBottom w:val="0"/>
              <w:divBdr>
                <w:top w:val="none" w:sz="0" w:space="0" w:color="auto"/>
                <w:left w:val="none" w:sz="0" w:space="0" w:color="auto"/>
                <w:bottom w:val="none" w:sz="0" w:space="0" w:color="auto"/>
                <w:right w:val="none" w:sz="0" w:space="0" w:color="auto"/>
              </w:divBdr>
            </w:div>
          </w:divsChild>
        </w:div>
        <w:div w:id="2024742771">
          <w:marLeft w:val="0"/>
          <w:marRight w:val="0"/>
          <w:marTop w:val="0"/>
          <w:marBottom w:val="0"/>
          <w:divBdr>
            <w:top w:val="none" w:sz="0" w:space="0" w:color="auto"/>
            <w:left w:val="none" w:sz="0" w:space="0" w:color="auto"/>
            <w:bottom w:val="none" w:sz="0" w:space="0" w:color="auto"/>
            <w:right w:val="none" w:sz="0" w:space="0" w:color="auto"/>
          </w:divBdr>
          <w:divsChild>
            <w:div w:id="1598168883">
              <w:marLeft w:val="0"/>
              <w:marRight w:val="0"/>
              <w:marTop w:val="0"/>
              <w:marBottom w:val="0"/>
              <w:divBdr>
                <w:top w:val="none" w:sz="0" w:space="0" w:color="auto"/>
                <w:left w:val="none" w:sz="0" w:space="0" w:color="auto"/>
                <w:bottom w:val="none" w:sz="0" w:space="0" w:color="auto"/>
                <w:right w:val="none" w:sz="0" w:space="0" w:color="auto"/>
              </w:divBdr>
            </w:div>
          </w:divsChild>
        </w:div>
        <w:div w:id="2025394941">
          <w:marLeft w:val="0"/>
          <w:marRight w:val="0"/>
          <w:marTop w:val="0"/>
          <w:marBottom w:val="0"/>
          <w:divBdr>
            <w:top w:val="none" w:sz="0" w:space="0" w:color="auto"/>
            <w:left w:val="none" w:sz="0" w:space="0" w:color="auto"/>
            <w:bottom w:val="none" w:sz="0" w:space="0" w:color="auto"/>
            <w:right w:val="none" w:sz="0" w:space="0" w:color="auto"/>
          </w:divBdr>
          <w:divsChild>
            <w:div w:id="1620139601">
              <w:marLeft w:val="0"/>
              <w:marRight w:val="0"/>
              <w:marTop w:val="0"/>
              <w:marBottom w:val="0"/>
              <w:divBdr>
                <w:top w:val="none" w:sz="0" w:space="0" w:color="auto"/>
                <w:left w:val="none" w:sz="0" w:space="0" w:color="auto"/>
                <w:bottom w:val="none" w:sz="0" w:space="0" w:color="auto"/>
                <w:right w:val="none" w:sz="0" w:space="0" w:color="auto"/>
              </w:divBdr>
            </w:div>
          </w:divsChild>
        </w:div>
        <w:div w:id="2142260610">
          <w:marLeft w:val="0"/>
          <w:marRight w:val="0"/>
          <w:marTop w:val="0"/>
          <w:marBottom w:val="0"/>
          <w:divBdr>
            <w:top w:val="none" w:sz="0" w:space="0" w:color="auto"/>
            <w:left w:val="none" w:sz="0" w:space="0" w:color="auto"/>
            <w:bottom w:val="none" w:sz="0" w:space="0" w:color="auto"/>
            <w:right w:val="none" w:sz="0" w:space="0" w:color="auto"/>
          </w:divBdr>
          <w:divsChild>
            <w:div w:id="19161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1057">
      <w:bodyDiv w:val="1"/>
      <w:marLeft w:val="0"/>
      <w:marRight w:val="0"/>
      <w:marTop w:val="0"/>
      <w:marBottom w:val="0"/>
      <w:divBdr>
        <w:top w:val="none" w:sz="0" w:space="0" w:color="auto"/>
        <w:left w:val="none" w:sz="0" w:space="0" w:color="auto"/>
        <w:bottom w:val="none" w:sz="0" w:space="0" w:color="auto"/>
        <w:right w:val="none" w:sz="0" w:space="0" w:color="auto"/>
      </w:divBdr>
    </w:div>
    <w:div w:id="224342558">
      <w:bodyDiv w:val="1"/>
      <w:marLeft w:val="0"/>
      <w:marRight w:val="0"/>
      <w:marTop w:val="0"/>
      <w:marBottom w:val="0"/>
      <w:divBdr>
        <w:top w:val="none" w:sz="0" w:space="0" w:color="auto"/>
        <w:left w:val="none" w:sz="0" w:space="0" w:color="auto"/>
        <w:bottom w:val="none" w:sz="0" w:space="0" w:color="auto"/>
        <w:right w:val="none" w:sz="0" w:space="0" w:color="auto"/>
      </w:divBdr>
      <w:divsChild>
        <w:div w:id="7022564">
          <w:marLeft w:val="0"/>
          <w:marRight w:val="0"/>
          <w:marTop w:val="0"/>
          <w:marBottom w:val="0"/>
          <w:divBdr>
            <w:top w:val="none" w:sz="0" w:space="0" w:color="auto"/>
            <w:left w:val="none" w:sz="0" w:space="0" w:color="auto"/>
            <w:bottom w:val="none" w:sz="0" w:space="0" w:color="auto"/>
            <w:right w:val="none" w:sz="0" w:space="0" w:color="auto"/>
          </w:divBdr>
          <w:divsChild>
            <w:div w:id="117452139">
              <w:marLeft w:val="0"/>
              <w:marRight w:val="0"/>
              <w:marTop w:val="0"/>
              <w:marBottom w:val="0"/>
              <w:divBdr>
                <w:top w:val="none" w:sz="0" w:space="0" w:color="auto"/>
                <w:left w:val="none" w:sz="0" w:space="0" w:color="auto"/>
                <w:bottom w:val="none" w:sz="0" w:space="0" w:color="auto"/>
                <w:right w:val="none" w:sz="0" w:space="0" w:color="auto"/>
              </w:divBdr>
            </w:div>
          </w:divsChild>
        </w:div>
        <w:div w:id="38016748">
          <w:marLeft w:val="0"/>
          <w:marRight w:val="0"/>
          <w:marTop w:val="0"/>
          <w:marBottom w:val="0"/>
          <w:divBdr>
            <w:top w:val="none" w:sz="0" w:space="0" w:color="auto"/>
            <w:left w:val="none" w:sz="0" w:space="0" w:color="auto"/>
            <w:bottom w:val="none" w:sz="0" w:space="0" w:color="auto"/>
            <w:right w:val="none" w:sz="0" w:space="0" w:color="auto"/>
          </w:divBdr>
          <w:divsChild>
            <w:div w:id="921833840">
              <w:marLeft w:val="0"/>
              <w:marRight w:val="0"/>
              <w:marTop w:val="0"/>
              <w:marBottom w:val="0"/>
              <w:divBdr>
                <w:top w:val="none" w:sz="0" w:space="0" w:color="auto"/>
                <w:left w:val="none" w:sz="0" w:space="0" w:color="auto"/>
                <w:bottom w:val="none" w:sz="0" w:space="0" w:color="auto"/>
                <w:right w:val="none" w:sz="0" w:space="0" w:color="auto"/>
              </w:divBdr>
            </w:div>
          </w:divsChild>
        </w:div>
        <w:div w:id="137842964">
          <w:marLeft w:val="0"/>
          <w:marRight w:val="0"/>
          <w:marTop w:val="0"/>
          <w:marBottom w:val="0"/>
          <w:divBdr>
            <w:top w:val="none" w:sz="0" w:space="0" w:color="auto"/>
            <w:left w:val="none" w:sz="0" w:space="0" w:color="auto"/>
            <w:bottom w:val="none" w:sz="0" w:space="0" w:color="auto"/>
            <w:right w:val="none" w:sz="0" w:space="0" w:color="auto"/>
          </w:divBdr>
          <w:divsChild>
            <w:div w:id="1542398328">
              <w:marLeft w:val="0"/>
              <w:marRight w:val="0"/>
              <w:marTop w:val="0"/>
              <w:marBottom w:val="0"/>
              <w:divBdr>
                <w:top w:val="none" w:sz="0" w:space="0" w:color="auto"/>
                <w:left w:val="none" w:sz="0" w:space="0" w:color="auto"/>
                <w:bottom w:val="none" w:sz="0" w:space="0" w:color="auto"/>
                <w:right w:val="none" w:sz="0" w:space="0" w:color="auto"/>
              </w:divBdr>
            </w:div>
          </w:divsChild>
        </w:div>
        <w:div w:id="155658882">
          <w:marLeft w:val="0"/>
          <w:marRight w:val="0"/>
          <w:marTop w:val="0"/>
          <w:marBottom w:val="0"/>
          <w:divBdr>
            <w:top w:val="none" w:sz="0" w:space="0" w:color="auto"/>
            <w:left w:val="none" w:sz="0" w:space="0" w:color="auto"/>
            <w:bottom w:val="none" w:sz="0" w:space="0" w:color="auto"/>
            <w:right w:val="none" w:sz="0" w:space="0" w:color="auto"/>
          </w:divBdr>
          <w:divsChild>
            <w:div w:id="483008117">
              <w:marLeft w:val="0"/>
              <w:marRight w:val="0"/>
              <w:marTop w:val="0"/>
              <w:marBottom w:val="0"/>
              <w:divBdr>
                <w:top w:val="none" w:sz="0" w:space="0" w:color="auto"/>
                <w:left w:val="none" w:sz="0" w:space="0" w:color="auto"/>
                <w:bottom w:val="none" w:sz="0" w:space="0" w:color="auto"/>
                <w:right w:val="none" w:sz="0" w:space="0" w:color="auto"/>
              </w:divBdr>
            </w:div>
          </w:divsChild>
        </w:div>
        <w:div w:id="221210759">
          <w:marLeft w:val="0"/>
          <w:marRight w:val="0"/>
          <w:marTop w:val="0"/>
          <w:marBottom w:val="0"/>
          <w:divBdr>
            <w:top w:val="none" w:sz="0" w:space="0" w:color="auto"/>
            <w:left w:val="none" w:sz="0" w:space="0" w:color="auto"/>
            <w:bottom w:val="none" w:sz="0" w:space="0" w:color="auto"/>
            <w:right w:val="none" w:sz="0" w:space="0" w:color="auto"/>
          </w:divBdr>
          <w:divsChild>
            <w:div w:id="1794903358">
              <w:marLeft w:val="0"/>
              <w:marRight w:val="0"/>
              <w:marTop w:val="0"/>
              <w:marBottom w:val="0"/>
              <w:divBdr>
                <w:top w:val="none" w:sz="0" w:space="0" w:color="auto"/>
                <w:left w:val="none" w:sz="0" w:space="0" w:color="auto"/>
                <w:bottom w:val="none" w:sz="0" w:space="0" w:color="auto"/>
                <w:right w:val="none" w:sz="0" w:space="0" w:color="auto"/>
              </w:divBdr>
            </w:div>
          </w:divsChild>
        </w:div>
        <w:div w:id="229124919">
          <w:marLeft w:val="0"/>
          <w:marRight w:val="0"/>
          <w:marTop w:val="0"/>
          <w:marBottom w:val="0"/>
          <w:divBdr>
            <w:top w:val="none" w:sz="0" w:space="0" w:color="auto"/>
            <w:left w:val="none" w:sz="0" w:space="0" w:color="auto"/>
            <w:bottom w:val="none" w:sz="0" w:space="0" w:color="auto"/>
            <w:right w:val="none" w:sz="0" w:space="0" w:color="auto"/>
          </w:divBdr>
          <w:divsChild>
            <w:div w:id="672418401">
              <w:marLeft w:val="0"/>
              <w:marRight w:val="0"/>
              <w:marTop w:val="0"/>
              <w:marBottom w:val="0"/>
              <w:divBdr>
                <w:top w:val="none" w:sz="0" w:space="0" w:color="auto"/>
                <w:left w:val="none" w:sz="0" w:space="0" w:color="auto"/>
                <w:bottom w:val="none" w:sz="0" w:space="0" w:color="auto"/>
                <w:right w:val="none" w:sz="0" w:space="0" w:color="auto"/>
              </w:divBdr>
            </w:div>
          </w:divsChild>
        </w:div>
        <w:div w:id="230584406">
          <w:marLeft w:val="0"/>
          <w:marRight w:val="0"/>
          <w:marTop w:val="0"/>
          <w:marBottom w:val="0"/>
          <w:divBdr>
            <w:top w:val="none" w:sz="0" w:space="0" w:color="auto"/>
            <w:left w:val="none" w:sz="0" w:space="0" w:color="auto"/>
            <w:bottom w:val="none" w:sz="0" w:space="0" w:color="auto"/>
            <w:right w:val="none" w:sz="0" w:space="0" w:color="auto"/>
          </w:divBdr>
          <w:divsChild>
            <w:div w:id="1756324080">
              <w:marLeft w:val="0"/>
              <w:marRight w:val="0"/>
              <w:marTop w:val="0"/>
              <w:marBottom w:val="0"/>
              <w:divBdr>
                <w:top w:val="none" w:sz="0" w:space="0" w:color="auto"/>
                <w:left w:val="none" w:sz="0" w:space="0" w:color="auto"/>
                <w:bottom w:val="none" w:sz="0" w:space="0" w:color="auto"/>
                <w:right w:val="none" w:sz="0" w:space="0" w:color="auto"/>
              </w:divBdr>
            </w:div>
          </w:divsChild>
        </w:div>
        <w:div w:id="321086238">
          <w:marLeft w:val="0"/>
          <w:marRight w:val="0"/>
          <w:marTop w:val="0"/>
          <w:marBottom w:val="0"/>
          <w:divBdr>
            <w:top w:val="none" w:sz="0" w:space="0" w:color="auto"/>
            <w:left w:val="none" w:sz="0" w:space="0" w:color="auto"/>
            <w:bottom w:val="none" w:sz="0" w:space="0" w:color="auto"/>
            <w:right w:val="none" w:sz="0" w:space="0" w:color="auto"/>
          </w:divBdr>
          <w:divsChild>
            <w:div w:id="770783276">
              <w:marLeft w:val="0"/>
              <w:marRight w:val="0"/>
              <w:marTop w:val="0"/>
              <w:marBottom w:val="0"/>
              <w:divBdr>
                <w:top w:val="none" w:sz="0" w:space="0" w:color="auto"/>
                <w:left w:val="none" w:sz="0" w:space="0" w:color="auto"/>
                <w:bottom w:val="none" w:sz="0" w:space="0" w:color="auto"/>
                <w:right w:val="none" w:sz="0" w:space="0" w:color="auto"/>
              </w:divBdr>
            </w:div>
          </w:divsChild>
        </w:div>
        <w:div w:id="350448223">
          <w:marLeft w:val="0"/>
          <w:marRight w:val="0"/>
          <w:marTop w:val="0"/>
          <w:marBottom w:val="0"/>
          <w:divBdr>
            <w:top w:val="none" w:sz="0" w:space="0" w:color="auto"/>
            <w:left w:val="none" w:sz="0" w:space="0" w:color="auto"/>
            <w:bottom w:val="none" w:sz="0" w:space="0" w:color="auto"/>
            <w:right w:val="none" w:sz="0" w:space="0" w:color="auto"/>
          </w:divBdr>
          <w:divsChild>
            <w:div w:id="1054280672">
              <w:marLeft w:val="0"/>
              <w:marRight w:val="0"/>
              <w:marTop w:val="0"/>
              <w:marBottom w:val="0"/>
              <w:divBdr>
                <w:top w:val="none" w:sz="0" w:space="0" w:color="auto"/>
                <w:left w:val="none" w:sz="0" w:space="0" w:color="auto"/>
                <w:bottom w:val="none" w:sz="0" w:space="0" w:color="auto"/>
                <w:right w:val="none" w:sz="0" w:space="0" w:color="auto"/>
              </w:divBdr>
            </w:div>
          </w:divsChild>
        </w:div>
        <w:div w:id="363794367">
          <w:marLeft w:val="0"/>
          <w:marRight w:val="0"/>
          <w:marTop w:val="0"/>
          <w:marBottom w:val="0"/>
          <w:divBdr>
            <w:top w:val="none" w:sz="0" w:space="0" w:color="auto"/>
            <w:left w:val="none" w:sz="0" w:space="0" w:color="auto"/>
            <w:bottom w:val="none" w:sz="0" w:space="0" w:color="auto"/>
            <w:right w:val="none" w:sz="0" w:space="0" w:color="auto"/>
          </w:divBdr>
          <w:divsChild>
            <w:div w:id="1424571617">
              <w:marLeft w:val="0"/>
              <w:marRight w:val="0"/>
              <w:marTop w:val="0"/>
              <w:marBottom w:val="0"/>
              <w:divBdr>
                <w:top w:val="none" w:sz="0" w:space="0" w:color="auto"/>
                <w:left w:val="none" w:sz="0" w:space="0" w:color="auto"/>
                <w:bottom w:val="none" w:sz="0" w:space="0" w:color="auto"/>
                <w:right w:val="none" w:sz="0" w:space="0" w:color="auto"/>
              </w:divBdr>
            </w:div>
          </w:divsChild>
        </w:div>
        <w:div w:id="388771110">
          <w:marLeft w:val="0"/>
          <w:marRight w:val="0"/>
          <w:marTop w:val="0"/>
          <w:marBottom w:val="0"/>
          <w:divBdr>
            <w:top w:val="none" w:sz="0" w:space="0" w:color="auto"/>
            <w:left w:val="none" w:sz="0" w:space="0" w:color="auto"/>
            <w:bottom w:val="none" w:sz="0" w:space="0" w:color="auto"/>
            <w:right w:val="none" w:sz="0" w:space="0" w:color="auto"/>
          </w:divBdr>
          <w:divsChild>
            <w:div w:id="391004018">
              <w:marLeft w:val="0"/>
              <w:marRight w:val="0"/>
              <w:marTop w:val="0"/>
              <w:marBottom w:val="0"/>
              <w:divBdr>
                <w:top w:val="none" w:sz="0" w:space="0" w:color="auto"/>
                <w:left w:val="none" w:sz="0" w:space="0" w:color="auto"/>
                <w:bottom w:val="none" w:sz="0" w:space="0" w:color="auto"/>
                <w:right w:val="none" w:sz="0" w:space="0" w:color="auto"/>
              </w:divBdr>
            </w:div>
          </w:divsChild>
        </w:div>
        <w:div w:id="402072041">
          <w:marLeft w:val="0"/>
          <w:marRight w:val="0"/>
          <w:marTop w:val="0"/>
          <w:marBottom w:val="0"/>
          <w:divBdr>
            <w:top w:val="none" w:sz="0" w:space="0" w:color="auto"/>
            <w:left w:val="none" w:sz="0" w:space="0" w:color="auto"/>
            <w:bottom w:val="none" w:sz="0" w:space="0" w:color="auto"/>
            <w:right w:val="none" w:sz="0" w:space="0" w:color="auto"/>
          </w:divBdr>
          <w:divsChild>
            <w:div w:id="1598632567">
              <w:marLeft w:val="0"/>
              <w:marRight w:val="0"/>
              <w:marTop w:val="0"/>
              <w:marBottom w:val="0"/>
              <w:divBdr>
                <w:top w:val="none" w:sz="0" w:space="0" w:color="auto"/>
                <w:left w:val="none" w:sz="0" w:space="0" w:color="auto"/>
                <w:bottom w:val="none" w:sz="0" w:space="0" w:color="auto"/>
                <w:right w:val="none" w:sz="0" w:space="0" w:color="auto"/>
              </w:divBdr>
            </w:div>
          </w:divsChild>
        </w:div>
        <w:div w:id="426971183">
          <w:marLeft w:val="0"/>
          <w:marRight w:val="0"/>
          <w:marTop w:val="0"/>
          <w:marBottom w:val="0"/>
          <w:divBdr>
            <w:top w:val="none" w:sz="0" w:space="0" w:color="auto"/>
            <w:left w:val="none" w:sz="0" w:space="0" w:color="auto"/>
            <w:bottom w:val="none" w:sz="0" w:space="0" w:color="auto"/>
            <w:right w:val="none" w:sz="0" w:space="0" w:color="auto"/>
          </w:divBdr>
          <w:divsChild>
            <w:div w:id="573664197">
              <w:marLeft w:val="0"/>
              <w:marRight w:val="0"/>
              <w:marTop w:val="0"/>
              <w:marBottom w:val="0"/>
              <w:divBdr>
                <w:top w:val="none" w:sz="0" w:space="0" w:color="auto"/>
                <w:left w:val="none" w:sz="0" w:space="0" w:color="auto"/>
                <w:bottom w:val="none" w:sz="0" w:space="0" w:color="auto"/>
                <w:right w:val="none" w:sz="0" w:space="0" w:color="auto"/>
              </w:divBdr>
            </w:div>
          </w:divsChild>
        </w:div>
        <w:div w:id="443156726">
          <w:marLeft w:val="0"/>
          <w:marRight w:val="0"/>
          <w:marTop w:val="0"/>
          <w:marBottom w:val="0"/>
          <w:divBdr>
            <w:top w:val="none" w:sz="0" w:space="0" w:color="auto"/>
            <w:left w:val="none" w:sz="0" w:space="0" w:color="auto"/>
            <w:bottom w:val="none" w:sz="0" w:space="0" w:color="auto"/>
            <w:right w:val="none" w:sz="0" w:space="0" w:color="auto"/>
          </w:divBdr>
          <w:divsChild>
            <w:div w:id="1355770965">
              <w:marLeft w:val="0"/>
              <w:marRight w:val="0"/>
              <w:marTop w:val="0"/>
              <w:marBottom w:val="0"/>
              <w:divBdr>
                <w:top w:val="none" w:sz="0" w:space="0" w:color="auto"/>
                <w:left w:val="none" w:sz="0" w:space="0" w:color="auto"/>
                <w:bottom w:val="none" w:sz="0" w:space="0" w:color="auto"/>
                <w:right w:val="none" w:sz="0" w:space="0" w:color="auto"/>
              </w:divBdr>
            </w:div>
          </w:divsChild>
        </w:div>
        <w:div w:id="480922617">
          <w:marLeft w:val="0"/>
          <w:marRight w:val="0"/>
          <w:marTop w:val="0"/>
          <w:marBottom w:val="0"/>
          <w:divBdr>
            <w:top w:val="none" w:sz="0" w:space="0" w:color="auto"/>
            <w:left w:val="none" w:sz="0" w:space="0" w:color="auto"/>
            <w:bottom w:val="none" w:sz="0" w:space="0" w:color="auto"/>
            <w:right w:val="none" w:sz="0" w:space="0" w:color="auto"/>
          </w:divBdr>
          <w:divsChild>
            <w:div w:id="60760627">
              <w:marLeft w:val="0"/>
              <w:marRight w:val="0"/>
              <w:marTop w:val="0"/>
              <w:marBottom w:val="0"/>
              <w:divBdr>
                <w:top w:val="none" w:sz="0" w:space="0" w:color="auto"/>
                <w:left w:val="none" w:sz="0" w:space="0" w:color="auto"/>
                <w:bottom w:val="none" w:sz="0" w:space="0" w:color="auto"/>
                <w:right w:val="none" w:sz="0" w:space="0" w:color="auto"/>
              </w:divBdr>
            </w:div>
          </w:divsChild>
        </w:div>
        <w:div w:id="502203965">
          <w:marLeft w:val="0"/>
          <w:marRight w:val="0"/>
          <w:marTop w:val="0"/>
          <w:marBottom w:val="0"/>
          <w:divBdr>
            <w:top w:val="none" w:sz="0" w:space="0" w:color="auto"/>
            <w:left w:val="none" w:sz="0" w:space="0" w:color="auto"/>
            <w:bottom w:val="none" w:sz="0" w:space="0" w:color="auto"/>
            <w:right w:val="none" w:sz="0" w:space="0" w:color="auto"/>
          </w:divBdr>
          <w:divsChild>
            <w:div w:id="1785032039">
              <w:marLeft w:val="0"/>
              <w:marRight w:val="0"/>
              <w:marTop w:val="0"/>
              <w:marBottom w:val="0"/>
              <w:divBdr>
                <w:top w:val="none" w:sz="0" w:space="0" w:color="auto"/>
                <w:left w:val="none" w:sz="0" w:space="0" w:color="auto"/>
                <w:bottom w:val="none" w:sz="0" w:space="0" w:color="auto"/>
                <w:right w:val="none" w:sz="0" w:space="0" w:color="auto"/>
              </w:divBdr>
            </w:div>
          </w:divsChild>
        </w:div>
        <w:div w:id="504440525">
          <w:marLeft w:val="0"/>
          <w:marRight w:val="0"/>
          <w:marTop w:val="0"/>
          <w:marBottom w:val="0"/>
          <w:divBdr>
            <w:top w:val="none" w:sz="0" w:space="0" w:color="auto"/>
            <w:left w:val="none" w:sz="0" w:space="0" w:color="auto"/>
            <w:bottom w:val="none" w:sz="0" w:space="0" w:color="auto"/>
            <w:right w:val="none" w:sz="0" w:space="0" w:color="auto"/>
          </w:divBdr>
          <w:divsChild>
            <w:div w:id="1426457144">
              <w:marLeft w:val="0"/>
              <w:marRight w:val="0"/>
              <w:marTop w:val="0"/>
              <w:marBottom w:val="0"/>
              <w:divBdr>
                <w:top w:val="none" w:sz="0" w:space="0" w:color="auto"/>
                <w:left w:val="none" w:sz="0" w:space="0" w:color="auto"/>
                <w:bottom w:val="none" w:sz="0" w:space="0" w:color="auto"/>
                <w:right w:val="none" w:sz="0" w:space="0" w:color="auto"/>
              </w:divBdr>
            </w:div>
          </w:divsChild>
        </w:div>
        <w:div w:id="504442845">
          <w:marLeft w:val="0"/>
          <w:marRight w:val="0"/>
          <w:marTop w:val="0"/>
          <w:marBottom w:val="0"/>
          <w:divBdr>
            <w:top w:val="none" w:sz="0" w:space="0" w:color="auto"/>
            <w:left w:val="none" w:sz="0" w:space="0" w:color="auto"/>
            <w:bottom w:val="none" w:sz="0" w:space="0" w:color="auto"/>
            <w:right w:val="none" w:sz="0" w:space="0" w:color="auto"/>
          </w:divBdr>
          <w:divsChild>
            <w:div w:id="1191600789">
              <w:marLeft w:val="0"/>
              <w:marRight w:val="0"/>
              <w:marTop w:val="0"/>
              <w:marBottom w:val="0"/>
              <w:divBdr>
                <w:top w:val="none" w:sz="0" w:space="0" w:color="auto"/>
                <w:left w:val="none" w:sz="0" w:space="0" w:color="auto"/>
                <w:bottom w:val="none" w:sz="0" w:space="0" w:color="auto"/>
                <w:right w:val="none" w:sz="0" w:space="0" w:color="auto"/>
              </w:divBdr>
            </w:div>
          </w:divsChild>
        </w:div>
        <w:div w:id="511072042">
          <w:marLeft w:val="0"/>
          <w:marRight w:val="0"/>
          <w:marTop w:val="0"/>
          <w:marBottom w:val="0"/>
          <w:divBdr>
            <w:top w:val="none" w:sz="0" w:space="0" w:color="auto"/>
            <w:left w:val="none" w:sz="0" w:space="0" w:color="auto"/>
            <w:bottom w:val="none" w:sz="0" w:space="0" w:color="auto"/>
            <w:right w:val="none" w:sz="0" w:space="0" w:color="auto"/>
          </w:divBdr>
          <w:divsChild>
            <w:div w:id="1143817191">
              <w:marLeft w:val="0"/>
              <w:marRight w:val="0"/>
              <w:marTop w:val="0"/>
              <w:marBottom w:val="0"/>
              <w:divBdr>
                <w:top w:val="none" w:sz="0" w:space="0" w:color="auto"/>
                <w:left w:val="none" w:sz="0" w:space="0" w:color="auto"/>
                <w:bottom w:val="none" w:sz="0" w:space="0" w:color="auto"/>
                <w:right w:val="none" w:sz="0" w:space="0" w:color="auto"/>
              </w:divBdr>
            </w:div>
          </w:divsChild>
        </w:div>
        <w:div w:id="529686766">
          <w:marLeft w:val="0"/>
          <w:marRight w:val="0"/>
          <w:marTop w:val="0"/>
          <w:marBottom w:val="0"/>
          <w:divBdr>
            <w:top w:val="none" w:sz="0" w:space="0" w:color="auto"/>
            <w:left w:val="none" w:sz="0" w:space="0" w:color="auto"/>
            <w:bottom w:val="none" w:sz="0" w:space="0" w:color="auto"/>
            <w:right w:val="none" w:sz="0" w:space="0" w:color="auto"/>
          </w:divBdr>
          <w:divsChild>
            <w:div w:id="1560363083">
              <w:marLeft w:val="0"/>
              <w:marRight w:val="0"/>
              <w:marTop w:val="0"/>
              <w:marBottom w:val="0"/>
              <w:divBdr>
                <w:top w:val="none" w:sz="0" w:space="0" w:color="auto"/>
                <w:left w:val="none" w:sz="0" w:space="0" w:color="auto"/>
                <w:bottom w:val="none" w:sz="0" w:space="0" w:color="auto"/>
                <w:right w:val="none" w:sz="0" w:space="0" w:color="auto"/>
              </w:divBdr>
            </w:div>
          </w:divsChild>
        </w:div>
        <w:div w:id="534346155">
          <w:marLeft w:val="0"/>
          <w:marRight w:val="0"/>
          <w:marTop w:val="0"/>
          <w:marBottom w:val="0"/>
          <w:divBdr>
            <w:top w:val="none" w:sz="0" w:space="0" w:color="auto"/>
            <w:left w:val="none" w:sz="0" w:space="0" w:color="auto"/>
            <w:bottom w:val="none" w:sz="0" w:space="0" w:color="auto"/>
            <w:right w:val="none" w:sz="0" w:space="0" w:color="auto"/>
          </w:divBdr>
          <w:divsChild>
            <w:div w:id="162162072">
              <w:marLeft w:val="0"/>
              <w:marRight w:val="0"/>
              <w:marTop w:val="0"/>
              <w:marBottom w:val="0"/>
              <w:divBdr>
                <w:top w:val="none" w:sz="0" w:space="0" w:color="auto"/>
                <w:left w:val="none" w:sz="0" w:space="0" w:color="auto"/>
                <w:bottom w:val="none" w:sz="0" w:space="0" w:color="auto"/>
                <w:right w:val="none" w:sz="0" w:space="0" w:color="auto"/>
              </w:divBdr>
            </w:div>
          </w:divsChild>
        </w:div>
        <w:div w:id="537281236">
          <w:marLeft w:val="0"/>
          <w:marRight w:val="0"/>
          <w:marTop w:val="0"/>
          <w:marBottom w:val="0"/>
          <w:divBdr>
            <w:top w:val="none" w:sz="0" w:space="0" w:color="auto"/>
            <w:left w:val="none" w:sz="0" w:space="0" w:color="auto"/>
            <w:bottom w:val="none" w:sz="0" w:space="0" w:color="auto"/>
            <w:right w:val="none" w:sz="0" w:space="0" w:color="auto"/>
          </w:divBdr>
          <w:divsChild>
            <w:div w:id="621962308">
              <w:marLeft w:val="0"/>
              <w:marRight w:val="0"/>
              <w:marTop w:val="0"/>
              <w:marBottom w:val="0"/>
              <w:divBdr>
                <w:top w:val="none" w:sz="0" w:space="0" w:color="auto"/>
                <w:left w:val="none" w:sz="0" w:space="0" w:color="auto"/>
                <w:bottom w:val="none" w:sz="0" w:space="0" w:color="auto"/>
                <w:right w:val="none" w:sz="0" w:space="0" w:color="auto"/>
              </w:divBdr>
            </w:div>
          </w:divsChild>
        </w:div>
        <w:div w:id="539586036">
          <w:marLeft w:val="0"/>
          <w:marRight w:val="0"/>
          <w:marTop w:val="0"/>
          <w:marBottom w:val="0"/>
          <w:divBdr>
            <w:top w:val="none" w:sz="0" w:space="0" w:color="auto"/>
            <w:left w:val="none" w:sz="0" w:space="0" w:color="auto"/>
            <w:bottom w:val="none" w:sz="0" w:space="0" w:color="auto"/>
            <w:right w:val="none" w:sz="0" w:space="0" w:color="auto"/>
          </w:divBdr>
          <w:divsChild>
            <w:div w:id="1930498297">
              <w:marLeft w:val="0"/>
              <w:marRight w:val="0"/>
              <w:marTop w:val="0"/>
              <w:marBottom w:val="0"/>
              <w:divBdr>
                <w:top w:val="none" w:sz="0" w:space="0" w:color="auto"/>
                <w:left w:val="none" w:sz="0" w:space="0" w:color="auto"/>
                <w:bottom w:val="none" w:sz="0" w:space="0" w:color="auto"/>
                <w:right w:val="none" w:sz="0" w:space="0" w:color="auto"/>
              </w:divBdr>
            </w:div>
          </w:divsChild>
        </w:div>
        <w:div w:id="553274804">
          <w:marLeft w:val="0"/>
          <w:marRight w:val="0"/>
          <w:marTop w:val="0"/>
          <w:marBottom w:val="0"/>
          <w:divBdr>
            <w:top w:val="none" w:sz="0" w:space="0" w:color="auto"/>
            <w:left w:val="none" w:sz="0" w:space="0" w:color="auto"/>
            <w:bottom w:val="none" w:sz="0" w:space="0" w:color="auto"/>
            <w:right w:val="none" w:sz="0" w:space="0" w:color="auto"/>
          </w:divBdr>
          <w:divsChild>
            <w:div w:id="239022201">
              <w:marLeft w:val="0"/>
              <w:marRight w:val="0"/>
              <w:marTop w:val="0"/>
              <w:marBottom w:val="0"/>
              <w:divBdr>
                <w:top w:val="none" w:sz="0" w:space="0" w:color="auto"/>
                <w:left w:val="none" w:sz="0" w:space="0" w:color="auto"/>
                <w:bottom w:val="none" w:sz="0" w:space="0" w:color="auto"/>
                <w:right w:val="none" w:sz="0" w:space="0" w:color="auto"/>
              </w:divBdr>
            </w:div>
          </w:divsChild>
        </w:div>
        <w:div w:id="561140671">
          <w:marLeft w:val="0"/>
          <w:marRight w:val="0"/>
          <w:marTop w:val="0"/>
          <w:marBottom w:val="0"/>
          <w:divBdr>
            <w:top w:val="none" w:sz="0" w:space="0" w:color="auto"/>
            <w:left w:val="none" w:sz="0" w:space="0" w:color="auto"/>
            <w:bottom w:val="none" w:sz="0" w:space="0" w:color="auto"/>
            <w:right w:val="none" w:sz="0" w:space="0" w:color="auto"/>
          </w:divBdr>
          <w:divsChild>
            <w:div w:id="511071606">
              <w:marLeft w:val="0"/>
              <w:marRight w:val="0"/>
              <w:marTop w:val="0"/>
              <w:marBottom w:val="0"/>
              <w:divBdr>
                <w:top w:val="none" w:sz="0" w:space="0" w:color="auto"/>
                <w:left w:val="none" w:sz="0" w:space="0" w:color="auto"/>
                <w:bottom w:val="none" w:sz="0" w:space="0" w:color="auto"/>
                <w:right w:val="none" w:sz="0" w:space="0" w:color="auto"/>
              </w:divBdr>
            </w:div>
          </w:divsChild>
        </w:div>
        <w:div w:id="565603423">
          <w:marLeft w:val="0"/>
          <w:marRight w:val="0"/>
          <w:marTop w:val="0"/>
          <w:marBottom w:val="0"/>
          <w:divBdr>
            <w:top w:val="none" w:sz="0" w:space="0" w:color="auto"/>
            <w:left w:val="none" w:sz="0" w:space="0" w:color="auto"/>
            <w:bottom w:val="none" w:sz="0" w:space="0" w:color="auto"/>
            <w:right w:val="none" w:sz="0" w:space="0" w:color="auto"/>
          </w:divBdr>
          <w:divsChild>
            <w:div w:id="258488635">
              <w:marLeft w:val="0"/>
              <w:marRight w:val="0"/>
              <w:marTop w:val="0"/>
              <w:marBottom w:val="0"/>
              <w:divBdr>
                <w:top w:val="none" w:sz="0" w:space="0" w:color="auto"/>
                <w:left w:val="none" w:sz="0" w:space="0" w:color="auto"/>
                <w:bottom w:val="none" w:sz="0" w:space="0" w:color="auto"/>
                <w:right w:val="none" w:sz="0" w:space="0" w:color="auto"/>
              </w:divBdr>
            </w:div>
          </w:divsChild>
        </w:div>
        <w:div w:id="586963351">
          <w:marLeft w:val="0"/>
          <w:marRight w:val="0"/>
          <w:marTop w:val="0"/>
          <w:marBottom w:val="0"/>
          <w:divBdr>
            <w:top w:val="none" w:sz="0" w:space="0" w:color="auto"/>
            <w:left w:val="none" w:sz="0" w:space="0" w:color="auto"/>
            <w:bottom w:val="none" w:sz="0" w:space="0" w:color="auto"/>
            <w:right w:val="none" w:sz="0" w:space="0" w:color="auto"/>
          </w:divBdr>
          <w:divsChild>
            <w:div w:id="1299336572">
              <w:marLeft w:val="0"/>
              <w:marRight w:val="0"/>
              <w:marTop w:val="0"/>
              <w:marBottom w:val="0"/>
              <w:divBdr>
                <w:top w:val="none" w:sz="0" w:space="0" w:color="auto"/>
                <w:left w:val="none" w:sz="0" w:space="0" w:color="auto"/>
                <w:bottom w:val="none" w:sz="0" w:space="0" w:color="auto"/>
                <w:right w:val="none" w:sz="0" w:space="0" w:color="auto"/>
              </w:divBdr>
            </w:div>
          </w:divsChild>
        </w:div>
        <w:div w:id="650333753">
          <w:marLeft w:val="0"/>
          <w:marRight w:val="0"/>
          <w:marTop w:val="0"/>
          <w:marBottom w:val="0"/>
          <w:divBdr>
            <w:top w:val="none" w:sz="0" w:space="0" w:color="auto"/>
            <w:left w:val="none" w:sz="0" w:space="0" w:color="auto"/>
            <w:bottom w:val="none" w:sz="0" w:space="0" w:color="auto"/>
            <w:right w:val="none" w:sz="0" w:space="0" w:color="auto"/>
          </w:divBdr>
          <w:divsChild>
            <w:div w:id="954025710">
              <w:marLeft w:val="0"/>
              <w:marRight w:val="0"/>
              <w:marTop w:val="0"/>
              <w:marBottom w:val="0"/>
              <w:divBdr>
                <w:top w:val="none" w:sz="0" w:space="0" w:color="auto"/>
                <w:left w:val="none" w:sz="0" w:space="0" w:color="auto"/>
                <w:bottom w:val="none" w:sz="0" w:space="0" w:color="auto"/>
                <w:right w:val="none" w:sz="0" w:space="0" w:color="auto"/>
              </w:divBdr>
            </w:div>
          </w:divsChild>
        </w:div>
        <w:div w:id="665406289">
          <w:marLeft w:val="0"/>
          <w:marRight w:val="0"/>
          <w:marTop w:val="0"/>
          <w:marBottom w:val="0"/>
          <w:divBdr>
            <w:top w:val="none" w:sz="0" w:space="0" w:color="auto"/>
            <w:left w:val="none" w:sz="0" w:space="0" w:color="auto"/>
            <w:bottom w:val="none" w:sz="0" w:space="0" w:color="auto"/>
            <w:right w:val="none" w:sz="0" w:space="0" w:color="auto"/>
          </w:divBdr>
          <w:divsChild>
            <w:div w:id="29036503">
              <w:marLeft w:val="0"/>
              <w:marRight w:val="0"/>
              <w:marTop w:val="0"/>
              <w:marBottom w:val="0"/>
              <w:divBdr>
                <w:top w:val="none" w:sz="0" w:space="0" w:color="auto"/>
                <w:left w:val="none" w:sz="0" w:space="0" w:color="auto"/>
                <w:bottom w:val="none" w:sz="0" w:space="0" w:color="auto"/>
                <w:right w:val="none" w:sz="0" w:space="0" w:color="auto"/>
              </w:divBdr>
            </w:div>
          </w:divsChild>
        </w:div>
        <w:div w:id="674499672">
          <w:marLeft w:val="0"/>
          <w:marRight w:val="0"/>
          <w:marTop w:val="0"/>
          <w:marBottom w:val="0"/>
          <w:divBdr>
            <w:top w:val="none" w:sz="0" w:space="0" w:color="auto"/>
            <w:left w:val="none" w:sz="0" w:space="0" w:color="auto"/>
            <w:bottom w:val="none" w:sz="0" w:space="0" w:color="auto"/>
            <w:right w:val="none" w:sz="0" w:space="0" w:color="auto"/>
          </w:divBdr>
          <w:divsChild>
            <w:div w:id="1178736856">
              <w:marLeft w:val="0"/>
              <w:marRight w:val="0"/>
              <w:marTop w:val="0"/>
              <w:marBottom w:val="0"/>
              <w:divBdr>
                <w:top w:val="none" w:sz="0" w:space="0" w:color="auto"/>
                <w:left w:val="none" w:sz="0" w:space="0" w:color="auto"/>
                <w:bottom w:val="none" w:sz="0" w:space="0" w:color="auto"/>
                <w:right w:val="none" w:sz="0" w:space="0" w:color="auto"/>
              </w:divBdr>
            </w:div>
          </w:divsChild>
        </w:div>
        <w:div w:id="699824106">
          <w:marLeft w:val="0"/>
          <w:marRight w:val="0"/>
          <w:marTop w:val="0"/>
          <w:marBottom w:val="0"/>
          <w:divBdr>
            <w:top w:val="none" w:sz="0" w:space="0" w:color="auto"/>
            <w:left w:val="none" w:sz="0" w:space="0" w:color="auto"/>
            <w:bottom w:val="none" w:sz="0" w:space="0" w:color="auto"/>
            <w:right w:val="none" w:sz="0" w:space="0" w:color="auto"/>
          </w:divBdr>
          <w:divsChild>
            <w:div w:id="2040160050">
              <w:marLeft w:val="0"/>
              <w:marRight w:val="0"/>
              <w:marTop w:val="0"/>
              <w:marBottom w:val="0"/>
              <w:divBdr>
                <w:top w:val="none" w:sz="0" w:space="0" w:color="auto"/>
                <w:left w:val="none" w:sz="0" w:space="0" w:color="auto"/>
                <w:bottom w:val="none" w:sz="0" w:space="0" w:color="auto"/>
                <w:right w:val="none" w:sz="0" w:space="0" w:color="auto"/>
              </w:divBdr>
            </w:div>
          </w:divsChild>
        </w:div>
        <w:div w:id="715399112">
          <w:marLeft w:val="0"/>
          <w:marRight w:val="0"/>
          <w:marTop w:val="0"/>
          <w:marBottom w:val="0"/>
          <w:divBdr>
            <w:top w:val="none" w:sz="0" w:space="0" w:color="auto"/>
            <w:left w:val="none" w:sz="0" w:space="0" w:color="auto"/>
            <w:bottom w:val="none" w:sz="0" w:space="0" w:color="auto"/>
            <w:right w:val="none" w:sz="0" w:space="0" w:color="auto"/>
          </w:divBdr>
          <w:divsChild>
            <w:div w:id="1173573228">
              <w:marLeft w:val="0"/>
              <w:marRight w:val="0"/>
              <w:marTop w:val="0"/>
              <w:marBottom w:val="0"/>
              <w:divBdr>
                <w:top w:val="none" w:sz="0" w:space="0" w:color="auto"/>
                <w:left w:val="none" w:sz="0" w:space="0" w:color="auto"/>
                <w:bottom w:val="none" w:sz="0" w:space="0" w:color="auto"/>
                <w:right w:val="none" w:sz="0" w:space="0" w:color="auto"/>
              </w:divBdr>
            </w:div>
          </w:divsChild>
        </w:div>
        <w:div w:id="717125553">
          <w:marLeft w:val="0"/>
          <w:marRight w:val="0"/>
          <w:marTop w:val="0"/>
          <w:marBottom w:val="0"/>
          <w:divBdr>
            <w:top w:val="none" w:sz="0" w:space="0" w:color="auto"/>
            <w:left w:val="none" w:sz="0" w:space="0" w:color="auto"/>
            <w:bottom w:val="none" w:sz="0" w:space="0" w:color="auto"/>
            <w:right w:val="none" w:sz="0" w:space="0" w:color="auto"/>
          </w:divBdr>
          <w:divsChild>
            <w:div w:id="1468930778">
              <w:marLeft w:val="0"/>
              <w:marRight w:val="0"/>
              <w:marTop w:val="0"/>
              <w:marBottom w:val="0"/>
              <w:divBdr>
                <w:top w:val="none" w:sz="0" w:space="0" w:color="auto"/>
                <w:left w:val="none" w:sz="0" w:space="0" w:color="auto"/>
                <w:bottom w:val="none" w:sz="0" w:space="0" w:color="auto"/>
                <w:right w:val="none" w:sz="0" w:space="0" w:color="auto"/>
              </w:divBdr>
            </w:div>
          </w:divsChild>
        </w:div>
        <w:div w:id="720712769">
          <w:marLeft w:val="0"/>
          <w:marRight w:val="0"/>
          <w:marTop w:val="0"/>
          <w:marBottom w:val="0"/>
          <w:divBdr>
            <w:top w:val="none" w:sz="0" w:space="0" w:color="auto"/>
            <w:left w:val="none" w:sz="0" w:space="0" w:color="auto"/>
            <w:bottom w:val="none" w:sz="0" w:space="0" w:color="auto"/>
            <w:right w:val="none" w:sz="0" w:space="0" w:color="auto"/>
          </w:divBdr>
          <w:divsChild>
            <w:div w:id="63526168">
              <w:marLeft w:val="0"/>
              <w:marRight w:val="0"/>
              <w:marTop w:val="0"/>
              <w:marBottom w:val="0"/>
              <w:divBdr>
                <w:top w:val="none" w:sz="0" w:space="0" w:color="auto"/>
                <w:left w:val="none" w:sz="0" w:space="0" w:color="auto"/>
                <w:bottom w:val="none" w:sz="0" w:space="0" w:color="auto"/>
                <w:right w:val="none" w:sz="0" w:space="0" w:color="auto"/>
              </w:divBdr>
            </w:div>
          </w:divsChild>
        </w:div>
        <w:div w:id="725837635">
          <w:marLeft w:val="0"/>
          <w:marRight w:val="0"/>
          <w:marTop w:val="0"/>
          <w:marBottom w:val="0"/>
          <w:divBdr>
            <w:top w:val="none" w:sz="0" w:space="0" w:color="auto"/>
            <w:left w:val="none" w:sz="0" w:space="0" w:color="auto"/>
            <w:bottom w:val="none" w:sz="0" w:space="0" w:color="auto"/>
            <w:right w:val="none" w:sz="0" w:space="0" w:color="auto"/>
          </w:divBdr>
          <w:divsChild>
            <w:div w:id="104858885">
              <w:marLeft w:val="0"/>
              <w:marRight w:val="0"/>
              <w:marTop w:val="0"/>
              <w:marBottom w:val="0"/>
              <w:divBdr>
                <w:top w:val="none" w:sz="0" w:space="0" w:color="auto"/>
                <w:left w:val="none" w:sz="0" w:space="0" w:color="auto"/>
                <w:bottom w:val="none" w:sz="0" w:space="0" w:color="auto"/>
                <w:right w:val="none" w:sz="0" w:space="0" w:color="auto"/>
              </w:divBdr>
            </w:div>
          </w:divsChild>
        </w:div>
        <w:div w:id="795756656">
          <w:marLeft w:val="0"/>
          <w:marRight w:val="0"/>
          <w:marTop w:val="0"/>
          <w:marBottom w:val="0"/>
          <w:divBdr>
            <w:top w:val="none" w:sz="0" w:space="0" w:color="auto"/>
            <w:left w:val="none" w:sz="0" w:space="0" w:color="auto"/>
            <w:bottom w:val="none" w:sz="0" w:space="0" w:color="auto"/>
            <w:right w:val="none" w:sz="0" w:space="0" w:color="auto"/>
          </w:divBdr>
          <w:divsChild>
            <w:div w:id="550575134">
              <w:marLeft w:val="0"/>
              <w:marRight w:val="0"/>
              <w:marTop w:val="0"/>
              <w:marBottom w:val="0"/>
              <w:divBdr>
                <w:top w:val="none" w:sz="0" w:space="0" w:color="auto"/>
                <w:left w:val="none" w:sz="0" w:space="0" w:color="auto"/>
                <w:bottom w:val="none" w:sz="0" w:space="0" w:color="auto"/>
                <w:right w:val="none" w:sz="0" w:space="0" w:color="auto"/>
              </w:divBdr>
            </w:div>
          </w:divsChild>
        </w:div>
        <w:div w:id="796030681">
          <w:marLeft w:val="0"/>
          <w:marRight w:val="0"/>
          <w:marTop w:val="0"/>
          <w:marBottom w:val="0"/>
          <w:divBdr>
            <w:top w:val="none" w:sz="0" w:space="0" w:color="auto"/>
            <w:left w:val="none" w:sz="0" w:space="0" w:color="auto"/>
            <w:bottom w:val="none" w:sz="0" w:space="0" w:color="auto"/>
            <w:right w:val="none" w:sz="0" w:space="0" w:color="auto"/>
          </w:divBdr>
          <w:divsChild>
            <w:div w:id="1560704390">
              <w:marLeft w:val="0"/>
              <w:marRight w:val="0"/>
              <w:marTop w:val="0"/>
              <w:marBottom w:val="0"/>
              <w:divBdr>
                <w:top w:val="none" w:sz="0" w:space="0" w:color="auto"/>
                <w:left w:val="none" w:sz="0" w:space="0" w:color="auto"/>
                <w:bottom w:val="none" w:sz="0" w:space="0" w:color="auto"/>
                <w:right w:val="none" w:sz="0" w:space="0" w:color="auto"/>
              </w:divBdr>
            </w:div>
          </w:divsChild>
        </w:div>
        <w:div w:id="797334884">
          <w:marLeft w:val="0"/>
          <w:marRight w:val="0"/>
          <w:marTop w:val="0"/>
          <w:marBottom w:val="0"/>
          <w:divBdr>
            <w:top w:val="none" w:sz="0" w:space="0" w:color="auto"/>
            <w:left w:val="none" w:sz="0" w:space="0" w:color="auto"/>
            <w:bottom w:val="none" w:sz="0" w:space="0" w:color="auto"/>
            <w:right w:val="none" w:sz="0" w:space="0" w:color="auto"/>
          </w:divBdr>
          <w:divsChild>
            <w:div w:id="367412397">
              <w:marLeft w:val="0"/>
              <w:marRight w:val="0"/>
              <w:marTop w:val="0"/>
              <w:marBottom w:val="0"/>
              <w:divBdr>
                <w:top w:val="none" w:sz="0" w:space="0" w:color="auto"/>
                <w:left w:val="none" w:sz="0" w:space="0" w:color="auto"/>
                <w:bottom w:val="none" w:sz="0" w:space="0" w:color="auto"/>
                <w:right w:val="none" w:sz="0" w:space="0" w:color="auto"/>
              </w:divBdr>
            </w:div>
          </w:divsChild>
        </w:div>
        <w:div w:id="821509433">
          <w:marLeft w:val="0"/>
          <w:marRight w:val="0"/>
          <w:marTop w:val="0"/>
          <w:marBottom w:val="0"/>
          <w:divBdr>
            <w:top w:val="none" w:sz="0" w:space="0" w:color="auto"/>
            <w:left w:val="none" w:sz="0" w:space="0" w:color="auto"/>
            <w:bottom w:val="none" w:sz="0" w:space="0" w:color="auto"/>
            <w:right w:val="none" w:sz="0" w:space="0" w:color="auto"/>
          </w:divBdr>
          <w:divsChild>
            <w:div w:id="1387486923">
              <w:marLeft w:val="0"/>
              <w:marRight w:val="0"/>
              <w:marTop w:val="0"/>
              <w:marBottom w:val="0"/>
              <w:divBdr>
                <w:top w:val="none" w:sz="0" w:space="0" w:color="auto"/>
                <w:left w:val="none" w:sz="0" w:space="0" w:color="auto"/>
                <w:bottom w:val="none" w:sz="0" w:space="0" w:color="auto"/>
                <w:right w:val="none" w:sz="0" w:space="0" w:color="auto"/>
              </w:divBdr>
            </w:div>
          </w:divsChild>
        </w:div>
        <w:div w:id="827600477">
          <w:marLeft w:val="0"/>
          <w:marRight w:val="0"/>
          <w:marTop w:val="0"/>
          <w:marBottom w:val="0"/>
          <w:divBdr>
            <w:top w:val="none" w:sz="0" w:space="0" w:color="auto"/>
            <w:left w:val="none" w:sz="0" w:space="0" w:color="auto"/>
            <w:bottom w:val="none" w:sz="0" w:space="0" w:color="auto"/>
            <w:right w:val="none" w:sz="0" w:space="0" w:color="auto"/>
          </w:divBdr>
          <w:divsChild>
            <w:div w:id="2013680383">
              <w:marLeft w:val="0"/>
              <w:marRight w:val="0"/>
              <w:marTop w:val="0"/>
              <w:marBottom w:val="0"/>
              <w:divBdr>
                <w:top w:val="none" w:sz="0" w:space="0" w:color="auto"/>
                <w:left w:val="none" w:sz="0" w:space="0" w:color="auto"/>
                <w:bottom w:val="none" w:sz="0" w:space="0" w:color="auto"/>
                <w:right w:val="none" w:sz="0" w:space="0" w:color="auto"/>
              </w:divBdr>
            </w:div>
          </w:divsChild>
        </w:div>
        <w:div w:id="832330146">
          <w:marLeft w:val="0"/>
          <w:marRight w:val="0"/>
          <w:marTop w:val="0"/>
          <w:marBottom w:val="0"/>
          <w:divBdr>
            <w:top w:val="none" w:sz="0" w:space="0" w:color="auto"/>
            <w:left w:val="none" w:sz="0" w:space="0" w:color="auto"/>
            <w:bottom w:val="none" w:sz="0" w:space="0" w:color="auto"/>
            <w:right w:val="none" w:sz="0" w:space="0" w:color="auto"/>
          </w:divBdr>
          <w:divsChild>
            <w:div w:id="2032486056">
              <w:marLeft w:val="0"/>
              <w:marRight w:val="0"/>
              <w:marTop w:val="0"/>
              <w:marBottom w:val="0"/>
              <w:divBdr>
                <w:top w:val="none" w:sz="0" w:space="0" w:color="auto"/>
                <w:left w:val="none" w:sz="0" w:space="0" w:color="auto"/>
                <w:bottom w:val="none" w:sz="0" w:space="0" w:color="auto"/>
                <w:right w:val="none" w:sz="0" w:space="0" w:color="auto"/>
              </w:divBdr>
            </w:div>
          </w:divsChild>
        </w:div>
        <w:div w:id="866913196">
          <w:marLeft w:val="0"/>
          <w:marRight w:val="0"/>
          <w:marTop w:val="0"/>
          <w:marBottom w:val="0"/>
          <w:divBdr>
            <w:top w:val="none" w:sz="0" w:space="0" w:color="auto"/>
            <w:left w:val="none" w:sz="0" w:space="0" w:color="auto"/>
            <w:bottom w:val="none" w:sz="0" w:space="0" w:color="auto"/>
            <w:right w:val="none" w:sz="0" w:space="0" w:color="auto"/>
          </w:divBdr>
          <w:divsChild>
            <w:div w:id="1837189333">
              <w:marLeft w:val="0"/>
              <w:marRight w:val="0"/>
              <w:marTop w:val="0"/>
              <w:marBottom w:val="0"/>
              <w:divBdr>
                <w:top w:val="none" w:sz="0" w:space="0" w:color="auto"/>
                <w:left w:val="none" w:sz="0" w:space="0" w:color="auto"/>
                <w:bottom w:val="none" w:sz="0" w:space="0" w:color="auto"/>
                <w:right w:val="none" w:sz="0" w:space="0" w:color="auto"/>
              </w:divBdr>
            </w:div>
          </w:divsChild>
        </w:div>
        <w:div w:id="878129524">
          <w:marLeft w:val="0"/>
          <w:marRight w:val="0"/>
          <w:marTop w:val="0"/>
          <w:marBottom w:val="0"/>
          <w:divBdr>
            <w:top w:val="none" w:sz="0" w:space="0" w:color="auto"/>
            <w:left w:val="none" w:sz="0" w:space="0" w:color="auto"/>
            <w:bottom w:val="none" w:sz="0" w:space="0" w:color="auto"/>
            <w:right w:val="none" w:sz="0" w:space="0" w:color="auto"/>
          </w:divBdr>
          <w:divsChild>
            <w:div w:id="1105149901">
              <w:marLeft w:val="0"/>
              <w:marRight w:val="0"/>
              <w:marTop w:val="0"/>
              <w:marBottom w:val="0"/>
              <w:divBdr>
                <w:top w:val="none" w:sz="0" w:space="0" w:color="auto"/>
                <w:left w:val="none" w:sz="0" w:space="0" w:color="auto"/>
                <w:bottom w:val="none" w:sz="0" w:space="0" w:color="auto"/>
                <w:right w:val="none" w:sz="0" w:space="0" w:color="auto"/>
              </w:divBdr>
            </w:div>
          </w:divsChild>
        </w:div>
        <w:div w:id="887693082">
          <w:marLeft w:val="0"/>
          <w:marRight w:val="0"/>
          <w:marTop w:val="0"/>
          <w:marBottom w:val="0"/>
          <w:divBdr>
            <w:top w:val="none" w:sz="0" w:space="0" w:color="auto"/>
            <w:left w:val="none" w:sz="0" w:space="0" w:color="auto"/>
            <w:bottom w:val="none" w:sz="0" w:space="0" w:color="auto"/>
            <w:right w:val="none" w:sz="0" w:space="0" w:color="auto"/>
          </w:divBdr>
          <w:divsChild>
            <w:div w:id="1714845899">
              <w:marLeft w:val="0"/>
              <w:marRight w:val="0"/>
              <w:marTop w:val="0"/>
              <w:marBottom w:val="0"/>
              <w:divBdr>
                <w:top w:val="none" w:sz="0" w:space="0" w:color="auto"/>
                <w:left w:val="none" w:sz="0" w:space="0" w:color="auto"/>
                <w:bottom w:val="none" w:sz="0" w:space="0" w:color="auto"/>
                <w:right w:val="none" w:sz="0" w:space="0" w:color="auto"/>
              </w:divBdr>
            </w:div>
          </w:divsChild>
        </w:div>
        <w:div w:id="901717550">
          <w:marLeft w:val="0"/>
          <w:marRight w:val="0"/>
          <w:marTop w:val="0"/>
          <w:marBottom w:val="0"/>
          <w:divBdr>
            <w:top w:val="none" w:sz="0" w:space="0" w:color="auto"/>
            <w:left w:val="none" w:sz="0" w:space="0" w:color="auto"/>
            <w:bottom w:val="none" w:sz="0" w:space="0" w:color="auto"/>
            <w:right w:val="none" w:sz="0" w:space="0" w:color="auto"/>
          </w:divBdr>
          <w:divsChild>
            <w:div w:id="1991322512">
              <w:marLeft w:val="0"/>
              <w:marRight w:val="0"/>
              <w:marTop w:val="0"/>
              <w:marBottom w:val="0"/>
              <w:divBdr>
                <w:top w:val="none" w:sz="0" w:space="0" w:color="auto"/>
                <w:left w:val="none" w:sz="0" w:space="0" w:color="auto"/>
                <w:bottom w:val="none" w:sz="0" w:space="0" w:color="auto"/>
                <w:right w:val="none" w:sz="0" w:space="0" w:color="auto"/>
              </w:divBdr>
            </w:div>
          </w:divsChild>
        </w:div>
        <w:div w:id="929200505">
          <w:marLeft w:val="0"/>
          <w:marRight w:val="0"/>
          <w:marTop w:val="0"/>
          <w:marBottom w:val="0"/>
          <w:divBdr>
            <w:top w:val="none" w:sz="0" w:space="0" w:color="auto"/>
            <w:left w:val="none" w:sz="0" w:space="0" w:color="auto"/>
            <w:bottom w:val="none" w:sz="0" w:space="0" w:color="auto"/>
            <w:right w:val="none" w:sz="0" w:space="0" w:color="auto"/>
          </w:divBdr>
          <w:divsChild>
            <w:div w:id="1990474094">
              <w:marLeft w:val="0"/>
              <w:marRight w:val="0"/>
              <w:marTop w:val="0"/>
              <w:marBottom w:val="0"/>
              <w:divBdr>
                <w:top w:val="none" w:sz="0" w:space="0" w:color="auto"/>
                <w:left w:val="none" w:sz="0" w:space="0" w:color="auto"/>
                <w:bottom w:val="none" w:sz="0" w:space="0" w:color="auto"/>
                <w:right w:val="none" w:sz="0" w:space="0" w:color="auto"/>
              </w:divBdr>
            </w:div>
          </w:divsChild>
        </w:div>
        <w:div w:id="964428113">
          <w:marLeft w:val="0"/>
          <w:marRight w:val="0"/>
          <w:marTop w:val="0"/>
          <w:marBottom w:val="0"/>
          <w:divBdr>
            <w:top w:val="none" w:sz="0" w:space="0" w:color="auto"/>
            <w:left w:val="none" w:sz="0" w:space="0" w:color="auto"/>
            <w:bottom w:val="none" w:sz="0" w:space="0" w:color="auto"/>
            <w:right w:val="none" w:sz="0" w:space="0" w:color="auto"/>
          </w:divBdr>
          <w:divsChild>
            <w:div w:id="1054541732">
              <w:marLeft w:val="0"/>
              <w:marRight w:val="0"/>
              <w:marTop w:val="0"/>
              <w:marBottom w:val="0"/>
              <w:divBdr>
                <w:top w:val="none" w:sz="0" w:space="0" w:color="auto"/>
                <w:left w:val="none" w:sz="0" w:space="0" w:color="auto"/>
                <w:bottom w:val="none" w:sz="0" w:space="0" w:color="auto"/>
                <w:right w:val="none" w:sz="0" w:space="0" w:color="auto"/>
              </w:divBdr>
            </w:div>
          </w:divsChild>
        </w:div>
        <w:div w:id="1014308638">
          <w:marLeft w:val="0"/>
          <w:marRight w:val="0"/>
          <w:marTop w:val="0"/>
          <w:marBottom w:val="0"/>
          <w:divBdr>
            <w:top w:val="none" w:sz="0" w:space="0" w:color="auto"/>
            <w:left w:val="none" w:sz="0" w:space="0" w:color="auto"/>
            <w:bottom w:val="none" w:sz="0" w:space="0" w:color="auto"/>
            <w:right w:val="none" w:sz="0" w:space="0" w:color="auto"/>
          </w:divBdr>
          <w:divsChild>
            <w:div w:id="812791743">
              <w:marLeft w:val="0"/>
              <w:marRight w:val="0"/>
              <w:marTop w:val="0"/>
              <w:marBottom w:val="0"/>
              <w:divBdr>
                <w:top w:val="none" w:sz="0" w:space="0" w:color="auto"/>
                <w:left w:val="none" w:sz="0" w:space="0" w:color="auto"/>
                <w:bottom w:val="none" w:sz="0" w:space="0" w:color="auto"/>
                <w:right w:val="none" w:sz="0" w:space="0" w:color="auto"/>
              </w:divBdr>
            </w:div>
          </w:divsChild>
        </w:div>
        <w:div w:id="1020859467">
          <w:marLeft w:val="0"/>
          <w:marRight w:val="0"/>
          <w:marTop w:val="0"/>
          <w:marBottom w:val="0"/>
          <w:divBdr>
            <w:top w:val="none" w:sz="0" w:space="0" w:color="auto"/>
            <w:left w:val="none" w:sz="0" w:space="0" w:color="auto"/>
            <w:bottom w:val="none" w:sz="0" w:space="0" w:color="auto"/>
            <w:right w:val="none" w:sz="0" w:space="0" w:color="auto"/>
          </w:divBdr>
          <w:divsChild>
            <w:div w:id="1120537135">
              <w:marLeft w:val="0"/>
              <w:marRight w:val="0"/>
              <w:marTop w:val="0"/>
              <w:marBottom w:val="0"/>
              <w:divBdr>
                <w:top w:val="none" w:sz="0" w:space="0" w:color="auto"/>
                <w:left w:val="none" w:sz="0" w:space="0" w:color="auto"/>
                <w:bottom w:val="none" w:sz="0" w:space="0" w:color="auto"/>
                <w:right w:val="none" w:sz="0" w:space="0" w:color="auto"/>
              </w:divBdr>
            </w:div>
          </w:divsChild>
        </w:div>
        <w:div w:id="1032265661">
          <w:marLeft w:val="0"/>
          <w:marRight w:val="0"/>
          <w:marTop w:val="0"/>
          <w:marBottom w:val="0"/>
          <w:divBdr>
            <w:top w:val="none" w:sz="0" w:space="0" w:color="auto"/>
            <w:left w:val="none" w:sz="0" w:space="0" w:color="auto"/>
            <w:bottom w:val="none" w:sz="0" w:space="0" w:color="auto"/>
            <w:right w:val="none" w:sz="0" w:space="0" w:color="auto"/>
          </w:divBdr>
          <w:divsChild>
            <w:div w:id="100687750">
              <w:marLeft w:val="0"/>
              <w:marRight w:val="0"/>
              <w:marTop w:val="0"/>
              <w:marBottom w:val="0"/>
              <w:divBdr>
                <w:top w:val="none" w:sz="0" w:space="0" w:color="auto"/>
                <w:left w:val="none" w:sz="0" w:space="0" w:color="auto"/>
                <w:bottom w:val="none" w:sz="0" w:space="0" w:color="auto"/>
                <w:right w:val="none" w:sz="0" w:space="0" w:color="auto"/>
              </w:divBdr>
            </w:div>
          </w:divsChild>
        </w:div>
        <w:div w:id="1046638225">
          <w:marLeft w:val="0"/>
          <w:marRight w:val="0"/>
          <w:marTop w:val="0"/>
          <w:marBottom w:val="0"/>
          <w:divBdr>
            <w:top w:val="none" w:sz="0" w:space="0" w:color="auto"/>
            <w:left w:val="none" w:sz="0" w:space="0" w:color="auto"/>
            <w:bottom w:val="none" w:sz="0" w:space="0" w:color="auto"/>
            <w:right w:val="none" w:sz="0" w:space="0" w:color="auto"/>
          </w:divBdr>
          <w:divsChild>
            <w:div w:id="2127506884">
              <w:marLeft w:val="0"/>
              <w:marRight w:val="0"/>
              <w:marTop w:val="0"/>
              <w:marBottom w:val="0"/>
              <w:divBdr>
                <w:top w:val="none" w:sz="0" w:space="0" w:color="auto"/>
                <w:left w:val="none" w:sz="0" w:space="0" w:color="auto"/>
                <w:bottom w:val="none" w:sz="0" w:space="0" w:color="auto"/>
                <w:right w:val="none" w:sz="0" w:space="0" w:color="auto"/>
              </w:divBdr>
            </w:div>
          </w:divsChild>
        </w:div>
        <w:div w:id="1047221082">
          <w:marLeft w:val="0"/>
          <w:marRight w:val="0"/>
          <w:marTop w:val="0"/>
          <w:marBottom w:val="0"/>
          <w:divBdr>
            <w:top w:val="none" w:sz="0" w:space="0" w:color="auto"/>
            <w:left w:val="none" w:sz="0" w:space="0" w:color="auto"/>
            <w:bottom w:val="none" w:sz="0" w:space="0" w:color="auto"/>
            <w:right w:val="none" w:sz="0" w:space="0" w:color="auto"/>
          </w:divBdr>
          <w:divsChild>
            <w:div w:id="1929074682">
              <w:marLeft w:val="0"/>
              <w:marRight w:val="0"/>
              <w:marTop w:val="0"/>
              <w:marBottom w:val="0"/>
              <w:divBdr>
                <w:top w:val="none" w:sz="0" w:space="0" w:color="auto"/>
                <w:left w:val="none" w:sz="0" w:space="0" w:color="auto"/>
                <w:bottom w:val="none" w:sz="0" w:space="0" w:color="auto"/>
                <w:right w:val="none" w:sz="0" w:space="0" w:color="auto"/>
              </w:divBdr>
            </w:div>
          </w:divsChild>
        </w:div>
        <w:div w:id="1048144767">
          <w:marLeft w:val="0"/>
          <w:marRight w:val="0"/>
          <w:marTop w:val="0"/>
          <w:marBottom w:val="0"/>
          <w:divBdr>
            <w:top w:val="none" w:sz="0" w:space="0" w:color="auto"/>
            <w:left w:val="none" w:sz="0" w:space="0" w:color="auto"/>
            <w:bottom w:val="none" w:sz="0" w:space="0" w:color="auto"/>
            <w:right w:val="none" w:sz="0" w:space="0" w:color="auto"/>
          </w:divBdr>
          <w:divsChild>
            <w:div w:id="617876736">
              <w:marLeft w:val="0"/>
              <w:marRight w:val="0"/>
              <w:marTop w:val="0"/>
              <w:marBottom w:val="0"/>
              <w:divBdr>
                <w:top w:val="none" w:sz="0" w:space="0" w:color="auto"/>
                <w:left w:val="none" w:sz="0" w:space="0" w:color="auto"/>
                <w:bottom w:val="none" w:sz="0" w:space="0" w:color="auto"/>
                <w:right w:val="none" w:sz="0" w:space="0" w:color="auto"/>
              </w:divBdr>
            </w:div>
          </w:divsChild>
        </w:div>
        <w:div w:id="1119180226">
          <w:marLeft w:val="0"/>
          <w:marRight w:val="0"/>
          <w:marTop w:val="0"/>
          <w:marBottom w:val="0"/>
          <w:divBdr>
            <w:top w:val="none" w:sz="0" w:space="0" w:color="auto"/>
            <w:left w:val="none" w:sz="0" w:space="0" w:color="auto"/>
            <w:bottom w:val="none" w:sz="0" w:space="0" w:color="auto"/>
            <w:right w:val="none" w:sz="0" w:space="0" w:color="auto"/>
          </w:divBdr>
          <w:divsChild>
            <w:div w:id="1310475541">
              <w:marLeft w:val="0"/>
              <w:marRight w:val="0"/>
              <w:marTop w:val="0"/>
              <w:marBottom w:val="0"/>
              <w:divBdr>
                <w:top w:val="none" w:sz="0" w:space="0" w:color="auto"/>
                <w:left w:val="none" w:sz="0" w:space="0" w:color="auto"/>
                <w:bottom w:val="none" w:sz="0" w:space="0" w:color="auto"/>
                <w:right w:val="none" w:sz="0" w:space="0" w:color="auto"/>
              </w:divBdr>
            </w:div>
          </w:divsChild>
        </w:div>
        <w:div w:id="1135104332">
          <w:marLeft w:val="0"/>
          <w:marRight w:val="0"/>
          <w:marTop w:val="0"/>
          <w:marBottom w:val="0"/>
          <w:divBdr>
            <w:top w:val="none" w:sz="0" w:space="0" w:color="auto"/>
            <w:left w:val="none" w:sz="0" w:space="0" w:color="auto"/>
            <w:bottom w:val="none" w:sz="0" w:space="0" w:color="auto"/>
            <w:right w:val="none" w:sz="0" w:space="0" w:color="auto"/>
          </w:divBdr>
          <w:divsChild>
            <w:div w:id="630937468">
              <w:marLeft w:val="0"/>
              <w:marRight w:val="0"/>
              <w:marTop w:val="0"/>
              <w:marBottom w:val="0"/>
              <w:divBdr>
                <w:top w:val="none" w:sz="0" w:space="0" w:color="auto"/>
                <w:left w:val="none" w:sz="0" w:space="0" w:color="auto"/>
                <w:bottom w:val="none" w:sz="0" w:space="0" w:color="auto"/>
                <w:right w:val="none" w:sz="0" w:space="0" w:color="auto"/>
              </w:divBdr>
            </w:div>
          </w:divsChild>
        </w:div>
        <w:div w:id="1137063053">
          <w:marLeft w:val="0"/>
          <w:marRight w:val="0"/>
          <w:marTop w:val="0"/>
          <w:marBottom w:val="0"/>
          <w:divBdr>
            <w:top w:val="none" w:sz="0" w:space="0" w:color="auto"/>
            <w:left w:val="none" w:sz="0" w:space="0" w:color="auto"/>
            <w:bottom w:val="none" w:sz="0" w:space="0" w:color="auto"/>
            <w:right w:val="none" w:sz="0" w:space="0" w:color="auto"/>
          </w:divBdr>
          <w:divsChild>
            <w:div w:id="733626714">
              <w:marLeft w:val="0"/>
              <w:marRight w:val="0"/>
              <w:marTop w:val="0"/>
              <w:marBottom w:val="0"/>
              <w:divBdr>
                <w:top w:val="none" w:sz="0" w:space="0" w:color="auto"/>
                <w:left w:val="none" w:sz="0" w:space="0" w:color="auto"/>
                <w:bottom w:val="none" w:sz="0" w:space="0" w:color="auto"/>
                <w:right w:val="none" w:sz="0" w:space="0" w:color="auto"/>
              </w:divBdr>
            </w:div>
          </w:divsChild>
        </w:div>
        <w:div w:id="1225337432">
          <w:marLeft w:val="0"/>
          <w:marRight w:val="0"/>
          <w:marTop w:val="0"/>
          <w:marBottom w:val="0"/>
          <w:divBdr>
            <w:top w:val="none" w:sz="0" w:space="0" w:color="auto"/>
            <w:left w:val="none" w:sz="0" w:space="0" w:color="auto"/>
            <w:bottom w:val="none" w:sz="0" w:space="0" w:color="auto"/>
            <w:right w:val="none" w:sz="0" w:space="0" w:color="auto"/>
          </w:divBdr>
          <w:divsChild>
            <w:div w:id="110053720">
              <w:marLeft w:val="0"/>
              <w:marRight w:val="0"/>
              <w:marTop w:val="0"/>
              <w:marBottom w:val="0"/>
              <w:divBdr>
                <w:top w:val="none" w:sz="0" w:space="0" w:color="auto"/>
                <w:left w:val="none" w:sz="0" w:space="0" w:color="auto"/>
                <w:bottom w:val="none" w:sz="0" w:space="0" w:color="auto"/>
                <w:right w:val="none" w:sz="0" w:space="0" w:color="auto"/>
              </w:divBdr>
            </w:div>
          </w:divsChild>
        </w:div>
        <w:div w:id="1234975223">
          <w:marLeft w:val="0"/>
          <w:marRight w:val="0"/>
          <w:marTop w:val="0"/>
          <w:marBottom w:val="0"/>
          <w:divBdr>
            <w:top w:val="none" w:sz="0" w:space="0" w:color="auto"/>
            <w:left w:val="none" w:sz="0" w:space="0" w:color="auto"/>
            <w:bottom w:val="none" w:sz="0" w:space="0" w:color="auto"/>
            <w:right w:val="none" w:sz="0" w:space="0" w:color="auto"/>
          </w:divBdr>
          <w:divsChild>
            <w:div w:id="1206722521">
              <w:marLeft w:val="0"/>
              <w:marRight w:val="0"/>
              <w:marTop w:val="0"/>
              <w:marBottom w:val="0"/>
              <w:divBdr>
                <w:top w:val="none" w:sz="0" w:space="0" w:color="auto"/>
                <w:left w:val="none" w:sz="0" w:space="0" w:color="auto"/>
                <w:bottom w:val="none" w:sz="0" w:space="0" w:color="auto"/>
                <w:right w:val="none" w:sz="0" w:space="0" w:color="auto"/>
              </w:divBdr>
            </w:div>
          </w:divsChild>
        </w:div>
        <w:div w:id="1277446272">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
          </w:divsChild>
        </w:div>
        <w:div w:id="1298030144">
          <w:marLeft w:val="0"/>
          <w:marRight w:val="0"/>
          <w:marTop w:val="0"/>
          <w:marBottom w:val="0"/>
          <w:divBdr>
            <w:top w:val="none" w:sz="0" w:space="0" w:color="auto"/>
            <w:left w:val="none" w:sz="0" w:space="0" w:color="auto"/>
            <w:bottom w:val="none" w:sz="0" w:space="0" w:color="auto"/>
            <w:right w:val="none" w:sz="0" w:space="0" w:color="auto"/>
          </w:divBdr>
          <w:divsChild>
            <w:div w:id="1181816609">
              <w:marLeft w:val="0"/>
              <w:marRight w:val="0"/>
              <w:marTop w:val="0"/>
              <w:marBottom w:val="0"/>
              <w:divBdr>
                <w:top w:val="none" w:sz="0" w:space="0" w:color="auto"/>
                <w:left w:val="none" w:sz="0" w:space="0" w:color="auto"/>
                <w:bottom w:val="none" w:sz="0" w:space="0" w:color="auto"/>
                <w:right w:val="none" w:sz="0" w:space="0" w:color="auto"/>
              </w:divBdr>
            </w:div>
          </w:divsChild>
        </w:div>
        <w:div w:id="1395589564">
          <w:marLeft w:val="0"/>
          <w:marRight w:val="0"/>
          <w:marTop w:val="0"/>
          <w:marBottom w:val="0"/>
          <w:divBdr>
            <w:top w:val="none" w:sz="0" w:space="0" w:color="auto"/>
            <w:left w:val="none" w:sz="0" w:space="0" w:color="auto"/>
            <w:bottom w:val="none" w:sz="0" w:space="0" w:color="auto"/>
            <w:right w:val="none" w:sz="0" w:space="0" w:color="auto"/>
          </w:divBdr>
          <w:divsChild>
            <w:div w:id="585462794">
              <w:marLeft w:val="0"/>
              <w:marRight w:val="0"/>
              <w:marTop w:val="0"/>
              <w:marBottom w:val="0"/>
              <w:divBdr>
                <w:top w:val="none" w:sz="0" w:space="0" w:color="auto"/>
                <w:left w:val="none" w:sz="0" w:space="0" w:color="auto"/>
                <w:bottom w:val="none" w:sz="0" w:space="0" w:color="auto"/>
                <w:right w:val="none" w:sz="0" w:space="0" w:color="auto"/>
              </w:divBdr>
            </w:div>
          </w:divsChild>
        </w:div>
        <w:div w:id="1415854788">
          <w:marLeft w:val="0"/>
          <w:marRight w:val="0"/>
          <w:marTop w:val="0"/>
          <w:marBottom w:val="0"/>
          <w:divBdr>
            <w:top w:val="none" w:sz="0" w:space="0" w:color="auto"/>
            <w:left w:val="none" w:sz="0" w:space="0" w:color="auto"/>
            <w:bottom w:val="none" w:sz="0" w:space="0" w:color="auto"/>
            <w:right w:val="none" w:sz="0" w:space="0" w:color="auto"/>
          </w:divBdr>
          <w:divsChild>
            <w:div w:id="1028066981">
              <w:marLeft w:val="0"/>
              <w:marRight w:val="0"/>
              <w:marTop w:val="0"/>
              <w:marBottom w:val="0"/>
              <w:divBdr>
                <w:top w:val="none" w:sz="0" w:space="0" w:color="auto"/>
                <w:left w:val="none" w:sz="0" w:space="0" w:color="auto"/>
                <w:bottom w:val="none" w:sz="0" w:space="0" w:color="auto"/>
                <w:right w:val="none" w:sz="0" w:space="0" w:color="auto"/>
              </w:divBdr>
            </w:div>
          </w:divsChild>
        </w:div>
        <w:div w:id="1440637715">
          <w:marLeft w:val="0"/>
          <w:marRight w:val="0"/>
          <w:marTop w:val="0"/>
          <w:marBottom w:val="0"/>
          <w:divBdr>
            <w:top w:val="none" w:sz="0" w:space="0" w:color="auto"/>
            <w:left w:val="none" w:sz="0" w:space="0" w:color="auto"/>
            <w:bottom w:val="none" w:sz="0" w:space="0" w:color="auto"/>
            <w:right w:val="none" w:sz="0" w:space="0" w:color="auto"/>
          </w:divBdr>
          <w:divsChild>
            <w:div w:id="132987787">
              <w:marLeft w:val="0"/>
              <w:marRight w:val="0"/>
              <w:marTop w:val="0"/>
              <w:marBottom w:val="0"/>
              <w:divBdr>
                <w:top w:val="none" w:sz="0" w:space="0" w:color="auto"/>
                <w:left w:val="none" w:sz="0" w:space="0" w:color="auto"/>
                <w:bottom w:val="none" w:sz="0" w:space="0" w:color="auto"/>
                <w:right w:val="none" w:sz="0" w:space="0" w:color="auto"/>
              </w:divBdr>
            </w:div>
          </w:divsChild>
        </w:div>
        <w:div w:id="1465611237">
          <w:marLeft w:val="0"/>
          <w:marRight w:val="0"/>
          <w:marTop w:val="0"/>
          <w:marBottom w:val="0"/>
          <w:divBdr>
            <w:top w:val="none" w:sz="0" w:space="0" w:color="auto"/>
            <w:left w:val="none" w:sz="0" w:space="0" w:color="auto"/>
            <w:bottom w:val="none" w:sz="0" w:space="0" w:color="auto"/>
            <w:right w:val="none" w:sz="0" w:space="0" w:color="auto"/>
          </w:divBdr>
          <w:divsChild>
            <w:div w:id="714693360">
              <w:marLeft w:val="0"/>
              <w:marRight w:val="0"/>
              <w:marTop w:val="0"/>
              <w:marBottom w:val="0"/>
              <w:divBdr>
                <w:top w:val="none" w:sz="0" w:space="0" w:color="auto"/>
                <w:left w:val="none" w:sz="0" w:space="0" w:color="auto"/>
                <w:bottom w:val="none" w:sz="0" w:space="0" w:color="auto"/>
                <w:right w:val="none" w:sz="0" w:space="0" w:color="auto"/>
              </w:divBdr>
            </w:div>
          </w:divsChild>
        </w:div>
        <w:div w:id="1485121107">
          <w:marLeft w:val="0"/>
          <w:marRight w:val="0"/>
          <w:marTop w:val="0"/>
          <w:marBottom w:val="0"/>
          <w:divBdr>
            <w:top w:val="none" w:sz="0" w:space="0" w:color="auto"/>
            <w:left w:val="none" w:sz="0" w:space="0" w:color="auto"/>
            <w:bottom w:val="none" w:sz="0" w:space="0" w:color="auto"/>
            <w:right w:val="none" w:sz="0" w:space="0" w:color="auto"/>
          </w:divBdr>
          <w:divsChild>
            <w:div w:id="1060324913">
              <w:marLeft w:val="0"/>
              <w:marRight w:val="0"/>
              <w:marTop w:val="0"/>
              <w:marBottom w:val="0"/>
              <w:divBdr>
                <w:top w:val="none" w:sz="0" w:space="0" w:color="auto"/>
                <w:left w:val="none" w:sz="0" w:space="0" w:color="auto"/>
                <w:bottom w:val="none" w:sz="0" w:space="0" w:color="auto"/>
                <w:right w:val="none" w:sz="0" w:space="0" w:color="auto"/>
              </w:divBdr>
            </w:div>
          </w:divsChild>
        </w:div>
        <w:div w:id="1518881255">
          <w:marLeft w:val="0"/>
          <w:marRight w:val="0"/>
          <w:marTop w:val="0"/>
          <w:marBottom w:val="0"/>
          <w:divBdr>
            <w:top w:val="none" w:sz="0" w:space="0" w:color="auto"/>
            <w:left w:val="none" w:sz="0" w:space="0" w:color="auto"/>
            <w:bottom w:val="none" w:sz="0" w:space="0" w:color="auto"/>
            <w:right w:val="none" w:sz="0" w:space="0" w:color="auto"/>
          </w:divBdr>
          <w:divsChild>
            <w:div w:id="409353389">
              <w:marLeft w:val="0"/>
              <w:marRight w:val="0"/>
              <w:marTop w:val="0"/>
              <w:marBottom w:val="0"/>
              <w:divBdr>
                <w:top w:val="none" w:sz="0" w:space="0" w:color="auto"/>
                <w:left w:val="none" w:sz="0" w:space="0" w:color="auto"/>
                <w:bottom w:val="none" w:sz="0" w:space="0" w:color="auto"/>
                <w:right w:val="none" w:sz="0" w:space="0" w:color="auto"/>
              </w:divBdr>
            </w:div>
          </w:divsChild>
        </w:div>
        <w:div w:id="1529176171">
          <w:marLeft w:val="0"/>
          <w:marRight w:val="0"/>
          <w:marTop w:val="0"/>
          <w:marBottom w:val="0"/>
          <w:divBdr>
            <w:top w:val="none" w:sz="0" w:space="0" w:color="auto"/>
            <w:left w:val="none" w:sz="0" w:space="0" w:color="auto"/>
            <w:bottom w:val="none" w:sz="0" w:space="0" w:color="auto"/>
            <w:right w:val="none" w:sz="0" w:space="0" w:color="auto"/>
          </w:divBdr>
          <w:divsChild>
            <w:div w:id="370880978">
              <w:marLeft w:val="0"/>
              <w:marRight w:val="0"/>
              <w:marTop w:val="0"/>
              <w:marBottom w:val="0"/>
              <w:divBdr>
                <w:top w:val="none" w:sz="0" w:space="0" w:color="auto"/>
                <w:left w:val="none" w:sz="0" w:space="0" w:color="auto"/>
                <w:bottom w:val="none" w:sz="0" w:space="0" w:color="auto"/>
                <w:right w:val="none" w:sz="0" w:space="0" w:color="auto"/>
              </w:divBdr>
            </w:div>
          </w:divsChild>
        </w:div>
        <w:div w:id="1532836879">
          <w:marLeft w:val="0"/>
          <w:marRight w:val="0"/>
          <w:marTop w:val="0"/>
          <w:marBottom w:val="0"/>
          <w:divBdr>
            <w:top w:val="none" w:sz="0" w:space="0" w:color="auto"/>
            <w:left w:val="none" w:sz="0" w:space="0" w:color="auto"/>
            <w:bottom w:val="none" w:sz="0" w:space="0" w:color="auto"/>
            <w:right w:val="none" w:sz="0" w:space="0" w:color="auto"/>
          </w:divBdr>
          <w:divsChild>
            <w:div w:id="163518101">
              <w:marLeft w:val="0"/>
              <w:marRight w:val="0"/>
              <w:marTop w:val="0"/>
              <w:marBottom w:val="0"/>
              <w:divBdr>
                <w:top w:val="none" w:sz="0" w:space="0" w:color="auto"/>
                <w:left w:val="none" w:sz="0" w:space="0" w:color="auto"/>
                <w:bottom w:val="none" w:sz="0" w:space="0" w:color="auto"/>
                <w:right w:val="none" w:sz="0" w:space="0" w:color="auto"/>
              </w:divBdr>
            </w:div>
          </w:divsChild>
        </w:div>
        <w:div w:id="1534149685">
          <w:marLeft w:val="0"/>
          <w:marRight w:val="0"/>
          <w:marTop w:val="0"/>
          <w:marBottom w:val="0"/>
          <w:divBdr>
            <w:top w:val="none" w:sz="0" w:space="0" w:color="auto"/>
            <w:left w:val="none" w:sz="0" w:space="0" w:color="auto"/>
            <w:bottom w:val="none" w:sz="0" w:space="0" w:color="auto"/>
            <w:right w:val="none" w:sz="0" w:space="0" w:color="auto"/>
          </w:divBdr>
          <w:divsChild>
            <w:div w:id="1828745510">
              <w:marLeft w:val="0"/>
              <w:marRight w:val="0"/>
              <w:marTop w:val="0"/>
              <w:marBottom w:val="0"/>
              <w:divBdr>
                <w:top w:val="none" w:sz="0" w:space="0" w:color="auto"/>
                <w:left w:val="none" w:sz="0" w:space="0" w:color="auto"/>
                <w:bottom w:val="none" w:sz="0" w:space="0" w:color="auto"/>
                <w:right w:val="none" w:sz="0" w:space="0" w:color="auto"/>
              </w:divBdr>
            </w:div>
          </w:divsChild>
        </w:div>
        <w:div w:id="1555505057">
          <w:marLeft w:val="0"/>
          <w:marRight w:val="0"/>
          <w:marTop w:val="0"/>
          <w:marBottom w:val="0"/>
          <w:divBdr>
            <w:top w:val="none" w:sz="0" w:space="0" w:color="auto"/>
            <w:left w:val="none" w:sz="0" w:space="0" w:color="auto"/>
            <w:bottom w:val="none" w:sz="0" w:space="0" w:color="auto"/>
            <w:right w:val="none" w:sz="0" w:space="0" w:color="auto"/>
          </w:divBdr>
          <w:divsChild>
            <w:div w:id="1268003896">
              <w:marLeft w:val="0"/>
              <w:marRight w:val="0"/>
              <w:marTop w:val="0"/>
              <w:marBottom w:val="0"/>
              <w:divBdr>
                <w:top w:val="none" w:sz="0" w:space="0" w:color="auto"/>
                <w:left w:val="none" w:sz="0" w:space="0" w:color="auto"/>
                <w:bottom w:val="none" w:sz="0" w:space="0" w:color="auto"/>
                <w:right w:val="none" w:sz="0" w:space="0" w:color="auto"/>
              </w:divBdr>
            </w:div>
          </w:divsChild>
        </w:div>
        <w:div w:id="1561134996">
          <w:marLeft w:val="0"/>
          <w:marRight w:val="0"/>
          <w:marTop w:val="0"/>
          <w:marBottom w:val="0"/>
          <w:divBdr>
            <w:top w:val="none" w:sz="0" w:space="0" w:color="auto"/>
            <w:left w:val="none" w:sz="0" w:space="0" w:color="auto"/>
            <w:bottom w:val="none" w:sz="0" w:space="0" w:color="auto"/>
            <w:right w:val="none" w:sz="0" w:space="0" w:color="auto"/>
          </w:divBdr>
          <w:divsChild>
            <w:div w:id="34889817">
              <w:marLeft w:val="0"/>
              <w:marRight w:val="0"/>
              <w:marTop w:val="0"/>
              <w:marBottom w:val="0"/>
              <w:divBdr>
                <w:top w:val="none" w:sz="0" w:space="0" w:color="auto"/>
                <w:left w:val="none" w:sz="0" w:space="0" w:color="auto"/>
                <w:bottom w:val="none" w:sz="0" w:space="0" w:color="auto"/>
                <w:right w:val="none" w:sz="0" w:space="0" w:color="auto"/>
              </w:divBdr>
            </w:div>
          </w:divsChild>
        </w:div>
        <w:div w:id="1563129379">
          <w:marLeft w:val="0"/>
          <w:marRight w:val="0"/>
          <w:marTop w:val="0"/>
          <w:marBottom w:val="0"/>
          <w:divBdr>
            <w:top w:val="none" w:sz="0" w:space="0" w:color="auto"/>
            <w:left w:val="none" w:sz="0" w:space="0" w:color="auto"/>
            <w:bottom w:val="none" w:sz="0" w:space="0" w:color="auto"/>
            <w:right w:val="none" w:sz="0" w:space="0" w:color="auto"/>
          </w:divBdr>
          <w:divsChild>
            <w:div w:id="2096894389">
              <w:marLeft w:val="0"/>
              <w:marRight w:val="0"/>
              <w:marTop w:val="0"/>
              <w:marBottom w:val="0"/>
              <w:divBdr>
                <w:top w:val="none" w:sz="0" w:space="0" w:color="auto"/>
                <w:left w:val="none" w:sz="0" w:space="0" w:color="auto"/>
                <w:bottom w:val="none" w:sz="0" w:space="0" w:color="auto"/>
                <w:right w:val="none" w:sz="0" w:space="0" w:color="auto"/>
              </w:divBdr>
            </w:div>
          </w:divsChild>
        </w:div>
        <w:div w:id="1586649654">
          <w:marLeft w:val="0"/>
          <w:marRight w:val="0"/>
          <w:marTop w:val="0"/>
          <w:marBottom w:val="0"/>
          <w:divBdr>
            <w:top w:val="none" w:sz="0" w:space="0" w:color="auto"/>
            <w:left w:val="none" w:sz="0" w:space="0" w:color="auto"/>
            <w:bottom w:val="none" w:sz="0" w:space="0" w:color="auto"/>
            <w:right w:val="none" w:sz="0" w:space="0" w:color="auto"/>
          </w:divBdr>
          <w:divsChild>
            <w:div w:id="251201842">
              <w:marLeft w:val="0"/>
              <w:marRight w:val="0"/>
              <w:marTop w:val="0"/>
              <w:marBottom w:val="0"/>
              <w:divBdr>
                <w:top w:val="none" w:sz="0" w:space="0" w:color="auto"/>
                <w:left w:val="none" w:sz="0" w:space="0" w:color="auto"/>
                <w:bottom w:val="none" w:sz="0" w:space="0" w:color="auto"/>
                <w:right w:val="none" w:sz="0" w:space="0" w:color="auto"/>
              </w:divBdr>
            </w:div>
          </w:divsChild>
        </w:div>
        <w:div w:id="1600330171">
          <w:marLeft w:val="0"/>
          <w:marRight w:val="0"/>
          <w:marTop w:val="0"/>
          <w:marBottom w:val="0"/>
          <w:divBdr>
            <w:top w:val="none" w:sz="0" w:space="0" w:color="auto"/>
            <w:left w:val="none" w:sz="0" w:space="0" w:color="auto"/>
            <w:bottom w:val="none" w:sz="0" w:space="0" w:color="auto"/>
            <w:right w:val="none" w:sz="0" w:space="0" w:color="auto"/>
          </w:divBdr>
          <w:divsChild>
            <w:div w:id="847137232">
              <w:marLeft w:val="0"/>
              <w:marRight w:val="0"/>
              <w:marTop w:val="0"/>
              <w:marBottom w:val="0"/>
              <w:divBdr>
                <w:top w:val="none" w:sz="0" w:space="0" w:color="auto"/>
                <w:left w:val="none" w:sz="0" w:space="0" w:color="auto"/>
                <w:bottom w:val="none" w:sz="0" w:space="0" w:color="auto"/>
                <w:right w:val="none" w:sz="0" w:space="0" w:color="auto"/>
              </w:divBdr>
            </w:div>
          </w:divsChild>
        </w:div>
        <w:div w:id="1627854162">
          <w:marLeft w:val="0"/>
          <w:marRight w:val="0"/>
          <w:marTop w:val="0"/>
          <w:marBottom w:val="0"/>
          <w:divBdr>
            <w:top w:val="none" w:sz="0" w:space="0" w:color="auto"/>
            <w:left w:val="none" w:sz="0" w:space="0" w:color="auto"/>
            <w:bottom w:val="none" w:sz="0" w:space="0" w:color="auto"/>
            <w:right w:val="none" w:sz="0" w:space="0" w:color="auto"/>
          </w:divBdr>
          <w:divsChild>
            <w:div w:id="1789860675">
              <w:marLeft w:val="0"/>
              <w:marRight w:val="0"/>
              <w:marTop w:val="0"/>
              <w:marBottom w:val="0"/>
              <w:divBdr>
                <w:top w:val="none" w:sz="0" w:space="0" w:color="auto"/>
                <w:left w:val="none" w:sz="0" w:space="0" w:color="auto"/>
                <w:bottom w:val="none" w:sz="0" w:space="0" w:color="auto"/>
                <w:right w:val="none" w:sz="0" w:space="0" w:color="auto"/>
              </w:divBdr>
            </w:div>
          </w:divsChild>
        </w:div>
        <w:div w:id="1640644881">
          <w:marLeft w:val="0"/>
          <w:marRight w:val="0"/>
          <w:marTop w:val="0"/>
          <w:marBottom w:val="0"/>
          <w:divBdr>
            <w:top w:val="none" w:sz="0" w:space="0" w:color="auto"/>
            <w:left w:val="none" w:sz="0" w:space="0" w:color="auto"/>
            <w:bottom w:val="none" w:sz="0" w:space="0" w:color="auto"/>
            <w:right w:val="none" w:sz="0" w:space="0" w:color="auto"/>
          </w:divBdr>
          <w:divsChild>
            <w:div w:id="268584060">
              <w:marLeft w:val="0"/>
              <w:marRight w:val="0"/>
              <w:marTop w:val="0"/>
              <w:marBottom w:val="0"/>
              <w:divBdr>
                <w:top w:val="none" w:sz="0" w:space="0" w:color="auto"/>
                <w:left w:val="none" w:sz="0" w:space="0" w:color="auto"/>
                <w:bottom w:val="none" w:sz="0" w:space="0" w:color="auto"/>
                <w:right w:val="none" w:sz="0" w:space="0" w:color="auto"/>
              </w:divBdr>
            </w:div>
          </w:divsChild>
        </w:div>
        <w:div w:id="1682584927">
          <w:marLeft w:val="0"/>
          <w:marRight w:val="0"/>
          <w:marTop w:val="0"/>
          <w:marBottom w:val="0"/>
          <w:divBdr>
            <w:top w:val="none" w:sz="0" w:space="0" w:color="auto"/>
            <w:left w:val="none" w:sz="0" w:space="0" w:color="auto"/>
            <w:bottom w:val="none" w:sz="0" w:space="0" w:color="auto"/>
            <w:right w:val="none" w:sz="0" w:space="0" w:color="auto"/>
          </w:divBdr>
          <w:divsChild>
            <w:div w:id="1134561136">
              <w:marLeft w:val="0"/>
              <w:marRight w:val="0"/>
              <w:marTop w:val="0"/>
              <w:marBottom w:val="0"/>
              <w:divBdr>
                <w:top w:val="none" w:sz="0" w:space="0" w:color="auto"/>
                <w:left w:val="none" w:sz="0" w:space="0" w:color="auto"/>
                <w:bottom w:val="none" w:sz="0" w:space="0" w:color="auto"/>
                <w:right w:val="none" w:sz="0" w:space="0" w:color="auto"/>
              </w:divBdr>
            </w:div>
          </w:divsChild>
        </w:div>
        <w:div w:id="1686789914">
          <w:marLeft w:val="0"/>
          <w:marRight w:val="0"/>
          <w:marTop w:val="0"/>
          <w:marBottom w:val="0"/>
          <w:divBdr>
            <w:top w:val="none" w:sz="0" w:space="0" w:color="auto"/>
            <w:left w:val="none" w:sz="0" w:space="0" w:color="auto"/>
            <w:bottom w:val="none" w:sz="0" w:space="0" w:color="auto"/>
            <w:right w:val="none" w:sz="0" w:space="0" w:color="auto"/>
          </w:divBdr>
          <w:divsChild>
            <w:div w:id="240719296">
              <w:marLeft w:val="0"/>
              <w:marRight w:val="0"/>
              <w:marTop w:val="0"/>
              <w:marBottom w:val="0"/>
              <w:divBdr>
                <w:top w:val="none" w:sz="0" w:space="0" w:color="auto"/>
                <w:left w:val="none" w:sz="0" w:space="0" w:color="auto"/>
                <w:bottom w:val="none" w:sz="0" w:space="0" w:color="auto"/>
                <w:right w:val="none" w:sz="0" w:space="0" w:color="auto"/>
              </w:divBdr>
            </w:div>
          </w:divsChild>
        </w:div>
        <w:div w:id="1722289830">
          <w:marLeft w:val="0"/>
          <w:marRight w:val="0"/>
          <w:marTop w:val="0"/>
          <w:marBottom w:val="0"/>
          <w:divBdr>
            <w:top w:val="none" w:sz="0" w:space="0" w:color="auto"/>
            <w:left w:val="none" w:sz="0" w:space="0" w:color="auto"/>
            <w:bottom w:val="none" w:sz="0" w:space="0" w:color="auto"/>
            <w:right w:val="none" w:sz="0" w:space="0" w:color="auto"/>
          </w:divBdr>
          <w:divsChild>
            <w:div w:id="1376271794">
              <w:marLeft w:val="0"/>
              <w:marRight w:val="0"/>
              <w:marTop w:val="0"/>
              <w:marBottom w:val="0"/>
              <w:divBdr>
                <w:top w:val="none" w:sz="0" w:space="0" w:color="auto"/>
                <w:left w:val="none" w:sz="0" w:space="0" w:color="auto"/>
                <w:bottom w:val="none" w:sz="0" w:space="0" w:color="auto"/>
                <w:right w:val="none" w:sz="0" w:space="0" w:color="auto"/>
              </w:divBdr>
            </w:div>
          </w:divsChild>
        </w:div>
        <w:div w:id="1746875466">
          <w:marLeft w:val="0"/>
          <w:marRight w:val="0"/>
          <w:marTop w:val="0"/>
          <w:marBottom w:val="0"/>
          <w:divBdr>
            <w:top w:val="none" w:sz="0" w:space="0" w:color="auto"/>
            <w:left w:val="none" w:sz="0" w:space="0" w:color="auto"/>
            <w:bottom w:val="none" w:sz="0" w:space="0" w:color="auto"/>
            <w:right w:val="none" w:sz="0" w:space="0" w:color="auto"/>
          </w:divBdr>
          <w:divsChild>
            <w:div w:id="1027174661">
              <w:marLeft w:val="0"/>
              <w:marRight w:val="0"/>
              <w:marTop w:val="0"/>
              <w:marBottom w:val="0"/>
              <w:divBdr>
                <w:top w:val="none" w:sz="0" w:space="0" w:color="auto"/>
                <w:left w:val="none" w:sz="0" w:space="0" w:color="auto"/>
                <w:bottom w:val="none" w:sz="0" w:space="0" w:color="auto"/>
                <w:right w:val="none" w:sz="0" w:space="0" w:color="auto"/>
              </w:divBdr>
            </w:div>
          </w:divsChild>
        </w:div>
        <w:div w:id="1768310134">
          <w:marLeft w:val="0"/>
          <w:marRight w:val="0"/>
          <w:marTop w:val="0"/>
          <w:marBottom w:val="0"/>
          <w:divBdr>
            <w:top w:val="none" w:sz="0" w:space="0" w:color="auto"/>
            <w:left w:val="none" w:sz="0" w:space="0" w:color="auto"/>
            <w:bottom w:val="none" w:sz="0" w:space="0" w:color="auto"/>
            <w:right w:val="none" w:sz="0" w:space="0" w:color="auto"/>
          </w:divBdr>
          <w:divsChild>
            <w:div w:id="1680425454">
              <w:marLeft w:val="0"/>
              <w:marRight w:val="0"/>
              <w:marTop w:val="0"/>
              <w:marBottom w:val="0"/>
              <w:divBdr>
                <w:top w:val="none" w:sz="0" w:space="0" w:color="auto"/>
                <w:left w:val="none" w:sz="0" w:space="0" w:color="auto"/>
                <w:bottom w:val="none" w:sz="0" w:space="0" w:color="auto"/>
                <w:right w:val="none" w:sz="0" w:space="0" w:color="auto"/>
              </w:divBdr>
            </w:div>
          </w:divsChild>
        </w:div>
        <w:div w:id="1772118676">
          <w:marLeft w:val="0"/>
          <w:marRight w:val="0"/>
          <w:marTop w:val="0"/>
          <w:marBottom w:val="0"/>
          <w:divBdr>
            <w:top w:val="none" w:sz="0" w:space="0" w:color="auto"/>
            <w:left w:val="none" w:sz="0" w:space="0" w:color="auto"/>
            <w:bottom w:val="none" w:sz="0" w:space="0" w:color="auto"/>
            <w:right w:val="none" w:sz="0" w:space="0" w:color="auto"/>
          </w:divBdr>
          <w:divsChild>
            <w:div w:id="1584951400">
              <w:marLeft w:val="0"/>
              <w:marRight w:val="0"/>
              <w:marTop w:val="0"/>
              <w:marBottom w:val="0"/>
              <w:divBdr>
                <w:top w:val="none" w:sz="0" w:space="0" w:color="auto"/>
                <w:left w:val="none" w:sz="0" w:space="0" w:color="auto"/>
                <w:bottom w:val="none" w:sz="0" w:space="0" w:color="auto"/>
                <w:right w:val="none" w:sz="0" w:space="0" w:color="auto"/>
              </w:divBdr>
            </w:div>
          </w:divsChild>
        </w:div>
        <w:div w:id="1774282008">
          <w:marLeft w:val="0"/>
          <w:marRight w:val="0"/>
          <w:marTop w:val="0"/>
          <w:marBottom w:val="0"/>
          <w:divBdr>
            <w:top w:val="none" w:sz="0" w:space="0" w:color="auto"/>
            <w:left w:val="none" w:sz="0" w:space="0" w:color="auto"/>
            <w:bottom w:val="none" w:sz="0" w:space="0" w:color="auto"/>
            <w:right w:val="none" w:sz="0" w:space="0" w:color="auto"/>
          </w:divBdr>
          <w:divsChild>
            <w:div w:id="1047995938">
              <w:marLeft w:val="0"/>
              <w:marRight w:val="0"/>
              <w:marTop w:val="0"/>
              <w:marBottom w:val="0"/>
              <w:divBdr>
                <w:top w:val="none" w:sz="0" w:space="0" w:color="auto"/>
                <w:left w:val="none" w:sz="0" w:space="0" w:color="auto"/>
                <w:bottom w:val="none" w:sz="0" w:space="0" w:color="auto"/>
                <w:right w:val="none" w:sz="0" w:space="0" w:color="auto"/>
              </w:divBdr>
            </w:div>
          </w:divsChild>
        </w:div>
        <w:div w:id="1849825946">
          <w:marLeft w:val="0"/>
          <w:marRight w:val="0"/>
          <w:marTop w:val="0"/>
          <w:marBottom w:val="0"/>
          <w:divBdr>
            <w:top w:val="none" w:sz="0" w:space="0" w:color="auto"/>
            <w:left w:val="none" w:sz="0" w:space="0" w:color="auto"/>
            <w:bottom w:val="none" w:sz="0" w:space="0" w:color="auto"/>
            <w:right w:val="none" w:sz="0" w:space="0" w:color="auto"/>
          </w:divBdr>
          <w:divsChild>
            <w:div w:id="282270601">
              <w:marLeft w:val="0"/>
              <w:marRight w:val="0"/>
              <w:marTop w:val="0"/>
              <w:marBottom w:val="0"/>
              <w:divBdr>
                <w:top w:val="none" w:sz="0" w:space="0" w:color="auto"/>
                <w:left w:val="none" w:sz="0" w:space="0" w:color="auto"/>
                <w:bottom w:val="none" w:sz="0" w:space="0" w:color="auto"/>
                <w:right w:val="none" w:sz="0" w:space="0" w:color="auto"/>
              </w:divBdr>
            </w:div>
          </w:divsChild>
        </w:div>
        <w:div w:id="1850556287">
          <w:marLeft w:val="0"/>
          <w:marRight w:val="0"/>
          <w:marTop w:val="0"/>
          <w:marBottom w:val="0"/>
          <w:divBdr>
            <w:top w:val="none" w:sz="0" w:space="0" w:color="auto"/>
            <w:left w:val="none" w:sz="0" w:space="0" w:color="auto"/>
            <w:bottom w:val="none" w:sz="0" w:space="0" w:color="auto"/>
            <w:right w:val="none" w:sz="0" w:space="0" w:color="auto"/>
          </w:divBdr>
          <w:divsChild>
            <w:div w:id="2087222183">
              <w:marLeft w:val="0"/>
              <w:marRight w:val="0"/>
              <w:marTop w:val="0"/>
              <w:marBottom w:val="0"/>
              <w:divBdr>
                <w:top w:val="none" w:sz="0" w:space="0" w:color="auto"/>
                <w:left w:val="none" w:sz="0" w:space="0" w:color="auto"/>
                <w:bottom w:val="none" w:sz="0" w:space="0" w:color="auto"/>
                <w:right w:val="none" w:sz="0" w:space="0" w:color="auto"/>
              </w:divBdr>
            </w:div>
          </w:divsChild>
        </w:div>
        <w:div w:id="1900895150">
          <w:marLeft w:val="0"/>
          <w:marRight w:val="0"/>
          <w:marTop w:val="0"/>
          <w:marBottom w:val="0"/>
          <w:divBdr>
            <w:top w:val="none" w:sz="0" w:space="0" w:color="auto"/>
            <w:left w:val="none" w:sz="0" w:space="0" w:color="auto"/>
            <w:bottom w:val="none" w:sz="0" w:space="0" w:color="auto"/>
            <w:right w:val="none" w:sz="0" w:space="0" w:color="auto"/>
          </w:divBdr>
          <w:divsChild>
            <w:div w:id="382214446">
              <w:marLeft w:val="0"/>
              <w:marRight w:val="0"/>
              <w:marTop w:val="0"/>
              <w:marBottom w:val="0"/>
              <w:divBdr>
                <w:top w:val="none" w:sz="0" w:space="0" w:color="auto"/>
                <w:left w:val="none" w:sz="0" w:space="0" w:color="auto"/>
                <w:bottom w:val="none" w:sz="0" w:space="0" w:color="auto"/>
                <w:right w:val="none" w:sz="0" w:space="0" w:color="auto"/>
              </w:divBdr>
            </w:div>
          </w:divsChild>
        </w:div>
        <w:div w:id="1912108949">
          <w:marLeft w:val="0"/>
          <w:marRight w:val="0"/>
          <w:marTop w:val="0"/>
          <w:marBottom w:val="0"/>
          <w:divBdr>
            <w:top w:val="none" w:sz="0" w:space="0" w:color="auto"/>
            <w:left w:val="none" w:sz="0" w:space="0" w:color="auto"/>
            <w:bottom w:val="none" w:sz="0" w:space="0" w:color="auto"/>
            <w:right w:val="none" w:sz="0" w:space="0" w:color="auto"/>
          </w:divBdr>
          <w:divsChild>
            <w:div w:id="659238288">
              <w:marLeft w:val="0"/>
              <w:marRight w:val="0"/>
              <w:marTop w:val="0"/>
              <w:marBottom w:val="0"/>
              <w:divBdr>
                <w:top w:val="none" w:sz="0" w:space="0" w:color="auto"/>
                <w:left w:val="none" w:sz="0" w:space="0" w:color="auto"/>
                <w:bottom w:val="none" w:sz="0" w:space="0" w:color="auto"/>
                <w:right w:val="none" w:sz="0" w:space="0" w:color="auto"/>
              </w:divBdr>
            </w:div>
          </w:divsChild>
        </w:div>
        <w:div w:id="1913852620">
          <w:marLeft w:val="0"/>
          <w:marRight w:val="0"/>
          <w:marTop w:val="0"/>
          <w:marBottom w:val="0"/>
          <w:divBdr>
            <w:top w:val="none" w:sz="0" w:space="0" w:color="auto"/>
            <w:left w:val="none" w:sz="0" w:space="0" w:color="auto"/>
            <w:bottom w:val="none" w:sz="0" w:space="0" w:color="auto"/>
            <w:right w:val="none" w:sz="0" w:space="0" w:color="auto"/>
          </w:divBdr>
          <w:divsChild>
            <w:div w:id="1693921350">
              <w:marLeft w:val="0"/>
              <w:marRight w:val="0"/>
              <w:marTop w:val="0"/>
              <w:marBottom w:val="0"/>
              <w:divBdr>
                <w:top w:val="none" w:sz="0" w:space="0" w:color="auto"/>
                <w:left w:val="none" w:sz="0" w:space="0" w:color="auto"/>
                <w:bottom w:val="none" w:sz="0" w:space="0" w:color="auto"/>
                <w:right w:val="none" w:sz="0" w:space="0" w:color="auto"/>
              </w:divBdr>
            </w:div>
          </w:divsChild>
        </w:div>
        <w:div w:id="1916474294">
          <w:marLeft w:val="0"/>
          <w:marRight w:val="0"/>
          <w:marTop w:val="0"/>
          <w:marBottom w:val="0"/>
          <w:divBdr>
            <w:top w:val="none" w:sz="0" w:space="0" w:color="auto"/>
            <w:left w:val="none" w:sz="0" w:space="0" w:color="auto"/>
            <w:bottom w:val="none" w:sz="0" w:space="0" w:color="auto"/>
            <w:right w:val="none" w:sz="0" w:space="0" w:color="auto"/>
          </w:divBdr>
          <w:divsChild>
            <w:div w:id="1073355847">
              <w:marLeft w:val="0"/>
              <w:marRight w:val="0"/>
              <w:marTop w:val="0"/>
              <w:marBottom w:val="0"/>
              <w:divBdr>
                <w:top w:val="none" w:sz="0" w:space="0" w:color="auto"/>
                <w:left w:val="none" w:sz="0" w:space="0" w:color="auto"/>
                <w:bottom w:val="none" w:sz="0" w:space="0" w:color="auto"/>
                <w:right w:val="none" w:sz="0" w:space="0" w:color="auto"/>
              </w:divBdr>
            </w:div>
          </w:divsChild>
        </w:div>
        <w:div w:id="1943680672">
          <w:marLeft w:val="0"/>
          <w:marRight w:val="0"/>
          <w:marTop w:val="0"/>
          <w:marBottom w:val="0"/>
          <w:divBdr>
            <w:top w:val="none" w:sz="0" w:space="0" w:color="auto"/>
            <w:left w:val="none" w:sz="0" w:space="0" w:color="auto"/>
            <w:bottom w:val="none" w:sz="0" w:space="0" w:color="auto"/>
            <w:right w:val="none" w:sz="0" w:space="0" w:color="auto"/>
          </w:divBdr>
          <w:divsChild>
            <w:div w:id="2014067115">
              <w:marLeft w:val="0"/>
              <w:marRight w:val="0"/>
              <w:marTop w:val="0"/>
              <w:marBottom w:val="0"/>
              <w:divBdr>
                <w:top w:val="none" w:sz="0" w:space="0" w:color="auto"/>
                <w:left w:val="none" w:sz="0" w:space="0" w:color="auto"/>
                <w:bottom w:val="none" w:sz="0" w:space="0" w:color="auto"/>
                <w:right w:val="none" w:sz="0" w:space="0" w:color="auto"/>
              </w:divBdr>
            </w:div>
          </w:divsChild>
        </w:div>
        <w:div w:id="1968970500">
          <w:marLeft w:val="0"/>
          <w:marRight w:val="0"/>
          <w:marTop w:val="0"/>
          <w:marBottom w:val="0"/>
          <w:divBdr>
            <w:top w:val="none" w:sz="0" w:space="0" w:color="auto"/>
            <w:left w:val="none" w:sz="0" w:space="0" w:color="auto"/>
            <w:bottom w:val="none" w:sz="0" w:space="0" w:color="auto"/>
            <w:right w:val="none" w:sz="0" w:space="0" w:color="auto"/>
          </w:divBdr>
          <w:divsChild>
            <w:div w:id="389962298">
              <w:marLeft w:val="0"/>
              <w:marRight w:val="0"/>
              <w:marTop w:val="0"/>
              <w:marBottom w:val="0"/>
              <w:divBdr>
                <w:top w:val="none" w:sz="0" w:space="0" w:color="auto"/>
                <w:left w:val="none" w:sz="0" w:space="0" w:color="auto"/>
                <w:bottom w:val="none" w:sz="0" w:space="0" w:color="auto"/>
                <w:right w:val="none" w:sz="0" w:space="0" w:color="auto"/>
              </w:divBdr>
            </w:div>
          </w:divsChild>
        </w:div>
        <w:div w:id="1990816432">
          <w:marLeft w:val="0"/>
          <w:marRight w:val="0"/>
          <w:marTop w:val="0"/>
          <w:marBottom w:val="0"/>
          <w:divBdr>
            <w:top w:val="none" w:sz="0" w:space="0" w:color="auto"/>
            <w:left w:val="none" w:sz="0" w:space="0" w:color="auto"/>
            <w:bottom w:val="none" w:sz="0" w:space="0" w:color="auto"/>
            <w:right w:val="none" w:sz="0" w:space="0" w:color="auto"/>
          </w:divBdr>
          <w:divsChild>
            <w:div w:id="20791837">
              <w:marLeft w:val="0"/>
              <w:marRight w:val="0"/>
              <w:marTop w:val="0"/>
              <w:marBottom w:val="0"/>
              <w:divBdr>
                <w:top w:val="none" w:sz="0" w:space="0" w:color="auto"/>
                <w:left w:val="none" w:sz="0" w:space="0" w:color="auto"/>
                <w:bottom w:val="none" w:sz="0" w:space="0" w:color="auto"/>
                <w:right w:val="none" w:sz="0" w:space="0" w:color="auto"/>
              </w:divBdr>
            </w:div>
          </w:divsChild>
        </w:div>
        <w:div w:id="1997803157">
          <w:marLeft w:val="0"/>
          <w:marRight w:val="0"/>
          <w:marTop w:val="0"/>
          <w:marBottom w:val="0"/>
          <w:divBdr>
            <w:top w:val="none" w:sz="0" w:space="0" w:color="auto"/>
            <w:left w:val="none" w:sz="0" w:space="0" w:color="auto"/>
            <w:bottom w:val="none" w:sz="0" w:space="0" w:color="auto"/>
            <w:right w:val="none" w:sz="0" w:space="0" w:color="auto"/>
          </w:divBdr>
          <w:divsChild>
            <w:div w:id="996154129">
              <w:marLeft w:val="0"/>
              <w:marRight w:val="0"/>
              <w:marTop w:val="0"/>
              <w:marBottom w:val="0"/>
              <w:divBdr>
                <w:top w:val="none" w:sz="0" w:space="0" w:color="auto"/>
                <w:left w:val="none" w:sz="0" w:space="0" w:color="auto"/>
                <w:bottom w:val="none" w:sz="0" w:space="0" w:color="auto"/>
                <w:right w:val="none" w:sz="0" w:space="0" w:color="auto"/>
              </w:divBdr>
            </w:div>
          </w:divsChild>
        </w:div>
        <w:div w:id="2019889980">
          <w:marLeft w:val="0"/>
          <w:marRight w:val="0"/>
          <w:marTop w:val="0"/>
          <w:marBottom w:val="0"/>
          <w:divBdr>
            <w:top w:val="none" w:sz="0" w:space="0" w:color="auto"/>
            <w:left w:val="none" w:sz="0" w:space="0" w:color="auto"/>
            <w:bottom w:val="none" w:sz="0" w:space="0" w:color="auto"/>
            <w:right w:val="none" w:sz="0" w:space="0" w:color="auto"/>
          </w:divBdr>
          <w:divsChild>
            <w:div w:id="1596326805">
              <w:marLeft w:val="0"/>
              <w:marRight w:val="0"/>
              <w:marTop w:val="0"/>
              <w:marBottom w:val="0"/>
              <w:divBdr>
                <w:top w:val="none" w:sz="0" w:space="0" w:color="auto"/>
                <w:left w:val="none" w:sz="0" w:space="0" w:color="auto"/>
                <w:bottom w:val="none" w:sz="0" w:space="0" w:color="auto"/>
                <w:right w:val="none" w:sz="0" w:space="0" w:color="auto"/>
              </w:divBdr>
            </w:div>
          </w:divsChild>
        </w:div>
        <w:div w:id="2045593473">
          <w:marLeft w:val="0"/>
          <w:marRight w:val="0"/>
          <w:marTop w:val="0"/>
          <w:marBottom w:val="0"/>
          <w:divBdr>
            <w:top w:val="none" w:sz="0" w:space="0" w:color="auto"/>
            <w:left w:val="none" w:sz="0" w:space="0" w:color="auto"/>
            <w:bottom w:val="none" w:sz="0" w:space="0" w:color="auto"/>
            <w:right w:val="none" w:sz="0" w:space="0" w:color="auto"/>
          </w:divBdr>
          <w:divsChild>
            <w:div w:id="1409109571">
              <w:marLeft w:val="0"/>
              <w:marRight w:val="0"/>
              <w:marTop w:val="0"/>
              <w:marBottom w:val="0"/>
              <w:divBdr>
                <w:top w:val="none" w:sz="0" w:space="0" w:color="auto"/>
                <w:left w:val="none" w:sz="0" w:space="0" w:color="auto"/>
                <w:bottom w:val="none" w:sz="0" w:space="0" w:color="auto"/>
                <w:right w:val="none" w:sz="0" w:space="0" w:color="auto"/>
              </w:divBdr>
            </w:div>
          </w:divsChild>
        </w:div>
        <w:div w:id="2059161446">
          <w:marLeft w:val="0"/>
          <w:marRight w:val="0"/>
          <w:marTop w:val="0"/>
          <w:marBottom w:val="0"/>
          <w:divBdr>
            <w:top w:val="none" w:sz="0" w:space="0" w:color="auto"/>
            <w:left w:val="none" w:sz="0" w:space="0" w:color="auto"/>
            <w:bottom w:val="none" w:sz="0" w:space="0" w:color="auto"/>
            <w:right w:val="none" w:sz="0" w:space="0" w:color="auto"/>
          </w:divBdr>
          <w:divsChild>
            <w:div w:id="1764254056">
              <w:marLeft w:val="0"/>
              <w:marRight w:val="0"/>
              <w:marTop w:val="0"/>
              <w:marBottom w:val="0"/>
              <w:divBdr>
                <w:top w:val="none" w:sz="0" w:space="0" w:color="auto"/>
                <w:left w:val="none" w:sz="0" w:space="0" w:color="auto"/>
                <w:bottom w:val="none" w:sz="0" w:space="0" w:color="auto"/>
                <w:right w:val="none" w:sz="0" w:space="0" w:color="auto"/>
              </w:divBdr>
            </w:div>
          </w:divsChild>
        </w:div>
        <w:div w:id="2095004581">
          <w:marLeft w:val="0"/>
          <w:marRight w:val="0"/>
          <w:marTop w:val="0"/>
          <w:marBottom w:val="0"/>
          <w:divBdr>
            <w:top w:val="none" w:sz="0" w:space="0" w:color="auto"/>
            <w:left w:val="none" w:sz="0" w:space="0" w:color="auto"/>
            <w:bottom w:val="none" w:sz="0" w:space="0" w:color="auto"/>
            <w:right w:val="none" w:sz="0" w:space="0" w:color="auto"/>
          </w:divBdr>
          <w:divsChild>
            <w:div w:id="405347300">
              <w:marLeft w:val="0"/>
              <w:marRight w:val="0"/>
              <w:marTop w:val="0"/>
              <w:marBottom w:val="0"/>
              <w:divBdr>
                <w:top w:val="none" w:sz="0" w:space="0" w:color="auto"/>
                <w:left w:val="none" w:sz="0" w:space="0" w:color="auto"/>
                <w:bottom w:val="none" w:sz="0" w:space="0" w:color="auto"/>
                <w:right w:val="none" w:sz="0" w:space="0" w:color="auto"/>
              </w:divBdr>
            </w:div>
          </w:divsChild>
        </w:div>
        <w:div w:id="2108185733">
          <w:marLeft w:val="0"/>
          <w:marRight w:val="0"/>
          <w:marTop w:val="0"/>
          <w:marBottom w:val="0"/>
          <w:divBdr>
            <w:top w:val="none" w:sz="0" w:space="0" w:color="auto"/>
            <w:left w:val="none" w:sz="0" w:space="0" w:color="auto"/>
            <w:bottom w:val="none" w:sz="0" w:space="0" w:color="auto"/>
            <w:right w:val="none" w:sz="0" w:space="0" w:color="auto"/>
          </w:divBdr>
          <w:divsChild>
            <w:div w:id="12286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0459">
      <w:bodyDiv w:val="1"/>
      <w:marLeft w:val="0"/>
      <w:marRight w:val="0"/>
      <w:marTop w:val="0"/>
      <w:marBottom w:val="0"/>
      <w:divBdr>
        <w:top w:val="none" w:sz="0" w:space="0" w:color="auto"/>
        <w:left w:val="none" w:sz="0" w:space="0" w:color="auto"/>
        <w:bottom w:val="none" w:sz="0" w:space="0" w:color="auto"/>
        <w:right w:val="none" w:sz="0" w:space="0" w:color="auto"/>
      </w:divBdr>
    </w:div>
    <w:div w:id="230039926">
      <w:bodyDiv w:val="1"/>
      <w:marLeft w:val="0"/>
      <w:marRight w:val="0"/>
      <w:marTop w:val="0"/>
      <w:marBottom w:val="0"/>
      <w:divBdr>
        <w:top w:val="none" w:sz="0" w:space="0" w:color="auto"/>
        <w:left w:val="none" w:sz="0" w:space="0" w:color="auto"/>
        <w:bottom w:val="none" w:sz="0" w:space="0" w:color="auto"/>
        <w:right w:val="none" w:sz="0" w:space="0" w:color="auto"/>
      </w:divBdr>
    </w:div>
    <w:div w:id="232590104">
      <w:bodyDiv w:val="1"/>
      <w:marLeft w:val="0"/>
      <w:marRight w:val="0"/>
      <w:marTop w:val="0"/>
      <w:marBottom w:val="0"/>
      <w:divBdr>
        <w:top w:val="none" w:sz="0" w:space="0" w:color="auto"/>
        <w:left w:val="none" w:sz="0" w:space="0" w:color="auto"/>
        <w:bottom w:val="none" w:sz="0" w:space="0" w:color="auto"/>
        <w:right w:val="none" w:sz="0" w:space="0" w:color="auto"/>
      </w:divBdr>
    </w:div>
    <w:div w:id="238177236">
      <w:bodyDiv w:val="1"/>
      <w:marLeft w:val="0"/>
      <w:marRight w:val="0"/>
      <w:marTop w:val="0"/>
      <w:marBottom w:val="0"/>
      <w:divBdr>
        <w:top w:val="none" w:sz="0" w:space="0" w:color="auto"/>
        <w:left w:val="none" w:sz="0" w:space="0" w:color="auto"/>
        <w:bottom w:val="none" w:sz="0" w:space="0" w:color="auto"/>
        <w:right w:val="none" w:sz="0" w:space="0" w:color="auto"/>
      </w:divBdr>
    </w:div>
    <w:div w:id="240067164">
      <w:bodyDiv w:val="1"/>
      <w:marLeft w:val="0"/>
      <w:marRight w:val="0"/>
      <w:marTop w:val="0"/>
      <w:marBottom w:val="0"/>
      <w:divBdr>
        <w:top w:val="none" w:sz="0" w:space="0" w:color="auto"/>
        <w:left w:val="none" w:sz="0" w:space="0" w:color="auto"/>
        <w:bottom w:val="none" w:sz="0" w:space="0" w:color="auto"/>
        <w:right w:val="none" w:sz="0" w:space="0" w:color="auto"/>
      </w:divBdr>
    </w:div>
    <w:div w:id="244535790">
      <w:bodyDiv w:val="1"/>
      <w:marLeft w:val="0"/>
      <w:marRight w:val="0"/>
      <w:marTop w:val="0"/>
      <w:marBottom w:val="0"/>
      <w:divBdr>
        <w:top w:val="none" w:sz="0" w:space="0" w:color="auto"/>
        <w:left w:val="none" w:sz="0" w:space="0" w:color="auto"/>
        <w:bottom w:val="none" w:sz="0" w:space="0" w:color="auto"/>
        <w:right w:val="none" w:sz="0" w:space="0" w:color="auto"/>
      </w:divBdr>
    </w:div>
    <w:div w:id="244806838">
      <w:bodyDiv w:val="1"/>
      <w:marLeft w:val="0"/>
      <w:marRight w:val="0"/>
      <w:marTop w:val="0"/>
      <w:marBottom w:val="0"/>
      <w:divBdr>
        <w:top w:val="none" w:sz="0" w:space="0" w:color="auto"/>
        <w:left w:val="none" w:sz="0" w:space="0" w:color="auto"/>
        <w:bottom w:val="none" w:sz="0" w:space="0" w:color="auto"/>
        <w:right w:val="none" w:sz="0" w:space="0" w:color="auto"/>
      </w:divBdr>
    </w:div>
    <w:div w:id="247227055">
      <w:bodyDiv w:val="1"/>
      <w:marLeft w:val="0"/>
      <w:marRight w:val="0"/>
      <w:marTop w:val="0"/>
      <w:marBottom w:val="0"/>
      <w:divBdr>
        <w:top w:val="none" w:sz="0" w:space="0" w:color="auto"/>
        <w:left w:val="none" w:sz="0" w:space="0" w:color="auto"/>
        <w:bottom w:val="none" w:sz="0" w:space="0" w:color="auto"/>
        <w:right w:val="none" w:sz="0" w:space="0" w:color="auto"/>
      </w:divBdr>
    </w:div>
    <w:div w:id="247429173">
      <w:bodyDiv w:val="1"/>
      <w:marLeft w:val="0"/>
      <w:marRight w:val="0"/>
      <w:marTop w:val="0"/>
      <w:marBottom w:val="0"/>
      <w:divBdr>
        <w:top w:val="none" w:sz="0" w:space="0" w:color="auto"/>
        <w:left w:val="none" w:sz="0" w:space="0" w:color="auto"/>
        <w:bottom w:val="none" w:sz="0" w:space="0" w:color="auto"/>
        <w:right w:val="none" w:sz="0" w:space="0" w:color="auto"/>
      </w:divBdr>
    </w:div>
    <w:div w:id="249199953">
      <w:bodyDiv w:val="1"/>
      <w:marLeft w:val="0"/>
      <w:marRight w:val="0"/>
      <w:marTop w:val="0"/>
      <w:marBottom w:val="0"/>
      <w:divBdr>
        <w:top w:val="none" w:sz="0" w:space="0" w:color="auto"/>
        <w:left w:val="none" w:sz="0" w:space="0" w:color="auto"/>
        <w:bottom w:val="none" w:sz="0" w:space="0" w:color="auto"/>
        <w:right w:val="none" w:sz="0" w:space="0" w:color="auto"/>
      </w:divBdr>
    </w:div>
    <w:div w:id="249658215">
      <w:bodyDiv w:val="1"/>
      <w:marLeft w:val="0"/>
      <w:marRight w:val="0"/>
      <w:marTop w:val="0"/>
      <w:marBottom w:val="0"/>
      <w:divBdr>
        <w:top w:val="none" w:sz="0" w:space="0" w:color="auto"/>
        <w:left w:val="none" w:sz="0" w:space="0" w:color="auto"/>
        <w:bottom w:val="none" w:sz="0" w:space="0" w:color="auto"/>
        <w:right w:val="none" w:sz="0" w:space="0" w:color="auto"/>
      </w:divBdr>
    </w:div>
    <w:div w:id="256326026">
      <w:bodyDiv w:val="1"/>
      <w:marLeft w:val="0"/>
      <w:marRight w:val="0"/>
      <w:marTop w:val="0"/>
      <w:marBottom w:val="0"/>
      <w:divBdr>
        <w:top w:val="none" w:sz="0" w:space="0" w:color="auto"/>
        <w:left w:val="none" w:sz="0" w:space="0" w:color="auto"/>
        <w:bottom w:val="none" w:sz="0" w:space="0" w:color="auto"/>
        <w:right w:val="none" w:sz="0" w:space="0" w:color="auto"/>
      </w:divBdr>
    </w:div>
    <w:div w:id="262107458">
      <w:bodyDiv w:val="1"/>
      <w:marLeft w:val="0"/>
      <w:marRight w:val="0"/>
      <w:marTop w:val="0"/>
      <w:marBottom w:val="0"/>
      <w:divBdr>
        <w:top w:val="none" w:sz="0" w:space="0" w:color="auto"/>
        <w:left w:val="none" w:sz="0" w:space="0" w:color="auto"/>
        <w:bottom w:val="none" w:sz="0" w:space="0" w:color="auto"/>
        <w:right w:val="none" w:sz="0" w:space="0" w:color="auto"/>
      </w:divBdr>
    </w:div>
    <w:div w:id="262807508">
      <w:bodyDiv w:val="1"/>
      <w:marLeft w:val="0"/>
      <w:marRight w:val="0"/>
      <w:marTop w:val="0"/>
      <w:marBottom w:val="0"/>
      <w:divBdr>
        <w:top w:val="none" w:sz="0" w:space="0" w:color="auto"/>
        <w:left w:val="none" w:sz="0" w:space="0" w:color="auto"/>
        <w:bottom w:val="none" w:sz="0" w:space="0" w:color="auto"/>
        <w:right w:val="none" w:sz="0" w:space="0" w:color="auto"/>
      </w:divBdr>
    </w:div>
    <w:div w:id="271983797">
      <w:bodyDiv w:val="1"/>
      <w:marLeft w:val="0"/>
      <w:marRight w:val="0"/>
      <w:marTop w:val="0"/>
      <w:marBottom w:val="0"/>
      <w:divBdr>
        <w:top w:val="none" w:sz="0" w:space="0" w:color="auto"/>
        <w:left w:val="none" w:sz="0" w:space="0" w:color="auto"/>
        <w:bottom w:val="none" w:sz="0" w:space="0" w:color="auto"/>
        <w:right w:val="none" w:sz="0" w:space="0" w:color="auto"/>
      </w:divBdr>
    </w:div>
    <w:div w:id="273368575">
      <w:bodyDiv w:val="1"/>
      <w:marLeft w:val="0"/>
      <w:marRight w:val="0"/>
      <w:marTop w:val="0"/>
      <w:marBottom w:val="0"/>
      <w:divBdr>
        <w:top w:val="none" w:sz="0" w:space="0" w:color="auto"/>
        <w:left w:val="none" w:sz="0" w:space="0" w:color="auto"/>
        <w:bottom w:val="none" w:sz="0" w:space="0" w:color="auto"/>
        <w:right w:val="none" w:sz="0" w:space="0" w:color="auto"/>
      </w:divBdr>
    </w:div>
    <w:div w:id="277220861">
      <w:bodyDiv w:val="1"/>
      <w:marLeft w:val="0"/>
      <w:marRight w:val="0"/>
      <w:marTop w:val="0"/>
      <w:marBottom w:val="0"/>
      <w:divBdr>
        <w:top w:val="none" w:sz="0" w:space="0" w:color="auto"/>
        <w:left w:val="none" w:sz="0" w:space="0" w:color="auto"/>
        <w:bottom w:val="none" w:sz="0" w:space="0" w:color="auto"/>
        <w:right w:val="none" w:sz="0" w:space="0" w:color="auto"/>
      </w:divBdr>
    </w:div>
    <w:div w:id="284235887">
      <w:bodyDiv w:val="1"/>
      <w:marLeft w:val="0"/>
      <w:marRight w:val="0"/>
      <w:marTop w:val="0"/>
      <w:marBottom w:val="0"/>
      <w:divBdr>
        <w:top w:val="none" w:sz="0" w:space="0" w:color="auto"/>
        <w:left w:val="none" w:sz="0" w:space="0" w:color="auto"/>
        <w:bottom w:val="none" w:sz="0" w:space="0" w:color="auto"/>
        <w:right w:val="none" w:sz="0" w:space="0" w:color="auto"/>
      </w:divBdr>
    </w:div>
    <w:div w:id="284625678">
      <w:bodyDiv w:val="1"/>
      <w:marLeft w:val="0"/>
      <w:marRight w:val="0"/>
      <w:marTop w:val="0"/>
      <w:marBottom w:val="0"/>
      <w:divBdr>
        <w:top w:val="none" w:sz="0" w:space="0" w:color="auto"/>
        <w:left w:val="none" w:sz="0" w:space="0" w:color="auto"/>
        <w:bottom w:val="none" w:sz="0" w:space="0" w:color="auto"/>
        <w:right w:val="none" w:sz="0" w:space="0" w:color="auto"/>
      </w:divBdr>
    </w:div>
    <w:div w:id="286397095">
      <w:bodyDiv w:val="1"/>
      <w:marLeft w:val="0"/>
      <w:marRight w:val="0"/>
      <w:marTop w:val="0"/>
      <w:marBottom w:val="0"/>
      <w:divBdr>
        <w:top w:val="none" w:sz="0" w:space="0" w:color="auto"/>
        <w:left w:val="none" w:sz="0" w:space="0" w:color="auto"/>
        <w:bottom w:val="none" w:sz="0" w:space="0" w:color="auto"/>
        <w:right w:val="none" w:sz="0" w:space="0" w:color="auto"/>
      </w:divBdr>
    </w:div>
    <w:div w:id="287398386">
      <w:bodyDiv w:val="1"/>
      <w:marLeft w:val="0"/>
      <w:marRight w:val="0"/>
      <w:marTop w:val="0"/>
      <w:marBottom w:val="0"/>
      <w:divBdr>
        <w:top w:val="none" w:sz="0" w:space="0" w:color="auto"/>
        <w:left w:val="none" w:sz="0" w:space="0" w:color="auto"/>
        <w:bottom w:val="none" w:sz="0" w:space="0" w:color="auto"/>
        <w:right w:val="none" w:sz="0" w:space="0" w:color="auto"/>
      </w:divBdr>
    </w:div>
    <w:div w:id="287668223">
      <w:bodyDiv w:val="1"/>
      <w:marLeft w:val="0"/>
      <w:marRight w:val="0"/>
      <w:marTop w:val="0"/>
      <w:marBottom w:val="0"/>
      <w:divBdr>
        <w:top w:val="none" w:sz="0" w:space="0" w:color="auto"/>
        <w:left w:val="none" w:sz="0" w:space="0" w:color="auto"/>
        <w:bottom w:val="none" w:sz="0" w:space="0" w:color="auto"/>
        <w:right w:val="none" w:sz="0" w:space="0" w:color="auto"/>
      </w:divBdr>
    </w:div>
    <w:div w:id="294070742">
      <w:bodyDiv w:val="1"/>
      <w:marLeft w:val="0"/>
      <w:marRight w:val="0"/>
      <w:marTop w:val="0"/>
      <w:marBottom w:val="0"/>
      <w:divBdr>
        <w:top w:val="none" w:sz="0" w:space="0" w:color="auto"/>
        <w:left w:val="none" w:sz="0" w:space="0" w:color="auto"/>
        <w:bottom w:val="none" w:sz="0" w:space="0" w:color="auto"/>
        <w:right w:val="none" w:sz="0" w:space="0" w:color="auto"/>
      </w:divBdr>
    </w:div>
    <w:div w:id="297221723">
      <w:bodyDiv w:val="1"/>
      <w:marLeft w:val="0"/>
      <w:marRight w:val="0"/>
      <w:marTop w:val="0"/>
      <w:marBottom w:val="0"/>
      <w:divBdr>
        <w:top w:val="none" w:sz="0" w:space="0" w:color="auto"/>
        <w:left w:val="none" w:sz="0" w:space="0" w:color="auto"/>
        <w:bottom w:val="none" w:sz="0" w:space="0" w:color="auto"/>
        <w:right w:val="none" w:sz="0" w:space="0" w:color="auto"/>
      </w:divBdr>
      <w:divsChild>
        <w:div w:id="627472612">
          <w:marLeft w:val="0"/>
          <w:marRight w:val="0"/>
          <w:marTop w:val="0"/>
          <w:marBottom w:val="0"/>
          <w:divBdr>
            <w:top w:val="none" w:sz="0" w:space="0" w:color="auto"/>
            <w:left w:val="none" w:sz="0" w:space="0" w:color="auto"/>
            <w:bottom w:val="none" w:sz="0" w:space="0" w:color="auto"/>
            <w:right w:val="none" w:sz="0" w:space="0" w:color="auto"/>
          </w:divBdr>
          <w:divsChild>
            <w:div w:id="928540016">
              <w:marLeft w:val="0"/>
              <w:marRight w:val="0"/>
              <w:marTop w:val="0"/>
              <w:marBottom w:val="0"/>
              <w:divBdr>
                <w:top w:val="none" w:sz="0" w:space="0" w:color="auto"/>
                <w:left w:val="none" w:sz="0" w:space="0" w:color="auto"/>
                <w:bottom w:val="none" w:sz="0" w:space="0" w:color="auto"/>
                <w:right w:val="none" w:sz="0" w:space="0" w:color="auto"/>
              </w:divBdr>
            </w:div>
          </w:divsChild>
        </w:div>
        <w:div w:id="1345742061">
          <w:marLeft w:val="0"/>
          <w:marRight w:val="0"/>
          <w:marTop w:val="0"/>
          <w:marBottom w:val="0"/>
          <w:divBdr>
            <w:top w:val="none" w:sz="0" w:space="0" w:color="auto"/>
            <w:left w:val="none" w:sz="0" w:space="0" w:color="auto"/>
            <w:bottom w:val="none" w:sz="0" w:space="0" w:color="auto"/>
            <w:right w:val="none" w:sz="0" w:space="0" w:color="auto"/>
          </w:divBdr>
          <w:divsChild>
            <w:div w:id="1443499289">
              <w:marLeft w:val="0"/>
              <w:marRight w:val="0"/>
              <w:marTop w:val="0"/>
              <w:marBottom w:val="0"/>
              <w:divBdr>
                <w:top w:val="none" w:sz="0" w:space="0" w:color="auto"/>
                <w:left w:val="none" w:sz="0" w:space="0" w:color="auto"/>
                <w:bottom w:val="none" w:sz="0" w:space="0" w:color="auto"/>
                <w:right w:val="none" w:sz="0" w:space="0" w:color="auto"/>
              </w:divBdr>
            </w:div>
            <w:div w:id="1866753554">
              <w:marLeft w:val="0"/>
              <w:marRight w:val="0"/>
              <w:marTop w:val="0"/>
              <w:marBottom w:val="0"/>
              <w:divBdr>
                <w:top w:val="none" w:sz="0" w:space="0" w:color="auto"/>
                <w:left w:val="none" w:sz="0" w:space="0" w:color="auto"/>
                <w:bottom w:val="none" w:sz="0" w:space="0" w:color="auto"/>
                <w:right w:val="none" w:sz="0" w:space="0" w:color="auto"/>
              </w:divBdr>
            </w:div>
            <w:div w:id="2078475109">
              <w:marLeft w:val="0"/>
              <w:marRight w:val="0"/>
              <w:marTop w:val="0"/>
              <w:marBottom w:val="0"/>
              <w:divBdr>
                <w:top w:val="none" w:sz="0" w:space="0" w:color="auto"/>
                <w:left w:val="none" w:sz="0" w:space="0" w:color="auto"/>
                <w:bottom w:val="none" w:sz="0" w:space="0" w:color="auto"/>
                <w:right w:val="none" w:sz="0" w:space="0" w:color="auto"/>
              </w:divBdr>
            </w:div>
            <w:div w:id="2078699370">
              <w:marLeft w:val="0"/>
              <w:marRight w:val="0"/>
              <w:marTop w:val="0"/>
              <w:marBottom w:val="0"/>
              <w:divBdr>
                <w:top w:val="none" w:sz="0" w:space="0" w:color="auto"/>
                <w:left w:val="none" w:sz="0" w:space="0" w:color="auto"/>
                <w:bottom w:val="none" w:sz="0" w:space="0" w:color="auto"/>
                <w:right w:val="none" w:sz="0" w:space="0" w:color="auto"/>
              </w:divBdr>
            </w:div>
          </w:divsChild>
        </w:div>
        <w:div w:id="1555695800">
          <w:marLeft w:val="0"/>
          <w:marRight w:val="0"/>
          <w:marTop w:val="0"/>
          <w:marBottom w:val="0"/>
          <w:divBdr>
            <w:top w:val="none" w:sz="0" w:space="0" w:color="auto"/>
            <w:left w:val="none" w:sz="0" w:space="0" w:color="auto"/>
            <w:bottom w:val="none" w:sz="0" w:space="0" w:color="auto"/>
            <w:right w:val="none" w:sz="0" w:space="0" w:color="auto"/>
          </w:divBdr>
          <w:divsChild>
            <w:div w:id="461312547">
              <w:marLeft w:val="0"/>
              <w:marRight w:val="0"/>
              <w:marTop w:val="0"/>
              <w:marBottom w:val="0"/>
              <w:divBdr>
                <w:top w:val="none" w:sz="0" w:space="0" w:color="auto"/>
                <w:left w:val="none" w:sz="0" w:space="0" w:color="auto"/>
                <w:bottom w:val="none" w:sz="0" w:space="0" w:color="auto"/>
                <w:right w:val="none" w:sz="0" w:space="0" w:color="auto"/>
              </w:divBdr>
            </w:div>
            <w:div w:id="1141845366">
              <w:marLeft w:val="0"/>
              <w:marRight w:val="0"/>
              <w:marTop w:val="0"/>
              <w:marBottom w:val="0"/>
              <w:divBdr>
                <w:top w:val="none" w:sz="0" w:space="0" w:color="auto"/>
                <w:left w:val="none" w:sz="0" w:space="0" w:color="auto"/>
                <w:bottom w:val="none" w:sz="0" w:space="0" w:color="auto"/>
                <w:right w:val="none" w:sz="0" w:space="0" w:color="auto"/>
              </w:divBdr>
            </w:div>
            <w:div w:id="1633632973">
              <w:marLeft w:val="0"/>
              <w:marRight w:val="0"/>
              <w:marTop w:val="0"/>
              <w:marBottom w:val="0"/>
              <w:divBdr>
                <w:top w:val="none" w:sz="0" w:space="0" w:color="auto"/>
                <w:left w:val="none" w:sz="0" w:space="0" w:color="auto"/>
                <w:bottom w:val="none" w:sz="0" w:space="0" w:color="auto"/>
                <w:right w:val="none" w:sz="0" w:space="0" w:color="auto"/>
              </w:divBdr>
            </w:div>
            <w:div w:id="1921719521">
              <w:marLeft w:val="0"/>
              <w:marRight w:val="0"/>
              <w:marTop w:val="0"/>
              <w:marBottom w:val="0"/>
              <w:divBdr>
                <w:top w:val="none" w:sz="0" w:space="0" w:color="auto"/>
                <w:left w:val="none" w:sz="0" w:space="0" w:color="auto"/>
                <w:bottom w:val="none" w:sz="0" w:space="0" w:color="auto"/>
                <w:right w:val="none" w:sz="0" w:space="0" w:color="auto"/>
              </w:divBdr>
            </w:div>
          </w:divsChild>
        </w:div>
        <w:div w:id="1597058237">
          <w:marLeft w:val="0"/>
          <w:marRight w:val="0"/>
          <w:marTop w:val="0"/>
          <w:marBottom w:val="0"/>
          <w:divBdr>
            <w:top w:val="none" w:sz="0" w:space="0" w:color="auto"/>
            <w:left w:val="none" w:sz="0" w:space="0" w:color="auto"/>
            <w:bottom w:val="none" w:sz="0" w:space="0" w:color="auto"/>
            <w:right w:val="none" w:sz="0" w:space="0" w:color="auto"/>
          </w:divBdr>
          <w:divsChild>
            <w:div w:id="1901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48650">
      <w:bodyDiv w:val="1"/>
      <w:marLeft w:val="0"/>
      <w:marRight w:val="0"/>
      <w:marTop w:val="0"/>
      <w:marBottom w:val="0"/>
      <w:divBdr>
        <w:top w:val="none" w:sz="0" w:space="0" w:color="auto"/>
        <w:left w:val="none" w:sz="0" w:space="0" w:color="auto"/>
        <w:bottom w:val="none" w:sz="0" w:space="0" w:color="auto"/>
        <w:right w:val="none" w:sz="0" w:space="0" w:color="auto"/>
      </w:divBdr>
    </w:div>
    <w:div w:id="300623004">
      <w:bodyDiv w:val="1"/>
      <w:marLeft w:val="0"/>
      <w:marRight w:val="0"/>
      <w:marTop w:val="0"/>
      <w:marBottom w:val="0"/>
      <w:divBdr>
        <w:top w:val="none" w:sz="0" w:space="0" w:color="auto"/>
        <w:left w:val="none" w:sz="0" w:space="0" w:color="auto"/>
        <w:bottom w:val="none" w:sz="0" w:space="0" w:color="auto"/>
        <w:right w:val="none" w:sz="0" w:space="0" w:color="auto"/>
      </w:divBdr>
    </w:div>
    <w:div w:id="303049189">
      <w:bodyDiv w:val="1"/>
      <w:marLeft w:val="0"/>
      <w:marRight w:val="0"/>
      <w:marTop w:val="0"/>
      <w:marBottom w:val="0"/>
      <w:divBdr>
        <w:top w:val="none" w:sz="0" w:space="0" w:color="auto"/>
        <w:left w:val="none" w:sz="0" w:space="0" w:color="auto"/>
        <w:bottom w:val="none" w:sz="0" w:space="0" w:color="auto"/>
        <w:right w:val="none" w:sz="0" w:space="0" w:color="auto"/>
      </w:divBdr>
    </w:div>
    <w:div w:id="303437761">
      <w:bodyDiv w:val="1"/>
      <w:marLeft w:val="0"/>
      <w:marRight w:val="0"/>
      <w:marTop w:val="0"/>
      <w:marBottom w:val="0"/>
      <w:divBdr>
        <w:top w:val="none" w:sz="0" w:space="0" w:color="auto"/>
        <w:left w:val="none" w:sz="0" w:space="0" w:color="auto"/>
        <w:bottom w:val="none" w:sz="0" w:space="0" w:color="auto"/>
        <w:right w:val="none" w:sz="0" w:space="0" w:color="auto"/>
      </w:divBdr>
    </w:div>
    <w:div w:id="304355454">
      <w:bodyDiv w:val="1"/>
      <w:marLeft w:val="0"/>
      <w:marRight w:val="0"/>
      <w:marTop w:val="0"/>
      <w:marBottom w:val="0"/>
      <w:divBdr>
        <w:top w:val="none" w:sz="0" w:space="0" w:color="auto"/>
        <w:left w:val="none" w:sz="0" w:space="0" w:color="auto"/>
        <w:bottom w:val="none" w:sz="0" w:space="0" w:color="auto"/>
        <w:right w:val="none" w:sz="0" w:space="0" w:color="auto"/>
      </w:divBdr>
    </w:div>
    <w:div w:id="310868974">
      <w:bodyDiv w:val="1"/>
      <w:marLeft w:val="0"/>
      <w:marRight w:val="0"/>
      <w:marTop w:val="0"/>
      <w:marBottom w:val="0"/>
      <w:divBdr>
        <w:top w:val="none" w:sz="0" w:space="0" w:color="auto"/>
        <w:left w:val="none" w:sz="0" w:space="0" w:color="auto"/>
        <w:bottom w:val="none" w:sz="0" w:space="0" w:color="auto"/>
        <w:right w:val="none" w:sz="0" w:space="0" w:color="auto"/>
      </w:divBdr>
    </w:div>
    <w:div w:id="314798558">
      <w:bodyDiv w:val="1"/>
      <w:marLeft w:val="0"/>
      <w:marRight w:val="0"/>
      <w:marTop w:val="0"/>
      <w:marBottom w:val="0"/>
      <w:divBdr>
        <w:top w:val="none" w:sz="0" w:space="0" w:color="auto"/>
        <w:left w:val="none" w:sz="0" w:space="0" w:color="auto"/>
        <w:bottom w:val="none" w:sz="0" w:space="0" w:color="auto"/>
        <w:right w:val="none" w:sz="0" w:space="0" w:color="auto"/>
      </w:divBdr>
    </w:div>
    <w:div w:id="319693417">
      <w:bodyDiv w:val="1"/>
      <w:marLeft w:val="0"/>
      <w:marRight w:val="0"/>
      <w:marTop w:val="0"/>
      <w:marBottom w:val="0"/>
      <w:divBdr>
        <w:top w:val="none" w:sz="0" w:space="0" w:color="auto"/>
        <w:left w:val="none" w:sz="0" w:space="0" w:color="auto"/>
        <w:bottom w:val="none" w:sz="0" w:space="0" w:color="auto"/>
        <w:right w:val="none" w:sz="0" w:space="0" w:color="auto"/>
      </w:divBdr>
    </w:div>
    <w:div w:id="320354030">
      <w:bodyDiv w:val="1"/>
      <w:marLeft w:val="0"/>
      <w:marRight w:val="0"/>
      <w:marTop w:val="0"/>
      <w:marBottom w:val="0"/>
      <w:divBdr>
        <w:top w:val="none" w:sz="0" w:space="0" w:color="auto"/>
        <w:left w:val="none" w:sz="0" w:space="0" w:color="auto"/>
        <w:bottom w:val="none" w:sz="0" w:space="0" w:color="auto"/>
        <w:right w:val="none" w:sz="0" w:space="0" w:color="auto"/>
      </w:divBdr>
    </w:div>
    <w:div w:id="321854109">
      <w:bodyDiv w:val="1"/>
      <w:marLeft w:val="0"/>
      <w:marRight w:val="0"/>
      <w:marTop w:val="0"/>
      <w:marBottom w:val="0"/>
      <w:divBdr>
        <w:top w:val="none" w:sz="0" w:space="0" w:color="auto"/>
        <w:left w:val="none" w:sz="0" w:space="0" w:color="auto"/>
        <w:bottom w:val="none" w:sz="0" w:space="0" w:color="auto"/>
        <w:right w:val="none" w:sz="0" w:space="0" w:color="auto"/>
      </w:divBdr>
    </w:div>
    <w:div w:id="328489129">
      <w:bodyDiv w:val="1"/>
      <w:marLeft w:val="0"/>
      <w:marRight w:val="0"/>
      <w:marTop w:val="0"/>
      <w:marBottom w:val="0"/>
      <w:divBdr>
        <w:top w:val="none" w:sz="0" w:space="0" w:color="auto"/>
        <w:left w:val="none" w:sz="0" w:space="0" w:color="auto"/>
        <w:bottom w:val="none" w:sz="0" w:space="0" w:color="auto"/>
        <w:right w:val="none" w:sz="0" w:space="0" w:color="auto"/>
      </w:divBdr>
    </w:div>
    <w:div w:id="329413334">
      <w:bodyDiv w:val="1"/>
      <w:marLeft w:val="0"/>
      <w:marRight w:val="0"/>
      <w:marTop w:val="0"/>
      <w:marBottom w:val="0"/>
      <w:divBdr>
        <w:top w:val="none" w:sz="0" w:space="0" w:color="auto"/>
        <w:left w:val="none" w:sz="0" w:space="0" w:color="auto"/>
        <w:bottom w:val="none" w:sz="0" w:space="0" w:color="auto"/>
        <w:right w:val="none" w:sz="0" w:space="0" w:color="auto"/>
      </w:divBdr>
    </w:div>
    <w:div w:id="329719667">
      <w:bodyDiv w:val="1"/>
      <w:marLeft w:val="0"/>
      <w:marRight w:val="0"/>
      <w:marTop w:val="0"/>
      <w:marBottom w:val="0"/>
      <w:divBdr>
        <w:top w:val="none" w:sz="0" w:space="0" w:color="auto"/>
        <w:left w:val="none" w:sz="0" w:space="0" w:color="auto"/>
        <w:bottom w:val="none" w:sz="0" w:space="0" w:color="auto"/>
        <w:right w:val="none" w:sz="0" w:space="0" w:color="auto"/>
      </w:divBdr>
    </w:div>
    <w:div w:id="331105496">
      <w:bodyDiv w:val="1"/>
      <w:marLeft w:val="0"/>
      <w:marRight w:val="0"/>
      <w:marTop w:val="0"/>
      <w:marBottom w:val="0"/>
      <w:divBdr>
        <w:top w:val="none" w:sz="0" w:space="0" w:color="auto"/>
        <w:left w:val="none" w:sz="0" w:space="0" w:color="auto"/>
        <w:bottom w:val="none" w:sz="0" w:space="0" w:color="auto"/>
        <w:right w:val="none" w:sz="0" w:space="0" w:color="auto"/>
      </w:divBdr>
    </w:div>
    <w:div w:id="340545198">
      <w:bodyDiv w:val="1"/>
      <w:marLeft w:val="0"/>
      <w:marRight w:val="0"/>
      <w:marTop w:val="0"/>
      <w:marBottom w:val="0"/>
      <w:divBdr>
        <w:top w:val="none" w:sz="0" w:space="0" w:color="auto"/>
        <w:left w:val="none" w:sz="0" w:space="0" w:color="auto"/>
        <w:bottom w:val="none" w:sz="0" w:space="0" w:color="auto"/>
        <w:right w:val="none" w:sz="0" w:space="0" w:color="auto"/>
      </w:divBdr>
    </w:div>
    <w:div w:id="344864147">
      <w:bodyDiv w:val="1"/>
      <w:marLeft w:val="0"/>
      <w:marRight w:val="0"/>
      <w:marTop w:val="0"/>
      <w:marBottom w:val="0"/>
      <w:divBdr>
        <w:top w:val="none" w:sz="0" w:space="0" w:color="auto"/>
        <w:left w:val="none" w:sz="0" w:space="0" w:color="auto"/>
        <w:bottom w:val="none" w:sz="0" w:space="0" w:color="auto"/>
        <w:right w:val="none" w:sz="0" w:space="0" w:color="auto"/>
      </w:divBdr>
    </w:div>
    <w:div w:id="345600822">
      <w:bodyDiv w:val="1"/>
      <w:marLeft w:val="0"/>
      <w:marRight w:val="0"/>
      <w:marTop w:val="0"/>
      <w:marBottom w:val="0"/>
      <w:divBdr>
        <w:top w:val="none" w:sz="0" w:space="0" w:color="auto"/>
        <w:left w:val="none" w:sz="0" w:space="0" w:color="auto"/>
        <w:bottom w:val="none" w:sz="0" w:space="0" w:color="auto"/>
        <w:right w:val="none" w:sz="0" w:space="0" w:color="auto"/>
      </w:divBdr>
    </w:div>
    <w:div w:id="352070537">
      <w:bodyDiv w:val="1"/>
      <w:marLeft w:val="0"/>
      <w:marRight w:val="0"/>
      <w:marTop w:val="0"/>
      <w:marBottom w:val="0"/>
      <w:divBdr>
        <w:top w:val="none" w:sz="0" w:space="0" w:color="auto"/>
        <w:left w:val="none" w:sz="0" w:space="0" w:color="auto"/>
        <w:bottom w:val="none" w:sz="0" w:space="0" w:color="auto"/>
        <w:right w:val="none" w:sz="0" w:space="0" w:color="auto"/>
      </w:divBdr>
    </w:div>
    <w:div w:id="352346013">
      <w:bodyDiv w:val="1"/>
      <w:marLeft w:val="0"/>
      <w:marRight w:val="0"/>
      <w:marTop w:val="0"/>
      <w:marBottom w:val="0"/>
      <w:divBdr>
        <w:top w:val="none" w:sz="0" w:space="0" w:color="auto"/>
        <w:left w:val="none" w:sz="0" w:space="0" w:color="auto"/>
        <w:bottom w:val="none" w:sz="0" w:space="0" w:color="auto"/>
        <w:right w:val="none" w:sz="0" w:space="0" w:color="auto"/>
      </w:divBdr>
    </w:div>
    <w:div w:id="357198685">
      <w:bodyDiv w:val="1"/>
      <w:marLeft w:val="0"/>
      <w:marRight w:val="0"/>
      <w:marTop w:val="0"/>
      <w:marBottom w:val="0"/>
      <w:divBdr>
        <w:top w:val="none" w:sz="0" w:space="0" w:color="auto"/>
        <w:left w:val="none" w:sz="0" w:space="0" w:color="auto"/>
        <w:bottom w:val="none" w:sz="0" w:space="0" w:color="auto"/>
        <w:right w:val="none" w:sz="0" w:space="0" w:color="auto"/>
      </w:divBdr>
    </w:div>
    <w:div w:id="358165293">
      <w:bodyDiv w:val="1"/>
      <w:marLeft w:val="0"/>
      <w:marRight w:val="0"/>
      <w:marTop w:val="0"/>
      <w:marBottom w:val="0"/>
      <w:divBdr>
        <w:top w:val="none" w:sz="0" w:space="0" w:color="auto"/>
        <w:left w:val="none" w:sz="0" w:space="0" w:color="auto"/>
        <w:bottom w:val="none" w:sz="0" w:space="0" w:color="auto"/>
        <w:right w:val="none" w:sz="0" w:space="0" w:color="auto"/>
      </w:divBdr>
    </w:div>
    <w:div w:id="367028062">
      <w:bodyDiv w:val="1"/>
      <w:marLeft w:val="0"/>
      <w:marRight w:val="0"/>
      <w:marTop w:val="0"/>
      <w:marBottom w:val="0"/>
      <w:divBdr>
        <w:top w:val="none" w:sz="0" w:space="0" w:color="auto"/>
        <w:left w:val="none" w:sz="0" w:space="0" w:color="auto"/>
        <w:bottom w:val="none" w:sz="0" w:space="0" w:color="auto"/>
        <w:right w:val="none" w:sz="0" w:space="0" w:color="auto"/>
      </w:divBdr>
    </w:div>
    <w:div w:id="367529948">
      <w:bodyDiv w:val="1"/>
      <w:marLeft w:val="0"/>
      <w:marRight w:val="0"/>
      <w:marTop w:val="0"/>
      <w:marBottom w:val="0"/>
      <w:divBdr>
        <w:top w:val="none" w:sz="0" w:space="0" w:color="auto"/>
        <w:left w:val="none" w:sz="0" w:space="0" w:color="auto"/>
        <w:bottom w:val="none" w:sz="0" w:space="0" w:color="auto"/>
        <w:right w:val="none" w:sz="0" w:space="0" w:color="auto"/>
      </w:divBdr>
    </w:div>
    <w:div w:id="370108409">
      <w:bodyDiv w:val="1"/>
      <w:marLeft w:val="0"/>
      <w:marRight w:val="0"/>
      <w:marTop w:val="0"/>
      <w:marBottom w:val="0"/>
      <w:divBdr>
        <w:top w:val="none" w:sz="0" w:space="0" w:color="auto"/>
        <w:left w:val="none" w:sz="0" w:space="0" w:color="auto"/>
        <w:bottom w:val="none" w:sz="0" w:space="0" w:color="auto"/>
        <w:right w:val="none" w:sz="0" w:space="0" w:color="auto"/>
      </w:divBdr>
    </w:div>
    <w:div w:id="371078040">
      <w:bodyDiv w:val="1"/>
      <w:marLeft w:val="0"/>
      <w:marRight w:val="0"/>
      <w:marTop w:val="0"/>
      <w:marBottom w:val="0"/>
      <w:divBdr>
        <w:top w:val="none" w:sz="0" w:space="0" w:color="auto"/>
        <w:left w:val="none" w:sz="0" w:space="0" w:color="auto"/>
        <w:bottom w:val="none" w:sz="0" w:space="0" w:color="auto"/>
        <w:right w:val="none" w:sz="0" w:space="0" w:color="auto"/>
      </w:divBdr>
    </w:div>
    <w:div w:id="377900166">
      <w:bodyDiv w:val="1"/>
      <w:marLeft w:val="0"/>
      <w:marRight w:val="0"/>
      <w:marTop w:val="0"/>
      <w:marBottom w:val="0"/>
      <w:divBdr>
        <w:top w:val="none" w:sz="0" w:space="0" w:color="auto"/>
        <w:left w:val="none" w:sz="0" w:space="0" w:color="auto"/>
        <w:bottom w:val="none" w:sz="0" w:space="0" w:color="auto"/>
        <w:right w:val="none" w:sz="0" w:space="0" w:color="auto"/>
      </w:divBdr>
    </w:div>
    <w:div w:id="380789272">
      <w:bodyDiv w:val="1"/>
      <w:marLeft w:val="0"/>
      <w:marRight w:val="0"/>
      <w:marTop w:val="0"/>
      <w:marBottom w:val="0"/>
      <w:divBdr>
        <w:top w:val="none" w:sz="0" w:space="0" w:color="auto"/>
        <w:left w:val="none" w:sz="0" w:space="0" w:color="auto"/>
        <w:bottom w:val="none" w:sz="0" w:space="0" w:color="auto"/>
        <w:right w:val="none" w:sz="0" w:space="0" w:color="auto"/>
      </w:divBdr>
    </w:div>
    <w:div w:id="383408432">
      <w:bodyDiv w:val="1"/>
      <w:marLeft w:val="0"/>
      <w:marRight w:val="0"/>
      <w:marTop w:val="0"/>
      <w:marBottom w:val="0"/>
      <w:divBdr>
        <w:top w:val="none" w:sz="0" w:space="0" w:color="auto"/>
        <w:left w:val="none" w:sz="0" w:space="0" w:color="auto"/>
        <w:bottom w:val="none" w:sz="0" w:space="0" w:color="auto"/>
        <w:right w:val="none" w:sz="0" w:space="0" w:color="auto"/>
      </w:divBdr>
    </w:div>
    <w:div w:id="383869440">
      <w:bodyDiv w:val="1"/>
      <w:marLeft w:val="0"/>
      <w:marRight w:val="0"/>
      <w:marTop w:val="0"/>
      <w:marBottom w:val="0"/>
      <w:divBdr>
        <w:top w:val="none" w:sz="0" w:space="0" w:color="auto"/>
        <w:left w:val="none" w:sz="0" w:space="0" w:color="auto"/>
        <w:bottom w:val="none" w:sz="0" w:space="0" w:color="auto"/>
        <w:right w:val="none" w:sz="0" w:space="0" w:color="auto"/>
      </w:divBdr>
    </w:div>
    <w:div w:id="402486206">
      <w:bodyDiv w:val="1"/>
      <w:marLeft w:val="0"/>
      <w:marRight w:val="0"/>
      <w:marTop w:val="0"/>
      <w:marBottom w:val="0"/>
      <w:divBdr>
        <w:top w:val="none" w:sz="0" w:space="0" w:color="auto"/>
        <w:left w:val="none" w:sz="0" w:space="0" w:color="auto"/>
        <w:bottom w:val="none" w:sz="0" w:space="0" w:color="auto"/>
        <w:right w:val="none" w:sz="0" w:space="0" w:color="auto"/>
      </w:divBdr>
    </w:div>
    <w:div w:id="404453122">
      <w:bodyDiv w:val="1"/>
      <w:marLeft w:val="0"/>
      <w:marRight w:val="0"/>
      <w:marTop w:val="0"/>
      <w:marBottom w:val="0"/>
      <w:divBdr>
        <w:top w:val="none" w:sz="0" w:space="0" w:color="auto"/>
        <w:left w:val="none" w:sz="0" w:space="0" w:color="auto"/>
        <w:bottom w:val="none" w:sz="0" w:space="0" w:color="auto"/>
        <w:right w:val="none" w:sz="0" w:space="0" w:color="auto"/>
      </w:divBdr>
    </w:div>
    <w:div w:id="413163208">
      <w:bodyDiv w:val="1"/>
      <w:marLeft w:val="0"/>
      <w:marRight w:val="0"/>
      <w:marTop w:val="0"/>
      <w:marBottom w:val="0"/>
      <w:divBdr>
        <w:top w:val="none" w:sz="0" w:space="0" w:color="auto"/>
        <w:left w:val="none" w:sz="0" w:space="0" w:color="auto"/>
        <w:bottom w:val="none" w:sz="0" w:space="0" w:color="auto"/>
        <w:right w:val="none" w:sz="0" w:space="0" w:color="auto"/>
      </w:divBdr>
    </w:div>
    <w:div w:id="415833012">
      <w:bodyDiv w:val="1"/>
      <w:marLeft w:val="0"/>
      <w:marRight w:val="0"/>
      <w:marTop w:val="0"/>
      <w:marBottom w:val="0"/>
      <w:divBdr>
        <w:top w:val="none" w:sz="0" w:space="0" w:color="auto"/>
        <w:left w:val="none" w:sz="0" w:space="0" w:color="auto"/>
        <w:bottom w:val="none" w:sz="0" w:space="0" w:color="auto"/>
        <w:right w:val="none" w:sz="0" w:space="0" w:color="auto"/>
      </w:divBdr>
    </w:div>
    <w:div w:id="430666922">
      <w:bodyDiv w:val="1"/>
      <w:marLeft w:val="0"/>
      <w:marRight w:val="0"/>
      <w:marTop w:val="0"/>
      <w:marBottom w:val="0"/>
      <w:divBdr>
        <w:top w:val="none" w:sz="0" w:space="0" w:color="auto"/>
        <w:left w:val="none" w:sz="0" w:space="0" w:color="auto"/>
        <w:bottom w:val="none" w:sz="0" w:space="0" w:color="auto"/>
        <w:right w:val="none" w:sz="0" w:space="0" w:color="auto"/>
      </w:divBdr>
    </w:div>
    <w:div w:id="437793178">
      <w:bodyDiv w:val="1"/>
      <w:marLeft w:val="0"/>
      <w:marRight w:val="0"/>
      <w:marTop w:val="0"/>
      <w:marBottom w:val="0"/>
      <w:divBdr>
        <w:top w:val="none" w:sz="0" w:space="0" w:color="auto"/>
        <w:left w:val="none" w:sz="0" w:space="0" w:color="auto"/>
        <w:bottom w:val="none" w:sz="0" w:space="0" w:color="auto"/>
        <w:right w:val="none" w:sz="0" w:space="0" w:color="auto"/>
      </w:divBdr>
    </w:div>
    <w:div w:id="441001798">
      <w:bodyDiv w:val="1"/>
      <w:marLeft w:val="0"/>
      <w:marRight w:val="0"/>
      <w:marTop w:val="0"/>
      <w:marBottom w:val="0"/>
      <w:divBdr>
        <w:top w:val="none" w:sz="0" w:space="0" w:color="auto"/>
        <w:left w:val="none" w:sz="0" w:space="0" w:color="auto"/>
        <w:bottom w:val="none" w:sz="0" w:space="0" w:color="auto"/>
        <w:right w:val="none" w:sz="0" w:space="0" w:color="auto"/>
      </w:divBdr>
    </w:div>
    <w:div w:id="443965921">
      <w:bodyDiv w:val="1"/>
      <w:marLeft w:val="0"/>
      <w:marRight w:val="0"/>
      <w:marTop w:val="0"/>
      <w:marBottom w:val="0"/>
      <w:divBdr>
        <w:top w:val="none" w:sz="0" w:space="0" w:color="auto"/>
        <w:left w:val="none" w:sz="0" w:space="0" w:color="auto"/>
        <w:bottom w:val="none" w:sz="0" w:space="0" w:color="auto"/>
        <w:right w:val="none" w:sz="0" w:space="0" w:color="auto"/>
      </w:divBdr>
    </w:div>
    <w:div w:id="455372504">
      <w:bodyDiv w:val="1"/>
      <w:marLeft w:val="0"/>
      <w:marRight w:val="0"/>
      <w:marTop w:val="0"/>
      <w:marBottom w:val="0"/>
      <w:divBdr>
        <w:top w:val="none" w:sz="0" w:space="0" w:color="auto"/>
        <w:left w:val="none" w:sz="0" w:space="0" w:color="auto"/>
        <w:bottom w:val="none" w:sz="0" w:space="0" w:color="auto"/>
        <w:right w:val="none" w:sz="0" w:space="0" w:color="auto"/>
      </w:divBdr>
    </w:div>
    <w:div w:id="458035688">
      <w:bodyDiv w:val="1"/>
      <w:marLeft w:val="0"/>
      <w:marRight w:val="0"/>
      <w:marTop w:val="0"/>
      <w:marBottom w:val="0"/>
      <w:divBdr>
        <w:top w:val="none" w:sz="0" w:space="0" w:color="auto"/>
        <w:left w:val="none" w:sz="0" w:space="0" w:color="auto"/>
        <w:bottom w:val="none" w:sz="0" w:space="0" w:color="auto"/>
        <w:right w:val="none" w:sz="0" w:space="0" w:color="auto"/>
      </w:divBdr>
    </w:div>
    <w:div w:id="464351682">
      <w:bodyDiv w:val="1"/>
      <w:marLeft w:val="0"/>
      <w:marRight w:val="0"/>
      <w:marTop w:val="0"/>
      <w:marBottom w:val="0"/>
      <w:divBdr>
        <w:top w:val="none" w:sz="0" w:space="0" w:color="auto"/>
        <w:left w:val="none" w:sz="0" w:space="0" w:color="auto"/>
        <w:bottom w:val="none" w:sz="0" w:space="0" w:color="auto"/>
        <w:right w:val="none" w:sz="0" w:space="0" w:color="auto"/>
      </w:divBdr>
    </w:div>
    <w:div w:id="468590382">
      <w:bodyDiv w:val="1"/>
      <w:marLeft w:val="0"/>
      <w:marRight w:val="0"/>
      <w:marTop w:val="0"/>
      <w:marBottom w:val="0"/>
      <w:divBdr>
        <w:top w:val="none" w:sz="0" w:space="0" w:color="auto"/>
        <w:left w:val="none" w:sz="0" w:space="0" w:color="auto"/>
        <w:bottom w:val="none" w:sz="0" w:space="0" w:color="auto"/>
        <w:right w:val="none" w:sz="0" w:space="0" w:color="auto"/>
      </w:divBdr>
    </w:div>
    <w:div w:id="470556882">
      <w:bodyDiv w:val="1"/>
      <w:marLeft w:val="0"/>
      <w:marRight w:val="0"/>
      <w:marTop w:val="0"/>
      <w:marBottom w:val="0"/>
      <w:divBdr>
        <w:top w:val="none" w:sz="0" w:space="0" w:color="auto"/>
        <w:left w:val="none" w:sz="0" w:space="0" w:color="auto"/>
        <w:bottom w:val="none" w:sz="0" w:space="0" w:color="auto"/>
        <w:right w:val="none" w:sz="0" w:space="0" w:color="auto"/>
      </w:divBdr>
    </w:div>
    <w:div w:id="471750890">
      <w:bodyDiv w:val="1"/>
      <w:marLeft w:val="0"/>
      <w:marRight w:val="0"/>
      <w:marTop w:val="0"/>
      <w:marBottom w:val="0"/>
      <w:divBdr>
        <w:top w:val="none" w:sz="0" w:space="0" w:color="auto"/>
        <w:left w:val="none" w:sz="0" w:space="0" w:color="auto"/>
        <w:bottom w:val="none" w:sz="0" w:space="0" w:color="auto"/>
        <w:right w:val="none" w:sz="0" w:space="0" w:color="auto"/>
      </w:divBdr>
    </w:div>
    <w:div w:id="475416269">
      <w:bodyDiv w:val="1"/>
      <w:marLeft w:val="0"/>
      <w:marRight w:val="0"/>
      <w:marTop w:val="0"/>
      <w:marBottom w:val="0"/>
      <w:divBdr>
        <w:top w:val="none" w:sz="0" w:space="0" w:color="auto"/>
        <w:left w:val="none" w:sz="0" w:space="0" w:color="auto"/>
        <w:bottom w:val="none" w:sz="0" w:space="0" w:color="auto"/>
        <w:right w:val="none" w:sz="0" w:space="0" w:color="auto"/>
      </w:divBdr>
    </w:div>
    <w:div w:id="487595565">
      <w:bodyDiv w:val="1"/>
      <w:marLeft w:val="0"/>
      <w:marRight w:val="0"/>
      <w:marTop w:val="0"/>
      <w:marBottom w:val="0"/>
      <w:divBdr>
        <w:top w:val="none" w:sz="0" w:space="0" w:color="auto"/>
        <w:left w:val="none" w:sz="0" w:space="0" w:color="auto"/>
        <w:bottom w:val="none" w:sz="0" w:space="0" w:color="auto"/>
        <w:right w:val="none" w:sz="0" w:space="0" w:color="auto"/>
      </w:divBdr>
    </w:div>
    <w:div w:id="490759105">
      <w:bodyDiv w:val="1"/>
      <w:marLeft w:val="0"/>
      <w:marRight w:val="0"/>
      <w:marTop w:val="0"/>
      <w:marBottom w:val="0"/>
      <w:divBdr>
        <w:top w:val="none" w:sz="0" w:space="0" w:color="auto"/>
        <w:left w:val="none" w:sz="0" w:space="0" w:color="auto"/>
        <w:bottom w:val="none" w:sz="0" w:space="0" w:color="auto"/>
        <w:right w:val="none" w:sz="0" w:space="0" w:color="auto"/>
      </w:divBdr>
    </w:div>
    <w:div w:id="493835206">
      <w:bodyDiv w:val="1"/>
      <w:marLeft w:val="0"/>
      <w:marRight w:val="0"/>
      <w:marTop w:val="0"/>
      <w:marBottom w:val="0"/>
      <w:divBdr>
        <w:top w:val="none" w:sz="0" w:space="0" w:color="auto"/>
        <w:left w:val="none" w:sz="0" w:space="0" w:color="auto"/>
        <w:bottom w:val="none" w:sz="0" w:space="0" w:color="auto"/>
        <w:right w:val="none" w:sz="0" w:space="0" w:color="auto"/>
      </w:divBdr>
    </w:div>
    <w:div w:id="500241011">
      <w:bodyDiv w:val="1"/>
      <w:marLeft w:val="0"/>
      <w:marRight w:val="0"/>
      <w:marTop w:val="0"/>
      <w:marBottom w:val="0"/>
      <w:divBdr>
        <w:top w:val="none" w:sz="0" w:space="0" w:color="auto"/>
        <w:left w:val="none" w:sz="0" w:space="0" w:color="auto"/>
        <w:bottom w:val="none" w:sz="0" w:space="0" w:color="auto"/>
        <w:right w:val="none" w:sz="0" w:space="0" w:color="auto"/>
      </w:divBdr>
    </w:div>
    <w:div w:id="500507285">
      <w:bodyDiv w:val="1"/>
      <w:marLeft w:val="0"/>
      <w:marRight w:val="0"/>
      <w:marTop w:val="0"/>
      <w:marBottom w:val="0"/>
      <w:divBdr>
        <w:top w:val="none" w:sz="0" w:space="0" w:color="auto"/>
        <w:left w:val="none" w:sz="0" w:space="0" w:color="auto"/>
        <w:bottom w:val="none" w:sz="0" w:space="0" w:color="auto"/>
        <w:right w:val="none" w:sz="0" w:space="0" w:color="auto"/>
      </w:divBdr>
    </w:div>
    <w:div w:id="502013534">
      <w:bodyDiv w:val="1"/>
      <w:marLeft w:val="0"/>
      <w:marRight w:val="0"/>
      <w:marTop w:val="0"/>
      <w:marBottom w:val="0"/>
      <w:divBdr>
        <w:top w:val="none" w:sz="0" w:space="0" w:color="auto"/>
        <w:left w:val="none" w:sz="0" w:space="0" w:color="auto"/>
        <w:bottom w:val="none" w:sz="0" w:space="0" w:color="auto"/>
        <w:right w:val="none" w:sz="0" w:space="0" w:color="auto"/>
      </w:divBdr>
    </w:div>
    <w:div w:id="507447659">
      <w:bodyDiv w:val="1"/>
      <w:marLeft w:val="0"/>
      <w:marRight w:val="0"/>
      <w:marTop w:val="0"/>
      <w:marBottom w:val="0"/>
      <w:divBdr>
        <w:top w:val="none" w:sz="0" w:space="0" w:color="auto"/>
        <w:left w:val="none" w:sz="0" w:space="0" w:color="auto"/>
        <w:bottom w:val="none" w:sz="0" w:space="0" w:color="auto"/>
        <w:right w:val="none" w:sz="0" w:space="0" w:color="auto"/>
      </w:divBdr>
    </w:div>
    <w:div w:id="515968936">
      <w:bodyDiv w:val="1"/>
      <w:marLeft w:val="0"/>
      <w:marRight w:val="0"/>
      <w:marTop w:val="0"/>
      <w:marBottom w:val="0"/>
      <w:divBdr>
        <w:top w:val="none" w:sz="0" w:space="0" w:color="auto"/>
        <w:left w:val="none" w:sz="0" w:space="0" w:color="auto"/>
        <w:bottom w:val="none" w:sz="0" w:space="0" w:color="auto"/>
        <w:right w:val="none" w:sz="0" w:space="0" w:color="auto"/>
      </w:divBdr>
    </w:div>
    <w:div w:id="523254189">
      <w:bodyDiv w:val="1"/>
      <w:marLeft w:val="0"/>
      <w:marRight w:val="0"/>
      <w:marTop w:val="0"/>
      <w:marBottom w:val="0"/>
      <w:divBdr>
        <w:top w:val="none" w:sz="0" w:space="0" w:color="auto"/>
        <w:left w:val="none" w:sz="0" w:space="0" w:color="auto"/>
        <w:bottom w:val="none" w:sz="0" w:space="0" w:color="auto"/>
        <w:right w:val="none" w:sz="0" w:space="0" w:color="auto"/>
      </w:divBdr>
    </w:div>
    <w:div w:id="524172456">
      <w:bodyDiv w:val="1"/>
      <w:marLeft w:val="0"/>
      <w:marRight w:val="0"/>
      <w:marTop w:val="0"/>
      <w:marBottom w:val="0"/>
      <w:divBdr>
        <w:top w:val="none" w:sz="0" w:space="0" w:color="auto"/>
        <w:left w:val="none" w:sz="0" w:space="0" w:color="auto"/>
        <w:bottom w:val="none" w:sz="0" w:space="0" w:color="auto"/>
        <w:right w:val="none" w:sz="0" w:space="0" w:color="auto"/>
      </w:divBdr>
    </w:div>
    <w:div w:id="529758924">
      <w:bodyDiv w:val="1"/>
      <w:marLeft w:val="0"/>
      <w:marRight w:val="0"/>
      <w:marTop w:val="0"/>
      <w:marBottom w:val="0"/>
      <w:divBdr>
        <w:top w:val="none" w:sz="0" w:space="0" w:color="auto"/>
        <w:left w:val="none" w:sz="0" w:space="0" w:color="auto"/>
        <w:bottom w:val="none" w:sz="0" w:space="0" w:color="auto"/>
        <w:right w:val="none" w:sz="0" w:space="0" w:color="auto"/>
      </w:divBdr>
    </w:div>
    <w:div w:id="537861380">
      <w:bodyDiv w:val="1"/>
      <w:marLeft w:val="0"/>
      <w:marRight w:val="0"/>
      <w:marTop w:val="0"/>
      <w:marBottom w:val="0"/>
      <w:divBdr>
        <w:top w:val="none" w:sz="0" w:space="0" w:color="auto"/>
        <w:left w:val="none" w:sz="0" w:space="0" w:color="auto"/>
        <w:bottom w:val="none" w:sz="0" w:space="0" w:color="auto"/>
        <w:right w:val="none" w:sz="0" w:space="0" w:color="auto"/>
      </w:divBdr>
    </w:div>
    <w:div w:id="538787490">
      <w:bodyDiv w:val="1"/>
      <w:marLeft w:val="0"/>
      <w:marRight w:val="0"/>
      <w:marTop w:val="0"/>
      <w:marBottom w:val="0"/>
      <w:divBdr>
        <w:top w:val="none" w:sz="0" w:space="0" w:color="auto"/>
        <w:left w:val="none" w:sz="0" w:space="0" w:color="auto"/>
        <w:bottom w:val="none" w:sz="0" w:space="0" w:color="auto"/>
        <w:right w:val="none" w:sz="0" w:space="0" w:color="auto"/>
      </w:divBdr>
    </w:div>
    <w:div w:id="541211088">
      <w:bodyDiv w:val="1"/>
      <w:marLeft w:val="0"/>
      <w:marRight w:val="0"/>
      <w:marTop w:val="0"/>
      <w:marBottom w:val="0"/>
      <w:divBdr>
        <w:top w:val="none" w:sz="0" w:space="0" w:color="auto"/>
        <w:left w:val="none" w:sz="0" w:space="0" w:color="auto"/>
        <w:bottom w:val="none" w:sz="0" w:space="0" w:color="auto"/>
        <w:right w:val="none" w:sz="0" w:space="0" w:color="auto"/>
      </w:divBdr>
    </w:div>
    <w:div w:id="543180945">
      <w:bodyDiv w:val="1"/>
      <w:marLeft w:val="0"/>
      <w:marRight w:val="0"/>
      <w:marTop w:val="0"/>
      <w:marBottom w:val="0"/>
      <w:divBdr>
        <w:top w:val="none" w:sz="0" w:space="0" w:color="auto"/>
        <w:left w:val="none" w:sz="0" w:space="0" w:color="auto"/>
        <w:bottom w:val="none" w:sz="0" w:space="0" w:color="auto"/>
        <w:right w:val="none" w:sz="0" w:space="0" w:color="auto"/>
      </w:divBdr>
    </w:div>
    <w:div w:id="544173727">
      <w:bodyDiv w:val="1"/>
      <w:marLeft w:val="0"/>
      <w:marRight w:val="0"/>
      <w:marTop w:val="0"/>
      <w:marBottom w:val="0"/>
      <w:divBdr>
        <w:top w:val="none" w:sz="0" w:space="0" w:color="auto"/>
        <w:left w:val="none" w:sz="0" w:space="0" w:color="auto"/>
        <w:bottom w:val="none" w:sz="0" w:space="0" w:color="auto"/>
        <w:right w:val="none" w:sz="0" w:space="0" w:color="auto"/>
      </w:divBdr>
    </w:div>
    <w:div w:id="550965369">
      <w:bodyDiv w:val="1"/>
      <w:marLeft w:val="0"/>
      <w:marRight w:val="0"/>
      <w:marTop w:val="0"/>
      <w:marBottom w:val="0"/>
      <w:divBdr>
        <w:top w:val="none" w:sz="0" w:space="0" w:color="auto"/>
        <w:left w:val="none" w:sz="0" w:space="0" w:color="auto"/>
        <w:bottom w:val="none" w:sz="0" w:space="0" w:color="auto"/>
        <w:right w:val="none" w:sz="0" w:space="0" w:color="auto"/>
      </w:divBdr>
    </w:div>
    <w:div w:id="552424684">
      <w:bodyDiv w:val="1"/>
      <w:marLeft w:val="0"/>
      <w:marRight w:val="0"/>
      <w:marTop w:val="0"/>
      <w:marBottom w:val="0"/>
      <w:divBdr>
        <w:top w:val="none" w:sz="0" w:space="0" w:color="auto"/>
        <w:left w:val="none" w:sz="0" w:space="0" w:color="auto"/>
        <w:bottom w:val="none" w:sz="0" w:space="0" w:color="auto"/>
        <w:right w:val="none" w:sz="0" w:space="0" w:color="auto"/>
      </w:divBdr>
    </w:div>
    <w:div w:id="557282910">
      <w:bodyDiv w:val="1"/>
      <w:marLeft w:val="0"/>
      <w:marRight w:val="0"/>
      <w:marTop w:val="0"/>
      <w:marBottom w:val="0"/>
      <w:divBdr>
        <w:top w:val="none" w:sz="0" w:space="0" w:color="auto"/>
        <w:left w:val="none" w:sz="0" w:space="0" w:color="auto"/>
        <w:bottom w:val="none" w:sz="0" w:space="0" w:color="auto"/>
        <w:right w:val="none" w:sz="0" w:space="0" w:color="auto"/>
      </w:divBdr>
    </w:div>
    <w:div w:id="561059694">
      <w:bodyDiv w:val="1"/>
      <w:marLeft w:val="0"/>
      <w:marRight w:val="0"/>
      <w:marTop w:val="0"/>
      <w:marBottom w:val="0"/>
      <w:divBdr>
        <w:top w:val="none" w:sz="0" w:space="0" w:color="auto"/>
        <w:left w:val="none" w:sz="0" w:space="0" w:color="auto"/>
        <w:bottom w:val="none" w:sz="0" w:space="0" w:color="auto"/>
        <w:right w:val="none" w:sz="0" w:space="0" w:color="auto"/>
      </w:divBdr>
    </w:div>
    <w:div w:id="561914371">
      <w:bodyDiv w:val="1"/>
      <w:marLeft w:val="0"/>
      <w:marRight w:val="0"/>
      <w:marTop w:val="0"/>
      <w:marBottom w:val="0"/>
      <w:divBdr>
        <w:top w:val="none" w:sz="0" w:space="0" w:color="auto"/>
        <w:left w:val="none" w:sz="0" w:space="0" w:color="auto"/>
        <w:bottom w:val="none" w:sz="0" w:space="0" w:color="auto"/>
        <w:right w:val="none" w:sz="0" w:space="0" w:color="auto"/>
      </w:divBdr>
    </w:div>
    <w:div w:id="568879163">
      <w:bodyDiv w:val="1"/>
      <w:marLeft w:val="0"/>
      <w:marRight w:val="0"/>
      <w:marTop w:val="0"/>
      <w:marBottom w:val="0"/>
      <w:divBdr>
        <w:top w:val="none" w:sz="0" w:space="0" w:color="auto"/>
        <w:left w:val="none" w:sz="0" w:space="0" w:color="auto"/>
        <w:bottom w:val="none" w:sz="0" w:space="0" w:color="auto"/>
        <w:right w:val="none" w:sz="0" w:space="0" w:color="auto"/>
      </w:divBdr>
    </w:div>
    <w:div w:id="571697074">
      <w:bodyDiv w:val="1"/>
      <w:marLeft w:val="0"/>
      <w:marRight w:val="0"/>
      <w:marTop w:val="0"/>
      <w:marBottom w:val="0"/>
      <w:divBdr>
        <w:top w:val="none" w:sz="0" w:space="0" w:color="auto"/>
        <w:left w:val="none" w:sz="0" w:space="0" w:color="auto"/>
        <w:bottom w:val="none" w:sz="0" w:space="0" w:color="auto"/>
        <w:right w:val="none" w:sz="0" w:space="0" w:color="auto"/>
      </w:divBdr>
    </w:div>
    <w:div w:id="573128800">
      <w:bodyDiv w:val="1"/>
      <w:marLeft w:val="0"/>
      <w:marRight w:val="0"/>
      <w:marTop w:val="0"/>
      <w:marBottom w:val="0"/>
      <w:divBdr>
        <w:top w:val="none" w:sz="0" w:space="0" w:color="auto"/>
        <w:left w:val="none" w:sz="0" w:space="0" w:color="auto"/>
        <w:bottom w:val="none" w:sz="0" w:space="0" w:color="auto"/>
        <w:right w:val="none" w:sz="0" w:space="0" w:color="auto"/>
      </w:divBdr>
    </w:div>
    <w:div w:id="586423849">
      <w:bodyDiv w:val="1"/>
      <w:marLeft w:val="0"/>
      <w:marRight w:val="0"/>
      <w:marTop w:val="0"/>
      <w:marBottom w:val="0"/>
      <w:divBdr>
        <w:top w:val="none" w:sz="0" w:space="0" w:color="auto"/>
        <w:left w:val="none" w:sz="0" w:space="0" w:color="auto"/>
        <w:bottom w:val="none" w:sz="0" w:space="0" w:color="auto"/>
        <w:right w:val="none" w:sz="0" w:space="0" w:color="auto"/>
      </w:divBdr>
    </w:div>
    <w:div w:id="588807387">
      <w:bodyDiv w:val="1"/>
      <w:marLeft w:val="0"/>
      <w:marRight w:val="0"/>
      <w:marTop w:val="0"/>
      <w:marBottom w:val="0"/>
      <w:divBdr>
        <w:top w:val="none" w:sz="0" w:space="0" w:color="auto"/>
        <w:left w:val="none" w:sz="0" w:space="0" w:color="auto"/>
        <w:bottom w:val="none" w:sz="0" w:space="0" w:color="auto"/>
        <w:right w:val="none" w:sz="0" w:space="0" w:color="auto"/>
      </w:divBdr>
    </w:div>
    <w:div w:id="591279450">
      <w:bodyDiv w:val="1"/>
      <w:marLeft w:val="0"/>
      <w:marRight w:val="0"/>
      <w:marTop w:val="0"/>
      <w:marBottom w:val="0"/>
      <w:divBdr>
        <w:top w:val="none" w:sz="0" w:space="0" w:color="auto"/>
        <w:left w:val="none" w:sz="0" w:space="0" w:color="auto"/>
        <w:bottom w:val="none" w:sz="0" w:space="0" w:color="auto"/>
        <w:right w:val="none" w:sz="0" w:space="0" w:color="auto"/>
      </w:divBdr>
    </w:div>
    <w:div w:id="604196243">
      <w:bodyDiv w:val="1"/>
      <w:marLeft w:val="0"/>
      <w:marRight w:val="0"/>
      <w:marTop w:val="0"/>
      <w:marBottom w:val="0"/>
      <w:divBdr>
        <w:top w:val="none" w:sz="0" w:space="0" w:color="auto"/>
        <w:left w:val="none" w:sz="0" w:space="0" w:color="auto"/>
        <w:bottom w:val="none" w:sz="0" w:space="0" w:color="auto"/>
        <w:right w:val="none" w:sz="0" w:space="0" w:color="auto"/>
      </w:divBdr>
    </w:div>
    <w:div w:id="605305756">
      <w:bodyDiv w:val="1"/>
      <w:marLeft w:val="0"/>
      <w:marRight w:val="0"/>
      <w:marTop w:val="0"/>
      <w:marBottom w:val="0"/>
      <w:divBdr>
        <w:top w:val="none" w:sz="0" w:space="0" w:color="auto"/>
        <w:left w:val="none" w:sz="0" w:space="0" w:color="auto"/>
        <w:bottom w:val="none" w:sz="0" w:space="0" w:color="auto"/>
        <w:right w:val="none" w:sz="0" w:space="0" w:color="auto"/>
      </w:divBdr>
    </w:div>
    <w:div w:id="608125969">
      <w:bodyDiv w:val="1"/>
      <w:marLeft w:val="0"/>
      <w:marRight w:val="0"/>
      <w:marTop w:val="0"/>
      <w:marBottom w:val="0"/>
      <w:divBdr>
        <w:top w:val="none" w:sz="0" w:space="0" w:color="auto"/>
        <w:left w:val="none" w:sz="0" w:space="0" w:color="auto"/>
        <w:bottom w:val="none" w:sz="0" w:space="0" w:color="auto"/>
        <w:right w:val="none" w:sz="0" w:space="0" w:color="auto"/>
      </w:divBdr>
    </w:div>
    <w:div w:id="614362379">
      <w:bodyDiv w:val="1"/>
      <w:marLeft w:val="0"/>
      <w:marRight w:val="0"/>
      <w:marTop w:val="0"/>
      <w:marBottom w:val="0"/>
      <w:divBdr>
        <w:top w:val="none" w:sz="0" w:space="0" w:color="auto"/>
        <w:left w:val="none" w:sz="0" w:space="0" w:color="auto"/>
        <w:bottom w:val="none" w:sz="0" w:space="0" w:color="auto"/>
        <w:right w:val="none" w:sz="0" w:space="0" w:color="auto"/>
      </w:divBdr>
    </w:div>
    <w:div w:id="621545131">
      <w:bodyDiv w:val="1"/>
      <w:marLeft w:val="0"/>
      <w:marRight w:val="0"/>
      <w:marTop w:val="0"/>
      <w:marBottom w:val="0"/>
      <w:divBdr>
        <w:top w:val="none" w:sz="0" w:space="0" w:color="auto"/>
        <w:left w:val="none" w:sz="0" w:space="0" w:color="auto"/>
        <w:bottom w:val="none" w:sz="0" w:space="0" w:color="auto"/>
        <w:right w:val="none" w:sz="0" w:space="0" w:color="auto"/>
      </w:divBdr>
    </w:div>
    <w:div w:id="623384353">
      <w:bodyDiv w:val="1"/>
      <w:marLeft w:val="0"/>
      <w:marRight w:val="0"/>
      <w:marTop w:val="0"/>
      <w:marBottom w:val="0"/>
      <w:divBdr>
        <w:top w:val="none" w:sz="0" w:space="0" w:color="auto"/>
        <w:left w:val="none" w:sz="0" w:space="0" w:color="auto"/>
        <w:bottom w:val="none" w:sz="0" w:space="0" w:color="auto"/>
        <w:right w:val="none" w:sz="0" w:space="0" w:color="auto"/>
      </w:divBdr>
    </w:div>
    <w:div w:id="629747472">
      <w:bodyDiv w:val="1"/>
      <w:marLeft w:val="0"/>
      <w:marRight w:val="0"/>
      <w:marTop w:val="0"/>
      <w:marBottom w:val="0"/>
      <w:divBdr>
        <w:top w:val="none" w:sz="0" w:space="0" w:color="auto"/>
        <w:left w:val="none" w:sz="0" w:space="0" w:color="auto"/>
        <w:bottom w:val="none" w:sz="0" w:space="0" w:color="auto"/>
        <w:right w:val="none" w:sz="0" w:space="0" w:color="auto"/>
      </w:divBdr>
    </w:div>
    <w:div w:id="644117636">
      <w:bodyDiv w:val="1"/>
      <w:marLeft w:val="0"/>
      <w:marRight w:val="0"/>
      <w:marTop w:val="0"/>
      <w:marBottom w:val="0"/>
      <w:divBdr>
        <w:top w:val="none" w:sz="0" w:space="0" w:color="auto"/>
        <w:left w:val="none" w:sz="0" w:space="0" w:color="auto"/>
        <w:bottom w:val="none" w:sz="0" w:space="0" w:color="auto"/>
        <w:right w:val="none" w:sz="0" w:space="0" w:color="auto"/>
      </w:divBdr>
    </w:div>
    <w:div w:id="647394277">
      <w:bodyDiv w:val="1"/>
      <w:marLeft w:val="0"/>
      <w:marRight w:val="0"/>
      <w:marTop w:val="0"/>
      <w:marBottom w:val="0"/>
      <w:divBdr>
        <w:top w:val="none" w:sz="0" w:space="0" w:color="auto"/>
        <w:left w:val="none" w:sz="0" w:space="0" w:color="auto"/>
        <w:bottom w:val="none" w:sz="0" w:space="0" w:color="auto"/>
        <w:right w:val="none" w:sz="0" w:space="0" w:color="auto"/>
      </w:divBdr>
    </w:div>
    <w:div w:id="656223037">
      <w:bodyDiv w:val="1"/>
      <w:marLeft w:val="0"/>
      <w:marRight w:val="0"/>
      <w:marTop w:val="0"/>
      <w:marBottom w:val="0"/>
      <w:divBdr>
        <w:top w:val="none" w:sz="0" w:space="0" w:color="auto"/>
        <w:left w:val="none" w:sz="0" w:space="0" w:color="auto"/>
        <w:bottom w:val="none" w:sz="0" w:space="0" w:color="auto"/>
        <w:right w:val="none" w:sz="0" w:space="0" w:color="auto"/>
      </w:divBdr>
    </w:div>
    <w:div w:id="656808808">
      <w:bodyDiv w:val="1"/>
      <w:marLeft w:val="0"/>
      <w:marRight w:val="0"/>
      <w:marTop w:val="0"/>
      <w:marBottom w:val="0"/>
      <w:divBdr>
        <w:top w:val="none" w:sz="0" w:space="0" w:color="auto"/>
        <w:left w:val="none" w:sz="0" w:space="0" w:color="auto"/>
        <w:bottom w:val="none" w:sz="0" w:space="0" w:color="auto"/>
        <w:right w:val="none" w:sz="0" w:space="0" w:color="auto"/>
      </w:divBdr>
    </w:div>
    <w:div w:id="663749719">
      <w:bodyDiv w:val="1"/>
      <w:marLeft w:val="0"/>
      <w:marRight w:val="0"/>
      <w:marTop w:val="0"/>
      <w:marBottom w:val="0"/>
      <w:divBdr>
        <w:top w:val="none" w:sz="0" w:space="0" w:color="auto"/>
        <w:left w:val="none" w:sz="0" w:space="0" w:color="auto"/>
        <w:bottom w:val="none" w:sz="0" w:space="0" w:color="auto"/>
        <w:right w:val="none" w:sz="0" w:space="0" w:color="auto"/>
      </w:divBdr>
    </w:div>
    <w:div w:id="675427099">
      <w:bodyDiv w:val="1"/>
      <w:marLeft w:val="0"/>
      <w:marRight w:val="0"/>
      <w:marTop w:val="0"/>
      <w:marBottom w:val="0"/>
      <w:divBdr>
        <w:top w:val="none" w:sz="0" w:space="0" w:color="auto"/>
        <w:left w:val="none" w:sz="0" w:space="0" w:color="auto"/>
        <w:bottom w:val="none" w:sz="0" w:space="0" w:color="auto"/>
        <w:right w:val="none" w:sz="0" w:space="0" w:color="auto"/>
      </w:divBdr>
    </w:div>
    <w:div w:id="675807557">
      <w:bodyDiv w:val="1"/>
      <w:marLeft w:val="0"/>
      <w:marRight w:val="0"/>
      <w:marTop w:val="0"/>
      <w:marBottom w:val="0"/>
      <w:divBdr>
        <w:top w:val="none" w:sz="0" w:space="0" w:color="auto"/>
        <w:left w:val="none" w:sz="0" w:space="0" w:color="auto"/>
        <w:bottom w:val="none" w:sz="0" w:space="0" w:color="auto"/>
        <w:right w:val="none" w:sz="0" w:space="0" w:color="auto"/>
      </w:divBdr>
    </w:div>
    <w:div w:id="686057698">
      <w:bodyDiv w:val="1"/>
      <w:marLeft w:val="0"/>
      <w:marRight w:val="0"/>
      <w:marTop w:val="0"/>
      <w:marBottom w:val="0"/>
      <w:divBdr>
        <w:top w:val="none" w:sz="0" w:space="0" w:color="auto"/>
        <w:left w:val="none" w:sz="0" w:space="0" w:color="auto"/>
        <w:bottom w:val="none" w:sz="0" w:space="0" w:color="auto"/>
        <w:right w:val="none" w:sz="0" w:space="0" w:color="auto"/>
      </w:divBdr>
    </w:div>
    <w:div w:id="693267971">
      <w:bodyDiv w:val="1"/>
      <w:marLeft w:val="0"/>
      <w:marRight w:val="0"/>
      <w:marTop w:val="0"/>
      <w:marBottom w:val="0"/>
      <w:divBdr>
        <w:top w:val="none" w:sz="0" w:space="0" w:color="auto"/>
        <w:left w:val="none" w:sz="0" w:space="0" w:color="auto"/>
        <w:bottom w:val="none" w:sz="0" w:space="0" w:color="auto"/>
        <w:right w:val="none" w:sz="0" w:space="0" w:color="auto"/>
      </w:divBdr>
    </w:div>
    <w:div w:id="697631422">
      <w:bodyDiv w:val="1"/>
      <w:marLeft w:val="0"/>
      <w:marRight w:val="0"/>
      <w:marTop w:val="0"/>
      <w:marBottom w:val="0"/>
      <w:divBdr>
        <w:top w:val="none" w:sz="0" w:space="0" w:color="auto"/>
        <w:left w:val="none" w:sz="0" w:space="0" w:color="auto"/>
        <w:bottom w:val="none" w:sz="0" w:space="0" w:color="auto"/>
        <w:right w:val="none" w:sz="0" w:space="0" w:color="auto"/>
      </w:divBdr>
    </w:div>
    <w:div w:id="700596030">
      <w:bodyDiv w:val="1"/>
      <w:marLeft w:val="0"/>
      <w:marRight w:val="0"/>
      <w:marTop w:val="0"/>
      <w:marBottom w:val="0"/>
      <w:divBdr>
        <w:top w:val="none" w:sz="0" w:space="0" w:color="auto"/>
        <w:left w:val="none" w:sz="0" w:space="0" w:color="auto"/>
        <w:bottom w:val="none" w:sz="0" w:space="0" w:color="auto"/>
        <w:right w:val="none" w:sz="0" w:space="0" w:color="auto"/>
      </w:divBdr>
    </w:div>
    <w:div w:id="700667213">
      <w:bodyDiv w:val="1"/>
      <w:marLeft w:val="0"/>
      <w:marRight w:val="0"/>
      <w:marTop w:val="0"/>
      <w:marBottom w:val="0"/>
      <w:divBdr>
        <w:top w:val="none" w:sz="0" w:space="0" w:color="auto"/>
        <w:left w:val="none" w:sz="0" w:space="0" w:color="auto"/>
        <w:bottom w:val="none" w:sz="0" w:space="0" w:color="auto"/>
        <w:right w:val="none" w:sz="0" w:space="0" w:color="auto"/>
      </w:divBdr>
    </w:div>
    <w:div w:id="704867210">
      <w:bodyDiv w:val="1"/>
      <w:marLeft w:val="0"/>
      <w:marRight w:val="0"/>
      <w:marTop w:val="0"/>
      <w:marBottom w:val="0"/>
      <w:divBdr>
        <w:top w:val="none" w:sz="0" w:space="0" w:color="auto"/>
        <w:left w:val="none" w:sz="0" w:space="0" w:color="auto"/>
        <w:bottom w:val="none" w:sz="0" w:space="0" w:color="auto"/>
        <w:right w:val="none" w:sz="0" w:space="0" w:color="auto"/>
      </w:divBdr>
    </w:div>
    <w:div w:id="706560966">
      <w:bodyDiv w:val="1"/>
      <w:marLeft w:val="0"/>
      <w:marRight w:val="0"/>
      <w:marTop w:val="0"/>
      <w:marBottom w:val="0"/>
      <w:divBdr>
        <w:top w:val="none" w:sz="0" w:space="0" w:color="auto"/>
        <w:left w:val="none" w:sz="0" w:space="0" w:color="auto"/>
        <w:bottom w:val="none" w:sz="0" w:space="0" w:color="auto"/>
        <w:right w:val="none" w:sz="0" w:space="0" w:color="auto"/>
      </w:divBdr>
    </w:div>
    <w:div w:id="709915288">
      <w:bodyDiv w:val="1"/>
      <w:marLeft w:val="0"/>
      <w:marRight w:val="0"/>
      <w:marTop w:val="0"/>
      <w:marBottom w:val="0"/>
      <w:divBdr>
        <w:top w:val="none" w:sz="0" w:space="0" w:color="auto"/>
        <w:left w:val="none" w:sz="0" w:space="0" w:color="auto"/>
        <w:bottom w:val="none" w:sz="0" w:space="0" w:color="auto"/>
        <w:right w:val="none" w:sz="0" w:space="0" w:color="auto"/>
      </w:divBdr>
    </w:div>
    <w:div w:id="718742180">
      <w:bodyDiv w:val="1"/>
      <w:marLeft w:val="0"/>
      <w:marRight w:val="0"/>
      <w:marTop w:val="0"/>
      <w:marBottom w:val="0"/>
      <w:divBdr>
        <w:top w:val="none" w:sz="0" w:space="0" w:color="auto"/>
        <w:left w:val="none" w:sz="0" w:space="0" w:color="auto"/>
        <w:bottom w:val="none" w:sz="0" w:space="0" w:color="auto"/>
        <w:right w:val="none" w:sz="0" w:space="0" w:color="auto"/>
      </w:divBdr>
    </w:div>
    <w:div w:id="718894614">
      <w:bodyDiv w:val="1"/>
      <w:marLeft w:val="0"/>
      <w:marRight w:val="0"/>
      <w:marTop w:val="0"/>
      <w:marBottom w:val="0"/>
      <w:divBdr>
        <w:top w:val="none" w:sz="0" w:space="0" w:color="auto"/>
        <w:left w:val="none" w:sz="0" w:space="0" w:color="auto"/>
        <w:bottom w:val="none" w:sz="0" w:space="0" w:color="auto"/>
        <w:right w:val="none" w:sz="0" w:space="0" w:color="auto"/>
      </w:divBdr>
    </w:div>
    <w:div w:id="724915456">
      <w:bodyDiv w:val="1"/>
      <w:marLeft w:val="0"/>
      <w:marRight w:val="0"/>
      <w:marTop w:val="0"/>
      <w:marBottom w:val="0"/>
      <w:divBdr>
        <w:top w:val="none" w:sz="0" w:space="0" w:color="auto"/>
        <w:left w:val="none" w:sz="0" w:space="0" w:color="auto"/>
        <w:bottom w:val="none" w:sz="0" w:space="0" w:color="auto"/>
        <w:right w:val="none" w:sz="0" w:space="0" w:color="auto"/>
      </w:divBdr>
    </w:div>
    <w:div w:id="733044817">
      <w:bodyDiv w:val="1"/>
      <w:marLeft w:val="0"/>
      <w:marRight w:val="0"/>
      <w:marTop w:val="0"/>
      <w:marBottom w:val="0"/>
      <w:divBdr>
        <w:top w:val="none" w:sz="0" w:space="0" w:color="auto"/>
        <w:left w:val="none" w:sz="0" w:space="0" w:color="auto"/>
        <w:bottom w:val="none" w:sz="0" w:space="0" w:color="auto"/>
        <w:right w:val="none" w:sz="0" w:space="0" w:color="auto"/>
      </w:divBdr>
    </w:div>
    <w:div w:id="733703230">
      <w:bodyDiv w:val="1"/>
      <w:marLeft w:val="0"/>
      <w:marRight w:val="0"/>
      <w:marTop w:val="0"/>
      <w:marBottom w:val="0"/>
      <w:divBdr>
        <w:top w:val="none" w:sz="0" w:space="0" w:color="auto"/>
        <w:left w:val="none" w:sz="0" w:space="0" w:color="auto"/>
        <w:bottom w:val="none" w:sz="0" w:space="0" w:color="auto"/>
        <w:right w:val="none" w:sz="0" w:space="0" w:color="auto"/>
      </w:divBdr>
    </w:div>
    <w:div w:id="736362784">
      <w:bodyDiv w:val="1"/>
      <w:marLeft w:val="0"/>
      <w:marRight w:val="0"/>
      <w:marTop w:val="0"/>
      <w:marBottom w:val="0"/>
      <w:divBdr>
        <w:top w:val="none" w:sz="0" w:space="0" w:color="auto"/>
        <w:left w:val="none" w:sz="0" w:space="0" w:color="auto"/>
        <w:bottom w:val="none" w:sz="0" w:space="0" w:color="auto"/>
        <w:right w:val="none" w:sz="0" w:space="0" w:color="auto"/>
      </w:divBdr>
    </w:div>
    <w:div w:id="739593482">
      <w:bodyDiv w:val="1"/>
      <w:marLeft w:val="0"/>
      <w:marRight w:val="0"/>
      <w:marTop w:val="0"/>
      <w:marBottom w:val="0"/>
      <w:divBdr>
        <w:top w:val="none" w:sz="0" w:space="0" w:color="auto"/>
        <w:left w:val="none" w:sz="0" w:space="0" w:color="auto"/>
        <w:bottom w:val="none" w:sz="0" w:space="0" w:color="auto"/>
        <w:right w:val="none" w:sz="0" w:space="0" w:color="auto"/>
      </w:divBdr>
    </w:div>
    <w:div w:id="752629418">
      <w:bodyDiv w:val="1"/>
      <w:marLeft w:val="0"/>
      <w:marRight w:val="0"/>
      <w:marTop w:val="0"/>
      <w:marBottom w:val="0"/>
      <w:divBdr>
        <w:top w:val="none" w:sz="0" w:space="0" w:color="auto"/>
        <w:left w:val="none" w:sz="0" w:space="0" w:color="auto"/>
        <w:bottom w:val="none" w:sz="0" w:space="0" w:color="auto"/>
        <w:right w:val="none" w:sz="0" w:space="0" w:color="auto"/>
      </w:divBdr>
    </w:div>
    <w:div w:id="758018594">
      <w:bodyDiv w:val="1"/>
      <w:marLeft w:val="0"/>
      <w:marRight w:val="0"/>
      <w:marTop w:val="0"/>
      <w:marBottom w:val="0"/>
      <w:divBdr>
        <w:top w:val="none" w:sz="0" w:space="0" w:color="auto"/>
        <w:left w:val="none" w:sz="0" w:space="0" w:color="auto"/>
        <w:bottom w:val="none" w:sz="0" w:space="0" w:color="auto"/>
        <w:right w:val="none" w:sz="0" w:space="0" w:color="auto"/>
      </w:divBdr>
    </w:div>
    <w:div w:id="761025724">
      <w:bodyDiv w:val="1"/>
      <w:marLeft w:val="0"/>
      <w:marRight w:val="0"/>
      <w:marTop w:val="0"/>
      <w:marBottom w:val="0"/>
      <w:divBdr>
        <w:top w:val="none" w:sz="0" w:space="0" w:color="auto"/>
        <w:left w:val="none" w:sz="0" w:space="0" w:color="auto"/>
        <w:bottom w:val="none" w:sz="0" w:space="0" w:color="auto"/>
        <w:right w:val="none" w:sz="0" w:space="0" w:color="auto"/>
      </w:divBdr>
    </w:div>
    <w:div w:id="761072255">
      <w:bodyDiv w:val="1"/>
      <w:marLeft w:val="0"/>
      <w:marRight w:val="0"/>
      <w:marTop w:val="0"/>
      <w:marBottom w:val="0"/>
      <w:divBdr>
        <w:top w:val="none" w:sz="0" w:space="0" w:color="auto"/>
        <w:left w:val="none" w:sz="0" w:space="0" w:color="auto"/>
        <w:bottom w:val="none" w:sz="0" w:space="0" w:color="auto"/>
        <w:right w:val="none" w:sz="0" w:space="0" w:color="auto"/>
      </w:divBdr>
    </w:div>
    <w:div w:id="765003458">
      <w:bodyDiv w:val="1"/>
      <w:marLeft w:val="0"/>
      <w:marRight w:val="0"/>
      <w:marTop w:val="0"/>
      <w:marBottom w:val="0"/>
      <w:divBdr>
        <w:top w:val="none" w:sz="0" w:space="0" w:color="auto"/>
        <w:left w:val="none" w:sz="0" w:space="0" w:color="auto"/>
        <w:bottom w:val="none" w:sz="0" w:space="0" w:color="auto"/>
        <w:right w:val="none" w:sz="0" w:space="0" w:color="auto"/>
      </w:divBdr>
    </w:div>
    <w:div w:id="767776608">
      <w:bodyDiv w:val="1"/>
      <w:marLeft w:val="0"/>
      <w:marRight w:val="0"/>
      <w:marTop w:val="0"/>
      <w:marBottom w:val="0"/>
      <w:divBdr>
        <w:top w:val="none" w:sz="0" w:space="0" w:color="auto"/>
        <w:left w:val="none" w:sz="0" w:space="0" w:color="auto"/>
        <w:bottom w:val="none" w:sz="0" w:space="0" w:color="auto"/>
        <w:right w:val="none" w:sz="0" w:space="0" w:color="auto"/>
      </w:divBdr>
    </w:div>
    <w:div w:id="774595259">
      <w:bodyDiv w:val="1"/>
      <w:marLeft w:val="0"/>
      <w:marRight w:val="0"/>
      <w:marTop w:val="0"/>
      <w:marBottom w:val="0"/>
      <w:divBdr>
        <w:top w:val="none" w:sz="0" w:space="0" w:color="auto"/>
        <w:left w:val="none" w:sz="0" w:space="0" w:color="auto"/>
        <w:bottom w:val="none" w:sz="0" w:space="0" w:color="auto"/>
        <w:right w:val="none" w:sz="0" w:space="0" w:color="auto"/>
      </w:divBdr>
    </w:div>
    <w:div w:id="780103411">
      <w:bodyDiv w:val="1"/>
      <w:marLeft w:val="0"/>
      <w:marRight w:val="0"/>
      <w:marTop w:val="0"/>
      <w:marBottom w:val="0"/>
      <w:divBdr>
        <w:top w:val="none" w:sz="0" w:space="0" w:color="auto"/>
        <w:left w:val="none" w:sz="0" w:space="0" w:color="auto"/>
        <w:bottom w:val="none" w:sz="0" w:space="0" w:color="auto"/>
        <w:right w:val="none" w:sz="0" w:space="0" w:color="auto"/>
      </w:divBdr>
    </w:div>
    <w:div w:id="803541604">
      <w:bodyDiv w:val="1"/>
      <w:marLeft w:val="0"/>
      <w:marRight w:val="0"/>
      <w:marTop w:val="0"/>
      <w:marBottom w:val="0"/>
      <w:divBdr>
        <w:top w:val="none" w:sz="0" w:space="0" w:color="auto"/>
        <w:left w:val="none" w:sz="0" w:space="0" w:color="auto"/>
        <w:bottom w:val="none" w:sz="0" w:space="0" w:color="auto"/>
        <w:right w:val="none" w:sz="0" w:space="0" w:color="auto"/>
      </w:divBdr>
    </w:div>
    <w:div w:id="803931867">
      <w:bodyDiv w:val="1"/>
      <w:marLeft w:val="0"/>
      <w:marRight w:val="0"/>
      <w:marTop w:val="0"/>
      <w:marBottom w:val="0"/>
      <w:divBdr>
        <w:top w:val="none" w:sz="0" w:space="0" w:color="auto"/>
        <w:left w:val="none" w:sz="0" w:space="0" w:color="auto"/>
        <w:bottom w:val="none" w:sz="0" w:space="0" w:color="auto"/>
        <w:right w:val="none" w:sz="0" w:space="0" w:color="auto"/>
      </w:divBdr>
    </w:div>
    <w:div w:id="811947212">
      <w:bodyDiv w:val="1"/>
      <w:marLeft w:val="0"/>
      <w:marRight w:val="0"/>
      <w:marTop w:val="0"/>
      <w:marBottom w:val="0"/>
      <w:divBdr>
        <w:top w:val="none" w:sz="0" w:space="0" w:color="auto"/>
        <w:left w:val="none" w:sz="0" w:space="0" w:color="auto"/>
        <w:bottom w:val="none" w:sz="0" w:space="0" w:color="auto"/>
        <w:right w:val="none" w:sz="0" w:space="0" w:color="auto"/>
      </w:divBdr>
    </w:div>
    <w:div w:id="812213413">
      <w:bodyDiv w:val="1"/>
      <w:marLeft w:val="0"/>
      <w:marRight w:val="0"/>
      <w:marTop w:val="0"/>
      <w:marBottom w:val="0"/>
      <w:divBdr>
        <w:top w:val="none" w:sz="0" w:space="0" w:color="auto"/>
        <w:left w:val="none" w:sz="0" w:space="0" w:color="auto"/>
        <w:bottom w:val="none" w:sz="0" w:space="0" w:color="auto"/>
        <w:right w:val="none" w:sz="0" w:space="0" w:color="auto"/>
      </w:divBdr>
    </w:div>
    <w:div w:id="815419712">
      <w:bodyDiv w:val="1"/>
      <w:marLeft w:val="0"/>
      <w:marRight w:val="0"/>
      <w:marTop w:val="0"/>
      <w:marBottom w:val="0"/>
      <w:divBdr>
        <w:top w:val="none" w:sz="0" w:space="0" w:color="auto"/>
        <w:left w:val="none" w:sz="0" w:space="0" w:color="auto"/>
        <w:bottom w:val="none" w:sz="0" w:space="0" w:color="auto"/>
        <w:right w:val="none" w:sz="0" w:space="0" w:color="auto"/>
      </w:divBdr>
    </w:div>
    <w:div w:id="815534015">
      <w:bodyDiv w:val="1"/>
      <w:marLeft w:val="0"/>
      <w:marRight w:val="0"/>
      <w:marTop w:val="0"/>
      <w:marBottom w:val="0"/>
      <w:divBdr>
        <w:top w:val="none" w:sz="0" w:space="0" w:color="auto"/>
        <w:left w:val="none" w:sz="0" w:space="0" w:color="auto"/>
        <w:bottom w:val="none" w:sz="0" w:space="0" w:color="auto"/>
        <w:right w:val="none" w:sz="0" w:space="0" w:color="auto"/>
      </w:divBdr>
    </w:div>
    <w:div w:id="817771367">
      <w:bodyDiv w:val="1"/>
      <w:marLeft w:val="0"/>
      <w:marRight w:val="0"/>
      <w:marTop w:val="0"/>
      <w:marBottom w:val="0"/>
      <w:divBdr>
        <w:top w:val="none" w:sz="0" w:space="0" w:color="auto"/>
        <w:left w:val="none" w:sz="0" w:space="0" w:color="auto"/>
        <w:bottom w:val="none" w:sz="0" w:space="0" w:color="auto"/>
        <w:right w:val="none" w:sz="0" w:space="0" w:color="auto"/>
      </w:divBdr>
      <w:divsChild>
        <w:div w:id="186598477">
          <w:marLeft w:val="0"/>
          <w:marRight w:val="0"/>
          <w:marTop w:val="0"/>
          <w:marBottom w:val="0"/>
          <w:divBdr>
            <w:top w:val="none" w:sz="0" w:space="0" w:color="auto"/>
            <w:left w:val="none" w:sz="0" w:space="0" w:color="auto"/>
            <w:bottom w:val="none" w:sz="0" w:space="0" w:color="auto"/>
            <w:right w:val="none" w:sz="0" w:space="0" w:color="auto"/>
          </w:divBdr>
        </w:div>
        <w:div w:id="851528590">
          <w:marLeft w:val="0"/>
          <w:marRight w:val="0"/>
          <w:marTop w:val="0"/>
          <w:marBottom w:val="0"/>
          <w:divBdr>
            <w:top w:val="none" w:sz="0" w:space="0" w:color="auto"/>
            <w:left w:val="none" w:sz="0" w:space="0" w:color="auto"/>
            <w:bottom w:val="none" w:sz="0" w:space="0" w:color="auto"/>
            <w:right w:val="none" w:sz="0" w:space="0" w:color="auto"/>
          </w:divBdr>
        </w:div>
        <w:div w:id="1291395519">
          <w:marLeft w:val="0"/>
          <w:marRight w:val="0"/>
          <w:marTop w:val="0"/>
          <w:marBottom w:val="0"/>
          <w:divBdr>
            <w:top w:val="none" w:sz="0" w:space="0" w:color="auto"/>
            <w:left w:val="none" w:sz="0" w:space="0" w:color="auto"/>
            <w:bottom w:val="none" w:sz="0" w:space="0" w:color="auto"/>
            <w:right w:val="none" w:sz="0" w:space="0" w:color="auto"/>
          </w:divBdr>
        </w:div>
      </w:divsChild>
    </w:div>
    <w:div w:id="820317127">
      <w:bodyDiv w:val="1"/>
      <w:marLeft w:val="0"/>
      <w:marRight w:val="0"/>
      <w:marTop w:val="0"/>
      <w:marBottom w:val="0"/>
      <w:divBdr>
        <w:top w:val="none" w:sz="0" w:space="0" w:color="auto"/>
        <w:left w:val="none" w:sz="0" w:space="0" w:color="auto"/>
        <w:bottom w:val="none" w:sz="0" w:space="0" w:color="auto"/>
        <w:right w:val="none" w:sz="0" w:space="0" w:color="auto"/>
      </w:divBdr>
    </w:div>
    <w:div w:id="824054049">
      <w:bodyDiv w:val="1"/>
      <w:marLeft w:val="0"/>
      <w:marRight w:val="0"/>
      <w:marTop w:val="0"/>
      <w:marBottom w:val="0"/>
      <w:divBdr>
        <w:top w:val="none" w:sz="0" w:space="0" w:color="auto"/>
        <w:left w:val="none" w:sz="0" w:space="0" w:color="auto"/>
        <w:bottom w:val="none" w:sz="0" w:space="0" w:color="auto"/>
        <w:right w:val="none" w:sz="0" w:space="0" w:color="auto"/>
      </w:divBdr>
    </w:div>
    <w:div w:id="827939693">
      <w:bodyDiv w:val="1"/>
      <w:marLeft w:val="0"/>
      <w:marRight w:val="0"/>
      <w:marTop w:val="0"/>
      <w:marBottom w:val="0"/>
      <w:divBdr>
        <w:top w:val="none" w:sz="0" w:space="0" w:color="auto"/>
        <w:left w:val="none" w:sz="0" w:space="0" w:color="auto"/>
        <w:bottom w:val="none" w:sz="0" w:space="0" w:color="auto"/>
        <w:right w:val="none" w:sz="0" w:space="0" w:color="auto"/>
      </w:divBdr>
    </w:div>
    <w:div w:id="828210604">
      <w:bodyDiv w:val="1"/>
      <w:marLeft w:val="0"/>
      <w:marRight w:val="0"/>
      <w:marTop w:val="0"/>
      <w:marBottom w:val="0"/>
      <w:divBdr>
        <w:top w:val="none" w:sz="0" w:space="0" w:color="auto"/>
        <w:left w:val="none" w:sz="0" w:space="0" w:color="auto"/>
        <w:bottom w:val="none" w:sz="0" w:space="0" w:color="auto"/>
        <w:right w:val="none" w:sz="0" w:space="0" w:color="auto"/>
      </w:divBdr>
    </w:div>
    <w:div w:id="834421527">
      <w:bodyDiv w:val="1"/>
      <w:marLeft w:val="0"/>
      <w:marRight w:val="0"/>
      <w:marTop w:val="0"/>
      <w:marBottom w:val="0"/>
      <w:divBdr>
        <w:top w:val="none" w:sz="0" w:space="0" w:color="auto"/>
        <w:left w:val="none" w:sz="0" w:space="0" w:color="auto"/>
        <w:bottom w:val="none" w:sz="0" w:space="0" w:color="auto"/>
        <w:right w:val="none" w:sz="0" w:space="0" w:color="auto"/>
      </w:divBdr>
    </w:div>
    <w:div w:id="836191541">
      <w:bodyDiv w:val="1"/>
      <w:marLeft w:val="0"/>
      <w:marRight w:val="0"/>
      <w:marTop w:val="0"/>
      <w:marBottom w:val="0"/>
      <w:divBdr>
        <w:top w:val="none" w:sz="0" w:space="0" w:color="auto"/>
        <w:left w:val="none" w:sz="0" w:space="0" w:color="auto"/>
        <w:bottom w:val="none" w:sz="0" w:space="0" w:color="auto"/>
        <w:right w:val="none" w:sz="0" w:space="0" w:color="auto"/>
      </w:divBdr>
    </w:div>
    <w:div w:id="839274619">
      <w:bodyDiv w:val="1"/>
      <w:marLeft w:val="0"/>
      <w:marRight w:val="0"/>
      <w:marTop w:val="0"/>
      <w:marBottom w:val="0"/>
      <w:divBdr>
        <w:top w:val="none" w:sz="0" w:space="0" w:color="auto"/>
        <w:left w:val="none" w:sz="0" w:space="0" w:color="auto"/>
        <w:bottom w:val="none" w:sz="0" w:space="0" w:color="auto"/>
        <w:right w:val="none" w:sz="0" w:space="0" w:color="auto"/>
      </w:divBdr>
    </w:div>
    <w:div w:id="845873494">
      <w:bodyDiv w:val="1"/>
      <w:marLeft w:val="0"/>
      <w:marRight w:val="0"/>
      <w:marTop w:val="0"/>
      <w:marBottom w:val="0"/>
      <w:divBdr>
        <w:top w:val="none" w:sz="0" w:space="0" w:color="auto"/>
        <w:left w:val="none" w:sz="0" w:space="0" w:color="auto"/>
        <w:bottom w:val="none" w:sz="0" w:space="0" w:color="auto"/>
        <w:right w:val="none" w:sz="0" w:space="0" w:color="auto"/>
      </w:divBdr>
    </w:div>
    <w:div w:id="849951373">
      <w:bodyDiv w:val="1"/>
      <w:marLeft w:val="0"/>
      <w:marRight w:val="0"/>
      <w:marTop w:val="0"/>
      <w:marBottom w:val="0"/>
      <w:divBdr>
        <w:top w:val="none" w:sz="0" w:space="0" w:color="auto"/>
        <w:left w:val="none" w:sz="0" w:space="0" w:color="auto"/>
        <w:bottom w:val="none" w:sz="0" w:space="0" w:color="auto"/>
        <w:right w:val="none" w:sz="0" w:space="0" w:color="auto"/>
      </w:divBdr>
    </w:div>
    <w:div w:id="853958360">
      <w:bodyDiv w:val="1"/>
      <w:marLeft w:val="0"/>
      <w:marRight w:val="0"/>
      <w:marTop w:val="0"/>
      <w:marBottom w:val="0"/>
      <w:divBdr>
        <w:top w:val="none" w:sz="0" w:space="0" w:color="auto"/>
        <w:left w:val="none" w:sz="0" w:space="0" w:color="auto"/>
        <w:bottom w:val="none" w:sz="0" w:space="0" w:color="auto"/>
        <w:right w:val="none" w:sz="0" w:space="0" w:color="auto"/>
      </w:divBdr>
    </w:div>
    <w:div w:id="856114510">
      <w:bodyDiv w:val="1"/>
      <w:marLeft w:val="0"/>
      <w:marRight w:val="0"/>
      <w:marTop w:val="0"/>
      <w:marBottom w:val="0"/>
      <w:divBdr>
        <w:top w:val="none" w:sz="0" w:space="0" w:color="auto"/>
        <w:left w:val="none" w:sz="0" w:space="0" w:color="auto"/>
        <w:bottom w:val="none" w:sz="0" w:space="0" w:color="auto"/>
        <w:right w:val="none" w:sz="0" w:space="0" w:color="auto"/>
      </w:divBdr>
    </w:div>
    <w:div w:id="859510756">
      <w:bodyDiv w:val="1"/>
      <w:marLeft w:val="0"/>
      <w:marRight w:val="0"/>
      <w:marTop w:val="0"/>
      <w:marBottom w:val="0"/>
      <w:divBdr>
        <w:top w:val="none" w:sz="0" w:space="0" w:color="auto"/>
        <w:left w:val="none" w:sz="0" w:space="0" w:color="auto"/>
        <w:bottom w:val="none" w:sz="0" w:space="0" w:color="auto"/>
        <w:right w:val="none" w:sz="0" w:space="0" w:color="auto"/>
      </w:divBdr>
    </w:div>
    <w:div w:id="860818148">
      <w:bodyDiv w:val="1"/>
      <w:marLeft w:val="0"/>
      <w:marRight w:val="0"/>
      <w:marTop w:val="0"/>
      <w:marBottom w:val="0"/>
      <w:divBdr>
        <w:top w:val="none" w:sz="0" w:space="0" w:color="auto"/>
        <w:left w:val="none" w:sz="0" w:space="0" w:color="auto"/>
        <w:bottom w:val="none" w:sz="0" w:space="0" w:color="auto"/>
        <w:right w:val="none" w:sz="0" w:space="0" w:color="auto"/>
      </w:divBdr>
    </w:div>
    <w:div w:id="864027669">
      <w:bodyDiv w:val="1"/>
      <w:marLeft w:val="0"/>
      <w:marRight w:val="0"/>
      <w:marTop w:val="0"/>
      <w:marBottom w:val="0"/>
      <w:divBdr>
        <w:top w:val="none" w:sz="0" w:space="0" w:color="auto"/>
        <w:left w:val="none" w:sz="0" w:space="0" w:color="auto"/>
        <w:bottom w:val="none" w:sz="0" w:space="0" w:color="auto"/>
        <w:right w:val="none" w:sz="0" w:space="0" w:color="auto"/>
      </w:divBdr>
    </w:div>
    <w:div w:id="865560645">
      <w:bodyDiv w:val="1"/>
      <w:marLeft w:val="0"/>
      <w:marRight w:val="0"/>
      <w:marTop w:val="0"/>
      <w:marBottom w:val="0"/>
      <w:divBdr>
        <w:top w:val="none" w:sz="0" w:space="0" w:color="auto"/>
        <w:left w:val="none" w:sz="0" w:space="0" w:color="auto"/>
        <w:bottom w:val="none" w:sz="0" w:space="0" w:color="auto"/>
        <w:right w:val="none" w:sz="0" w:space="0" w:color="auto"/>
      </w:divBdr>
    </w:div>
    <w:div w:id="871184786">
      <w:bodyDiv w:val="1"/>
      <w:marLeft w:val="0"/>
      <w:marRight w:val="0"/>
      <w:marTop w:val="0"/>
      <w:marBottom w:val="0"/>
      <w:divBdr>
        <w:top w:val="none" w:sz="0" w:space="0" w:color="auto"/>
        <w:left w:val="none" w:sz="0" w:space="0" w:color="auto"/>
        <w:bottom w:val="none" w:sz="0" w:space="0" w:color="auto"/>
        <w:right w:val="none" w:sz="0" w:space="0" w:color="auto"/>
      </w:divBdr>
    </w:div>
    <w:div w:id="876938993">
      <w:bodyDiv w:val="1"/>
      <w:marLeft w:val="0"/>
      <w:marRight w:val="0"/>
      <w:marTop w:val="0"/>
      <w:marBottom w:val="0"/>
      <w:divBdr>
        <w:top w:val="none" w:sz="0" w:space="0" w:color="auto"/>
        <w:left w:val="none" w:sz="0" w:space="0" w:color="auto"/>
        <w:bottom w:val="none" w:sz="0" w:space="0" w:color="auto"/>
        <w:right w:val="none" w:sz="0" w:space="0" w:color="auto"/>
      </w:divBdr>
    </w:div>
    <w:div w:id="888996853">
      <w:bodyDiv w:val="1"/>
      <w:marLeft w:val="0"/>
      <w:marRight w:val="0"/>
      <w:marTop w:val="0"/>
      <w:marBottom w:val="0"/>
      <w:divBdr>
        <w:top w:val="none" w:sz="0" w:space="0" w:color="auto"/>
        <w:left w:val="none" w:sz="0" w:space="0" w:color="auto"/>
        <w:bottom w:val="none" w:sz="0" w:space="0" w:color="auto"/>
        <w:right w:val="none" w:sz="0" w:space="0" w:color="auto"/>
      </w:divBdr>
    </w:div>
    <w:div w:id="890925020">
      <w:bodyDiv w:val="1"/>
      <w:marLeft w:val="0"/>
      <w:marRight w:val="0"/>
      <w:marTop w:val="0"/>
      <w:marBottom w:val="0"/>
      <w:divBdr>
        <w:top w:val="none" w:sz="0" w:space="0" w:color="auto"/>
        <w:left w:val="none" w:sz="0" w:space="0" w:color="auto"/>
        <w:bottom w:val="none" w:sz="0" w:space="0" w:color="auto"/>
        <w:right w:val="none" w:sz="0" w:space="0" w:color="auto"/>
      </w:divBdr>
    </w:div>
    <w:div w:id="890969045">
      <w:bodyDiv w:val="1"/>
      <w:marLeft w:val="0"/>
      <w:marRight w:val="0"/>
      <w:marTop w:val="0"/>
      <w:marBottom w:val="0"/>
      <w:divBdr>
        <w:top w:val="none" w:sz="0" w:space="0" w:color="auto"/>
        <w:left w:val="none" w:sz="0" w:space="0" w:color="auto"/>
        <w:bottom w:val="none" w:sz="0" w:space="0" w:color="auto"/>
        <w:right w:val="none" w:sz="0" w:space="0" w:color="auto"/>
      </w:divBdr>
    </w:div>
    <w:div w:id="895169533">
      <w:bodyDiv w:val="1"/>
      <w:marLeft w:val="0"/>
      <w:marRight w:val="0"/>
      <w:marTop w:val="0"/>
      <w:marBottom w:val="0"/>
      <w:divBdr>
        <w:top w:val="none" w:sz="0" w:space="0" w:color="auto"/>
        <w:left w:val="none" w:sz="0" w:space="0" w:color="auto"/>
        <w:bottom w:val="none" w:sz="0" w:space="0" w:color="auto"/>
        <w:right w:val="none" w:sz="0" w:space="0" w:color="auto"/>
      </w:divBdr>
    </w:div>
    <w:div w:id="896820501">
      <w:bodyDiv w:val="1"/>
      <w:marLeft w:val="0"/>
      <w:marRight w:val="0"/>
      <w:marTop w:val="0"/>
      <w:marBottom w:val="0"/>
      <w:divBdr>
        <w:top w:val="none" w:sz="0" w:space="0" w:color="auto"/>
        <w:left w:val="none" w:sz="0" w:space="0" w:color="auto"/>
        <w:bottom w:val="none" w:sz="0" w:space="0" w:color="auto"/>
        <w:right w:val="none" w:sz="0" w:space="0" w:color="auto"/>
      </w:divBdr>
    </w:div>
    <w:div w:id="897978445">
      <w:bodyDiv w:val="1"/>
      <w:marLeft w:val="0"/>
      <w:marRight w:val="0"/>
      <w:marTop w:val="0"/>
      <w:marBottom w:val="0"/>
      <w:divBdr>
        <w:top w:val="none" w:sz="0" w:space="0" w:color="auto"/>
        <w:left w:val="none" w:sz="0" w:space="0" w:color="auto"/>
        <w:bottom w:val="none" w:sz="0" w:space="0" w:color="auto"/>
        <w:right w:val="none" w:sz="0" w:space="0" w:color="auto"/>
      </w:divBdr>
    </w:div>
    <w:div w:id="902060237">
      <w:bodyDiv w:val="1"/>
      <w:marLeft w:val="0"/>
      <w:marRight w:val="0"/>
      <w:marTop w:val="0"/>
      <w:marBottom w:val="0"/>
      <w:divBdr>
        <w:top w:val="none" w:sz="0" w:space="0" w:color="auto"/>
        <w:left w:val="none" w:sz="0" w:space="0" w:color="auto"/>
        <w:bottom w:val="none" w:sz="0" w:space="0" w:color="auto"/>
        <w:right w:val="none" w:sz="0" w:space="0" w:color="auto"/>
      </w:divBdr>
    </w:div>
    <w:div w:id="902326177">
      <w:bodyDiv w:val="1"/>
      <w:marLeft w:val="0"/>
      <w:marRight w:val="0"/>
      <w:marTop w:val="0"/>
      <w:marBottom w:val="0"/>
      <w:divBdr>
        <w:top w:val="none" w:sz="0" w:space="0" w:color="auto"/>
        <w:left w:val="none" w:sz="0" w:space="0" w:color="auto"/>
        <w:bottom w:val="none" w:sz="0" w:space="0" w:color="auto"/>
        <w:right w:val="none" w:sz="0" w:space="0" w:color="auto"/>
      </w:divBdr>
    </w:div>
    <w:div w:id="906649762">
      <w:bodyDiv w:val="1"/>
      <w:marLeft w:val="0"/>
      <w:marRight w:val="0"/>
      <w:marTop w:val="0"/>
      <w:marBottom w:val="0"/>
      <w:divBdr>
        <w:top w:val="none" w:sz="0" w:space="0" w:color="auto"/>
        <w:left w:val="none" w:sz="0" w:space="0" w:color="auto"/>
        <w:bottom w:val="none" w:sz="0" w:space="0" w:color="auto"/>
        <w:right w:val="none" w:sz="0" w:space="0" w:color="auto"/>
      </w:divBdr>
    </w:div>
    <w:div w:id="908343903">
      <w:bodyDiv w:val="1"/>
      <w:marLeft w:val="0"/>
      <w:marRight w:val="0"/>
      <w:marTop w:val="0"/>
      <w:marBottom w:val="0"/>
      <w:divBdr>
        <w:top w:val="none" w:sz="0" w:space="0" w:color="auto"/>
        <w:left w:val="none" w:sz="0" w:space="0" w:color="auto"/>
        <w:bottom w:val="none" w:sz="0" w:space="0" w:color="auto"/>
        <w:right w:val="none" w:sz="0" w:space="0" w:color="auto"/>
      </w:divBdr>
    </w:div>
    <w:div w:id="910625621">
      <w:bodyDiv w:val="1"/>
      <w:marLeft w:val="0"/>
      <w:marRight w:val="0"/>
      <w:marTop w:val="0"/>
      <w:marBottom w:val="0"/>
      <w:divBdr>
        <w:top w:val="none" w:sz="0" w:space="0" w:color="auto"/>
        <w:left w:val="none" w:sz="0" w:space="0" w:color="auto"/>
        <w:bottom w:val="none" w:sz="0" w:space="0" w:color="auto"/>
        <w:right w:val="none" w:sz="0" w:space="0" w:color="auto"/>
      </w:divBdr>
    </w:div>
    <w:div w:id="916789597">
      <w:bodyDiv w:val="1"/>
      <w:marLeft w:val="0"/>
      <w:marRight w:val="0"/>
      <w:marTop w:val="0"/>
      <w:marBottom w:val="0"/>
      <w:divBdr>
        <w:top w:val="none" w:sz="0" w:space="0" w:color="auto"/>
        <w:left w:val="none" w:sz="0" w:space="0" w:color="auto"/>
        <w:bottom w:val="none" w:sz="0" w:space="0" w:color="auto"/>
        <w:right w:val="none" w:sz="0" w:space="0" w:color="auto"/>
      </w:divBdr>
    </w:div>
    <w:div w:id="917323132">
      <w:bodyDiv w:val="1"/>
      <w:marLeft w:val="0"/>
      <w:marRight w:val="0"/>
      <w:marTop w:val="0"/>
      <w:marBottom w:val="0"/>
      <w:divBdr>
        <w:top w:val="none" w:sz="0" w:space="0" w:color="auto"/>
        <w:left w:val="none" w:sz="0" w:space="0" w:color="auto"/>
        <w:bottom w:val="none" w:sz="0" w:space="0" w:color="auto"/>
        <w:right w:val="none" w:sz="0" w:space="0" w:color="auto"/>
      </w:divBdr>
    </w:div>
    <w:div w:id="918514166">
      <w:bodyDiv w:val="1"/>
      <w:marLeft w:val="0"/>
      <w:marRight w:val="0"/>
      <w:marTop w:val="0"/>
      <w:marBottom w:val="0"/>
      <w:divBdr>
        <w:top w:val="none" w:sz="0" w:space="0" w:color="auto"/>
        <w:left w:val="none" w:sz="0" w:space="0" w:color="auto"/>
        <w:bottom w:val="none" w:sz="0" w:space="0" w:color="auto"/>
        <w:right w:val="none" w:sz="0" w:space="0" w:color="auto"/>
      </w:divBdr>
    </w:div>
    <w:div w:id="920216878">
      <w:bodyDiv w:val="1"/>
      <w:marLeft w:val="0"/>
      <w:marRight w:val="0"/>
      <w:marTop w:val="0"/>
      <w:marBottom w:val="0"/>
      <w:divBdr>
        <w:top w:val="none" w:sz="0" w:space="0" w:color="auto"/>
        <w:left w:val="none" w:sz="0" w:space="0" w:color="auto"/>
        <w:bottom w:val="none" w:sz="0" w:space="0" w:color="auto"/>
        <w:right w:val="none" w:sz="0" w:space="0" w:color="auto"/>
      </w:divBdr>
    </w:div>
    <w:div w:id="922495136">
      <w:bodyDiv w:val="1"/>
      <w:marLeft w:val="0"/>
      <w:marRight w:val="0"/>
      <w:marTop w:val="0"/>
      <w:marBottom w:val="0"/>
      <w:divBdr>
        <w:top w:val="none" w:sz="0" w:space="0" w:color="auto"/>
        <w:left w:val="none" w:sz="0" w:space="0" w:color="auto"/>
        <w:bottom w:val="none" w:sz="0" w:space="0" w:color="auto"/>
        <w:right w:val="none" w:sz="0" w:space="0" w:color="auto"/>
      </w:divBdr>
    </w:div>
    <w:div w:id="924152418">
      <w:bodyDiv w:val="1"/>
      <w:marLeft w:val="0"/>
      <w:marRight w:val="0"/>
      <w:marTop w:val="0"/>
      <w:marBottom w:val="0"/>
      <w:divBdr>
        <w:top w:val="none" w:sz="0" w:space="0" w:color="auto"/>
        <w:left w:val="none" w:sz="0" w:space="0" w:color="auto"/>
        <w:bottom w:val="none" w:sz="0" w:space="0" w:color="auto"/>
        <w:right w:val="none" w:sz="0" w:space="0" w:color="auto"/>
      </w:divBdr>
    </w:div>
    <w:div w:id="927230667">
      <w:bodyDiv w:val="1"/>
      <w:marLeft w:val="0"/>
      <w:marRight w:val="0"/>
      <w:marTop w:val="0"/>
      <w:marBottom w:val="0"/>
      <w:divBdr>
        <w:top w:val="none" w:sz="0" w:space="0" w:color="auto"/>
        <w:left w:val="none" w:sz="0" w:space="0" w:color="auto"/>
        <w:bottom w:val="none" w:sz="0" w:space="0" w:color="auto"/>
        <w:right w:val="none" w:sz="0" w:space="0" w:color="auto"/>
      </w:divBdr>
    </w:div>
    <w:div w:id="928124997">
      <w:bodyDiv w:val="1"/>
      <w:marLeft w:val="0"/>
      <w:marRight w:val="0"/>
      <w:marTop w:val="0"/>
      <w:marBottom w:val="0"/>
      <w:divBdr>
        <w:top w:val="none" w:sz="0" w:space="0" w:color="auto"/>
        <w:left w:val="none" w:sz="0" w:space="0" w:color="auto"/>
        <w:bottom w:val="none" w:sz="0" w:space="0" w:color="auto"/>
        <w:right w:val="none" w:sz="0" w:space="0" w:color="auto"/>
      </w:divBdr>
    </w:div>
    <w:div w:id="932670300">
      <w:bodyDiv w:val="1"/>
      <w:marLeft w:val="0"/>
      <w:marRight w:val="0"/>
      <w:marTop w:val="0"/>
      <w:marBottom w:val="0"/>
      <w:divBdr>
        <w:top w:val="none" w:sz="0" w:space="0" w:color="auto"/>
        <w:left w:val="none" w:sz="0" w:space="0" w:color="auto"/>
        <w:bottom w:val="none" w:sz="0" w:space="0" w:color="auto"/>
        <w:right w:val="none" w:sz="0" w:space="0" w:color="auto"/>
      </w:divBdr>
    </w:div>
    <w:div w:id="932863333">
      <w:bodyDiv w:val="1"/>
      <w:marLeft w:val="0"/>
      <w:marRight w:val="0"/>
      <w:marTop w:val="0"/>
      <w:marBottom w:val="0"/>
      <w:divBdr>
        <w:top w:val="none" w:sz="0" w:space="0" w:color="auto"/>
        <w:left w:val="none" w:sz="0" w:space="0" w:color="auto"/>
        <w:bottom w:val="none" w:sz="0" w:space="0" w:color="auto"/>
        <w:right w:val="none" w:sz="0" w:space="0" w:color="auto"/>
      </w:divBdr>
    </w:div>
    <w:div w:id="934509663">
      <w:bodyDiv w:val="1"/>
      <w:marLeft w:val="0"/>
      <w:marRight w:val="0"/>
      <w:marTop w:val="0"/>
      <w:marBottom w:val="0"/>
      <w:divBdr>
        <w:top w:val="none" w:sz="0" w:space="0" w:color="auto"/>
        <w:left w:val="none" w:sz="0" w:space="0" w:color="auto"/>
        <w:bottom w:val="none" w:sz="0" w:space="0" w:color="auto"/>
        <w:right w:val="none" w:sz="0" w:space="0" w:color="auto"/>
      </w:divBdr>
    </w:div>
    <w:div w:id="935753001">
      <w:bodyDiv w:val="1"/>
      <w:marLeft w:val="0"/>
      <w:marRight w:val="0"/>
      <w:marTop w:val="0"/>
      <w:marBottom w:val="0"/>
      <w:divBdr>
        <w:top w:val="none" w:sz="0" w:space="0" w:color="auto"/>
        <w:left w:val="none" w:sz="0" w:space="0" w:color="auto"/>
        <w:bottom w:val="none" w:sz="0" w:space="0" w:color="auto"/>
        <w:right w:val="none" w:sz="0" w:space="0" w:color="auto"/>
      </w:divBdr>
    </w:div>
    <w:div w:id="939144825">
      <w:bodyDiv w:val="1"/>
      <w:marLeft w:val="0"/>
      <w:marRight w:val="0"/>
      <w:marTop w:val="0"/>
      <w:marBottom w:val="0"/>
      <w:divBdr>
        <w:top w:val="none" w:sz="0" w:space="0" w:color="auto"/>
        <w:left w:val="none" w:sz="0" w:space="0" w:color="auto"/>
        <w:bottom w:val="none" w:sz="0" w:space="0" w:color="auto"/>
        <w:right w:val="none" w:sz="0" w:space="0" w:color="auto"/>
      </w:divBdr>
    </w:div>
    <w:div w:id="941259985">
      <w:bodyDiv w:val="1"/>
      <w:marLeft w:val="0"/>
      <w:marRight w:val="0"/>
      <w:marTop w:val="0"/>
      <w:marBottom w:val="0"/>
      <w:divBdr>
        <w:top w:val="none" w:sz="0" w:space="0" w:color="auto"/>
        <w:left w:val="none" w:sz="0" w:space="0" w:color="auto"/>
        <w:bottom w:val="none" w:sz="0" w:space="0" w:color="auto"/>
        <w:right w:val="none" w:sz="0" w:space="0" w:color="auto"/>
      </w:divBdr>
      <w:divsChild>
        <w:div w:id="53086827">
          <w:marLeft w:val="0"/>
          <w:marRight w:val="0"/>
          <w:marTop w:val="0"/>
          <w:marBottom w:val="0"/>
          <w:divBdr>
            <w:top w:val="none" w:sz="0" w:space="0" w:color="auto"/>
            <w:left w:val="none" w:sz="0" w:space="0" w:color="auto"/>
            <w:bottom w:val="none" w:sz="0" w:space="0" w:color="auto"/>
            <w:right w:val="none" w:sz="0" w:space="0" w:color="auto"/>
          </w:divBdr>
        </w:div>
        <w:div w:id="685794299">
          <w:marLeft w:val="0"/>
          <w:marRight w:val="0"/>
          <w:marTop w:val="0"/>
          <w:marBottom w:val="0"/>
          <w:divBdr>
            <w:top w:val="none" w:sz="0" w:space="0" w:color="auto"/>
            <w:left w:val="none" w:sz="0" w:space="0" w:color="auto"/>
            <w:bottom w:val="none" w:sz="0" w:space="0" w:color="auto"/>
            <w:right w:val="none" w:sz="0" w:space="0" w:color="auto"/>
          </w:divBdr>
        </w:div>
        <w:div w:id="906114462">
          <w:marLeft w:val="0"/>
          <w:marRight w:val="0"/>
          <w:marTop w:val="0"/>
          <w:marBottom w:val="0"/>
          <w:divBdr>
            <w:top w:val="none" w:sz="0" w:space="0" w:color="auto"/>
            <w:left w:val="none" w:sz="0" w:space="0" w:color="auto"/>
            <w:bottom w:val="none" w:sz="0" w:space="0" w:color="auto"/>
            <w:right w:val="none" w:sz="0" w:space="0" w:color="auto"/>
          </w:divBdr>
        </w:div>
      </w:divsChild>
    </w:div>
    <w:div w:id="943269122">
      <w:bodyDiv w:val="1"/>
      <w:marLeft w:val="0"/>
      <w:marRight w:val="0"/>
      <w:marTop w:val="0"/>
      <w:marBottom w:val="0"/>
      <w:divBdr>
        <w:top w:val="none" w:sz="0" w:space="0" w:color="auto"/>
        <w:left w:val="none" w:sz="0" w:space="0" w:color="auto"/>
        <w:bottom w:val="none" w:sz="0" w:space="0" w:color="auto"/>
        <w:right w:val="none" w:sz="0" w:space="0" w:color="auto"/>
      </w:divBdr>
    </w:div>
    <w:div w:id="943997316">
      <w:bodyDiv w:val="1"/>
      <w:marLeft w:val="0"/>
      <w:marRight w:val="0"/>
      <w:marTop w:val="0"/>
      <w:marBottom w:val="0"/>
      <w:divBdr>
        <w:top w:val="none" w:sz="0" w:space="0" w:color="auto"/>
        <w:left w:val="none" w:sz="0" w:space="0" w:color="auto"/>
        <w:bottom w:val="none" w:sz="0" w:space="0" w:color="auto"/>
        <w:right w:val="none" w:sz="0" w:space="0" w:color="auto"/>
      </w:divBdr>
    </w:div>
    <w:div w:id="944963725">
      <w:bodyDiv w:val="1"/>
      <w:marLeft w:val="0"/>
      <w:marRight w:val="0"/>
      <w:marTop w:val="0"/>
      <w:marBottom w:val="0"/>
      <w:divBdr>
        <w:top w:val="none" w:sz="0" w:space="0" w:color="auto"/>
        <w:left w:val="none" w:sz="0" w:space="0" w:color="auto"/>
        <w:bottom w:val="none" w:sz="0" w:space="0" w:color="auto"/>
        <w:right w:val="none" w:sz="0" w:space="0" w:color="auto"/>
      </w:divBdr>
    </w:div>
    <w:div w:id="946231051">
      <w:bodyDiv w:val="1"/>
      <w:marLeft w:val="0"/>
      <w:marRight w:val="0"/>
      <w:marTop w:val="0"/>
      <w:marBottom w:val="0"/>
      <w:divBdr>
        <w:top w:val="none" w:sz="0" w:space="0" w:color="auto"/>
        <w:left w:val="none" w:sz="0" w:space="0" w:color="auto"/>
        <w:bottom w:val="none" w:sz="0" w:space="0" w:color="auto"/>
        <w:right w:val="none" w:sz="0" w:space="0" w:color="auto"/>
      </w:divBdr>
    </w:div>
    <w:div w:id="947857498">
      <w:bodyDiv w:val="1"/>
      <w:marLeft w:val="0"/>
      <w:marRight w:val="0"/>
      <w:marTop w:val="0"/>
      <w:marBottom w:val="0"/>
      <w:divBdr>
        <w:top w:val="none" w:sz="0" w:space="0" w:color="auto"/>
        <w:left w:val="none" w:sz="0" w:space="0" w:color="auto"/>
        <w:bottom w:val="none" w:sz="0" w:space="0" w:color="auto"/>
        <w:right w:val="none" w:sz="0" w:space="0" w:color="auto"/>
      </w:divBdr>
    </w:div>
    <w:div w:id="949580389">
      <w:bodyDiv w:val="1"/>
      <w:marLeft w:val="0"/>
      <w:marRight w:val="0"/>
      <w:marTop w:val="0"/>
      <w:marBottom w:val="0"/>
      <w:divBdr>
        <w:top w:val="none" w:sz="0" w:space="0" w:color="auto"/>
        <w:left w:val="none" w:sz="0" w:space="0" w:color="auto"/>
        <w:bottom w:val="none" w:sz="0" w:space="0" w:color="auto"/>
        <w:right w:val="none" w:sz="0" w:space="0" w:color="auto"/>
      </w:divBdr>
    </w:div>
    <w:div w:id="955336683">
      <w:bodyDiv w:val="1"/>
      <w:marLeft w:val="0"/>
      <w:marRight w:val="0"/>
      <w:marTop w:val="0"/>
      <w:marBottom w:val="0"/>
      <w:divBdr>
        <w:top w:val="none" w:sz="0" w:space="0" w:color="auto"/>
        <w:left w:val="none" w:sz="0" w:space="0" w:color="auto"/>
        <w:bottom w:val="none" w:sz="0" w:space="0" w:color="auto"/>
        <w:right w:val="none" w:sz="0" w:space="0" w:color="auto"/>
      </w:divBdr>
    </w:div>
    <w:div w:id="956568120">
      <w:bodyDiv w:val="1"/>
      <w:marLeft w:val="0"/>
      <w:marRight w:val="0"/>
      <w:marTop w:val="0"/>
      <w:marBottom w:val="0"/>
      <w:divBdr>
        <w:top w:val="none" w:sz="0" w:space="0" w:color="auto"/>
        <w:left w:val="none" w:sz="0" w:space="0" w:color="auto"/>
        <w:bottom w:val="none" w:sz="0" w:space="0" w:color="auto"/>
        <w:right w:val="none" w:sz="0" w:space="0" w:color="auto"/>
      </w:divBdr>
    </w:div>
    <w:div w:id="959143607">
      <w:bodyDiv w:val="1"/>
      <w:marLeft w:val="0"/>
      <w:marRight w:val="0"/>
      <w:marTop w:val="0"/>
      <w:marBottom w:val="0"/>
      <w:divBdr>
        <w:top w:val="none" w:sz="0" w:space="0" w:color="auto"/>
        <w:left w:val="none" w:sz="0" w:space="0" w:color="auto"/>
        <w:bottom w:val="none" w:sz="0" w:space="0" w:color="auto"/>
        <w:right w:val="none" w:sz="0" w:space="0" w:color="auto"/>
      </w:divBdr>
    </w:div>
    <w:div w:id="959217390">
      <w:bodyDiv w:val="1"/>
      <w:marLeft w:val="0"/>
      <w:marRight w:val="0"/>
      <w:marTop w:val="0"/>
      <w:marBottom w:val="0"/>
      <w:divBdr>
        <w:top w:val="none" w:sz="0" w:space="0" w:color="auto"/>
        <w:left w:val="none" w:sz="0" w:space="0" w:color="auto"/>
        <w:bottom w:val="none" w:sz="0" w:space="0" w:color="auto"/>
        <w:right w:val="none" w:sz="0" w:space="0" w:color="auto"/>
      </w:divBdr>
    </w:div>
    <w:div w:id="959723917">
      <w:bodyDiv w:val="1"/>
      <w:marLeft w:val="0"/>
      <w:marRight w:val="0"/>
      <w:marTop w:val="0"/>
      <w:marBottom w:val="0"/>
      <w:divBdr>
        <w:top w:val="none" w:sz="0" w:space="0" w:color="auto"/>
        <w:left w:val="none" w:sz="0" w:space="0" w:color="auto"/>
        <w:bottom w:val="none" w:sz="0" w:space="0" w:color="auto"/>
        <w:right w:val="none" w:sz="0" w:space="0" w:color="auto"/>
      </w:divBdr>
    </w:div>
    <w:div w:id="967055052">
      <w:bodyDiv w:val="1"/>
      <w:marLeft w:val="0"/>
      <w:marRight w:val="0"/>
      <w:marTop w:val="0"/>
      <w:marBottom w:val="0"/>
      <w:divBdr>
        <w:top w:val="none" w:sz="0" w:space="0" w:color="auto"/>
        <w:left w:val="none" w:sz="0" w:space="0" w:color="auto"/>
        <w:bottom w:val="none" w:sz="0" w:space="0" w:color="auto"/>
        <w:right w:val="none" w:sz="0" w:space="0" w:color="auto"/>
      </w:divBdr>
    </w:div>
    <w:div w:id="972907418">
      <w:bodyDiv w:val="1"/>
      <w:marLeft w:val="0"/>
      <w:marRight w:val="0"/>
      <w:marTop w:val="0"/>
      <w:marBottom w:val="0"/>
      <w:divBdr>
        <w:top w:val="none" w:sz="0" w:space="0" w:color="auto"/>
        <w:left w:val="none" w:sz="0" w:space="0" w:color="auto"/>
        <w:bottom w:val="none" w:sz="0" w:space="0" w:color="auto"/>
        <w:right w:val="none" w:sz="0" w:space="0" w:color="auto"/>
      </w:divBdr>
    </w:div>
    <w:div w:id="972977803">
      <w:bodyDiv w:val="1"/>
      <w:marLeft w:val="0"/>
      <w:marRight w:val="0"/>
      <w:marTop w:val="0"/>
      <w:marBottom w:val="0"/>
      <w:divBdr>
        <w:top w:val="none" w:sz="0" w:space="0" w:color="auto"/>
        <w:left w:val="none" w:sz="0" w:space="0" w:color="auto"/>
        <w:bottom w:val="none" w:sz="0" w:space="0" w:color="auto"/>
        <w:right w:val="none" w:sz="0" w:space="0" w:color="auto"/>
      </w:divBdr>
    </w:div>
    <w:div w:id="982122795">
      <w:bodyDiv w:val="1"/>
      <w:marLeft w:val="0"/>
      <w:marRight w:val="0"/>
      <w:marTop w:val="0"/>
      <w:marBottom w:val="0"/>
      <w:divBdr>
        <w:top w:val="none" w:sz="0" w:space="0" w:color="auto"/>
        <w:left w:val="none" w:sz="0" w:space="0" w:color="auto"/>
        <w:bottom w:val="none" w:sz="0" w:space="0" w:color="auto"/>
        <w:right w:val="none" w:sz="0" w:space="0" w:color="auto"/>
      </w:divBdr>
    </w:div>
    <w:div w:id="987048782">
      <w:bodyDiv w:val="1"/>
      <w:marLeft w:val="0"/>
      <w:marRight w:val="0"/>
      <w:marTop w:val="0"/>
      <w:marBottom w:val="0"/>
      <w:divBdr>
        <w:top w:val="none" w:sz="0" w:space="0" w:color="auto"/>
        <w:left w:val="none" w:sz="0" w:space="0" w:color="auto"/>
        <w:bottom w:val="none" w:sz="0" w:space="0" w:color="auto"/>
        <w:right w:val="none" w:sz="0" w:space="0" w:color="auto"/>
      </w:divBdr>
    </w:div>
    <w:div w:id="988366670">
      <w:bodyDiv w:val="1"/>
      <w:marLeft w:val="0"/>
      <w:marRight w:val="0"/>
      <w:marTop w:val="0"/>
      <w:marBottom w:val="0"/>
      <w:divBdr>
        <w:top w:val="none" w:sz="0" w:space="0" w:color="auto"/>
        <w:left w:val="none" w:sz="0" w:space="0" w:color="auto"/>
        <w:bottom w:val="none" w:sz="0" w:space="0" w:color="auto"/>
        <w:right w:val="none" w:sz="0" w:space="0" w:color="auto"/>
      </w:divBdr>
    </w:div>
    <w:div w:id="994146189">
      <w:bodyDiv w:val="1"/>
      <w:marLeft w:val="0"/>
      <w:marRight w:val="0"/>
      <w:marTop w:val="0"/>
      <w:marBottom w:val="0"/>
      <w:divBdr>
        <w:top w:val="none" w:sz="0" w:space="0" w:color="auto"/>
        <w:left w:val="none" w:sz="0" w:space="0" w:color="auto"/>
        <w:bottom w:val="none" w:sz="0" w:space="0" w:color="auto"/>
        <w:right w:val="none" w:sz="0" w:space="0" w:color="auto"/>
      </w:divBdr>
    </w:div>
    <w:div w:id="999232199">
      <w:bodyDiv w:val="1"/>
      <w:marLeft w:val="0"/>
      <w:marRight w:val="0"/>
      <w:marTop w:val="0"/>
      <w:marBottom w:val="0"/>
      <w:divBdr>
        <w:top w:val="none" w:sz="0" w:space="0" w:color="auto"/>
        <w:left w:val="none" w:sz="0" w:space="0" w:color="auto"/>
        <w:bottom w:val="none" w:sz="0" w:space="0" w:color="auto"/>
        <w:right w:val="none" w:sz="0" w:space="0" w:color="auto"/>
      </w:divBdr>
    </w:div>
    <w:div w:id="1003627241">
      <w:bodyDiv w:val="1"/>
      <w:marLeft w:val="0"/>
      <w:marRight w:val="0"/>
      <w:marTop w:val="0"/>
      <w:marBottom w:val="0"/>
      <w:divBdr>
        <w:top w:val="none" w:sz="0" w:space="0" w:color="auto"/>
        <w:left w:val="none" w:sz="0" w:space="0" w:color="auto"/>
        <w:bottom w:val="none" w:sz="0" w:space="0" w:color="auto"/>
        <w:right w:val="none" w:sz="0" w:space="0" w:color="auto"/>
      </w:divBdr>
    </w:div>
    <w:div w:id="1005668805">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
    <w:div w:id="1020205697">
      <w:bodyDiv w:val="1"/>
      <w:marLeft w:val="0"/>
      <w:marRight w:val="0"/>
      <w:marTop w:val="0"/>
      <w:marBottom w:val="0"/>
      <w:divBdr>
        <w:top w:val="none" w:sz="0" w:space="0" w:color="auto"/>
        <w:left w:val="none" w:sz="0" w:space="0" w:color="auto"/>
        <w:bottom w:val="none" w:sz="0" w:space="0" w:color="auto"/>
        <w:right w:val="none" w:sz="0" w:space="0" w:color="auto"/>
      </w:divBdr>
      <w:divsChild>
        <w:div w:id="261961169">
          <w:marLeft w:val="0"/>
          <w:marRight w:val="0"/>
          <w:marTop w:val="0"/>
          <w:marBottom w:val="0"/>
          <w:divBdr>
            <w:top w:val="none" w:sz="0" w:space="0" w:color="auto"/>
            <w:left w:val="none" w:sz="0" w:space="0" w:color="auto"/>
            <w:bottom w:val="none" w:sz="0" w:space="0" w:color="auto"/>
            <w:right w:val="none" w:sz="0" w:space="0" w:color="auto"/>
          </w:divBdr>
        </w:div>
        <w:div w:id="593902953">
          <w:marLeft w:val="0"/>
          <w:marRight w:val="0"/>
          <w:marTop w:val="0"/>
          <w:marBottom w:val="0"/>
          <w:divBdr>
            <w:top w:val="none" w:sz="0" w:space="0" w:color="auto"/>
            <w:left w:val="none" w:sz="0" w:space="0" w:color="auto"/>
            <w:bottom w:val="none" w:sz="0" w:space="0" w:color="auto"/>
            <w:right w:val="none" w:sz="0" w:space="0" w:color="auto"/>
          </w:divBdr>
        </w:div>
      </w:divsChild>
    </w:div>
    <w:div w:id="1021669583">
      <w:bodyDiv w:val="1"/>
      <w:marLeft w:val="0"/>
      <w:marRight w:val="0"/>
      <w:marTop w:val="0"/>
      <w:marBottom w:val="0"/>
      <w:divBdr>
        <w:top w:val="none" w:sz="0" w:space="0" w:color="auto"/>
        <w:left w:val="none" w:sz="0" w:space="0" w:color="auto"/>
        <w:bottom w:val="none" w:sz="0" w:space="0" w:color="auto"/>
        <w:right w:val="none" w:sz="0" w:space="0" w:color="auto"/>
      </w:divBdr>
    </w:div>
    <w:div w:id="1025247763">
      <w:bodyDiv w:val="1"/>
      <w:marLeft w:val="0"/>
      <w:marRight w:val="0"/>
      <w:marTop w:val="0"/>
      <w:marBottom w:val="0"/>
      <w:divBdr>
        <w:top w:val="none" w:sz="0" w:space="0" w:color="auto"/>
        <w:left w:val="none" w:sz="0" w:space="0" w:color="auto"/>
        <w:bottom w:val="none" w:sz="0" w:space="0" w:color="auto"/>
        <w:right w:val="none" w:sz="0" w:space="0" w:color="auto"/>
      </w:divBdr>
    </w:div>
    <w:div w:id="1031221146">
      <w:bodyDiv w:val="1"/>
      <w:marLeft w:val="0"/>
      <w:marRight w:val="0"/>
      <w:marTop w:val="0"/>
      <w:marBottom w:val="0"/>
      <w:divBdr>
        <w:top w:val="none" w:sz="0" w:space="0" w:color="auto"/>
        <w:left w:val="none" w:sz="0" w:space="0" w:color="auto"/>
        <w:bottom w:val="none" w:sz="0" w:space="0" w:color="auto"/>
        <w:right w:val="none" w:sz="0" w:space="0" w:color="auto"/>
      </w:divBdr>
    </w:div>
    <w:div w:id="1032340298">
      <w:bodyDiv w:val="1"/>
      <w:marLeft w:val="0"/>
      <w:marRight w:val="0"/>
      <w:marTop w:val="0"/>
      <w:marBottom w:val="0"/>
      <w:divBdr>
        <w:top w:val="none" w:sz="0" w:space="0" w:color="auto"/>
        <w:left w:val="none" w:sz="0" w:space="0" w:color="auto"/>
        <w:bottom w:val="none" w:sz="0" w:space="0" w:color="auto"/>
        <w:right w:val="none" w:sz="0" w:space="0" w:color="auto"/>
      </w:divBdr>
    </w:div>
    <w:div w:id="1034883451">
      <w:bodyDiv w:val="1"/>
      <w:marLeft w:val="0"/>
      <w:marRight w:val="0"/>
      <w:marTop w:val="0"/>
      <w:marBottom w:val="0"/>
      <w:divBdr>
        <w:top w:val="none" w:sz="0" w:space="0" w:color="auto"/>
        <w:left w:val="none" w:sz="0" w:space="0" w:color="auto"/>
        <w:bottom w:val="none" w:sz="0" w:space="0" w:color="auto"/>
        <w:right w:val="none" w:sz="0" w:space="0" w:color="auto"/>
      </w:divBdr>
    </w:div>
    <w:div w:id="1035618334">
      <w:bodyDiv w:val="1"/>
      <w:marLeft w:val="0"/>
      <w:marRight w:val="0"/>
      <w:marTop w:val="0"/>
      <w:marBottom w:val="0"/>
      <w:divBdr>
        <w:top w:val="none" w:sz="0" w:space="0" w:color="auto"/>
        <w:left w:val="none" w:sz="0" w:space="0" w:color="auto"/>
        <w:bottom w:val="none" w:sz="0" w:space="0" w:color="auto"/>
        <w:right w:val="none" w:sz="0" w:space="0" w:color="auto"/>
      </w:divBdr>
    </w:div>
    <w:div w:id="1042898580">
      <w:bodyDiv w:val="1"/>
      <w:marLeft w:val="0"/>
      <w:marRight w:val="0"/>
      <w:marTop w:val="0"/>
      <w:marBottom w:val="0"/>
      <w:divBdr>
        <w:top w:val="none" w:sz="0" w:space="0" w:color="auto"/>
        <w:left w:val="none" w:sz="0" w:space="0" w:color="auto"/>
        <w:bottom w:val="none" w:sz="0" w:space="0" w:color="auto"/>
        <w:right w:val="none" w:sz="0" w:space="0" w:color="auto"/>
      </w:divBdr>
    </w:div>
    <w:div w:id="1043402416">
      <w:bodyDiv w:val="1"/>
      <w:marLeft w:val="0"/>
      <w:marRight w:val="0"/>
      <w:marTop w:val="0"/>
      <w:marBottom w:val="0"/>
      <w:divBdr>
        <w:top w:val="none" w:sz="0" w:space="0" w:color="auto"/>
        <w:left w:val="none" w:sz="0" w:space="0" w:color="auto"/>
        <w:bottom w:val="none" w:sz="0" w:space="0" w:color="auto"/>
        <w:right w:val="none" w:sz="0" w:space="0" w:color="auto"/>
      </w:divBdr>
    </w:div>
    <w:div w:id="1050423187">
      <w:bodyDiv w:val="1"/>
      <w:marLeft w:val="0"/>
      <w:marRight w:val="0"/>
      <w:marTop w:val="0"/>
      <w:marBottom w:val="0"/>
      <w:divBdr>
        <w:top w:val="none" w:sz="0" w:space="0" w:color="auto"/>
        <w:left w:val="none" w:sz="0" w:space="0" w:color="auto"/>
        <w:bottom w:val="none" w:sz="0" w:space="0" w:color="auto"/>
        <w:right w:val="none" w:sz="0" w:space="0" w:color="auto"/>
      </w:divBdr>
    </w:div>
    <w:div w:id="1060128330">
      <w:bodyDiv w:val="1"/>
      <w:marLeft w:val="0"/>
      <w:marRight w:val="0"/>
      <w:marTop w:val="0"/>
      <w:marBottom w:val="0"/>
      <w:divBdr>
        <w:top w:val="none" w:sz="0" w:space="0" w:color="auto"/>
        <w:left w:val="none" w:sz="0" w:space="0" w:color="auto"/>
        <w:bottom w:val="none" w:sz="0" w:space="0" w:color="auto"/>
        <w:right w:val="none" w:sz="0" w:space="0" w:color="auto"/>
      </w:divBdr>
    </w:div>
    <w:div w:id="1074546630">
      <w:bodyDiv w:val="1"/>
      <w:marLeft w:val="0"/>
      <w:marRight w:val="0"/>
      <w:marTop w:val="0"/>
      <w:marBottom w:val="0"/>
      <w:divBdr>
        <w:top w:val="none" w:sz="0" w:space="0" w:color="auto"/>
        <w:left w:val="none" w:sz="0" w:space="0" w:color="auto"/>
        <w:bottom w:val="none" w:sz="0" w:space="0" w:color="auto"/>
        <w:right w:val="none" w:sz="0" w:space="0" w:color="auto"/>
      </w:divBdr>
    </w:div>
    <w:div w:id="1086268686">
      <w:bodyDiv w:val="1"/>
      <w:marLeft w:val="0"/>
      <w:marRight w:val="0"/>
      <w:marTop w:val="0"/>
      <w:marBottom w:val="0"/>
      <w:divBdr>
        <w:top w:val="none" w:sz="0" w:space="0" w:color="auto"/>
        <w:left w:val="none" w:sz="0" w:space="0" w:color="auto"/>
        <w:bottom w:val="none" w:sz="0" w:space="0" w:color="auto"/>
        <w:right w:val="none" w:sz="0" w:space="0" w:color="auto"/>
      </w:divBdr>
    </w:div>
    <w:div w:id="1089038254">
      <w:bodyDiv w:val="1"/>
      <w:marLeft w:val="0"/>
      <w:marRight w:val="0"/>
      <w:marTop w:val="0"/>
      <w:marBottom w:val="0"/>
      <w:divBdr>
        <w:top w:val="none" w:sz="0" w:space="0" w:color="auto"/>
        <w:left w:val="none" w:sz="0" w:space="0" w:color="auto"/>
        <w:bottom w:val="none" w:sz="0" w:space="0" w:color="auto"/>
        <w:right w:val="none" w:sz="0" w:space="0" w:color="auto"/>
      </w:divBdr>
      <w:divsChild>
        <w:div w:id="9719630">
          <w:marLeft w:val="0"/>
          <w:marRight w:val="0"/>
          <w:marTop w:val="0"/>
          <w:marBottom w:val="0"/>
          <w:divBdr>
            <w:top w:val="none" w:sz="0" w:space="0" w:color="auto"/>
            <w:left w:val="none" w:sz="0" w:space="0" w:color="auto"/>
            <w:bottom w:val="none" w:sz="0" w:space="0" w:color="auto"/>
            <w:right w:val="none" w:sz="0" w:space="0" w:color="auto"/>
          </w:divBdr>
          <w:divsChild>
            <w:div w:id="1348750878">
              <w:marLeft w:val="0"/>
              <w:marRight w:val="0"/>
              <w:marTop w:val="0"/>
              <w:marBottom w:val="0"/>
              <w:divBdr>
                <w:top w:val="none" w:sz="0" w:space="0" w:color="auto"/>
                <w:left w:val="none" w:sz="0" w:space="0" w:color="auto"/>
                <w:bottom w:val="none" w:sz="0" w:space="0" w:color="auto"/>
                <w:right w:val="none" w:sz="0" w:space="0" w:color="auto"/>
              </w:divBdr>
            </w:div>
          </w:divsChild>
        </w:div>
        <w:div w:id="53159350">
          <w:marLeft w:val="0"/>
          <w:marRight w:val="0"/>
          <w:marTop w:val="0"/>
          <w:marBottom w:val="0"/>
          <w:divBdr>
            <w:top w:val="none" w:sz="0" w:space="0" w:color="auto"/>
            <w:left w:val="none" w:sz="0" w:space="0" w:color="auto"/>
            <w:bottom w:val="none" w:sz="0" w:space="0" w:color="auto"/>
            <w:right w:val="none" w:sz="0" w:space="0" w:color="auto"/>
          </w:divBdr>
          <w:divsChild>
            <w:div w:id="231090666">
              <w:marLeft w:val="0"/>
              <w:marRight w:val="0"/>
              <w:marTop w:val="0"/>
              <w:marBottom w:val="0"/>
              <w:divBdr>
                <w:top w:val="none" w:sz="0" w:space="0" w:color="auto"/>
                <w:left w:val="none" w:sz="0" w:space="0" w:color="auto"/>
                <w:bottom w:val="none" w:sz="0" w:space="0" w:color="auto"/>
                <w:right w:val="none" w:sz="0" w:space="0" w:color="auto"/>
              </w:divBdr>
            </w:div>
          </w:divsChild>
        </w:div>
        <w:div w:id="55205558">
          <w:marLeft w:val="0"/>
          <w:marRight w:val="0"/>
          <w:marTop w:val="0"/>
          <w:marBottom w:val="0"/>
          <w:divBdr>
            <w:top w:val="none" w:sz="0" w:space="0" w:color="auto"/>
            <w:left w:val="none" w:sz="0" w:space="0" w:color="auto"/>
            <w:bottom w:val="none" w:sz="0" w:space="0" w:color="auto"/>
            <w:right w:val="none" w:sz="0" w:space="0" w:color="auto"/>
          </w:divBdr>
          <w:divsChild>
            <w:div w:id="765807294">
              <w:marLeft w:val="0"/>
              <w:marRight w:val="0"/>
              <w:marTop w:val="0"/>
              <w:marBottom w:val="0"/>
              <w:divBdr>
                <w:top w:val="none" w:sz="0" w:space="0" w:color="auto"/>
                <w:left w:val="none" w:sz="0" w:space="0" w:color="auto"/>
                <w:bottom w:val="none" w:sz="0" w:space="0" w:color="auto"/>
                <w:right w:val="none" w:sz="0" w:space="0" w:color="auto"/>
              </w:divBdr>
            </w:div>
          </w:divsChild>
        </w:div>
        <w:div w:id="55401049">
          <w:marLeft w:val="0"/>
          <w:marRight w:val="0"/>
          <w:marTop w:val="0"/>
          <w:marBottom w:val="0"/>
          <w:divBdr>
            <w:top w:val="none" w:sz="0" w:space="0" w:color="auto"/>
            <w:left w:val="none" w:sz="0" w:space="0" w:color="auto"/>
            <w:bottom w:val="none" w:sz="0" w:space="0" w:color="auto"/>
            <w:right w:val="none" w:sz="0" w:space="0" w:color="auto"/>
          </w:divBdr>
          <w:divsChild>
            <w:div w:id="1632205436">
              <w:marLeft w:val="0"/>
              <w:marRight w:val="0"/>
              <w:marTop w:val="0"/>
              <w:marBottom w:val="0"/>
              <w:divBdr>
                <w:top w:val="none" w:sz="0" w:space="0" w:color="auto"/>
                <w:left w:val="none" w:sz="0" w:space="0" w:color="auto"/>
                <w:bottom w:val="none" w:sz="0" w:space="0" w:color="auto"/>
                <w:right w:val="none" w:sz="0" w:space="0" w:color="auto"/>
              </w:divBdr>
            </w:div>
          </w:divsChild>
        </w:div>
        <w:div w:id="148178535">
          <w:marLeft w:val="0"/>
          <w:marRight w:val="0"/>
          <w:marTop w:val="0"/>
          <w:marBottom w:val="0"/>
          <w:divBdr>
            <w:top w:val="none" w:sz="0" w:space="0" w:color="auto"/>
            <w:left w:val="none" w:sz="0" w:space="0" w:color="auto"/>
            <w:bottom w:val="none" w:sz="0" w:space="0" w:color="auto"/>
            <w:right w:val="none" w:sz="0" w:space="0" w:color="auto"/>
          </w:divBdr>
          <w:divsChild>
            <w:div w:id="457724780">
              <w:marLeft w:val="0"/>
              <w:marRight w:val="0"/>
              <w:marTop w:val="0"/>
              <w:marBottom w:val="0"/>
              <w:divBdr>
                <w:top w:val="none" w:sz="0" w:space="0" w:color="auto"/>
                <w:left w:val="none" w:sz="0" w:space="0" w:color="auto"/>
                <w:bottom w:val="none" w:sz="0" w:space="0" w:color="auto"/>
                <w:right w:val="none" w:sz="0" w:space="0" w:color="auto"/>
              </w:divBdr>
            </w:div>
          </w:divsChild>
        </w:div>
        <w:div w:id="159974717">
          <w:marLeft w:val="0"/>
          <w:marRight w:val="0"/>
          <w:marTop w:val="0"/>
          <w:marBottom w:val="0"/>
          <w:divBdr>
            <w:top w:val="none" w:sz="0" w:space="0" w:color="auto"/>
            <w:left w:val="none" w:sz="0" w:space="0" w:color="auto"/>
            <w:bottom w:val="none" w:sz="0" w:space="0" w:color="auto"/>
            <w:right w:val="none" w:sz="0" w:space="0" w:color="auto"/>
          </w:divBdr>
          <w:divsChild>
            <w:div w:id="1324351972">
              <w:marLeft w:val="0"/>
              <w:marRight w:val="0"/>
              <w:marTop w:val="0"/>
              <w:marBottom w:val="0"/>
              <w:divBdr>
                <w:top w:val="none" w:sz="0" w:space="0" w:color="auto"/>
                <w:left w:val="none" w:sz="0" w:space="0" w:color="auto"/>
                <w:bottom w:val="none" w:sz="0" w:space="0" w:color="auto"/>
                <w:right w:val="none" w:sz="0" w:space="0" w:color="auto"/>
              </w:divBdr>
            </w:div>
          </w:divsChild>
        </w:div>
        <w:div w:id="162473571">
          <w:marLeft w:val="0"/>
          <w:marRight w:val="0"/>
          <w:marTop w:val="0"/>
          <w:marBottom w:val="0"/>
          <w:divBdr>
            <w:top w:val="none" w:sz="0" w:space="0" w:color="auto"/>
            <w:left w:val="none" w:sz="0" w:space="0" w:color="auto"/>
            <w:bottom w:val="none" w:sz="0" w:space="0" w:color="auto"/>
            <w:right w:val="none" w:sz="0" w:space="0" w:color="auto"/>
          </w:divBdr>
          <w:divsChild>
            <w:div w:id="441413063">
              <w:marLeft w:val="0"/>
              <w:marRight w:val="0"/>
              <w:marTop w:val="0"/>
              <w:marBottom w:val="0"/>
              <w:divBdr>
                <w:top w:val="none" w:sz="0" w:space="0" w:color="auto"/>
                <w:left w:val="none" w:sz="0" w:space="0" w:color="auto"/>
                <w:bottom w:val="none" w:sz="0" w:space="0" w:color="auto"/>
                <w:right w:val="none" w:sz="0" w:space="0" w:color="auto"/>
              </w:divBdr>
            </w:div>
          </w:divsChild>
        </w:div>
        <w:div w:id="171143624">
          <w:marLeft w:val="0"/>
          <w:marRight w:val="0"/>
          <w:marTop w:val="0"/>
          <w:marBottom w:val="0"/>
          <w:divBdr>
            <w:top w:val="none" w:sz="0" w:space="0" w:color="auto"/>
            <w:left w:val="none" w:sz="0" w:space="0" w:color="auto"/>
            <w:bottom w:val="none" w:sz="0" w:space="0" w:color="auto"/>
            <w:right w:val="none" w:sz="0" w:space="0" w:color="auto"/>
          </w:divBdr>
          <w:divsChild>
            <w:div w:id="1813403277">
              <w:marLeft w:val="0"/>
              <w:marRight w:val="0"/>
              <w:marTop w:val="0"/>
              <w:marBottom w:val="0"/>
              <w:divBdr>
                <w:top w:val="none" w:sz="0" w:space="0" w:color="auto"/>
                <w:left w:val="none" w:sz="0" w:space="0" w:color="auto"/>
                <w:bottom w:val="none" w:sz="0" w:space="0" w:color="auto"/>
                <w:right w:val="none" w:sz="0" w:space="0" w:color="auto"/>
              </w:divBdr>
            </w:div>
          </w:divsChild>
        </w:div>
        <w:div w:id="187065463">
          <w:marLeft w:val="0"/>
          <w:marRight w:val="0"/>
          <w:marTop w:val="0"/>
          <w:marBottom w:val="0"/>
          <w:divBdr>
            <w:top w:val="none" w:sz="0" w:space="0" w:color="auto"/>
            <w:left w:val="none" w:sz="0" w:space="0" w:color="auto"/>
            <w:bottom w:val="none" w:sz="0" w:space="0" w:color="auto"/>
            <w:right w:val="none" w:sz="0" w:space="0" w:color="auto"/>
          </w:divBdr>
          <w:divsChild>
            <w:div w:id="281426364">
              <w:marLeft w:val="0"/>
              <w:marRight w:val="0"/>
              <w:marTop w:val="0"/>
              <w:marBottom w:val="0"/>
              <w:divBdr>
                <w:top w:val="none" w:sz="0" w:space="0" w:color="auto"/>
                <w:left w:val="none" w:sz="0" w:space="0" w:color="auto"/>
                <w:bottom w:val="none" w:sz="0" w:space="0" w:color="auto"/>
                <w:right w:val="none" w:sz="0" w:space="0" w:color="auto"/>
              </w:divBdr>
            </w:div>
          </w:divsChild>
        </w:div>
        <w:div w:id="196116468">
          <w:marLeft w:val="0"/>
          <w:marRight w:val="0"/>
          <w:marTop w:val="0"/>
          <w:marBottom w:val="0"/>
          <w:divBdr>
            <w:top w:val="none" w:sz="0" w:space="0" w:color="auto"/>
            <w:left w:val="none" w:sz="0" w:space="0" w:color="auto"/>
            <w:bottom w:val="none" w:sz="0" w:space="0" w:color="auto"/>
            <w:right w:val="none" w:sz="0" w:space="0" w:color="auto"/>
          </w:divBdr>
          <w:divsChild>
            <w:div w:id="872495081">
              <w:marLeft w:val="0"/>
              <w:marRight w:val="0"/>
              <w:marTop w:val="0"/>
              <w:marBottom w:val="0"/>
              <w:divBdr>
                <w:top w:val="none" w:sz="0" w:space="0" w:color="auto"/>
                <w:left w:val="none" w:sz="0" w:space="0" w:color="auto"/>
                <w:bottom w:val="none" w:sz="0" w:space="0" w:color="auto"/>
                <w:right w:val="none" w:sz="0" w:space="0" w:color="auto"/>
              </w:divBdr>
            </w:div>
          </w:divsChild>
        </w:div>
        <w:div w:id="197738616">
          <w:marLeft w:val="0"/>
          <w:marRight w:val="0"/>
          <w:marTop w:val="0"/>
          <w:marBottom w:val="0"/>
          <w:divBdr>
            <w:top w:val="none" w:sz="0" w:space="0" w:color="auto"/>
            <w:left w:val="none" w:sz="0" w:space="0" w:color="auto"/>
            <w:bottom w:val="none" w:sz="0" w:space="0" w:color="auto"/>
            <w:right w:val="none" w:sz="0" w:space="0" w:color="auto"/>
          </w:divBdr>
          <w:divsChild>
            <w:div w:id="462115412">
              <w:marLeft w:val="0"/>
              <w:marRight w:val="0"/>
              <w:marTop w:val="0"/>
              <w:marBottom w:val="0"/>
              <w:divBdr>
                <w:top w:val="none" w:sz="0" w:space="0" w:color="auto"/>
                <w:left w:val="none" w:sz="0" w:space="0" w:color="auto"/>
                <w:bottom w:val="none" w:sz="0" w:space="0" w:color="auto"/>
                <w:right w:val="none" w:sz="0" w:space="0" w:color="auto"/>
              </w:divBdr>
            </w:div>
          </w:divsChild>
        </w:div>
        <w:div w:id="209466464">
          <w:marLeft w:val="0"/>
          <w:marRight w:val="0"/>
          <w:marTop w:val="0"/>
          <w:marBottom w:val="0"/>
          <w:divBdr>
            <w:top w:val="none" w:sz="0" w:space="0" w:color="auto"/>
            <w:left w:val="none" w:sz="0" w:space="0" w:color="auto"/>
            <w:bottom w:val="none" w:sz="0" w:space="0" w:color="auto"/>
            <w:right w:val="none" w:sz="0" w:space="0" w:color="auto"/>
          </w:divBdr>
          <w:divsChild>
            <w:div w:id="18092504">
              <w:marLeft w:val="0"/>
              <w:marRight w:val="0"/>
              <w:marTop w:val="0"/>
              <w:marBottom w:val="0"/>
              <w:divBdr>
                <w:top w:val="none" w:sz="0" w:space="0" w:color="auto"/>
                <w:left w:val="none" w:sz="0" w:space="0" w:color="auto"/>
                <w:bottom w:val="none" w:sz="0" w:space="0" w:color="auto"/>
                <w:right w:val="none" w:sz="0" w:space="0" w:color="auto"/>
              </w:divBdr>
            </w:div>
          </w:divsChild>
        </w:div>
        <w:div w:id="226428344">
          <w:marLeft w:val="0"/>
          <w:marRight w:val="0"/>
          <w:marTop w:val="0"/>
          <w:marBottom w:val="0"/>
          <w:divBdr>
            <w:top w:val="none" w:sz="0" w:space="0" w:color="auto"/>
            <w:left w:val="none" w:sz="0" w:space="0" w:color="auto"/>
            <w:bottom w:val="none" w:sz="0" w:space="0" w:color="auto"/>
            <w:right w:val="none" w:sz="0" w:space="0" w:color="auto"/>
          </w:divBdr>
          <w:divsChild>
            <w:div w:id="535236733">
              <w:marLeft w:val="0"/>
              <w:marRight w:val="0"/>
              <w:marTop w:val="0"/>
              <w:marBottom w:val="0"/>
              <w:divBdr>
                <w:top w:val="none" w:sz="0" w:space="0" w:color="auto"/>
                <w:left w:val="none" w:sz="0" w:space="0" w:color="auto"/>
                <w:bottom w:val="none" w:sz="0" w:space="0" w:color="auto"/>
                <w:right w:val="none" w:sz="0" w:space="0" w:color="auto"/>
              </w:divBdr>
            </w:div>
          </w:divsChild>
        </w:div>
        <w:div w:id="228812991">
          <w:marLeft w:val="0"/>
          <w:marRight w:val="0"/>
          <w:marTop w:val="0"/>
          <w:marBottom w:val="0"/>
          <w:divBdr>
            <w:top w:val="none" w:sz="0" w:space="0" w:color="auto"/>
            <w:left w:val="none" w:sz="0" w:space="0" w:color="auto"/>
            <w:bottom w:val="none" w:sz="0" w:space="0" w:color="auto"/>
            <w:right w:val="none" w:sz="0" w:space="0" w:color="auto"/>
          </w:divBdr>
          <w:divsChild>
            <w:div w:id="2129159949">
              <w:marLeft w:val="0"/>
              <w:marRight w:val="0"/>
              <w:marTop w:val="0"/>
              <w:marBottom w:val="0"/>
              <w:divBdr>
                <w:top w:val="none" w:sz="0" w:space="0" w:color="auto"/>
                <w:left w:val="none" w:sz="0" w:space="0" w:color="auto"/>
                <w:bottom w:val="none" w:sz="0" w:space="0" w:color="auto"/>
                <w:right w:val="none" w:sz="0" w:space="0" w:color="auto"/>
              </w:divBdr>
            </w:div>
          </w:divsChild>
        </w:div>
        <w:div w:id="286863060">
          <w:marLeft w:val="0"/>
          <w:marRight w:val="0"/>
          <w:marTop w:val="0"/>
          <w:marBottom w:val="0"/>
          <w:divBdr>
            <w:top w:val="none" w:sz="0" w:space="0" w:color="auto"/>
            <w:left w:val="none" w:sz="0" w:space="0" w:color="auto"/>
            <w:bottom w:val="none" w:sz="0" w:space="0" w:color="auto"/>
            <w:right w:val="none" w:sz="0" w:space="0" w:color="auto"/>
          </w:divBdr>
          <w:divsChild>
            <w:div w:id="678198238">
              <w:marLeft w:val="0"/>
              <w:marRight w:val="0"/>
              <w:marTop w:val="0"/>
              <w:marBottom w:val="0"/>
              <w:divBdr>
                <w:top w:val="none" w:sz="0" w:space="0" w:color="auto"/>
                <w:left w:val="none" w:sz="0" w:space="0" w:color="auto"/>
                <w:bottom w:val="none" w:sz="0" w:space="0" w:color="auto"/>
                <w:right w:val="none" w:sz="0" w:space="0" w:color="auto"/>
              </w:divBdr>
            </w:div>
          </w:divsChild>
        </w:div>
        <w:div w:id="342826552">
          <w:marLeft w:val="0"/>
          <w:marRight w:val="0"/>
          <w:marTop w:val="0"/>
          <w:marBottom w:val="0"/>
          <w:divBdr>
            <w:top w:val="none" w:sz="0" w:space="0" w:color="auto"/>
            <w:left w:val="none" w:sz="0" w:space="0" w:color="auto"/>
            <w:bottom w:val="none" w:sz="0" w:space="0" w:color="auto"/>
            <w:right w:val="none" w:sz="0" w:space="0" w:color="auto"/>
          </w:divBdr>
          <w:divsChild>
            <w:div w:id="1186595507">
              <w:marLeft w:val="0"/>
              <w:marRight w:val="0"/>
              <w:marTop w:val="0"/>
              <w:marBottom w:val="0"/>
              <w:divBdr>
                <w:top w:val="none" w:sz="0" w:space="0" w:color="auto"/>
                <w:left w:val="none" w:sz="0" w:space="0" w:color="auto"/>
                <w:bottom w:val="none" w:sz="0" w:space="0" w:color="auto"/>
                <w:right w:val="none" w:sz="0" w:space="0" w:color="auto"/>
              </w:divBdr>
            </w:div>
          </w:divsChild>
        </w:div>
        <w:div w:id="345861477">
          <w:marLeft w:val="0"/>
          <w:marRight w:val="0"/>
          <w:marTop w:val="0"/>
          <w:marBottom w:val="0"/>
          <w:divBdr>
            <w:top w:val="none" w:sz="0" w:space="0" w:color="auto"/>
            <w:left w:val="none" w:sz="0" w:space="0" w:color="auto"/>
            <w:bottom w:val="none" w:sz="0" w:space="0" w:color="auto"/>
            <w:right w:val="none" w:sz="0" w:space="0" w:color="auto"/>
          </w:divBdr>
          <w:divsChild>
            <w:div w:id="1509825635">
              <w:marLeft w:val="0"/>
              <w:marRight w:val="0"/>
              <w:marTop w:val="0"/>
              <w:marBottom w:val="0"/>
              <w:divBdr>
                <w:top w:val="none" w:sz="0" w:space="0" w:color="auto"/>
                <w:left w:val="none" w:sz="0" w:space="0" w:color="auto"/>
                <w:bottom w:val="none" w:sz="0" w:space="0" w:color="auto"/>
                <w:right w:val="none" w:sz="0" w:space="0" w:color="auto"/>
              </w:divBdr>
            </w:div>
          </w:divsChild>
        </w:div>
        <w:div w:id="358164584">
          <w:marLeft w:val="0"/>
          <w:marRight w:val="0"/>
          <w:marTop w:val="0"/>
          <w:marBottom w:val="0"/>
          <w:divBdr>
            <w:top w:val="none" w:sz="0" w:space="0" w:color="auto"/>
            <w:left w:val="none" w:sz="0" w:space="0" w:color="auto"/>
            <w:bottom w:val="none" w:sz="0" w:space="0" w:color="auto"/>
            <w:right w:val="none" w:sz="0" w:space="0" w:color="auto"/>
          </w:divBdr>
          <w:divsChild>
            <w:div w:id="1889561675">
              <w:marLeft w:val="0"/>
              <w:marRight w:val="0"/>
              <w:marTop w:val="0"/>
              <w:marBottom w:val="0"/>
              <w:divBdr>
                <w:top w:val="none" w:sz="0" w:space="0" w:color="auto"/>
                <w:left w:val="none" w:sz="0" w:space="0" w:color="auto"/>
                <w:bottom w:val="none" w:sz="0" w:space="0" w:color="auto"/>
                <w:right w:val="none" w:sz="0" w:space="0" w:color="auto"/>
              </w:divBdr>
            </w:div>
          </w:divsChild>
        </w:div>
        <w:div w:id="416513835">
          <w:marLeft w:val="0"/>
          <w:marRight w:val="0"/>
          <w:marTop w:val="0"/>
          <w:marBottom w:val="0"/>
          <w:divBdr>
            <w:top w:val="none" w:sz="0" w:space="0" w:color="auto"/>
            <w:left w:val="none" w:sz="0" w:space="0" w:color="auto"/>
            <w:bottom w:val="none" w:sz="0" w:space="0" w:color="auto"/>
            <w:right w:val="none" w:sz="0" w:space="0" w:color="auto"/>
          </w:divBdr>
          <w:divsChild>
            <w:div w:id="1701320563">
              <w:marLeft w:val="0"/>
              <w:marRight w:val="0"/>
              <w:marTop w:val="0"/>
              <w:marBottom w:val="0"/>
              <w:divBdr>
                <w:top w:val="none" w:sz="0" w:space="0" w:color="auto"/>
                <w:left w:val="none" w:sz="0" w:space="0" w:color="auto"/>
                <w:bottom w:val="none" w:sz="0" w:space="0" w:color="auto"/>
                <w:right w:val="none" w:sz="0" w:space="0" w:color="auto"/>
              </w:divBdr>
            </w:div>
          </w:divsChild>
        </w:div>
        <w:div w:id="417991017">
          <w:marLeft w:val="0"/>
          <w:marRight w:val="0"/>
          <w:marTop w:val="0"/>
          <w:marBottom w:val="0"/>
          <w:divBdr>
            <w:top w:val="none" w:sz="0" w:space="0" w:color="auto"/>
            <w:left w:val="none" w:sz="0" w:space="0" w:color="auto"/>
            <w:bottom w:val="none" w:sz="0" w:space="0" w:color="auto"/>
            <w:right w:val="none" w:sz="0" w:space="0" w:color="auto"/>
          </w:divBdr>
          <w:divsChild>
            <w:div w:id="796950037">
              <w:marLeft w:val="0"/>
              <w:marRight w:val="0"/>
              <w:marTop w:val="0"/>
              <w:marBottom w:val="0"/>
              <w:divBdr>
                <w:top w:val="none" w:sz="0" w:space="0" w:color="auto"/>
                <w:left w:val="none" w:sz="0" w:space="0" w:color="auto"/>
                <w:bottom w:val="none" w:sz="0" w:space="0" w:color="auto"/>
                <w:right w:val="none" w:sz="0" w:space="0" w:color="auto"/>
              </w:divBdr>
            </w:div>
          </w:divsChild>
        </w:div>
        <w:div w:id="481385410">
          <w:marLeft w:val="0"/>
          <w:marRight w:val="0"/>
          <w:marTop w:val="0"/>
          <w:marBottom w:val="0"/>
          <w:divBdr>
            <w:top w:val="none" w:sz="0" w:space="0" w:color="auto"/>
            <w:left w:val="none" w:sz="0" w:space="0" w:color="auto"/>
            <w:bottom w:val="none" w:sz="0" w:space="0" w:color="auto"/>
            <w:right w:val="none" w:sz="0" w:space="0" w:color="auto"/>
          </w:divBdr>
          <w:divsChild>
            <w:div w:id="1418792735">
              <w:marLeft w:val="0"/>
              <w:marRight w:val="0"/>
              <w:marTop w:val="0"/>
              <w:marBottom w:val="0"/>
              <w:divBdr>
                <w:top w:val="none" w:sz="0" w:space="0" w:color="auto"/>
                <w:left w:val="none" w:sz="0" w:space="0" w:color="auto"/>
                <w:bottom w:val="none" w:sz="0" w:space="0" w:color="auto"/>
                <w:right w:val="none" w:sz="0" w:space="0" w:color="auto"/>
              </w:divBdr>
            </w:div>
          </w:divsChild>
        </w:div>
        <w:div w:id="493759208">
          <w:marLeft w:val="0"/>
          <w:marRight w:val="0"/>
          <w:marTop w:val="0"/>
          <w:marBottom w:val="0"/>
          <w:divBdr>
            <w:top w:val="none" w:sz="0" w:space="0" w:color="auto"/>
            <w:left w:val="none" w:sz="0" w:space="0" w:color="auto"/>
            <w:bottom w:val="none" w:sz="0" w:space="0" w:color="auto"/>
            <w:right w:val="none" w:sz="0" w:space="0" w:color="auto"/>
          </w:divBdr>
          <w:divsChild>
            <w:div w:id="608779866">
              <w:marLeft w:val="0"/>
              <w:marRight w:val="0"/>
              <w:marTop w:val="0"/>
              <w:marBottom w:val="0"/>
              <w:divBdr>
                <w:top w:val="none" w:sz="0" w:space="0" w:color="auto"/>
                <w:left w:val="none" w:sz="0" w:space="0" w:color="auto"/>
                <w:bottom w:val="none" w:sz="0" w:space="0" w:color="auto"/>
                <w:right w:val="none" w:sz="0" w:space="0" w:color="auto"/>
              </w:divBdr>
            </w:div>
          </w:divsChild>
        </w:div>
        <w:div w:id="498158723">
          <w:marLeft w:val="0"/>
          <w:marRight w:val="0"/>
          <w:marTop w:val="0"/>
          <w:marBottom w:val="0"/>
          <w:divBdr>
            <w:top w:val="none" w:sz="0" w:space="0" w:color="auto"/>
            <w:left w:val="none" w:sz="0" w:space="0" w:color="auto"/>
            <w:bottom w:val="none" w:sz="0" w:space="0" w:color="auto"/>
            <w:right w:val="none" w:sz="0" w:space="0" w:color="auto"/>
          </w:divBdr>
          <w:divsChild>
            <w:div w:id="10378277">
              <w:marLeft w:val="0"/>
              <w:marRight w:val="0"/>
              <w:marTop w:val="0"/>
              <w:marBottom w:val="0"/>
              <w:divBdr>
                <w:top w:val="none" w:sz="0" w:space="0" w:color="auto"/>
                <w:left w:val="none" w:sz="0" w:space="0" w:color="auto"/>
                <w:bottom w:val="none" w:sz="0" w:space="0" w:color="auto"/>
                <w:right w:val="none" w:sz="0" w:space="0" w:color="auto"/>
              </w:divBdr>
            </w:div>
          </w:divsChild>
        </w:div>
        <w:div w:id="526992192">
          <w:marLeft w:val="0"/>
          <w:marRight w:val="0"/>
          <w:marTop w:val="0"/>
          <w:marBottom w:val="0"/>
          <w:divBdr>
            <w:top w:val="none" w:sz="0" w:space="0" w:color="auto"/>
            <w:left w:val="none" w:sz="0" w:space="0" w:color="auto"/>
            <w:bottom w:val="none" w:sz="0" w:space="0" w:color="auto"/>
            <w:right w:val="none" w:sz="0" w:space="0" w:color="auto"/>
          </w:divBdr>
          <w:divsChild>
            <w:div w:id="1918124831">
              <w:marLeft w:val="0"/>
              <w:marRight w:val="0"/>
              <w:marTop w:val="0"/>
              <w:marBottom w:val="0"/>
              <w:divBdr>
                <w:top w:val="none" w:sz="0" w:space="0" w:color="auto"/>
                <w:left w:val="none" w:sz="0" w:space="0" w:color="auto"/>
                <w:bottom w:val="none" w:sz="0" w:space="0" w:color="auto"/>
                <w:right w:val="none" w:sz="0" w:space="0" w:color="auto"/>
              </w:divBdr>
            </w:div>
          </w:divsChild>
        </w:div>
        <w:div w:id="551233151">
          <w:marLeft w:val="0"/>
          <w:marRight w:val="0"/>
          <w:marTop w:val="0"/>
          <w:marBottom w:val="0"/>
          <w:divBdr>
            <w:top w:val="none" w:sz="0" w:space="0" w:color="auto"/>
            <w:left w:val="none" w:sz="0" w:space="0" w:color="auto"/>
            <w:bottom w:val="none" w:sz="0" w:space="0" w:color="auto"/>
            <w:right w:val="none" w:sz="0" w:space="0" w:color="auto"/>
          </w:divBdr>
          <w:divsChild>
            <w:div w:id="1999383329">
              <w:marLeft w:val="0"/>
              <w:marRight w:val="0"/>
              <w:marTop w:val="0"/>
              <w:marBottom w:val="0"/>
              <w:divBdr>
                <w:top w:val="none" w:sz="0" w:space="0" w:color="auto"/>
                <w:left w:val="none" w:sz="0" w:space="0" w:color="auto"/>
                <w:bottom w:val="none" w:sz="0" w:space="0" w:color="auto"/>
                <w:right w:val="none" w:sz="0" w:space="0" w:color="auto"/>
              </w:divBdr>
            </w:div>
          </w:divsChild>
        </w:div>
        <w:div w:id="555049032">
          <w:marLeft w:val="0"/>
          <w:marRight w:val="0"/>
          <w:marTop w:val="0"/>
          <w:marBottom w:val="0"/>
          <w:divBdr>
            <w:top w:val="none" w:sz="0" w:space="0" w:color="auto"/>
            <w:left w:val="none" w:sz="0" w:space="0" w:color="auto"/>
            <w:bottom w:val="none" w:sz="0" w:space="0" w:color="auto"/>
            <w:right w:val="none" w:sz="0" w:space="0" w:color="auto"/>
          </w:divBdr>
          <w:divsChild>
            <w:div w:id="211233269">
              <w:marLeft w:val="0"/>
              <w:marRight w:val="0"/>
              <w:marTop w:val="0"/>
              <w:marBottom w:val="0"/>
              <w:divBdr>
                <w:top w:val="none" w:sz="0" w:space="0" w:color="auto"/>
                <w:left w:val="none" w:sz="0" w:space="0" w:color="auto"/>
                <w:bottom w:val="none" w:sz="0" w:space="0" w:color="auto"/>
                <w:right w:val="none" w:sz="0" w:space="0" w:color="auto"/>
              </w:divBdr>
            </w:div>
          </w:divsChild>
        </w:div>
        <w:div w:id="556011406">
          <w:marLeft w:val="0"/>
          <w:marRight w:val="0"/>
          <w:marTop w:val="0"/>
          <w:marBottom w:val="0"/>
          <w:divBdr>
            <w:top w:val="none" w:sz="0" w:space="0" w:color="auto"/>
            <w:left w:val="none" w:sz="0" w:space="0" w:color="auto"/>
            <w:bottom w:val="none" w:sz="0" w:space="0" w:color="auto"/>
            <w:right w:val="none" w:sz="0" w:space="0" w:color="auto"/>
          </w:divBdr>
          <w:divsChild>
            <w:div w:id="1468814236">
              <w:marLeft w:val="0"/>
              <w:marRight w:val="0"/>
              <w:marTop w:val="0"/>
              <w:marBottom w:val="0"/>
              <w:divBdr>
                <w:top w:val="none" w:sz="0" w:space="0" w:color="auto"/>
                <w:left w:val="none" w:sz="0" w:space="0" w:color="auto"/>
                <w:bottom w:val="none" w:sz="0" w:space="0" w:color="auto"/>
                <w:right w:val="none" w:sz="0" w:space="0" w:color="auto"/>
              </w:divBdr>
            </w:div>
          </w:divsChild>
        </w:div>
        <w:div w:id="598832169">
          <w:marLeft w:val="0"/>
          <w:marRight w:val="0"/>
          <w:marTop w:val="0"/>
          <w:marBottom w:val="0"/>
          <w:divBdr>
            <w:top w:val="none" w:sz="0" w:space="0" w:color="auto"/>
            <w:left w:val="none" w:sz="0" w:space="0" w:color="auto"/>
            <w:bottom w:val="none" w:sz="0" w:space="0" w:color="auto"/>
            <w:right w:val="none" w:sz="0" w:space="0" w:color="auto"/>
          </w:divBdr>
          <w:divsChild>
            <w:div w:id="332878468">
              <w:marLeft w:val="0"/>
              <w:marRight w:val="0"/>
              <w:marTop w:val="0"/>
              <w:marBottom w:val="0"/>
              <w:divBdr>
                <w:top w:val="none" w:sz="0" w:space="0" w:color="auto"/>
                <w:left w:val="none" w:sz="0" w:space="0" w:color="auto"/>
                <w:bottom w:val="none" w:sz="0" w:space="0" w:color="auto"/>
                <w:right w:val="none" w:sz="0" w:space="0" w:color="auto"/>
              </w:divBdr>
            </w:div>
          </w:divsChild>
        </w:div>
        <w:div w:id="627975271">
          <w:marLeft w:val="0"/>
          <w:marRight w:val="0"/>
          <w:marTop w:val="0"/>
          <w:marBottom w:val="0"/>
          <w:divBdr>
            <w:top w:val="none" w:sz="0" w:space="0" w:color="auto"/>
            <w:left w:val="none" w:sz="0" w:space="0" w:color="auto"/>
            <w:bottom w:val="none" w:sz="0" w:space="0" w:color="auto"/>
            <w:right w:val="none" w:sz="0" w:space="0" w:color="auto"/>
          </w:divBdr>
          <w:divsChild>
            <w:div w:id="1180267839">
              <w:marLeft w:val="0"/>
              <w:marRight w:val="0"/>
              <w:marTop w:val="0"/>
              <w:marBottom w:val="0"/>
              <w:divBdr>
                <w:top w:val="none" w:sz="0" w:space="0" w:color="auto"/>
                <w:left w:val="none" w:sz="0" w:space="0" w:color="auto"/>
                <w:bottom w:val="none" w:sz="0" w:space="0" w:color="auto"/>
                <w:right w:val="none" w:sz="0" w:space="0" w:color="auto"/>
              </w:divBdr>
            </w:div>
          </w:divsChild>
        </w:div>
        <w:div w:id="653336929">
          <w:marLeft w:val="0"/>
          <w:marRight w:val="0"/>
          <w:marTop w:val="0"/>
          <w:marBottom w:val="0"/>
          <w:divBdr>
            <w:top w:val="none" w:sz="0" w:space="0" w:color="auto"/>
            <w:left w:val="none" w:sz="0" w:space="0" w:color="auto"/>
            <w:bottom w:val="none" w:sz="0" w:space="0" w:color="auto"/>
            <w:right w:val="none" w:sz="0" w:space="0" w:color="auto"/>
          </w:divBdr>
          <w:divsChild>
            <w:div w:id="426540789">
              <w:marLeft w:val="0"/>
              <w:marRight w:val="0"/>
              <w:marTop w:val="0"/>
              <w:marBottom w:val="0"/>
              <w:divBdr>
                <w:top w:val="none" w:sz="0" w:space="0" w:color="auto"/>
                <w:left w:val="none" w:sz="0" w:space="0" w:color="auto"/>
                <w:bottom w:val="none" w:sz="0" w:space="0" w:color="auto"/>
                <w:right w:val="none" w:sz="0" w:space="0" w:color="auto"/>
              </w:divBdr>
            </w:div>
          </w:divsChild>
        </w:div>
        <w:div w:id="655231922">
          <w:marLeft w:val="0"/>
          <w:marRight w:val="0"/>
          <w:marTop w:val="0"/>
          <w:marBottom w:val="0"/>
          <w:divBdr>
            <w:top w:val="none" w:sz="0" w:space="0" w:color="auto"/>
            <w:left w:val="none" w:sz="0" w:space="0" w:color="auto"/>
            <w:bottom w:val="none" w:sz="0" w:space="0" w:color="auto"/>
            <w:right w:val="none" w:sz="0" w:space="0" w:color="auto"/>
          </w:divBdr>
          <w:divsChild>
            <w:div w:id="1107044402">
              <w:marLeft w:val="0"/>
              <w:marRight w:val="0"/>
              <w:marTop w:val="0"/>
              <w:marBottom w:val="0"/>
              <w:divBdr>
                <w:top w:val="none" w:sz="0" w:space="0" w:color="auto"/>
                <w:left w:val="none" w:sz="0" w:space="0" w:color="auto"/>
                <w:bottom w:val="none" w:sz="0" w:space="0" w:color="auto"/>
                <w:right w:val="none" w:sz="0" w:space="0" w:color="auto"/>
              </w:divBdr>
            </w:div>
          </w:divsChild>
        </w:div>
        <w:div w:id="693191675">
          <w:marLeft w:val="0"/>
          <w:marRight w:val="0"/>
          <w:marTop w:val="0"/>
          <w:marBottom w:val="0"/>
          <w:divBdr>
            <w:top w:val="none" w:sz="0" w:space="0" w:color="auto"/>
            <w:left w:val="none" w:sz="0" w:space="0" w:color="auto"/>
            <w:bottom w:val="none" w:sz="0" w:space="0" w:color="auto"/>
            <w:right w:val="none" w:sz="0" w:space="0" w:color="auto"/>
          </w:divBdr>
          <w:divsChild>
            <w:div w:id="1274167165">
              <w:marLeft w:val="0"/>
              <w:marRight w:val="0"/>
              <w:marTop w:val="0"/>
              <w:marBottom w:val="0"/>
              <w:divBdr>
                <w:top w:val="none" w:sz="0" w:space="0" w:color="auto"/>
                <w:left w:val="none" w:sz="0" w:space="0" w:color="auto"/>
                <w:bottom w:val="none" w:sz="0" w:space="0" w:color="auto"/>
                <w:right w:val="none" w:sz="0" w:space="0" w:color="auto"/>
              </w:divBdr>
            </w:div>
          </w:divsChild>
        </w:div>
        <w:div w:id="703947959">
          <w:marLeft w:val="0"/>
          <w:marRight w:val="0"/>
          <w:marTop w:val="0"/>
          <w:marBottom w:val="0"/>
          <w:divBdr>
            <w:top w:val="none" w:sz="0" w:space="0" w:color="auto"/>
            <w:left w:val="none" w:sz="0" w:space="0" w:color="auto"/>
            <w:bottom w:val="none" w:sz="0" w:space="0" w:color="auto"/>
            <w:right w:val="none" w:sz="0" w:space="0" w:color="auto"/>
          </w:divBdr>
          <w:divsChild>
            <w:div w:id="1959677405">
              <w:marLeft w:val="0"/>
              <w:marRight w:val="0"/>
              <w:marTop w:val="0"/>
              <w:marBottom w:val="0"/>
              <w:divBdr>
                <w:top w:val="none" w:sz="0" w:space="0" w:color="auto"/>
                <w:left w:val="none" w:sz="0" w:space="0" w:color="auto"/>
                <w:bottom w:val="none" w:sz="0" w:space="0" w:color="auto"/>
                <w:right w:val="none" w:sz="0" w:space="0" w:color="auto"/>
              </w:divBdr>
            </w:div>
          </w:divsChild>
        </w:div>
        <w:div w:id="705180288">
          <w:marLeft w:val="0"/>
          <w:marRight w:val="0"/>
          <w:marTop w:val="0"/>
          <w:marBottom w:val="0"/>
          <w:divBdr>
            <w:top w:val="none" w:sz="0" w:space="0" w:color="auto"/>
            <w:left w:val="none" w:sz="0" w:space="0" w:color="auto"/>
            <w:bottom w:val="none" w:sz="0" w:space="0" w:color="auto"/>
            <w:right w:val="none" w:sz="0" w:space="0" w:color="auto"/>
          </w:divBdr>
          <w:divsChild>
            <w:div w:id="1557429348">
              <w:marLeft w:val="0"/>
              <w:marRight w:val="0"/>
              <w:marTop w:val="0"/>
              <w:marBottom w:val="0"/>
              <w:divBdr>
                <w:top w:val="none" w:sz="0" w:space="0" w:color="auto"/>
                <w:left w:val="none" w:sz="0" w:space="0" w:color="auto"/>
                <w:bottom w:val="none" w:sz="0" w:space="0" w:color="auto"/>
                <w:right w:val="none" w:sz="0" w:space="0" w:color="auto"/>
              </w:divBdr>
            </w:div>
          </w:divsChild>
        </w:div>
        <w:div w:id="717432955">
          <w:marLeft w:val="0"/>
          <w:marRight w:val="0"/>
          <w:marTop w:val="0"/>
          <w:marBottom w:val="0"/>
          <w:divBdr>
            <w:top w:val="none" w:sz="0" w:space="0" w:color="auto"/>
            <w:left w:val="none" w:sz="0" w:space="0" w:color="auto"/>
            <w:bottom w:val="none" w:sz="0" w:space="0" w:color="auto"/>
            <w:right w:val="none" w:sz="0" w:space="0" w:color="auto"/>
          </w:divBdr>
          <w:divsChild>
            <w:div w:id="576794128">
              <w:marLeft w:val="0"/>
              <w:marRight w:val="0"/>
              <w:marTop w:val="0"/>
              <w:marBottom w:val="0"/>
              <w:divBdr>
                <w:top w:val="none" w:sz="0" w:space="0" w:color="auto"/>
                <w:left w:val="none" w:sz="0" w:space="0" w:color="auto"/>
                <w:bottom w:val="none" w:sz="0" w:space="0" w:color="auto"/>
                <w:right w:val="none" w:sz="0" w:space="0" w:color="auto"/>
              </w:divBdr>
            </w:div>
          </w:divsChild>
        </w:div>
        <w:div w:id="724258336">
          <w:marLeft w:val="0"/>
          <w:marRight w:val="0"/>
          <w:marTop w:val="0"/>
          <w:marBottom w:val="0"/>
          <w:divBdr>
            <w:top w:val="none" w:sz="0" w:space="0" w:color="auto"/>
            <w:left w:val="none" w:sz="0" w:space="0" w:color="auto"/>
            <w:bottom w:val="none" w:sz="0" w:space="0" w:color="auto"/>
            <w:right w:val="none" w:sz="0" w:space="0" w:color="auto"/>
          </w:divBdr>
          <w:divsChild>
            <w:div w:id="1602029863">
              <w:marLeft w:val="0"/>
              <w:marRight w:val="0"/>
              <w:marTop w:val="0"/>
              <w:marBottom w:val="0"/>
              <w:divBdr>
                <w:top w:val="none" w:sz="0" w:space="0" w:color="auto"/>
                <w:left w:val="none" w:sz="0" w:space="0" w:color="auto"/>
                <w:bottom w:val="none" w:sz="0" w:space="0" w:color="auto"/>
                <w:right w:val="none" w:sz="0" w:space="0" w:color="auto"/>
              </w:divBdr>
            </w:div>
          </w:divsChild>
        </w:div>
        <w:div w:id="742261598">
          <w:marLeft w:val="0"/>
          <w:marRight w:val="0"/>
          <w:marTop w:val="0"/>
          <w:marBottom w:val="0"/>
          <w:divBdr>
            <w:top w:val="none" w:sz="0" w:space="0" w:color="auto"/>
            <w:left w:val="none" w:sz="0" w:space="0" w:color="auto"/>
            <w:bottom w:val="none" w:sz="0" w:space="0" w:color="auto"/>
            <w:right w:val="none" w:sz="0" w:space="0" w:color="auto"/>
          </w:divBdr>
          <w:divsChild>
            <w:div w:id="677267819">
              <w:marLeft w:val="0"/>
              <w:marRight w:val="0"/>
              <w:marTop w:val="0"/>
              <w:marBottom w:val="0"/>
              <w:divBdr>
                <w:top w:val="none" w:sz="0" w:space="0" w:color="auto"/>
                <w:left w:val="none" w:sz="0" w:space="0" w:color="auto"/>
                <w:bottom w:val="none" w:sz="0" w:space="0" w:color="auto"/>
                <w:right w:val="none" w:sz="0" w:space="0" w:color="auto"/>
              </w:divBdr>
            </w:div>
          </w:divsChild>
        </w:div>
        <w:div w:id="776022142">
          <w:marLeft w:val="0"/>
          <w:marRight w:val="0"/>
          <w:marTop w:val="0"/>
          <w:marBottom w:val="0"/>
          <w:divBdr>
            <w:top w:val="none" w:sz="0" w:space="0" w:color="auto"/>
            <w:left w:val="none" w:sz="0" w:space="0" w:color="auto"/>
            <w:bottom w:val="none" w:sz="0" w:space="0" w:color="auto"/>
            <w:right w:val="none" w:sz="0" w:space="0" w:color="auto"/>
          </w:divBdr>
          <w:divsChild>
            <w:div w:id="1075393027">
              <w:marLeft w:val="0"/>
              <w:marRight w:val="0"/>
              <w:marTop w:val="0"/>
              <w:marBottom w:val="0"/>
              <w:divBdr>
                <w:top w:val="none" w:sz="0" w:space="0" w:color="auto"/>
                <w:left w:val="none" w:sz="0" w:space="0" w:color="auto"/>
                <w:bottom w:val="none" w:sz="0" w:space="0" w:color="auto"/>
                <w:right w:val="none" w:sz="0" w:space="0" w:color="auto"/>
              </w:divBdr>
            </w:div>
          </w:divsChild>
        </w:div>
        <w:div w:id="778643061">
          <w:marLeft w:val="0"/>
          <w:marRight w:val="0"/>
          <w:marTop w:val="0"/>
          <w:marBottom w:val="0"/>
          <w:divBdr>
            <w:top w:val="none" w:sz="0" w:space="0" w:color="auto"/>
            <w:left w:val="none" w:sz="0" w:space="0" w:color="auto"/>
            <w:bottom w:val="none" w:sz="0" w:space="0" w:color="auto"/>
            <w:right w:val="none" w:sz="0" w:space="0" w:color="auto"/>
          </w:divBdr>
          <w:divsChild>
            <w:div w:id="377750142">
              <w:marLeft w:val="0"/>
              <w:marRight w:val="0"/>
              <w:marTop w:val="0"/>
              <w:marBottom w:val="0"/>
              <w:divBdr>
                <w:top w:val="none" w:sz="0" w:space="0" w:color="auto"/>
                <w:left w:val="none" w:sz="0" w:space="0" w:color="auto"/>
                <w:bottom w:val="none" w:sz="0" w:space="0" w:color="auto"/>
                <w:right w:val="none" w:sz="0" w:space="0" w:color="auto"/>
              </w:divBdr>
            </w:div>
          </w:divsChild>
        </w:div>
        <w:div w:id="838496103">
          <w:marLeft w:val="0"/>
          <w:marRight w:val="0"/>
          <w:marTop w:val="0"/>
          <w:marBottom w:val="0"/>
          <w:divBdr>
            <w:top w:val="none" w:sz="0" w:space="0" w:color="auto"/>
            <w:left w:val="none" w:sz="0" w:space="0" w:color="auto"/>
            <w:bottom w:val="none" w:sz="0" w:space="0" w:color="auto"/>
            <w:right w:val="none" w:sz="0" w:space="0" w:color="auto"/>
          </w:divBdr>
          <w:divsChild>
            <w:div w:id="2123720018">
              <w:marLeft w:val="0"/>
              <w:marRight w:val="0"/>
              <w:marTop w:val="0"/>
              <w:marBottom w:val="0"/>
              <w:divBdr>
                <w:top w:val="none" w:sz="0" w:space="0" w:color="auto"/>
                <w:left w:val="none" w:sz="0" w:space="0" w:color="auto"/>
                <w:bottom w:val="none" w:sz="0" w:space="0" w:color="auto"/>
                <w:right w:val="none" w:sz="0" w:space="0" w:color="auto"/>
              </w:divBdr>
            </w:div>
          </w:divsChild>
        </w:div>
        <w:div w:id="854658356">
          <w:marLeft w:val="0"/>
          <w:marRight w:val="0"/>
          <w:marTop w:val="0"/>
          <w:marBottom w:val="0"/>
          <w:divBdr>
            <w:top w:val="none" w:sz="0" w:space="0" w:color="auto"/>
            <w:left w:val="none" w:sz="0" w:space="0" w:color="auto"/>
            <w:bottom w:val="none" w:sz="0" w:space="0" w:color="auto"/>
            <w:right w:val="none" w:sz="0" w:space="0" w:color="auto"/>
          </w:divBdr>
          <w:divsChild>
            <w:div w:id="1006127904">
              <w:marLeft w:val="0"/>
              <w:marRight w:val="0"/>
              <w:marTop w:val="0"/>
              <w:marBottom w:val="0"/>
              <w:divBdr>
                <w:top w:val="none" w:sz="0" w:space="0" w:color="auto"/>
                <w:left w:val="none" w:sz="0" w:space="0" w:color="auto"/>
                <w:bottom w:val="none" w:sz="0" w:space="0" w:color="auto"/>
                <w:right w:val="none" w:sz="0" w:space="0" w:color="auto"/>
              </w:divBdr>
            </w:div>
          </w:divsChild>
        </w:div>
        <w:div w:id="889027743">
          <w:marLeft w:val="0"/>
          <w:marRight w:val="0"/>
          <w:marTop w:val="0"/>
          <w:marBottom w:val="0"/>
          <w:divBdr>
            <w:top w:val="none" w:sz="0" w:space="0" w:color="auto"/>
            <w:left w:val="none" w:sz="0" w:space="0" w:color="auto"/>
            <w:bottom w:val="none" w:sz="0" w:space="0" w:color="auto"/>
            <w:right w:val="none" w:sz="0" w:space="0" w:color="auto"/>
          </w:divBdr>
          <w:divsChild>
            <w:div w:id="522019098">
              <w:marLeft w:val="0"/>
              <w:marRight w:val="0"/>
              <w:marTop w:val="0"/>
              <w:marBottom w:val="0"/>
              <w:divBdr>
                <w:top w:val="none" w:sz="0" w:space="0" w:color="auto"/>
                <w:left w:val="none" w:sz="0" w:space="0" w:color="auto"/>
                <w:bottom w:val="none" w:sz="0" w:space="0" w:color="auto"/>
                <w:right w:val="none" w:sz="0" w:space="0" w:color="auto"/>
              </w:divBdr>
            </w:div>
          </w:divsChild>
        </w:div>
        <w:div w:id="918250040">
          <w:marLeft w:val="0"/>
          <w:marRight w:val="0"/>
          <w:marTop w:val="0"/>
          <w:marBottom w:val="0"/>
          <w:divBdr>
            <w:top w:val="none" w:sz="0" w:space="0" w:color="auto"/>
            <w:left w:val="none" w:sz="0" w:space="0" w:color="auto"/>
            <w:bottom w:val="none" w:sz="0" w:space="0" w:color="auto"/>
            <w:right w:val="none" w:sz="0" w:space="0" w:color="auto"/>
          </w:divBdr>
          <w:divsChild>
            <w:div w:id="1737776313">
              <w:marLeft w:val="0"/>
              <w:marRight w:val="0"/>
              <w:marTop w:val="0"/>
              <w:marBottom w:val="0"/>
              <w:divBdr>
                <w:top w:val="none" w:sz="0" w:space="0" w:color="auto"/>
                <w:left w:val="none" w:sz="0" w:space="0" w:color="auto"/>
                <w:bottom w:val="none" w:sz="0" w:space="0" w:color="auto"/>
                <w:right w:val="none" w:sz="0" w:space="0" w:color="auto"/>
              </w:divBdr>
            </w:div>
          </w:divsChild>
        </w:div>
        <w:div w:id="928805036">
          <w:marLeft w:val="0"/>
          <w:marRight w:val="0"/>
          <w:marTop w:val="0"/>
          <w:marBottom w:val="0"/>
          <w:divBdr>
            <w:top w:val="none" w:sz="0" w:space="0" w:color="auto"/>
            <w:left w:val="none" w:sz="0" w:space="0" w:color="auto"/>
            <w:bottom w:val="none" w:sz="0" w:space="0" w:color="auto"/>
            <w:right w:val="none" w:sz="0" w:space="0" w:color="auto"/>
          </w:divBdr>
          <w:divsChild>
            <w:div w:id="2035960495">
              <w:marLeft w:val="0"/>
              <w:marRight w:val="0"/>
              <w:marTop w:val="0"/>
              <w:marBottom w:val="0"/>
              <w:divBdr>
                <w:top w:val="none" w:sz="0" w:space="0" w:color="auto"/>
                <w:left w:val="none" w:sz="0" w:space="0" w:color="auto"/>
                <w:bottom w:val="none" w:sz="0" w:space="0" w:color="auto"/>
                <w:right w:val="none" w:sz="0" w:space="0" w:color="auto"/>
              </w:divBdr>
            </w:div>
          </w:divsChild>
        </w:div>
        <w:div w:id="942999150">
          <w:marLeft w:val="0"/>
          <w:marRight w:val="0"/>
          <w:marTop w:val="0"/>
          <w:marBottom w:val="0"/>
          <w:divBdr>
            <w:top w:val="none" w:sz="0" w:space="0" w:color="auto"/>
            <w:left w:val="none" w:sz="0" w:space="0" w:color="auto"/>
            <w:bottom w:val="none" w:sz="0" w:space="0" w:color="auto"/>
            <w:right w:val="none" w:sz="0" w:space="0" w:color="auto"/>
          </w:divBdr>
          <w:divsChild>
            <w:div w:id="175507184">
              <w:marLeft w:val="0"/>
              <w:marRight w:val="0"/>
              <w:marTop w:val="0"/>
              <w:marBottom w:val="0"/>
              <w:divBdr>
                <w:top w:val="none" w:sz="0" w:space="0" w:color="auto"/>
                <w:left w:val="none" w:sz="0" w:space="0" w:color="auto"/>
                <w:bottom w:val="none" w:sz="0" w:space="0" w:color="auto"/>
                <w:right w:val="none" w:sz="0" w:space="0" w:color="auto"/>
              </w:divBdr>
            </w:div>
          </w:divsChild>
        </w:div>
        <w:div w:id="955257127">
          <w:marLeft w:val="0"/>
          <w:marRight w:val="0"/>
          <w:marTop w:val="0"/>
          <w:marBottom w:val="0"/>
          <w:divBdr>
            <w:top w:val="none" w:sz="0" w:space="0" w:color="auto"/>
            <w:left w:val="none" w:sz="0" w:space="0" w:color="auto"/>
            <w:bottom w:val="none" w:sz="0" w:space="0" w:color="auto"/>
            <w:right w:val="none" w:sz="0" w:space="0" w:color="auto"/>
          </w:divBdr>
          <w:divsChild>
            <w:div w:id="1617560084">
              <w:marLeft w:val="0"/>
              <w:marRight w:val="0"/>
              <w:marTop w:val="0"/>
              <w:marBottom w:val="0"/>
              <w:divBdr>
                <w:top w:val="none" w:sz="0" w:space="0" w:color="auto"/>
                <w:left w:val="none" w:sz="0" w:space="0" w:color="auto"/>
                <w:bottom w:val="none" w:sz="0" w:space="0" w:color="auto"/>
                <w:right w:val="none" w:sz="0" w:space="0" w:color="auto"/>
              </w:divBdr>
            </w:div>
          </w:divsChild>
        </w:div>
        <w:div w:id="976182525">
          <w:marLeft w:val="0"/>
          <w:marRight w:val="0"/>
          <w:marTop w:val="0"/>
          <w:marBottom w:val="0"/>
          <w:divBdr>
            <w:top w:val="none" w:sz="0" w:space="0" w:color="auto"/>
            <w:left w:val="none" w:sz="0" w:space="0" w:color="auto"/>
            <w:bottom w:val="none" w:sz="0" w:space="0" w:color="auto"/>
            <w:right w:val="none" w:sz="0" w:space="0" w:color="auto"/>
          </w:divBdr>
          <w:divsChild>
            <w:div w:id="1168137354">
              <w:marLeft w:val="0"/>
              <w:marRight w:val="0"/>
              <w:marTop w:val="0"/>
              <w:marBottom w:val="0"/>
              <w:divBdr>
                <w:top w:val="none" w:sz="0" w:space="0" w:color="auto"/>
                <w:left w:val="none" w:sz="0" w:space="0" w:color="auto"/>
                <w:bottom w:val="none" w:sz="0" w:space="0" w:color="auto"/>
                <w:right w:val="none" w:sz="0" w:space="0" w:color="auto"/>
              </w:divBdr>
            </w:div>
          </w:divsChild>
        </w:div>
        <w:div w:id="989748060">
          <w:marLeft w:val="0"/>
          <w:marRight w:val="0"/>
          <w:marTop w:val="0"/>
          <w:marBottom w:val="0"/>
          <w:divBdr>
            <w:top w:val="none" w:sz="0" w:space="0" w:color="auto"/>
            <w:left w:val="none" w:sz="0" w:space="0" w:color="auto"/>
            <w:bottom w:val="none" w:sz="0" w:space="0" w:color="auto"/>
            <w:right w:val="none" w:sz="0" w:space="0" w:color="auto"/>
          </w:divBdr>
          <w:divsChild>
            <w:div w:id="336158501">
              <w:marLeft w:val="0"/>
              <w:marRight w:val="0"/>
              <w:marTop w:val="0"/>
              <w:marBottom w:val="0"/>
              <w:divBdr>
                <w:top w:val="none" w:sz="0" w:space="0" w:color="auto"/>
                <w:left w:val="none" w:sz="0" w:space="0" w:color="auto"/>
                <w:bottom w:val="none" w:sz="0" w:space="0" w:color="auto"/>
                <w:right w:val="none" w:sz="0" w:space="0" w:color="auto"/>
              </w:divBdr>
            </w:div>
          </w:divsChild>
        </w:div>
        <w:div w:id="990451699">
          <w:marLeft w:val="0"/>
          <w:marRight w:val="0"/>
          <w:marTop w:val="0"/>
          <w:marBottom w:val="0"/>
          <w:divBdr>
            <w:top w:val="none" w:sz="0" w:space="0" w:color="auto"/>
            <w:left w:val="none" w:sz="0" w:space="0" w:color="auto"/>
            <w:bottom w:val="none" w:sz="0" w:space="0" w:color="auto"/>
            <w:right w:val="none" w:sz="0" w:space="0" w:color="auto"/>
          </w:divBdr>
          <w:divsChild>
            <w:div w:id="744838652">
              <w:marLeft w:val="0"/>
              <w:marRight w:val="0"/>
              <w:marTop w:val="0"/>
              <w:marBottom w:val="0"/>
              <w:divBdr>
                <w:top w:val="none" w:sz="0" w:space="0" w:color="auto"/>
                <w:left w:val="none" w:sz="0" w:space="0" w:color="auto"/>
                <w:bottom w:val="none" w:sz="0" w:space="0" w:color="auto"/>
                <w:right w:val="none" w:sz="0" w:space="0" w:color="auto"/>
              </w:divBdr>
            </w:div>
          </w:divsChild>
        </w:div>
        <w:div w:id="998342603">
          <w:marLeft w:val="0"/>
          <w:marRight w:val="0"/>
          <w:marTop w:val="0"/>
          <w:marBottom w:val="0"/>
          <w:divBdr>
            <w:top w:val="none" w:sz="0" w:space="0" w:color="auto"/>
            <w:left w:val="none" w:sz="0" w:space="0" w:color="auto"/>
            <w:bottom w:val="none" w:sz="0" w:space="0" w:color="auto"/>
            <w:right w:val="none" w:sz="0" w:space="0" w:color="auto"/>
          </w:divBdr>
          <w:divsChild>
            <w:div w:id="1331445749">
              <w:marLeft w:val="0"/>
              <w:marRight w:val="0"/>
              <w:marTop w:val="0"/>
              <w:marBottom w:val="0"/>
              <w:divBdr>
                <w:top w:val="none" w:sz="0" w:space="0" w:color="auto"/>
                <w:left w:val="none" w:sz="0" w:space="0" w:color="auto"/>
                <w:bottom w:val="none" w:sz="0" w:space="0" w:color="auto"/>
                <w:right w:val="none" w:sz="0" w:space="0" w:color="auto"/>
              </w:divBdr>
            </w:div>
          </w:divsChild>
        </w:div>
        <w:div w:id="1049260012">
          <w:marLeft w:val="0"/>
          <w:marRight w:val="0"/>
          <w:marTop w:val="0"/>
          <w:marBottom w:val="0"/>
          <w:divBdr>
            <w:top w:val="none" w:sz="0" w:space="0" w:color="auto"/>
            <w:left w:val="none" w:sz="0" w:space="0" w:color="auto"/>
            <w:bottom w:val="none" w:sz="0" w:space="0" w:color="auto"/>
            <w:right w:val="none" w:sz="0" w:space="0" w:color="auto"/>
          </w:divBdr>
          <w:divsChild>
            <w:div w:id="62262431">
              <w:marLeft w:val="0"/>
              <w:marRight w:val="0"/>
              <w:marTop w:val="0"/>
              <w:marBottom w:val="0"/>
              <w:divBdr>
                <w:top w:val="none" w:sz="0" w:space="0" w:color="auto"/>
                <w:left w:val="none" w:sz="0" w:space="0" w:color="auto"/>
                <w:bottom w:val="none" w:sz="0" w:space="0" w:color="auto"/>
                <w:right w:val="none" w:sz="0" w:space="0" w:color="auto"/>
              </w:divBdr>
            </w:div>
          </w:divsChild>
        </w:div>
        <w:div w:id="1050114276">
          <w:marLeft w:val="0"/>
          <w:marRight w:val="0"/>
          <w:marTop w:val="0"/>
          <w:marBottom w:val="0"/>
          <w:divBdr>
            <w:top w:val="none" w:sz="0" w:space="0" w:color="auto"/>
            <w:left w:val="none" w:sz="0" w:space="0" w:color="auto"/>
            <w:bottom w:val="none" w:sz="0" w:space="0" w:color="auto"/>
            <w:right w:val="none" w:sz="0" w:space="0" w:color="auto"/>
          </w:divBdr>
          <w:divsChild>
            <w:div w:id="168066442">
              <w:marLeft w:val="0"/>
              <w:marRight w:val="0"/>
              <w:marTop w:val="0"/>
              <w:marBottom w:val="0"/>
              <w:divBdr>
                <w:top w:val="none" w:sz="0" w:space="0" w:color="auto"/>
                <w:left w:val="none" w:sz="0" w:space="0" w:color="auto"/>
                <w:bottom w:val="none" w:sz="0" w:space="0" w:color="auto"/>
                <w:right w:val="none" w:sz="0" w:space="0" w:color="auto"/>
              </w:divBdr>
            </w:div>
          </w:divsChild>
        </w:div>
        <w:div w:id="1089276619">
          <w:marLeft w:val="0"/>
          <w:marRight w:val="0"/>
          <w:marTop w:val="0"/>
          <w:marBottom w:val="0"/>
          <w:divBdr>
            <w:top w:val="none" w:sz="0" w:space="0" w:color="auto"/>
            <w:left w:val="none" w:sz="0" w:space="0" w:color="auto"/>
            <w:bottom w:val="none" w:sz="0" w:space="0" w:color="auto"/>
            <w:right w:val="none" w:sz="0" w:space="0" w:color="auto"/>
          </w:divBdr>
          <w:divsChild>
            <w:div w:id="303463101">
              <w:marLeft w:val="0"/>
              <w:marRight w:val="0"/>
              <w:marTop w:val="0"/>
              <w:marBottom w:val="0"/>
              <w:divBdr>
                <w:top w:val="none" w:sz="0" w:space="0" w:color="auto"/>
                <w:left w:val="none" w:sz="0" w:space="0" w:color="auto"/>
                <w:bottom w:val="none" w:sz="0" w:space="0" w:color="auto"/>
                <w:right w:val="none" w:sz="0" w:space="0" w:color="auto"/>
              </w:divBdr>
            </w:div>
          </w:divsChild>
        </w:div>
        <w:div w:id="1122501723">
          <w:marLeft w:val="0"/>
          <w:marRight w:val="0"/>
          <w:marTop w:val="0"/>
          <w:marBottom w:val="0"/>
          <w:divBdr>
            <w:top w:val="none" w:sz="0" w:space="0" w:color="auto"/>
            <w:left w:val="none" w:sz="0" w:space="0" w:color="auto"/>
            <w:bottom w:val="none" w:sz="0" w:space="0" w:color="auto"/>
            <w:right w:val="none" w:sz="0" w:space="0" w:color="auto"/>
          </w:divBdr>
          <w:divsChild>
            <w:div w:id="1616980256">
              <w:marLeft w:val="0"/>
              <w:marRight w:val="0"/>
              <w:marTop w:val="0"/>
              <w:marBottom w:val="0"/>
              <w:divBdr>
                <w:top w:val="none" w:sz="0" w:space="0" w:color="auto"/>
                <w:left w:val="none" w:sz="0" w:space="0" w:color="auto"/>
                <w:bottom w:val="none" w:sz="0" w:space="0" w:color="auto"/>
                <w:right w:val="none" w:sz="0" w:space="0" w:color="auto"/>
              </w:divBdr>
            </w:div>
          </w:divsChild>
        </w:div>
        <w:div w:id="1138915020">
          <w:marLeft w:val="0"/>
          <w:marRight w:val="0"/>
          <w:marTop w:val="0"/>
          <w:marBottom w:val="0"/>
          <w:divBdr>
            <w:top w:val="none" w:sz="0" w:space="0" w:color="auto"/>
            <w:left w:val="none" w:sz="0" w:space="0" w:color="auto"/>
            <w:bottom w:val="none" w:sz="0" w:space="0" w:color="auto"/>
            <w:right w:val="none" w:sz="0" w:space="0" w:color="auto"/>
          </w:divBdr>
          <w:divsChild>
            <w:div w:id="1090739105">
              <w:marLeft w:val="0"/>
              <w:marRight w:val="0"/>
              <w:marTop w:val="0"/>
              <w:marBottom w:val="0"/>
              <w:divBdr>
                <w:top w:val="none" w:sz="0" w:space="0" w:color="auto"/>
                <w:left w:val="none" w:sz="0" w:space="0" w:color="auto"/>
                <w:bottom w:val="none" w:sz="0" w:space="0" w:color="auto"/>
                <w:right w:val="none" w:sz="0" w:space="0" w:color="auto"/>
              </w:divBdr>
            </w:div>
          </w:divsChild>
        </w:div>
        <w:div w:id="1148397144">
          <w:marLeft w:val="0"/>
          <w:marRight w:val="0"/>
          <w:marTop w:val="0"/>
          <w:marBottom w:val="0"/>
          <w:divBdr>
            <w:top w:val="none" w:sz="0" w:space="0" w:color="auto"/>
            <w:left w:val="none" w:sz="0" w:space="0" w:color="auto"/>
            <w:bottom w:val="none" w:sz="0" w:space="0" w:color="auto"/>
            <w:right w:val="none" w:sz="0" w:space="0" w:color="auto"/>
          </w:divBdr>
          <w:divsChild>
            <w:div w:id="572399777">
              <w:marLeft w:val="0"/>
              <w:marRight w:val="0"/>
              <w:marTop w:val="0"/>
              <w:marBottom w:val="0"/>
              <w:divBdr>
                <w:top w:val="none" w:sz="0" w:space="0" w:color="auto"/>
                <w:left w:val="none" w:sz="0" w:space="0" w:color="auto"/>
                <w:bottom w:val="none" w:sz="0" w:space="0" w:color="auto"/>
                <w:right w:val="none" w:sz="0" w:space="0" w:color="auto"/>
              </w:divBdr>
            </w:div>
          </w:divsChild>
        </w:div>
        <w:div w:id="1161701616">
          <w:marLeft w:val="0"/>
          <w:marRight w:val="0"/>
          <w:marTop w:val="0"/>
          <w:marBottom w:val="0"/>
          <w:divBdr>
            <w:top w:val="none" w:sz="0" w:space="0" w:color="auto"/>
            <w:left w:val="none" w:sz="0" w:space="0" w:color="auto"/>
            <w:bottom w:val="none" w:sz="0" w:space="0" w:color="auto"/>
            <w:right w:val="none" w:sz="0" w:space="0" w:color="auto"/>
          </w:divBdr>
          <w:divsChild>
            <w:div w:id="1881430748">
              <w:marLeft w:val="0"/>
              <w:marRight w:val="0"/>
              <w:marTop w:val="0"/>
              <w:marBottom w:val="0"/>
              <w:divBdr>
                <w:top w:val="none" w:sz="0" w:space="0" w:color="auto"/>
                <w:left w:val="none" w:sz="0" w:space="0" w:color="auto"/>
                <w:bottom w:val="none" w:sz="0" w:space="0" w:color="auto"/>
                <w:right w:val="none" w:sz="0" w:space="0" w:color="auto"/>
              </w:divBdr>
            </w:div>
          </w:divsChild>
        </w:div>
        <w:div w:id="1163622682">
          <w:marLeft w:val="0"/>
          <w:marRight w:val="0"/>
          <w:marTop w:val="0"/>
          <w:marBottom w:val="0"/>
          <w:divBdr>
            <w:top w:val="none" w:sz="0" w:space="0" w:color="auto"/>
            <w:left w:val="none" w:sz="0" w:space="0" w:color="auto"/>
            <w:bottom w:val="none" w:sz="0" w:space="0" w:color="auto"/>
            <w:right w:val="none" w:sz="0" w:space="0" w:color="auto"/>
          </w:divBdr>
          <w:divsChild>
            <w:div w:id="2032100511">
              <w:marLeft w:val="0"/>
              <w:marRight w:val="0"/>
              <w:marTop w:val="0"/>
              <w:marBottom w:val="0"/>
              <w:divBdr>
                <w:top w:val="none" w:sz="0" w:space="0" w:color="auto"/>
                <w:left w:val="none" w:sz="0" w:space="0" w:color="auto"/>
                <w:bottom w:val="none" w:sz="0" w:space="0" w:color="auto"/>
                <w:right w:val="none" w:sz="0" w:space="0" w:color="auto"/>
              </w:divBdr>
            </w:div>
          </w:divsChild>
        </w:div>
        <w:div w:id="1164904046">
          <w:marLeft w:val="0"/>
          <w:marRight w:val="0"/>
          <w:marTop w:val="0"/>
          <w:marBottom w:val="0"/>
          <w:divBdr>
            <w:top w:val="none" w:sz="0" w:space="0" w:color="auto"/>
            <w:left w:val="none" w:sz="0" w:space="0" w:color="auto"/>
            <w:bottom w:val="none" w:sz="0" w:space="0" w:color="auto"/>
            <w:right w:val="none" w:sz="0" w:space="0" w:color="auto"/>
          </w:divBdr>
          <w:divsChild>
            <w:div w:id="1738549469">
              <w:marLeft w:val="0"/>
              <w:marRight w:val="0"/>
              <w:marTop w:val="0"/>
              <w:marBottom w:val="0"/>
              <w:divBdr>
                <w:top w:val="none" w:sz="0" w:space="0" w:color="auto"/>
                <w:left w:val="none" w:sz="0" w:space="0" w:color="auto"/>
                <w:bottom w:val="none" w:sz="0" w:space="0" w:color="auto"/>
                <w:right w:val="none" w:sz="0" w:space="0" w:color="auto"/>
              </w:divBdr>
            </w:div>
          </w:divsChild>
        </w:div>
        <w:div w:id="1180001257">
          <w:marLeft w:val="0"/>
          <w:marRight w:val="0"/>
          <w:marTop w:val="0"/>
          <w:marBottom w:val="0"/>
          <w:divBdr>
            <w:top w:val="none" w:sz="0" w:space="0" w:color="auto"/>
            <w:left w:val="none" w:sz="0" w:space="0" w:color="auto"/>
            <w:bottom w:val="none" w:sz="0" w:space="0" w:color="auto"/>
            <w:right w:val="none" w:sz="0" w:space="0" w:color="auto"/>
          </w:divBdr>
          <w:divsChild>
            <w:div w:id="1748644876">
              <w:marLeft w:val="0"/>
              <w:marRight w:val="0"/>
              <w:marTop w:val="0"/>
              <w:marBottom w:val="0"/>
              <w:divBdr>
                <w:top w:val="none" w:sz="0" w:space="0" w:color="auto"/>
                <w:left w:val="none" w:sz="0" w:space="0" w:color="auto"/>
                <w:bottom w:val="none" w:sz="0" w:space="0" w:color="auto"/>
                <w:right w:val="none" w:sz="0" w:space="0" w:color="auto"/>
              </w:divBdr>
            </w:div>
          </w:divsChild>
        </w:div>
        <w:div w:id="1185050037">
          <w:marLeft w:val="0"/>
          <w:marRight w:val="0"/>
          <w:marTop w:val="0"/>
          <w:marBottom w:val="0"/>
          <w:divBdr>
            <w:top w:val="none" w:sz="0" w:space="0" w:color="auto"/>
            <w:left w:val="none" w:sz="0" w:space="0" w:color="auto"/>
            <w:bottom w:val="none" w:sz="0" w:space="0" w:color="auto"/>
            <w:right w:val="none" w:sz="0" w:space="0" w:color="auto"/>
          </w:divBdr>
          <w:divsChild>
            <w:div w:id="487867415">
              <w:marLeft w:val="0"/>
              <w:marRight w:val="0"/>
              <w:marTop w:val="0"/>
              <w:marBottom w:val="0"/>
              <w:divBdr>
                <w:top w:val="none" w:sz="0" w:space="0" w:color="auto"/>
                <w:left w:val="none" w:sz="0" w:space="0" w:color="auto"/>
                <w:bottom w:val="none" w:sz="0" w:space="0" w:color="auto"/>
                <w:right w:val="none" w:sz="0" w:space="0" w:color="auto"/>
              </w:divBdr>
            </w:div>
          </w:divsChild>
        </w:div>
        <w:div w:id="1192574374">
          <w:marLeft w:val="0"/>
          <w:marRight w:val="0"/>
          <w:marTop w:val="0"/>
          <w:marBottom w:val="0"/>
          <w:divBdr>
            <w:top w:val="none" w:sz="0" w:space="0" w:color="auto"/>
            <w:left w:val="none" w:sz="0" w:space="0" w:color="auto"/>
            <w:bottom w:val="none" w:sz="0" w:space="0" w:color="auto"/>
            <w:right w:val="none" w:sz="0" w:space="0" w:color="auto"/>
          </w:divBdr>
          <w:divsChild>
            <w:div w:id="692531792">
              <w:marLeft w:val="0"/>
              <w:marRight w:val="0"/>
              <w:marTop w:val="0"/>
              <w:marBottom w:val="0"/>
              <w:divBdr>
                <w:top w:val="none" w:sz="0" w:space="0" w:color="auto"/>
                <w:left w:val="none" w:sz="0" w:space="0" w:color="auto"/>
                <w:bottom w:val="none" w:sz="0" w:space="0" w:color="auto"/>
                <w:right w:val="none" w:sz="0" w:space="0" w:color="auto"/>
              </w:divBdr>
            </w:div>
          </w:divsChild>
        </w:div>
        <w:div w:id="1247879496">
          <w:marLeft w:val="0"/>
          <w:marRight w:val="0"/>
          <w:marTop w:val="0"/>
          <w:marBottom w:val="0"/>
          <w:divBdr>
            <w:top w:val="none" w:sz="0" w:space="0" w:color="auto"/>
            <w:left w:val="none" w:sz="0" w:space="0" w:color="auto"/>
            <w:bottom w:val="none" w:sz="0" w:space="0" w:color="auto"/>
            <w:right w:val="none" w:sz="0" w:space="0" w:color="auto"/>
          </w:divBdr>
          <w:divsChild>
            <w:div w:id="1160004885">
              <w:marLeft w:val="0"/>
              <w:marRight w:val="0"/>
              <w:marTop w:val="0"/>
              <w:marBottom w:val="0"/>
              <w:divBdr>
                <w:top w:val="none" w:sz="0" w:space="0" w:color="auto"/>
                <w:left w:val="none" w:sz="0" w:space="0" w:color="auto"/>
                <w:bottom w:val="none" w:sz="0" w:space="0" w:color="auto"/>
                <w:right w:val="none" w:sz="0" w:space="0" w:color="auto"/>
              </w:divBdr>
            </w:div>
          </w:divsChild>
        </w:div>
        <w:div w:id="1327636546">
          <w:marLeft w:val="0"/>
          <w:marRight w:val="0"/>
          <w:marTop w:val="0"/>
          <w:marBottom w:val="0"/>
          <w:divBdr>
            <w:top w:val="none" w:sz="0" w:space="0" w:color="auto"/>
            <w:left w:val="none" w:sz="0" w:space="0" w:color="auto"/>
            <w:bottom w:val="none" w:sz="0" w:space="0" w:color="auto"/>
            <w:right w:val="none" w:sz="0" w:space="0" w:color="auto"/>
          </w:divBdr>
          <w:divsChild>
            <w:div w:id="1352953455">
              <w:marLeft w:val="0"/>
              <w:marRight w:val="0"/>
              <w:marTop w:val="0"/>
              <w:marBottom w:val="0"/>
              <w:divBdr>
                <w:top w:val="none" w:sz="0" w:space="0" w:color="auto"/>
                <w:left w:val="none" w:sz="0" w:space="0" w:color="auto"/>
                <w:bottom w:val="none" w:sz="0" w:space="0" w:color="auto"/>
                <w:right w:val="none" w:sz="0" w:space="0" w:color="auto"/>
              </w:divBdr>
            </w:div>
          </w:divsChild>
        </w:div>
        <w:div w:id="1363625901">
          <w:marLeft w:val="0"/>
          <w:marRight w:val="0"/>
          <w:marTop w:val="0"/>
          <w:marBottom w:val="0"/>
          <w:divBdr>
            <w:top w:val="none" w:sz="0" w:space="0" w:color="auto"/>
            <w:left w:val="none" w:sz="0" w:space="0" w:color="auto"/>
            <w:bottom w:val="none" w:sz="0" w:space="0" w:color="auto"/>
            <w:right w:val="none" w:sz="0" w:space="0" w:color="auto"/>
          </w:divBdr>
          <w:divsChild>
            <w:div w:id="806819043">
              <w:marLeft w:val="0"/>
              <w:marRight w:val="0"/>
              <w:marTop w:val="0"/>
              <w:marBottom w:val="0"/>
              <w:divBdr>
                <w:top w:val="none" w:sz="0" w:space="0" w:color="auto"/>
                <w:left w:val="none" w:sz="0" w:space="0" w:color="auto"/>
                <w:bottom w:val="none" w:sz="0" w:space="0" w:color="auto"/>
                <w:right w:val="none" w:sz="0" w:space="0" w:color="auto"/>
              </w:divBdr>
            </w:div>
          </w:divsChild>
        </w:div>
        <w:div w:id="1370300618">
          <w:marLeft w:val="0"/>
          <w:marRight w:val="0"/>
          <w:marTop w:val="0"/>
          <w:marBottom w:val="0"/>
          <w:divBdr>
            <w:top w:val="none" w:sz="0" w:space="0" w:color="auto"/>
            <w:left w:val="none" w:sz="0" w:space="0" w:color="auto"/>
            <w:bottom w:val="none" w:sz="0" w:space="0" w:color="auto"/>
            <w:right w:val="none" w:sz="0" w:space="0" w:color="auto"/>
          </w:divBdr>
          <w:divsChild>
            <w:div w:id="1966933515">
              <w:marLeft w:val="0"/>
              <w:marRight w:val="0"/>
              <w:marTop w:val="0"/>
              <w:marBottom w:val="0"/>
              <w:divBdr>
                <w:top w:val="none" w:sz="0" w:space="0" w:color="auto"/>
                <w:left w:val="none" w:sz="0" w:space="0" w:color="auto"/>
                <w:bottom w:val="none" w:sz="0" w:space="0" w:color="auto"/>
                <w:right w:val="none" w:sz="0" w:space="0" w:color="auto"/>
              </w:divBdr>
            </w:div>
          </w:divsChild>
        </w:div>
        <w:div w:id="1372874923">
          <w:marLeft w:val="0"/>
          <w:marRight w:val="0"/>
          <w:marTop w:val="0"/>
          <w:marBottom w:val="0"/>
          <w:divBdr>
            <w:top w:val="none" w:sz="0" w:space="0" w:color="auto"/>
            <w:left w:val="none" w:sz="0" w:space="0" w:color="auto"/>
            <w:bottom w:val="none" w:sz="0" w:space="0" w:color="auto"/>
            <w:right w:val="none" w:sz="0" w:space="0" w:color="auto"/>
          </w:divBdr>
          <w:divsChild>
            <w:div w:id="219948484">
              <w:marLeft w:val="0"/>
              <w:marRight w:val="0"/>
              <w:marTop w:val="0"/>
              <w:marBottom w:val="0"/>
              <w:divBdr>
                <w:top w:val="none" w:sz="0" w:space="0" w:color="auto"/>
                <w:left w:val="none" w:sz="0" w:space="0" w:color="auto"/>
                <w:bottom w:val="none" w:sz="0" w:space="0" w:color="auto"/>
                <w:right w:val="none" w:sz="0" w:space="0" w:color="auto"/>
              </w:divBdr>
            </w:div>
          </w:divsChild>
        </w:div>
        <w:div w:id="1374304421">
          <w:marLeft w:val="0"/>
          <w:marRight w:val="0"/>
          <w:marTop w:val="0"/>
          <w:marBottom w:val="0"/>
          <w:divBdr>
            <w:top w:val="none" w:sz="0" w:space="0" w:color="auto"/>
            <w:left w:val="none" w:sz="0" w:space="0" w:color="auto"/>
            <w:bottom w:val="none" w:sz="0" w:space="0" w:color="auto"/>
            <w:right w:val="none" w:sz="0" w:space="0" w:color="auto"/>
          </w:divBdr>
          <w:divsChild>
            <w:div w:id="1074428398">
              <w:marLeft w:val="0"/>
              <w:marRight w:val="0"/>
              <w:marTop w:val="0"/>
              <w:marBottom w:val="0"/>
              <w:divBdr>
                <w:top w:val="none" w:sz="0" w:space="0" w:color="auto"/>
                <w:left w:val="none" w:sz="0" w:space="0" w:color="auto"/>
                <w:bottom w:val="none" w:sz="0" w:space="0" w:color="auto"/>
                <w:right w:val="none" w:sz="0" w:space="0" w:color="auto"/>
              </w:divBdr>
            </w:div>
          </w:divsChild>
        </w:div>
        <w:div w:id="1433741677">
          <w:marLeft w:val="0"/>
          <w:marRight w:val="0"/>
          <w:marTop w:val="0"/>
          <w:marBottom w:val="0"/>
          <w:divBdr>
            <w:top w:val="none" w:sz="0" w:space="0" w:color="auto"/>
            <w:left w:val="none" w:sz="0" w:space="0" w:color="auto"/>
            <w:bottom w:val="none" w:sz="0" w:space="0" w:color="auto"/>
            <w:right w:val="none" w:sz="0" w:space="0" w:color="auto"/>
          </w:divBdr>
          <w:divsChild>
            <w:div w:id="1412657025">
              <w:marLeft w:val="0"/>
              <w:marRight w:val="0"/>
              <w:marTop w:val="0"/>
              <w:marBottom w:val="0"/>
              <w:divBdr>
                <w:top w:val="none" w:sz="0" w:space="0" w:color="auto"/>
                <w:left w:val="none" w:sz="0" w:space="0" w:color="auto"/>
                <w:bottom w:val="none" w:sz="0" w:space="0" w:color="auto"/>
                <w:right w:val="none" w:sz="0" w:space="0" w:color="auto"/>
              </w:divBdr>
            </w:div>
          </w:divsChild>
        </w:div>
        <w:div w:id="1439376915">
          <w:marLeft w:val="0"/>
          <w:marRight w:val="0"/>
          <w:marTop w:val="0"/>
          <w:marBottom w:val="0"/>
          <w:divBdr>
            <w:top w:val="none" w:sz="0" w:space="0" w:color="auto"/>
            <w:left w:val="none" w:sz="0" w:space="0" w:color="auto"/>
            <w:bottom w:val="none" w:sz="0" w:space="0" w:color="auto"/>
            <w:right w:val="none" w:sz="0" w:space="0" w:color="auto"/>
          </w:divBdr>
          <w:divsChild>
            <w:div w:id="1415710696">
              <w:marLeft w:val="0"/>
              <w:marRight w:val="0"/>
              <w:marTop w:val="0"/>
              <w:marBottom w:val="0"/>
              <w:divBdr>
                <w:top w:val="none" w:sz="0" w:space="0" w:color="auto"/>
                <w:left w:val="none" w:sz="0" w:space="0" w:color="auto"/>
                <w:bottom w:val="none" w:sz="0" w:space="0" w:color="auto"/>
                <w:right w:val="none" w:sz="0" w:space="0" w:color="auto"/>
              </w:divBdr>
            </w:div>
          </w:divsChild>
        </w:div>
        <w:div w:id="1491216765">
          <w:marLeft w:val="0"/>
          <w:marRight w:val="0"/>
          <w:marTop w:val="0"/>
          <w:marBottom w:val="0"/>
          <w:divBdr>
            <w:top w:val="none" w:sz="0" w:space="0" w:color="auto"/>
            <w:left w:val="none" w:sz="0" w:space="0" w:color="auto"/>
            <w:bottom w:val="none" w:sz="0" w:space="0" w:color="auto"/>
            <w:right w:val="none" w:sz="0" w:space="0" w:color="auto"/>
          </w:divBdr>
          <w:divsChild>
            <w:div w:id="781069474">
              <w:marLeft w:val="0"/>
              <w:marRight w:val="0"/>
              <w:marTop w:val="0"/>
              <w:marBottom w:val="0"/>
              <w:divBdr>
                <w:top w:val="none" w:sz="0" w:space="0" w:color="auto"/>
                <w:left w:val="none" w:sz="0" w:space="0" w:color="auto"/>
                <w:bottom w:val="none" w:sz="0" w:space="0" w:color="auto"/>
                <w:right w:val="none" w:sz="0" w:space="0" w:color="auto"/>
              </w:divBdr>
            </w:div>
          </w:divsChild>
        </w:div>
        <w:div w:id="1497304962">
          <w:marLeft w:val="0"/>
          <w:marRight w:val="0"/>
          <w:marTop w:val="0"/>
          <w:marBottom w:val="0"/>
          <w:divBdr>
            <w:top w:val="none" w:sz="0" w:space="0" w:color="auto"/>
            <w:left w:val="none" w:sz="0" w:space="0" w:color="auto"/>
            <w:bottom w:val="none" w:sz="0" w:space="0" w:color="auto"/>
            <w:right w:val="none" w:sz="0" w:space="0" w:color="auto"/>
          </w:divBdr>
          <w:divsChild>
            <w:div w:id="925848357">
              <w:marLeft w:val="0"/>
              <w:marRight w:val="0"/>
              <w:marTop w:val="0"/>
              <w:marBottom w:val="0"/>
              <w:divBdr>
                <w:top w:val="none" w:sz="0" w:space="0" w:color="auto"/>
                <w:left w:val="none" w:sz="0" w:space="0" w:color="auto"/>
                <w:bottom w:val="none" w:sz="0" w:space="0" w:color="auto"/>
                <w:right w:val="none" w:sz="0" w:space="0" w:color="auto"/>
              </w:divBdr>
            </w:div>
          </w:divsChild>
        </w:div>
        <w:div w:id="1627738943">
          <w:marLeft w:val="0"/>
          <w:marRight w:val="0"/>
          <w:marTop w:val="0"/>
          <w:marBottom w:val="0"/>
          <w:divBdr>
            <w:top w:val="none" w:sz="0" w:space="0" w:color="auto"/>
            <w:left w:val="none" w:sz="0" w:space="0" w:color="auto"/>
            <w:bottom w:val="none" w:sz="0" w:space="0" w:color="auto"/>
            <w:right w:val="none" w:sz="0" w:space="0" w:color="auto"/>
          </w:divBdr>
          <w:divsChild>
            <w:div w:id="480276223">
              <w:marLeft w:val="0"/>
              <w:marRight w:val="0"/>
              <w:marTop w:val="0"/>
              <w:marBottom w:val="0"/>
              <w:divBdr>
                <w:top w:val="none" w:sz="0" w:space="0" w:color="auto"/>
                <w:left w:val="none" w:sz="0" w:space="0" w:color="auto"/>
                <w:bottom w:val="none" w:sz="0" w:space="0" w:color="auto"/>
                <w:right w:val="none" w:sz="0" w:space="0" w:color="auto"/>
              </w:divBdr>
            </w:div>
          </w:divsChild>
        </w:div>
        <w:div w:id="1631521249">
          <w:marLeft w:val="0"/>
          <w:marRight w:val="0"/>
          <w:marTop w:val="0"/>
          <w:marBottom w:val="0"/>
          <w:divBdr>
            <w:top w:val="none" w:sz="0" w:space="0" w:color="auto"/>
            <w:left w:val="none" w:sz="0" w:space="0" w:color="auto"/>
            <w:bottom w:val="none" w:sz="0" w:space="0" w:color="auto"/>
            <w:right w:val="none" w:sz="0" w:space="0" w:color="auto"/>
          </w:divBdr>
          <w:divsChild>
            <w:div w:id="844515152">
              <w:marLeft w:val="0"/>
              <w:marRight w:val="0"/>
              <w:marTop w:val="0"/>
              <w:marBottom w:val="0"/>
              <w:divBdr>
                <w:top w:val="none" w:sz="0" w:space="0" w:color="auto"/>
                <w:left w:val="none" w:sz="0" w:space="0" w:color="auto"/>
                <w:bottom w:val="none" w:sz="0" w:space="0" w:color="auto"/>
                <w:right w:val="none" w:sz="0" w:space="0" w:color="auto"/>
              </w:divBdr>
            </w:div>
          </w:divsChild>
        </w:div>
        <w:div w:id="1632054702">
          <w:marLeft w:val="0"/>
          <w:marRight w:val="0"/>
          <w:marTop w:val="0"/>
          <w:marBottom w:val="0"/>
          <w:divBdr>
            <w:top w:val="none" w:sz="0" w:space="0" w:color="auto"/>
            <w:left w:val="none" w:sz="0" w:space="0" w:color="auto"/>
            <w:bottom w:val="none" w:sz="0" w:space="0" w:color="auto"/>
            <w:right w:val="none" w:sz="0" w:space="0" w:color="auto"/>
          </w:divBdr>
          <w:divsChild>
            <w:div w:id="695736481">
              <w:marLeft w:val="0"/>
              <w:marRight w:val="0"/>
              <w:marTop w:val="0"/>
              <w:marBottom w:val="0"/>
              <w:divBdr>
                <w:top w:val="none" w:sz="0" w:space="0" w:color="auto"/>
                <w:left w:val="none" w:sz="0" w:space="0" w:color="auto"/>
                <w:bottom w:val="none" w:sz="0" w:space="0" w:color="auto"/>
                <w:right w:val="none" w:sz="0" w:space="0" w:color="auto"/>
              </w:divBdr>
            </w:div>
          </w:divsChild>
        </w:div>
        <w:div w:id="1673294899">
          <w:marLeft w:val="0"/>
          <w:marRight w:val="0"/>
          <w:marTop w:val="0"/>
          <w:marBottom w:val="0"/>
          <w:divBdr>
            <w:top w:val="none" w:sz="0" w:space="0" w:color="auto"/>
            <w:left w:val="none" w:sz="0" w:space="0" w:color="auto"/>
            <w:bottom w:val="none" w:sz="0" w:space="0" w:color="auto"/>
            <w:right w:val="none" w:sz="0" w:space="0" w:color="auto"/>
          </w:divBdr>
          <w:divsChild>
            <w:div w:id="1001157442">
              <w:marLeft w:val="0"/>
              <w:marRight w:val="0"/>
              <w:marTop w:val="0"/>
              <w:marBottom w:val="0"/>
              <w:divBdr>
                <w:top w:val="none" w:sz="0" w:space="0" w:color="auto"/>
                <w:left w:val="none" w:sz="0" w:space="0" w:color="auto"/>
                <w:bottom w:val="none" w:sz="0" w:space="0" w:color="auto"/>
                <w:right w:val="none" w:sz="0" w:space="0" w:color="auto"/>
              </w:divBdr>
            </w:div>
          </w:divsChild>
        </w:div>
        <w:div w:id="1701777021">
          <w:marLeft w:val="0"/>
          <w:marRight w:val="0"/>
          <w:marTop w:val="0"/>
          <w:marBottom w:val="0"/>
          <w:divBdr>
            <w:top w:val="none" w:sz="0" w:space="0" w:color="auto"/>
            <w:left w:val="none" w:sz="0" w:space="0" w:color="auto"/>
            <w:bottom w:val="none" w:sz="0" w:space="0" w:color="auto"/>
            <w:right w:val="none" w:sz="0" w:space="0" w:color="auto"/>
          </w:divBdr>
          <w:divsChild>
            <w:div w:id="819268985">
              <w:marLeft w:val="0"/>
              <w:marRight w:val="0"/>
              <w:marTop w:val="0"/>
              <w:marBottom w:val="0"/>
              <w:divBdr>
                <w:top w:val="none" w:sz="0" w:space="0" w:color="auto"/>
                <w:left w:val="none" w:sz="0" w:space="0" w:color="auto"/>
                <w:bottom w:val="none" w:sz="0" w:space="0" w:color="auto"/>
                <w:right w:val="none" w:sz="0" w:space="0" w:color="auto"/>
              </w:divBdr>
            </w:div>
          </w:divsChild>
        </w:div>
        <w:div w:id="1713338459">
          <w:marLeft w:val="0"/>
          <w:marRight w:val="0"/>
          <w:marTop w:val="0"/>
          <w:marBottom w:val="0"/>
          <w:divBdr>
            <w:top w:val="none" w:sz="0" w:space="0" w:color="auto"/>
            <w:left w:val="none" w:sz="0" w:space="0" w:color="auto"/>
            <w:bottom w:val="none" w:sz="0" w:space="0" w:color="auto"/>
            <w:right w:val="none" w:sz="0" w:space="0" w:color="auto"/>
          </w:divBdr>
          <w:divsChild>
            <w:div w:id="500510182">
              <w:marLeft w:val="0"/>
              <w:marRight w:val="0"/>
              <w:marTop w:val="0"/>
              <w:marBottom w:val="0"/>
              <w:divBdr>
                <w:top w:val="none" w:sz="0" w:space="0" w:color="auto"/>
                <w:left w:val="none" w:sz="0" w:space="0" w:color="auto"/>
                <w:bottom w:val="none" w:sz="0" w:space="0" w:color="auto"/>
                <w:right w:val="none" w:sz="0" w:space="0" w:color="auto"/>
              </w:divBdr>
            </w:div>
          </w:divsChild>
        </w:div>
        <w:div w:id="1733192737">
          <w:marLeft w:val="0"/>
          <w:marRight w:val="0"/>
          <w:marTop w:val="0"/>
          <w:marBottom w:val="0"/>
          <w:divBdr>
            <w:top w:val="none" w:sz="0" w:space="0" w:color="auto"/>
            <w:left w:val="none" w:sz="0" w:space="0" w:color="auto"/>
            <w:bottom w:val="none" w:sz="0" w:space="0" w:color="auto"/>
            <w:right w:val="none" w:sz="0" w:space="0" w:color="auto"/>
          </w:divBdr>
          <w:divsChild>
            <w:div w:id="1852067284">
              <w:marLeft w:val="0"/>
              <w:marRight w:val="0"/>
              <w:marTop w:val="0"/>
              <w:marBottom w:val="0"/>
              <w:divBdr>
                <w:top w:val="none" w:sz="0" w:space="0" w:color="auto"/>
                <w:left w:val="none" w:sz="0" w:space="0" w:color="auto"/>
                <w:bottom w:val="none" w:sz="0" w:space="0" w:color="auto"/>
                <w:right w:val="none" w:sz="0" w:space="0" w:color="auto"/>
              </w:divBdr>
            </w:div>
          </w:divsChild>
        </w:div>
        <w:div w:id="1777363260">
          <w:marLeft w:val="0"/>
          <w:marRight w:val="0"/>
          <w:marTop w:val="0"/>
          <w:marBottom w:val="0"/>
          <w:divBdr>
            <w:top w:val="none" w:sz="0" w:space="0" w:color="auto"/>
            <w:left w:val="none" w:sz="0" w:space="0" w:color="auto"/>
            <w:bottom w:val="none" w:sz="0" w:space="0" w:color="auto"/>
            <w:right w:val="none" w:sz="0" w:space="0" w:color="auto"/>
          </w:divBdr>
          <w:divsChild>
            <w:div w:id="593517090">
              <w:marLeft w:val="0"/>
              <w:marRight w:val="0"/>
              <w:marTop w:val="0"/>
              <w:marBottom w:val="0"/>
              <w:divBdr>
                <w:top w:val="none" w:sz="0" w:space="0" w:color="auto"/>
                <w:left w:val="none" w:sz="0" w:space="0" w:color="auto"/>
                <w:bottom w:val="none" w:sz="0" w:space="0" w:color="auto"/>
                <w:right w:val="none" w:sz="0" w:space="0" w:color="auto"/>
              </w:divBdr>
            </w:div>
          </w:divsChild>
        </w:div>
        <w:div w:id="1785494338">
          <w:marLeft w:val="0"/>
          <w:marRight w:val="0"/>
          <w:marTop w:val="0"/>
          <w:marBottom w:val="0"/>
          <w:divBdr>
            <w:top w:val="none" w:sz="0" w:space="0" w:color="auto"/>
            <w:left w:val="none" w:sz="0" w:space="0" w:color="auto"/>
            <w:bottom w:val="none" w:sz="0" w:space="0" w:color="auto"/>
            <w:right w:val="none" w:sz="0" w:space="0" w:color="auto"/>
          </w:divBdr>
          <w:divsChild>
            <w:div w:id="550727537">
              <w:marLeft w:val="0"/>
              <w:marRight w:val="0"/>
              <w:marTop w:val="0"/>
              <w:marBottom w:val="0"/>
              <w:divBdr>
                <w:top w:val="none" w:sz="0" w:space="0" w:color="auto"/>
                <w:left w:val="none" w:sz="0" w:space="0" w:color="auto"/>
                <w:bottom w:val="none" w:sz="0" w:space="0" w:color="auto"/>
                <w:right w:val="none" w:sz="0" w:space="0" w:color="auto"/>
              </w:divBdr>
            </w:div>
          </w:divsChild>
        </w:div>
        <w:div w:id="1804234023">
          <w:marLeft w:val="0"/>
          <w:marRight w:val="0"/>
          <w:marTop w:val="0"/>
          <w:marBottom w:val="0"/>
          <w:divBdr>
            <w:top w:val="none" w:sz="0" w:space="0" w:color="auto"/>
            <w:left w:val="none" w:sz="0" w:space="0" w:color="auto"/>
            <w:bottom w:val="none" w:sz="0" w:space="0" w:color="auto"/>
            <w:right w:val="none" w:sz="0" w:space="0" w:color="auto"/>
          </w:divBdr>
          <w:divsChild>
            <w:div w:id="6758381">
              <w:marLeft w:val="0"/>
              <w:marRight w:val="0"/>
              <w:marTop w:val="0"/>
              <w:marBottom w:val="0"/>
              <w:divBdr>
                <w:top w:val="none" w:sz="0" w:space="0" w:color="auto"/>
                <w:left w:val="none" w:sz="0" w:space="0" w:color="auto"/>
                <w:bottom w:val="none" w:sz="0" w:space="0" w:color="auto"/>
                <w:right w:val="none" w:sz="0" w:space="0" w:color="auto"/>
              </w:divBdr>
            </w:div>
          </w:divsChild>
        </w:div>
        <w:div w:id="1809126683">
          <w:marLeft w:val="0"/>
          <w:marRight w:val="0"/>
          <w:marTop w:val="0"/>
          <w:marBottom w:val="0"/>
          <w:divBdr>
            <w:top w:val="none" w:sz="0" w:space="0" w:color="auto"/>
            <w:left w:val="none" w:sz="0" w:space="0" w:color="auto"/>
            <w:bottom w:val="none" w:sz="0" w:space="0" w:color="auto"/>
            <w:right w:val="none" w:sz="0" w:space="0" w:color="auto"/>
          </w:divBdr>
          <w:divsChild>
            <w:div w:id="549344014">
              <w:marLeft w:val="0"/>
              <w:marRight w:val="0"/>
              <w:marTop w:val="0"/>
              <w:marBottom w:val="0"/>
              <w:divBdr>
                <w:top w:val="none" w:sz="0" w:space="0" w:color="auto"/>
                <w:left w:val="none" w:sz="0" w:space="0" w:color="auto"/>
                <w:bottom w:val="none" w:sz="0" w:space="0" w:color="auto"/>
                <w:right w:val="none" w:sz="0" w:space="0" w:color="auto"/>
              </w:divBdr>
            </w:div>
          </w:divsChild>
        </w:div>
        <w:div w:id="1809977037">
          <w:marLeft w:val="0"/>
          <w:marRight w:val="0"/>
          <w:marTop w:val="0"/>
          <w:marBottom w:val="0"/>
          <w:divBdr>
            <w:top w:val="none" w:sz="0" w:space="0" w:color="auto"/>
            <w:left w:val="none" w:sz="0" w:space="0" w:color="auto"/>
            <w:bottom w:val="none" w:sz="0" w:space="0" w:color="auto"/>
            <w:right w:val="none" w:sz="0" w:space="0" w:color="auto"/>
          </w:divBdr>
          <w:divsChild>
            <w:div w:id="1744984583">
              <w:marLeft w:val="0"/>
              <w:marRight w:val="0"/>
              <w:marTop w:val="0"/>
              <w:marBottom w:val="0"/>
              <w:divBdr>
                <w:top w:val="none" w:sz="0" w:space="0" w:color="auto"/>
                <w:left w:val="none" w:sz="0" w:space="0" w:color="auto"/>
                <w:bottom w:val="none" w:sz="0" w:space="0" w:color="auto"/>
                <w:right w:val="none" w:sz="0" w:space="0" w:color="auto"/>
              </w:divBdr>
            </w:div>
          </w:divsChild>
        </w:div>
        <w:div w:id="1810707941">
          <w:marLeft w:val="0"/>
          <w:marRight w:val="0"/>
          <w:marTop w:val="0"/>
          <w:marBottom w:val="0"/>
          <w:divBdr>
            <w:top w:val="none" w:sz="0" w:space="0" w:color="auto"/>
            <w:left w:val="none" w:sz="0" w:space="0" w:color="auto"/>
            <w:bottom w:val="none" w:sz="0" w:space="0" w:color="auto"/>
            <w:right w:val="none" w:sz="0" w:space="0" w:color="auto"/>
          </w:divBdr>
          <w:divsChild>
            <w:div w:id="230586232">
              <w:marLeft w:val="0"/>
              <w:marRight w:val="0"/>
              <w:marTop w:val="0"/>
              <w:marBottom w:val="0"/>
              <w:divBdr>
                <w:top w:val="none" w:sz="0" w:space="0" w:color="auto"/>
                <w:left w:val="none" w:sz="0" w:space="0" w:color="auto"/>
                <w:bottom w:val="none" w:sz="0" w:space="0" w:color="auto"/>
                <w:right w:val="none" w:sz="0" w:space="0" w:color="auto"/>
              </w:divBdr>
            </w:div>
          </w:divsChild>
        </w:div>
        <w:div w:id="1817988783">
          <w:marLeft w:val="0"/>
          <w:marRight w:val="0"/>
          <w:marTop w:val="0"/>
          <w:marBottom w:val="0"/>
          <w:divBdr>
            <w:top w:val="none" w:sz="0" w:space="0" w:color="auto"/>
            <w:left w:val="none" w:sz="0" w:space="0" w:color="auto"/>
            <w:bottom w:val="none" w:sz="0" w:space="0" w:color="auto"/>
            <w:right w:val="none" w:sz="0" w:space="0" w:color="auto"/>
          </w:divBdr>
          <w:divsChild>
            <w:div w:id="105079844">
              <w:marLeft w:val="0"/>
              <w:marRight w:val="0"/>
              <w:marTop w:val="0"/>
              <w:marBottom w:val="0"/>
              <w:divBdr>
                <w:top w:val="none" w:sz="0" w:space="0" w:color="auto"/>
                <w:left w:val="none" w:sz="0" w:space="0" w:color="auto"/>
                <w:bottom w:val="none" w:sz="0" w:space="0" w:color="auto"/>
                <w:right w:val="none" w:sz="0" w:space="0" w:color="auto"/>
              </w:divBdr>
            </w:div>
          </w:divsChild>
        </w:div>
        <w:div w:id="1865174309">
          <w:marLeft w:val="0"/>
          <w:marRight w:val="0"/>
          <w:marTop w:val="0"/>
          <w:marBottom w:val="0"/>
          <w:divBdr>
            <w:top w:val="none" w:sz="0" w:space="0" w:color="auto"/>
            <w:left w:val="none" w:sz="0" w:space="0" w:color="auto"/>
            <w:bottom w:val="none" w:sz="0" w:space="0" w:color="auto"/>
            <w:right w:val="none" w:sz="0" w:space="0" w:color="auto"/>
          </w:divBdr>
          <w:divsChild>
            <w:div w:id="1766682675">
              <w:marLeft w:val="0"/>
              <w:marRight w:val="0"/>
              <w:marTop w:val="0"/>
              <w:marBottom w:val="0"/>
              <w:divBdr>
                <w:top w:val="none" w:sz="0" w:space="0" w:color="auto"/>
                <w:left w:val="none" w:sz="0" w:space="0" w:color="auto"/>
                <w:bottom w:val="none" w:sz="0" w:space="0" w:color="auto"/>
                <w:right w:val="none" w:sz="0" w:space="0" w:color="auto"/>
              </w:divBdr>
            </w:div>
          </w:divsChild>
        </w:div>
        <w:div w:id="1867713548">
          <w:marLeft w:val="0"/>
          <w:marRight w:val="0"/>
          <w:marTop w:val="0"/>
          <w:marBottom w:val="0"/>
          <w:divBdr>
            <w:top w:val="none" w:sz="0" w:space="0" w:color="auto"/>
            <w:left w:val="none" w:sz="0" w:space="0" w:color="auto"/>
            <w:bottom w:val="none" w:sz="0" w:space="0" w:color="auto"/>
            <w:right w:val="none" w:sz="0" w:space="0" w:color="auto"/>
          </w:divBdr>
          <w:divsChild>
            <w:div w:id="1468203017">
              <w:marLeft w:val="0"/>
              <w:marRight w:val="0"/>
              <w:marTop w:val="0"/>
              <w:marBottom w:val="0"/>
              <w:divBdr>
                <w:top w:val="none" w:sz="0" w:space="0" w:color="auto"/>
                <w:left w:val="none" w:sz="0" w:space="0" w:color="auto"/>
                <w:bottom w:val="none" w:sz="0" w:space="0" w:color="auto"/>
                <w:right w:val="none" w:sz="0" w:space="0" w:color="auto"/>
              </w:divBdr>
            </w:div>
          </w:divsChild>
        </w:div>
        <w:div w:id="1876968949">
          <w:marLeft w:val="0"/>
          <w:marRight w:val="0"/>
          <w:marTop w:val="0"/>
          <w:marBottom w:val="0"/>
          <w:divBdr>
            <w:top w:val="none" w:sz="0" w:space="0" w:color="auto"/>
            <w:left w:val="none" w:sz="0" w:space="0" w:color="auto"/>
            <w:bottom w:val="none" w:sz="0" w:space="0" w:color="auto"/>
            <w:right w:val="none" w:sz="0" w:space="0" w:color="auto"/>
          </w:divBdr>
          <w:divsChild>
            <w:div w:id="17171419">
              <w:marLeft w:val="0"/>
              <w:marRight w:val="0"/>
              <w:marTop w:val="0"/>
              <w:marBottom w:val="0"/>
              <w:divBdr>
                <w:top w:val="none" w:sz="0" w:space="0" w:color="auto"/>
                <w:left w:val="none" w:sz="0" w:space="0" w:color="auto"/>
                <w:bottom w:val="none" w:sz="0" w:space="0" w:color="auto"/>
                <w:right w:val="none" w:sz="0" w:space="0" w:color="auto"/>
              </w:divBdr>
            </w:div>
          </w:divsChild>
        </w:div>
        <w:div w:id="1892576094">
          <w:marLeft w:val="0"/>
          <w:marRight w:val="0"/>
          <w:marTop w:val="0"/>
          <w:marBottom w:val="0"/>
          <w:divBdr>
            <w:top w:val="none" w:sz="0" w:space="0" w:color="auto"/>
            <w:left w:val="none" w:sz="0" w:space="0" w:color="auto"/>
            <w:bottom w:val="none" w:sz="0" w:space="0" w:color="auto"/>
            <w:right w:val="none" w:sz="0" w:space="0" w:color="auto"/>
          </w:divBdr>
          <w:divsChild>
            <w:div w:id="461314213">
              <w:marLeft w:val="0"/>
              <w:marRight w:val="0"/>
              <w:marTop w:val="0"/>
              <w:marBottom w:val="0"/>
              <w:divBdr>
                <w:top w:val="none" w:sz="0" w:space="0" w:color="auto"/>
                <w:left w:val="none" w:sz="0" w:space="0" w:color="auto"/>
                <w:bottom w:val="none" w:sz="0" w:space="0" w:color="auto"/>
                <w:right w:val="none" w:sz="0" w:space="0" w:color="auto"/>
              </w:divBdr>
            </w:div>
          </w:divsChild>
        </w:div>
        <w:div w:id="1905994410">
          <w:marLeft w:val="0"/>
          <w:marRight w:val="0"/>
          <w:marTop w:val="0"/>
          <w:marBottom w:val="0"/>
          <w:divBdr>
            <w:top w:val="none" w:sz="0" w:space="0" w:color="auto"/>
            <w:left w:val="none" w:sz="0" w:space="0" w:color="auto"/>
            <w:bottom w:val="none" w:sz="0" w:space="0" w:color="auto"/>
            <w:right w:val="none" w:sz="0" w:space="0" w:color="auto"/>
          </w:divBdr>
          <w:divsChild>
            <w:div w:id="1013996757">
              <w:marLeft w:val="0"/>
              <w:marRight w:val="0"/>
              <w:marTop w:val="0"/>
              <w:marBottom w:val="0"/>
              <w:divBdr>
                <w:top w:val="none" w:sz="0" w:space="0" w:color="auto"/>
                <w:left w:val="none" w:sz="0" w:space="0" w:color="auto"/>
                <w:bottom w:val="none" w:sz="0" w:space="0" w:color="auto"/>
                <w:right w:val="none" w:sz="0" w:space="0" w:color="auto"/>
              </w:divBdr>
            </w:div>
          </w:divsChild>
        </w:div>
        <w:div w:id="1907446089">
          <w:marLeft w:val="0"/>
          <w:marRight w:val="0"/>
          <w:marTop w:val="0"/>
          <w:marBottom w:val="0"/>
          <w:divBdr>
            <w:top w:val="none" w:sz="0" w:space="0" w:color="auto"/>
            <w:left w:val="none" w:sz="0" w:space="0" w:color="auto"/>
            <w:bottom w:val="none" w:sz="0" w:space="0" w:color="auto"/>
            <w:right w:val="none" w:sz="0" w:space="0" w:color="auto"/>
          </w:divBdr>
          <w:divsChild>
            <w:div w:id="1858885504">
              <w:marLeft w:val="0"/>
              <w:marRight w:val="0"/>
              <w:marTop w:val="0"/>
              <w:marBottom w:val="0"/>
              <w:divBdr>
                <w:top w:val="none" w:sz="0" w:space="0" w:color="auto"/>
                <w:left w:val="none" w:sz="0" w:space="0" w:color="auto"/>
                <w:bottom w:val="none" w:sz="0" w:space="0" w:color="auto"/>
                <w:right w:val="none" w:sz="0" w:space="0" w:color="auto"/>
              </w:divBdr>
            </w:div>
          </w:divsChild>
        </w:div>
        <w:div w:id="1993168480">
          <w:marLeft w:val="0"/>
          <w:marRight w:val="0"/>
          <w:marTop w:val="0"/>
          <w:marBottom w:val="0"/>
          <w:divBdr>
            <w:top w:val="none" w:sz="0" w:space="0" w:color="auto"/>
            <w:left w:val="none" w:sz="0" w:space="0" w:color="auto"/>
            <w:bottom w:val="none" w:sz="0" w:space="0" w:color="auto"/>
            <w:right w:val="none" w:sz="0" w:space="0" w:color="auto"/>
          </w:divBdr>
          <w:divsChild>
            <w:div w:id="981538871">
              <w:marLeft w:val="0"/>
              <w:marRight w:val="0"/>
              <w:marTop w:val="0"/>
              <w:marBottom w:val="0"/>
              <w:divBdr>
                <w:top w:val="none" w:sz="0" w:space="0" w:color="auto"/>
                <w:left w:val="none" w:sz="0" w:space="0" w:color="auto"/>
                <w:bottom w:val="none" w:sz="0" w:space="0" w:color="auto"/>
                <w:right w:val="none" w:sz="0" w:space="0" w:color="auto"/>
              </w:divBdr>
            </w:div>
          </w:divsChild>
        </w:div>
        <w:div w:id="2002000001">
          <w:marLeft w:val="0"/>
          <w:marRight w:val="0"/>
          <w:marTop w:val="0"/>
          <w:marBottom w:val="0"/>
          <w:divBdr>
            <w:top w:val="none" w:sz="0" w:space="0" w:color="auto"/>
            <w:left w:val="none" w:sz="0" w:space="0" w:color="auto"/>
            <w:bottom w:val="none" w:sz="0" w:space="0" w:color="auto"/>
            <w:right w:val="none" w:sz="0" w:space="0" w:color="auto"/>
          </w:divBdr>
          <w:divsChild>
            <w:div w:id="294288943">
              <w:marLeft w:val="0"/>
              <w:marRight w:val="0"/>
              <w:marTop w:val="0"/>
              <w:marBottom w:val="0"/>
              <w:divBdr>
                <w:top w:val="none" w:sz="0" w:space="0" w:color="auto"/>
                <w:left w:val="none" w:sz="0" w:space="0" w:color="auto"/>
                <w:bottom w:val="none" w:sz="0" w:space="0" w:color="auto"/>
                <w:right w:val="none" w:sz="0" w:space="0" w:color="auto"/>
              </w:divBdr>
            </w:div>
          </w:divsChild>
        </w:div>
        <w:div w:id="2039501056">
          <w:marLeft w:val="0"/>
          <w:marRight w:val="0"/>
          <w:marTop w:val="0"/>
          <w:marBottom w:val="0"/>
          <w:divBdr>
            <w:top w:val="none" w:sz="0" w:space="0" w:color="auto"/>
            <w:left w:val="none" w:sz="0" w:space="0" w:color="auto"/>
            <w:bottom w:val="none" w:sz="0" w:space="0" w:color="auto"/>
            <w:right w:val="none" w:sz="0" w:space="0" w:color="auto"/>
          </w:divBdr>
          <w:divsChild>
            <w:div w:id="1738437536">
              <w:marLeft w:val="0"/>
              <w:marRight w:val="0"/>
              <w:marTop w:val="0"/>
              <w:marBottom w:val="0"/>
              <w:divBdr>
                <w:top w:val="none" w:sz="0" w:space="0" w:color="auto"/>
                <w:left w:val="none" w:sz="0" w:space="0" w:color="auto"/>
                <w:bottom w:val="none" w:sz="0" w:space="0" w:color="auto"/>
                <w:right w:val="none" w:sz="0" w:space="0" w:color="auto"/>
              </w:divBdr>
            </w:div>
          </w:divsChild>
        </w:div>
        <w:div w:id="2074817561">
          <w:marLeft w:val="0"/>
          <w:marRight w:val="0"/>
          <w:marTop w:val="0"/>
          <w:marBottom w:val="0"/>
          <w:divBdr>
            <w:top w:val="none" w:sz="0" w:space="0" w:color="auto"/>
            <w:left w:val="none" w:sz="0" w:space="0" w:color="auto"/>
            <w:bottom w:val="none" w:sz="0" w:space="0" w:color="auto"/>
            <w:right w:val="none" w:sz="0" w:space="0" w:color="auto"/>
          </w:divBdr>
          <w:divsChild>
            <w:div w:id="145366441">
              <w:marLeft w:val="0"/>
              <w:marRight w:val="0"/>
              <w:marTop w:val="0"/>
              <w:marBottom w:val="0"/>
              <w:divBdr>
                <w:top w:val="none" w:sz="0" w:space="0" w:color="auto"/>
                <w:left w:val="none" w:sz="0" w:space="0" w:color="auto"/>
                <w:bottom w:val="none" w:sz="0" w:space="0" w:color="auto"/>
                <w:right w:val="none" w:sz="0" w:space="0" w:color="auto"/>
              </w:divBdr>
            </w:div>
          </w:divsChild>
        </w:div>
        <w:div w:id="2075161422">
          <w:marLeft w:val="0"/>
          <w:marRight w:val="0"/>
          <w:marTop w:val="0"/>
          <w:marBottom w:val="0"/>
          <w:divBdr>
            <w:top w:val="none" w:sz="0" w:space="0" w:color="auto"/>
            <w:left w:val="none" w:sz="0" w:space="0" w:color="auto"/>
            <w:bottom w:val="none" w:sz="0" w:space="0" w:color="auto"/>
            <w:right w:val="none" w:sz="0" w:space="0" w:color="auto"/>
          </w:divBdr>
          <w:divsChild>
            <w:div w:id="1661081892">
              <w:marLeft w:val="0"/>
              <w:marRight w:val="0"/>
              <w:marTop w:val="0"/>
              <w:marBottom w:val="0"/>
              <w:divBdr>
                <w:top w:val="none" w:sz="0" w:space="0" w:color="auto"/>
                <w:left w:val="none" w:sz="0" w:space="0" w:color="auto"/>
                <w:bottom w:val="none" w:sz="0" w:space="0" w:color="auto"/>
                <w:right w:val="none" w:sz="0" w:space="0" w:color="auto"/>
              </w:divBdr>
            </w:div>
          </w:divsChild>
        </w:div>
        <w:div w:id="2131043666">
          <w:marLeft w:val="0"/>
          <w:marRight w:val="0"/>
          <w:marTop w:val="0"/>
          <w:marBottom w:val="0"/>
          <w:divBdr>
            <w:top w:val="none" w:sz="0" w:space="0" w:color="auto"/>
            <w:left w:val="none" w:sz="0" w:space="0" w:color="auto"/>
            <w:bottom w:val="none" w:sz="0" w:space="0" w:color="auto"/>
            <w:right w:val="none" w:sz="0" w:space="0" w:color="auto"/>
          </w:divBdr>
          <w:divsChild>
            <w:div w:id="1682128046">
              <w:marLeft w:val="0"/>
              <w:marRight w:val="0"/>
              <w:marTop w:val="0"/>
              <w:marBottom w:val="0"/>
              <w:divBdr>
                <w:top w:val="none" w:sz="0" w:space="0" w:color="auto"/>
                <w:left w:val="none" w:sz="0" w:space="0" w:color="auto"/>
                <w:bottom w:val="none" w:sz="0" w:space="0" w:color="auto"/>
                <w:right w:val="none" w:sz="0" w:space="0" w:color="auto"/>
              </w:divBdr>
            </w:div>
          </w:divsChild>
        </w:div>
        <w:div w:id="2136361477">
          <w:marLeft w:val="0"/>
          <w:marRight w:val="0"/>
          <w:marTop w:val="0"/>
          <w:marBottom w:val="0"/>
          <w:divBdr>
            <w:top w:val="none" w:sz="0" w:space="0" w:color="auto"/>
            <w:left w:val="none" w:sz="0" w:space="0" w:color="auto"/>
            <w:bottom w:val="none" w:sz="0" w:space="0" w:color="auto"/>
            <w:right w:val="none" w:sz="0" w:space="0" w:color="auto"/>
          </w:divBdr>
          <w:divsChild>
            <w:div w:id="1267080934">
              <w:marLeft w:val="0"/>
              <w:marRight w:val="0"/>
              <w:marTop w:val="0"/>
              <w:marBottom w:val="0"/>
              <w:divBdr>
                <w:top w:val="none" w:sz="0" w:space="0" w:color="auto"/>
                <w:left w:val="none" w:sz="0" w:space="0" w:color="auto"/>
                <w:bottom w:val="none" w:sz="0" w:space="0" w:color="auto"/>
                <w:right w:val="none" w:sz="0" w:space="0" w:color="auto"/>
              </w:divBdr>
            </w:div>
          </w:divsChild>
        </w:div>
        <w:div w:id="2141727885">
          <w:marLeft w:val="0"/>
          <w:marRight w:val="0"/>
          <w:marTop w:val="0"/>
          <w:marBottom w:val="0"/>
          <w:divBdr>
            <w:top w:val="none" w:sz="0" w:space="0" w:color="auto"/>
            <w:left w:val="none" w:sz="0" w:space="0" w:color="auto"/>
            <w:bottom w:val="none" w:sz="0" w:space="0" w:color="auto"/>
            <w:right w:val="none" w:sz="0" w:space="0" w:color="auto"/>
          </w:divBdr>
          <w:divsChild>
            <w:div w:id="3598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1931">
      <w:bodyDiv w:val="1"/>
      <w:marLeft w:val="0"/>
      <w:marRight w:val="0"/>
      <w:marTop w:val="0"/>
      <w:marBottom w:val="0"/>
      <w:divBdr>
        <w:top w:val="none" w:sz="0" w:space="0" w:color="auto"/>
        <w:left w:val="none" w:sz="0" w:space="0" w:color="auto"/>
        <w:bottom w:val="none" w:sz="0" w:space="0" w:color="auto"/>
        <w:right w:val="none" w:sz="0" w:space="0" w:color="auto"/>
      </w:divBdr>
    </w:div>
    <w:div w:id="1093209464">
      <w:bodyDiv w:val="1"/>
      <w:marLeft w:val="0"/>
      <w:marRight w:val="0"/>
      <w:marTop w:val="0"/>
      <w:marBottom w:val="0"/>
      <w:divBdr>
        <w:top w:val="none" w:sz="0" w:space="0" w:color="auto"/>
        <w:left w:val="none" w:sz="0" w:space="0" w:color="auto"/>
        <w:bottom w:val="none" w:sz="0" w:space="0" w:color="auto"/>
        <w:right w:val="none" w:sz="0" w:space="0" w:color="auto"/>
      </w:divBdr>
    </w:div>
    <w:div w:id="1096095740">
      <w:bodyDiv w:val="1"/>
      <w:marLeft w:val="0"/>
      <w:marRight w:val="0"/>
      <w:marTop w:val="0"/>
      <w:marBottom w:val="0"/>
      <w:divBdr>
        <w:top w:val="none" w:sz="0" w:space="0" w:color="auto"/>
        <w:left w:val="none" w:sz="0" w:space="0" w:color="auto"/>
        <w:bottom w:val="none" w:sz="0" w:space="0" w:color="auto"/>
        <w:right w:val="none" w:sz="0" w:space="0" w:color="auto"/>
      </w:divBdr>
    </w:div>
    <w:div w:id="1102921130">
      <w:bodyDiv w:val="1"/>
      <w:marLeft w:val="0"/>
      <w:marRight w:val="0"/>
      <w:marTop w:val="0"/>
      <w:marBottom w:val="0"/>
      <w:divBdr>
        <w:top w:val="none" w:sz="0" w:space="0" w:color="auto"/>
        <w:left w:val="none" w:sz="0" w:space="0" w:color="auto"/>
        <w:bottom w:val="none" w:sz="0" w:space="0" w:color="auto"/>
        <w:right w:val="none" w:sz="0" w:space="0" w:color="auto"/>
      </w:divBdr>
    </w:div>
    <w:div w:id="1105342264">
      <w:bodyDiv w:val="1"/>
      <w:marLeft w:val="0"/>
      <w:marRight w:val="0"/>
      <w:marTop w:val="0"/>
      <w:marBottom w:val="0"/>
      <w:divBdr>
        <w:top w:val="none" w:sz="0" w:space="0" w:color="auto"/>
        <w:left w:val="none" w:sz="0" w:space="0" w:color="auto"/>
        <w:bottom w:val="none" w:sz="0" w:space="0" w:color="auto"/>
        <w:right w:val="none" w:sz="0" w:space="0" w:color="auto"/>
      </w:divBdr>
    </w:div>
    <w:div w:id="1106581003">
      <w:bodyDiv w:val="1"/>
      <w:marLeft w:val="0"/>
      <w:marRight w:val="0"/>
      <w:marTop w:val="0"/>
      <w:marBottom w:val="0"/>
      <w:divBdr>
        <w:top w:val="none" w:sz="0" w:space="0" w:color="auto"/>
        <w:left w:val="none" w:sz="0" w:space="0" w:color="auto"/>
        <w:bottom w:val="none" w:sz="0" w:space="0" w:color="auto"/>
        <w:right w:val="none" w:sz="0" w:space="0" w:color="auto"/>
      </w:divBdr>
    </w:div>
    <w:div w:id="1107965203">
      <w:bodyDiv w:val="1"/>
      <w:marLeft w:val="0"/>
      <w:marRight w:val="0"/>
      <w:marTop w:val="0"/>
      <w:marBottom w:val="0"/>
      <w:divBdr>
        <w:top w:val="none" w:sz="0" w:space="0" w:color="auto"/>
        <w:left w:val="none" w:sz="0" w:space="0" w:color="auto"/>
        <w:bottom w:val="none" w:sz="0" w:space="0" w:color="auto"/>
        <w:right w:val="none" w:sz="0" w:space="0" w:color="auto"/>
      </w:divBdr>
    </w:div>
    <w:div w:id="1113940150">
      <w:bodyDiv w:val="1"/>
      <w:marLeft w:val="0"/>
      <w:marRight w:val="0"/>
      <w:marTop w:val="0"/>
      <w:marBottom w:val="0"/>
      <w:divBdr>
        <w:top w:val="none" w:sz="0" w:space="0" w:color="auto"/>
        <w:left w:val="none" w:sz="0" w:space="0" w:color="auto"/>
        <w:bottom w:val="none" w:sz="0" w:space="0" w:color="auto"/>
        <w:right w:val="none" w:sz="0" w:space="0" w:color="auto"/>
      </w:divBdr>
    </w:div>
    <w:div w:id="1115370077">
      <w:bodyDiv w:val="1"/>
      <w:marLeft w:val="0"/>
      <w:marRight w:val="0"/>
      <w:marTop w:val="0"/>
      <w:marBottom w:val="0"/>
      <w:divBdr>
        <w:top w:val="none" w:sz="0" w:space="0" w:color="auto"/>
        <w:left w:val="none" w:sz="0" w:space="0" w:color="auto"/>
        <w:bottom w:val="none" w:sz="0" w:space="0" w:color="auto"/>
        <w:right w:val="none" w:sz="0" w:space="0" w:color="auto"/>
      </w:divBdr>
    </w:div>
    <w:div w:id="1121803406">
      <w:bodyDiv w:val="1"/>
      <w:marLeft w:val="0"/>
      <w:marRight w:val="0"/>
      <w:marTop w:val="0"/>
      <w:marBottom w:val="0"/>
      <w:divBdr>
        <w:top w:val="none" w:sz="0" w:space="0" w:color="auto"/>
        <w:left w:val="none" w:sz="0" w:space="0" w:color="auto"/>
        <w:bottom w:val="none" w:sz="0" w:space="0" w:color="auto"/>
        <w:right w:val="none" w:sz="0" w:space="0" w:color="auto"/>
      </w:divBdr>
    </w:div>
    <w:div w:id="1123185587">
      <w:bodyDiv w:val="1"/>
      <w:marLeft w:val="0"/>
      <w:marRight w:val="0"/>
      <w:marTop w:val="0"/>
      <w:marBottom w:val="0"/>
      <w:divBdr>
        <w:top w:val="none" w:sz="0" w:space="0" w:color="auto"/>
        <w:left w:val="none" w:sz="0" w:space="0" w:color="auto"/>
        <w:bottom w:val="none" w:sz="0" w:space="0" w:color="auto"/>
        <w:right w:val="none" w:sz="0" w:space="0" w:color="auto"/>
      </w:divBdr>
    </w:div>
    <w:div w:id="1131367674">
      <w:bodyDiv w:val="1"/>
      <w:marLeft w:val="0"/>
      <w:marRight w:val="0"/>
      <w:marTop w:val="0"/>
      <w:marBottom w:val="0"/>
      <w:divBdr>
        <w:top w:val="none" w:sz="0" w:space="0" w:color="auto"/>
        <w:left w:val="none" w:sz="0" w:space="0" w:color="auto"/>
        <w:bottom w:val="none" w:sz="0" w:space="0" w:color="auto"/>
        <w:right w:val="none" w:sz="0" w:space="0" w:color="auto"/>
      </w:divBdr>
    </w:div>
    <w:div w:id="1132096437">
      <w:bodyDiv w:val="1"/>
      <w:marLeft w:val="0"/>
      <w:marRight w:val="0"/>
      <w:marTop w:val="0"/>
      <w:marBottom w:val="0"/>
      <w:divBdr>
        <w:top w:val="none" w:sz="0" w:space="0" w:color="auto"/>
        <w:left w:val="none" w:sz="0" w:space="0" w:color="auto"/>
        <w:bottom w:val="none" w:sz="0" w:space="0" w:color="auto"/>
        <w:right w:val="none" w:sz="0" w:space="0" w:color="auto"/>
      </w:divBdr>
    </w:div>
    <w:div w:id="1136096780">
      <w:bodyDiv w:val="1"/>
      <w:marLeft w:val="0"/>
      <w:marRight w:val="0"/>
      <w:marTop w:val="0"/>
      <w:marBottom w:val="0"/>
      <w:divBdr>
        <w:top w:val="none" w:sz="0" w:space="0" w:color="auto"/>
        <w:left w:val="none" w:sz="0" w:space="0" w:color="auto"/>
        <w:bottom w:val="none" w:sz="0" w:space="0" w:color="auto"/>
        <w:right w:val="none" w:sz="0" w:space="0" w:color="auto"/>
      </w:divBdr>
    </w:div>
    <w:div w:id="1146435427">
      <w:bodyDiv w:val="1"/>
      <w:marLeft w:val="0"/>
      <w:marRight w:val="0"/>
      <w:marTop w:val="0"/>
      <w:marBottom w:val="0"/>
      <w:divBdr>
        <w:top w:val="none" w:sz="0" w:space="0" w:color="auto"/>
        <w:left w:val="none" w:sz="0" w:space="0" w:color="auto"/>
        <w:bottom w:val="none" w:sz="0" w:space="0" w:color="auto"/>
        <w:right w:val="none" w:sz="0" w:space="0" w:color="auto"/>
      </w:divBdr>
    </w:div>
    <w:div w:id="1150052105">
      <w:bodyDiv w:val="1"/>
      <w:marLeft w:val="0"/>
      <w:marRight w:val="0"/>
      <w:marTop w:val="0"/>
      <w:marBottom w:val="0"/>
      <w:divBdr>
        <w:top w:val="none" w:sz="0" w:space="0" w:color="auto"/>
        <w:left w:val="none" w:sz="0" w:space="0" w:color="auto"/>
        <w:bottom w:val="none" w:sz="0" w:space="0" w:color="auto"/>
        <w:right w:val="none" w:sz="0" w:space="0" w:color="auto"/>
      </w:divBdr>
    </w:div>
    <w:div w:id="1151631147">
      <w:bodyDiv w:val="1"/>
      <w:marLeft w:val="0"/>
      <w:marRight w:val="0"/>
      <w:marTop w:val="0"/>
      <w:marBottom w:val="0"/>
      <w:divBdr>
        <w:top w:val="none" w:sz="0" w:space="0" w:color="auto"/>
        <w:left w:val="none" w:sz="0" w:space="0" w:color="auto"/>
        <w:bottom w:val="none" w:sz="0" w:space="0" w:color="auto"/>
        <w:right w:val="none" w:sz="0" w:space="0" w:color="auto"/>
      </w:divBdr>
    </w:div>
    <w:div w:id="1157303272">
      <w:bodyDiv w:val="1"/>
      <w:marLeft w:val="0"/>
      <w:marRight w:val="0"/>
      <w:marTop w:val="0"/>
      <w:marBottom w:val="0"/>
      <w:divBdr>
        <w:top w:val="none" w:sz="0" w:space="0" w:color="auto"/>
        <w:left w:val="none" w:sz="0" w:space="0" w:color="auto"/>
        <w:bottom w:val="none" w:sz="0" w:space="0" w:color="auto"/>
        <w:right w:val="none" w:sz="0" w:space="0" w:color="auto"/>
      </w:divBdr>
    </w:div>
    <w:div w:id="1157306872">
      <w:bodyDiv w:val="1"/>
      <w:marLeft w:val="0"/>
      <w:marRight w:val="0"/>
      <w:marTop w:val="0"/>
      <w:marBottom w:val="0"/>
      <w:divBdr>
        <w:top w:val="none" w:sz="0" w:space="0" w:color="auto"/>
        <w:left w:val="none" w:sz="0" w:space="0" w:color="auto"/>
        <w:bottom w:val="none" w:sz="0" w:space="0" w:color="auto"/>
        <w:right w:val="none" w:sz="0" w:space="0" w:color="auto"/>
      </w:divBdr>
    </w:div>
    <w:div w:id="1158376279">
      <w:bodyDiv w:val="1"/>
      <w:marLeft w:val="0"/>
      <w:marRight w:val="0"/>
      <w:marTop w:val="0"/>
      <w:marBottom w:val="0"/>
      <w:divBdr>
        <w:top w:val="none" w:sz="0" w:space="0" w:color="auto"/>
        <w:left w:val="none" w:sz="0" w:space="0" w:color="auto"/>
        <w:bottom w:val="none" w:sz="0" w:space="0" w:color="auto"/>
        <w:right w:val="none" w:sz="0" w:space="0" w:color="auto"/>
      </w:divBdr>
    </w:div>
    <w:div w:id="1165366550">
      <w:bodyDiv w:val="1"/>
      <w:marLeft w:val="0"/>
      <w:marRight w:val="0"/>
      <w:marTop w:val="0"/>
      <w:marBottom w:val="0"/>
      <w:divBdr>
        <w:top w:val="none" w:sz="0" w:space="0" w:color="auto"/>
        <w:left w:val="none" w:sz="0" w:space="0" w:color="auto"/>
        <w:bottom w:val="none" w:sz="0" w:space="0" w:color="auto"/>
        <w:right w:val="none" w:sz="0" w:space="0" w:color="auto"/>
      </w:divBdr>
    </w:div>
    <w:div w:id="1165625805">
      <w:bodyDiv w:val="1"/>
      <w:marLeft w:val="0"/>
      <w:marRight w:val="0"/>
      <w:marTop w:val="0"/>
      <w:marBottom w:val="0"/>
      <w:divBdr>
        <w:top w:val="none" w:sz="0" w:space="0" w:color="auto"/>
        <w:left w:val="none" w:sz="0" w:space="0" w:color="auto"/>
        <w:bottom w:val="none" w:sz="0" w:space="0" w:color="auto"/>
        <w:right w:val="none" w:sz="0" w:space="0" w:color="auto"/>
      </w:divBdr>
    </w:div>
    <w:div w:id="1176262255">
      <w:bodyDiv w:val="1"/>
      <w:marLeft w:val="0"/>
      <w:marRight w:val="0"/>
      <w:marTop w:val="0"/>
      <w:marBottom w:val="0"/>
      <w:divBdr>
        <w:top w:val="none" w:sz="0" w:space="0" w:color="auto"/>
        <w:left w:val="none" w:sz="0" w:space="0" w:color="auto"/>
        <w:bottom w:val="none" w:sz="0" w:space="0" w:color="auto"/>
        <w:right w:val="none" w:sz="0" w:space="0" w:color="auto"/>
      </w:divBdr>
    </w:div>
    <w:div w:id="1190724028">
      <w:bodyDiv w:val="1"/>
      <w:marLeft w:val="0"/>
      <w:marRight w:val="0"/>
      <w:marTop w:val="0"/>
      <w:marBottom w:val="0"/>
      <w:divBdr>
        <w:top w:val="none" w:sz="0" w:space="0" w:color="auto"/>
        <w:left w:val="none" w:sz="0" w:space="0" w:color="auto"/>
        <w:bottom w:val="none" w:sz="0" w:space="0" w:color="auto"/>
        <w:right w:val="none" w:sz="0" w:space="0" w:color="auto"/>
      </w:divBdr>
    </w:div>
    <w:div w:id="1197546857">
      <w:bodyDiv w:val="1"/>
      <w:marLeft w:val="0"/>
      <w:marRight w:val="0"/>
      <w:marTop w:val="0"/>
      <w:marBottom w:val="0"/>
      <w:divBdr>
        <w:top w:val="none" w:sz="0" w:space="0" w:color="auto"/>
        <w:left w:val="none" w:sz="0" w:space="0" w:color="auto"/>
        <w:bottom w:val="none" w:sz="0" w:space="0" w:color="auto"/>
        <w:right w:val="none" w:sz="0" w:space="0" w:color="auto"/>
      </w:divBdr>
    </w:div>
    <w:div w:id="1203055946">
      <w:bodyDiv w:val="1"/>
      <w:marLeft w:val="0"/>
      <w:marRight w:val="0"/>
      <w:marTop w:val="0"/>
      <w:marBottom w:val="0"/>
      <w:divBdr>
        <w:top w:val="none" w:sz="0" w:space="0" w:color="auto"/>
        <w:left w:val="none" w:sz="0" w:space="0" w:color="auto"/>
        <w:bottom w:val="none" w:sz="0" w:space="0" w:color="auto"/>
        <w:right w:val="none" w:sz="0" w:space="0" w:color="auto"/>
      </w:divBdr>
    </w:div>
    <w:div w:id="1209996703">
      <w:bodyDiv w:val="1"/>
      <w:marLeft w:val="0"/>
      <w:marRight w:val="0"/>
      <w:marTop w:val="0"/>
      <w:marBottom w:val="0"/>
      <w:divBdr>
        <w:top w:val="none" w:sz="0" w:space="0" w:color="auto"/>
        <w:left w:val="none" w:sz="0" w:space="0" w:color="auto"/>
        <w:bottom w:val="none" w:sz="0" w:space="0" w:color="auto"/>
        <w:right w:val="none" w:sz="0" w:space="0" w:color="auto"/>
      </w:divBdr>
    </w:div>
    <w:div w:id="1214079600">
      <w:bodyDiv w:val="1"/>
      <w:marLeft w:val="0"/>
      <w:marRight w:val="0"/>
      <w:marTop w:val="0"/>
      <w:marBottom w:val="0"/>
      <w:divBdr>
        <w:top w:val="none" w:sz="0" w:space="0" w:color="auto"/>
        <w:left w:val="none" w:sz="0" w:space="0" w:color="auto"/>
        <w:bottom w:val="none" w:sz="0" w:space="0" w:color="auto"/>
        <w:right w:val="none" w:sz="0" w:space="0" w:color="auto"/>
      </w:divBdr>
    </w:div>
    <w:div w:id="1214384804">
      <w:bodyDiv w:val="1"/>
      <w:marLeft w:val="0"/>
      <w:marRight w:val="0"/>
      <w:marTop w:val="0"/>
      <w:marBottom w:val="0"/>
      <w:divBdr>
        <w:top w:val="none" w:sz="0" w:space="0" w:color="auto"/>
        <w:left w:val="none" w:sz="0" w:space="0" w:color="auto"/>
        <w:bottom w:val="none" w:sz="0" w:space="0" w:color="auto"/>
        <w:right w:val="none" w:sz="0" w:space="0" w:color="auto"/>
      </w:divBdr>
      <w:divsChild>
        <w:div w:id="87384598">
          <w:marLeft w:val="0"/>
          <w:marRight w:val="0"/>
          <w:marTop w:val="0"/>
          <w:marBottom w:val="0"/>
          <w:divBdr>
            <w:top w:val="none" w:sz="0" w:space="0" w:color="auto"/>
            <w:left w:val="none" w:sz="0" w:space="0" w:color="auto"/>
            <w:bottom w:val="none" w:sz="0" w:space="0" w:color="auto"/>
            <w:right w:val="none" w:sz="0" w:space="0" w:color="auto"/>
          </w:divBdr>
          <w:divsChild>
            <w:div w:id="673413472">
              <w:marLeft w:val="0"/>
              <w:marRight w:val="0"/>
              <w:marTop w:val="0"/>
              <w:marBottom w:val="0"/>
              <w:divBdr>
                <w:top w:val="none" w:sz="0" w:space="0" w:color="auto"/>
                <w:left w:val="none" w:sz="0" w:space="0" w:color="auto"/>
                <w:bottom w:val="none" w:sz="0" w:space="0" w:color="auto"/>
                <w:right w:val="none" w:sz="0" w:space="0" w:color="auto"/>
              </w:divBdr>
            </w:div>
          </w:divsChild>
        </w:div>
        <w:div w:id="234320071">
          <w:marLeft w:val="0"/>
          <w:marRight w:val="0"/>
          <w:marTop w:val="0"/>
          <w:marBottom w:val="0"/>
          <w:divBdr>
            <w:top w:val="none" w:sz="0" w:space="0" w:color="auto"/>
            <w:left w:val="none" w:sz="0" w:space="0" w:color="auto"/>
            <w:bottom w:val="none" w:sz="0" w:space="0" w:color="auto"/>
            <w:right w:val="none" w:sz="0" w:space="0" w:color="auto"/>
          </w:divBdr>
          <w:divsChild>
            <w:div w:id="175270807">
              <w:marLeft w:val="0"/>
              <w:marRight w:val="0"/>
              <w:marTop w:val="0"/>
              <w:marBottom w:val="0"/>
              <w:divBdr>
                <w:top w:val="none" w:sz="0" w:space="0" w:color="auto"/>
                <w:left w:val="none" w:sz="0" w:space="0" w:color="auto"/>
                <w:bottom w:val="none" w:sz="0" w:space="0" w:color="auto"/>
                <w:right w:val="none" w:sz="0" w:space="0" w:color="auto"/>
              </w:divBdr>
            </w:div>
            <w:div w:id="413017158">
              <w:marLeft w:val="0"/>
              <w:marRight w:val="0"/>
              <w:marTop w:val="0"/>
              <w:marBottom w:val="0"/>
              <w:divBdr>
                <w:top w:val="none" w:sz="0" w:space="0" w:color="auto"/>
                <w:left w:val="none" w:sz="0" w:space="0" w:color="auto"/>
                <w:bottom w:val="none" w:sz="0" w:space="0" w:color="auto"/>
                <w:right w:val="none" w:sz="0" w:space="0" w:color="auto"/>
              </w:divBdr>
            </w:div>
            <w:div w:id="903489382">
              <w:marLeft w:val="0"/>
              <w:marRight w:val="0"/>
              <w:marTop w:val="0"/>
              <w:marBottom w:val="0"/>
              <w:divBdr>
                <w:top w:val="none" w:sz="0" w:space="0" w:color="auto"/>
                <w:left w:val="none" w:sz="0" w:space="0" w:color="auto"/>
                <w:bottom w:val="none" w:sz="0" w:space="0" w:color="auto"/>
                <w:right w:val="none" w:sz="0" w:space="0" w:color="auto"/>
              </w:divBdr>
            </w:div>
            <w:div w:id="914630678">
              <w:marLeft w:val="0"/>
              <w:marRight w:val="0"/>
              <w:marTop w:val="0"/>
              <w:marBottom w:val="0"/>
              <w:divBdr>
                <w:top w:val="none" w:sz="0" w:space="0" w:color="auto"/>
                <w:left w:val="none" w:sz="0" w:space="0" w:color="auto"/>
                <w:bottom w:val="none" w:sz="0" w:space="0" w:color="auto"/>
                <w:right w:val="none" w:sz="0" w:space="0" w:color="auto"/>
              </w:divBdr>
            </w:div>
            <w:div w:id="1473402766">
              <w:marLeft w:val="0"/>
              <w:marRight w:val="0"/>
              <w:marTop w:val="0"/>
              <w:marBottom w:val="0"/>
              <w:divBdr>
                <w:top w:val="none" w:sz="0" w:space="0" w:color="auto"/>
                <w:left w:val="none" w:sz="0" w:space="0" w:color="auto"/>
                <w:bottom w:val="none" w:sz="0" w:space="0" w:color="auto"/>
                <w:right w:val="none" w:sz="0" w:space="0" w:color="auto"/>
              </w:divBdr>
            </w:div>
          </w:divsChild>
        </w:div>
        <w:div w:id="799956846">
          <w:marLeft w:val="0"/>
          <w:marRight w:val="0"/>
          <w:marTop w:val="0"/>
          <w:marBottom w:val="0"/>
          <w:divBdr>
            <w:top w:val="none" w:sz="0" w:space="0" w:color="auto"/>
            <w:left w:val="none" w:sz="0" w:space="0" w:color="auto"/>
            <w:bottom w:val="none" w:sz="0" w:space="0" w:color="auto"/>
            <w:right w:val="none" w:sz="0" w:space="0" w:color="auto"/>
          </w:divBdr>
          <w:divsChild>
            <w:div w:id="862089896">
              <w:marLeft w:val="0"/>
              <w:marRight w:val="0"/>
              <w:marTop w:val="0"/>
              <w:marBottom w:val="0"/>
              <w:divBdr>
                <w:top w:val="none" w:sz="0" w:space="0" w:color="auto"/>
                <w:left w:val="none" w:sz="0" w:space="0" w:color="auto"/>
                <w:bottom w:val="none" w:sz="0" w:space="0" w:color="auto"/>
                <w:right w:val="none" w:sz="0" w:space="0" w:color="auto"/>
              </w:divBdr>
            </w:div>
          </w:divsChild>
        </w:div>
        <w:div w:id="1115979734">
          <w:marLeft w:val="0"/>
          <w:marRight w:val="0"/>
          <w:marTop w:val="0"/>
          <w:marBottom w:val="0"/>
          <w:divBdr>
            <w:top w:val="none" w:sz="0" w:space="0" w:color="auto"/>
            <w:left w:val="none" w:sz="0" w:space="0" w:color="auto"/>
            <w:bottom w:val="none" w:sz="0" w:space="0" w:color="auto"/>
            <w:right w:val="none" w:sz="0" w:space="0" w:color="auto"/>
          </w:divBdr>
          <w:divsChild>
            <w:div w:id="288056424">
              <w:marLeft w:val="0"/>
              <w:marRight w:val="0"/>
              <w:marTop w:val="0"/>
              <w:marBottom w:val="0"/>
              <w:divBdr>
                <w:top w:val="none" w:sz="0" w:space="0" w:color="auto"/>
                <w:left w:val="none" w:sz="0" w:space="0" w:color="auto"/>
                <w:bottom w:val="none" w:sz="0" w:space="0" w:color="auto"/>
                <w:right w:val="none" w:sz="0" w:space="0" w:color="auto"/>
              </w:divBdr>
            </w:div>
            <w:div w:id="622812219">
              <w:marLeft w:val="0"/>
              <w:marRight w:val="0"/>
              <w:marTop w:val="0"/>
              <w:marBottom w:val="0"/>
              <w:divBdr>
                <w:top w:val="none" w:sz="0" w:space="0" w:color="auto"/>
                <w:left w:val="none" w:sz="0" w:space="0" w:color="auto"/>
                <w:bottom w:val="none" w:sz="0" w:space="0" w:color="auto"/>
                <w:right w:val="none" w:sz="0" w:space="0" w:color="auto"/>
              </w:divBdr>
            </w:div>
            <w:div w:id="1687249705">
              <w:marLeft w:val="0"/>
              <w:marRight w:val="0"/>
              <w:marTop w:val="0"/>
              <w:marBottom w:val="0"/>
              <w:divBdr>
                <w:top w:val="none" w:sz="0" w:space="0" w:color="auto"/>
                <w:left w:val="none" w:sz="0" w:space="0" w:color="auto"/>
                <w:bottom w:val="none" w:sz="0" w:space="0" w:color="auto"/>
                <w:right w:val="none" w:sz="0" w:space="0" w:color="auto"/>
              </w:divBdr>
            </w:div>
            <w:div w:id="1810901673">
              <w:marLeft w:val="0"/>
              <w:marRight w:val="0"/>
              <w:marTop w:val="0"/>
              <w:marBottom w:val="0"/>
              <w:divBdr>
                <w:top w:val="none" w:sz="0" w:space="0" w:color="auto"/>
                <w:left w:val="none" w:sz="0" w:space="0" w:color="auto"/>
                <w:bottom w:val="none" w:sz="0" w:space="0" w:color="auto"/>
                <w:right w:val="none" w:sz="0" w:space="0" w:color="auto"/>
              </w:divBdr>
            </w:div>
            <w:div w:id="21165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9914">
      <w:bodyDiv w:val="1"/>
      <w:marLeft w:val="0"/>
      <w:marRight w:val="0"/>
      <w:marTop w:val="0"/>
      <w:marBottom w:val="0"/>
      <w:divBdr>
        <w:top w:val="none" w:sz="0" w:space="0" w:color="auto"/>
        <w:left w:val="none" w:sz="0" w:space="0" w:color="auto"/>
        <w:bottom w:val="none" w:sz="0" w:space="0" w:color="auto"/>
        <w:right w:val="none" w:sz="0" w:space="0" w:color="auto"/>
      </w:divBdr>
    </w:div>
    <w:div w:id="1223760060">
      <w:bodyDiv w:val="1"/>
      <w:marLeft w:val="0"/>
      <w:marRight w:val="0"/>
      <w:marTop w:val="0"/>
      <w:marBottom w:val="0"/>
      <w:divBdr>
        <w:top w:val="none" w:sz="0" w:space="0" w:color="auto"/>
        <w:left w:val="none" w:sz="0" w:space="0" w:color="auto"/>
        <w:bottom w:val="none" w:sz="0" w:space="0" w:color="auto"/>
        <w:right w:val="none" w:sz="0" w:space="0" w:color="auto"/>
      </w:divBdr>
    </w:div>
    <w:div w:id="1224945481">
      <w:bodyDiv w:val="1"/>
      <w:marLeft w:val="0"/>
      <w:marRight w:val="0"/>
      <w:marTop w:val="0"/>
      <w:marBottom w:val="0"/>
      <w:divBdr>
        <w:top w:val="none" w:sz="0" w:space="0" w:color="auto"/>
        <w:left w:val="none" w:sz="0" w:space="0" w:color="auto"/>
        <w:bottom w:val="none" w:sz="0" w:space="0" w:color="auto"/>
        <w:right w:val="none" w:sz="0" w:space="0" w:color="auto"/>
      </w:divBdr>
    </w:div>
    <w:div w:id="1239174235">
      <w:bodyDiv w:val="1"/>
      <w:marLeft w:val="0"/>
      <w:marRight w:val="0"/>
      <w:marTop w:val="0"/>
      <w:marBottom w:val="0"/>
      <w:divBdr>
        <w:top w:val="none" w:sz="0" w:space="0" w:color="auto"/>
        <w:left w:val="none" w:sz="0" w:space="0" w:color="auto"/>
        <w:bottom w:val="none" w:sz="0" w:space="0" w:color="auto"/>
        <w:right w:val="none" w:sz="0" w:space="0" w:color="auto"/>
      </w:divBdr>
    </w:div>
    <w:div w:id="1248882399">
      <w:bodyDiv w:val="1"/>
      <w:marLeft w:val="0"/>
      <w:marRight w:val="0"/>
      <w:marTop w:val="0"/>
      <w:marBottom w:val="0"/>
      <w:divBdr>
        <w:top w:val="none" w:sz="0" w:space="0" w:color="auto"/>
        <w:left w:val="none" w:sz="0" w:space="0" w:color="auto"/>
        <w:bottom w:val="none" w:sz="0" w:space="0" w:color="auto"/>
        <w:right w:val="none" w:sz="0" w:space="0" w:color="auto"/>
      </w:divBdr>
    </w:div>
    <w:div w:id="1249072940">
      <w:bodyDiv w:val="1"/>
      <w:marLeft w:val="0"/>
      <w:marRight w:val="0"/>
      <w:marTop w:val="0"/>
      <w:marBottom w:val="0"/>
      <w:divBdr>
        <w:top w:val="none" w:sz="0" w:space="0" w:color="auto"/>
        <w:left w:val="none" w:sz="0" w:space="0" w:color="auto"/>
        <w:bottom w:val="none" w:sz="0" w:space="0" w:color="auto"/>
        <w:right w:val="none" w:sz="0" w:space="0" w:color="auto"/>
      </w:divBdr>
    </w:div>
    <w:div w:id="1249537158">
      <w:bodyDiv w:val="1"/>
      <w:marLeft w:val="0"/>
      <w:marRight w:val="0"/>
      <w:marTop w:val="0"/>
      <w:marBottom w:val="0"/>
      <w:divBdr>
        <w:top w:val="none" w:sz="0" w:space="0" w:color="auto"/>
        <w:left w:val="none" w:sz="0" w:space="0" w:color="auto"/>
        <w:bottom w:val="none" w:sz="0" w:space="0" w:color="auto"/>
        <w:right w:val="none" w:sz="0" w:space="0" w:color="auto"/>
      </w:divBdr>
    </w:div>
    <w:div w:id="1249777157">
      <w:bodyDiv w:val="1"/>
      <w:marLeft w:val="0"/>
      <w:marRight w:val="0"/>
      <w:marTop w:val="0"/>
      <w:marBottom w:val="0"/>
      <w:divBdr>
        <w:top w:val="none" w:sz="0" w:space="0" w:color="auto"/>
        <w:left w:val="none" w:sz="0" w:space="0" w:color="auto"/>
        <w:bottom w:val="none" w:sz="0" w:space="0" w:color="auto"/>
        <w:right w:val="none" w:sz="0" w:space="0" w:color="auto"/>
      </w:divBdr>
    </w:div>
    <w:div w:id="1250893571">
      <w:bodyDiv w:val="1"/>
      <w:marLeft w:val="0"/>
      <w:marRight w:val="0"/>
      <w:marTop w:val="0"/>
      <w:marBottom w:val="0"/>
      <w:divBdr>
        <w:top w:val="none" w:sz="0" w:space="0" w:color="auto"/>
        <w:left w:val="none" w:sz="0" w:space="0" w:color="auto"/>
        <w:bottom w:val="none" w:sz="0" w:space="0" w:color="auto"/>
        <w:right w:val="none" w:sz="0" w:space="0" w:color="auto"/>
      </w:divBdr>
    </w:div>
    <w:div w:id="1251425166">
      <w:bodyDiv w:val="1"/>
      <w:marLeft w:val="0"/>
      <w:marRight w:val="0"/>
      <w:marTop w:val="0"/>
      <w:marBottom w:val="0"/>
      <w:divBdr>
        <w:top w:val="none" w:sz="0" w:space="0" w:color="auto"/>
        <w:left w:val="none" w:sz="0" w:space="0" w:color="auto"/>
        <w:bottom w:val="none" w:sz="0" w:space="0" w:color="auto"/>
        <w:right w:val="none" w:sz="0" w:space="0" w:color="auto"/>
      </w:divBdr>
    </w:div>
    <w:div w:id="1264418650">
      <w:bodyDiv w:val="1"/>
      <w:marLeft w:val="0"/>
      <w:marRight w:val="0"/>
      <w:marTop w:val="0"/>
      <w:marBottom w:val="0"/>
      <w:divBdr>
        <w:top w:val="none" w:sz="0" w:space="0" w:color="auto"/>
        <w:left w:val="none" w:sz="0" w:space="0" w:color="auto"/>
        <w:bottom w:val="none" w:sz="0" w:space="0" w:color="auto"/>
        <w:right w:val="none" w:sz="0" w:space="0" w:color="auto"/>
      </w:divBdr>
    </w:div>
    <w:div w:id="1267421679">
      <w:bodyDiv w:val="1"/>
      <w:marLeft w:val="0"/>
      <w:marRight w:val="0"/>
      <w:marTop w:val="0"/>
      <w:marBottom w:val="0"/>
      <w:divBdr>
        <w:top w:val="none" w:sz="0" w:space="0" w:color="auto"/>
        <w:left w:val="none" w:sz="0" w:space="0" w:color="auto"/>
        <w:bottom w:val="none" w:sz="0" w:space="0" w:color="auto"/>
        <w:right w:val="none" w:sz="0" w:space="0" w:color="auto"/>
      </w:divBdr>
    </w:div>
    <w:div w:id="1273783979">
      <w:bodyDiv w:val="1"/>
      <w:marLeft w:val="0"/>
      <w:marRight w:val="0"/>
      <w:marTop w:val="0"/>
      <w:marBottom w:val="0"/>
      <w:divBdr>
        <w:top w:val="none" w:sz="0" w:space="0" w:color="auto"/>
        <w:left w:val="none" w:sz="0" w:space="0" w:color="auto"/>
        <w:bottom w:val="none" w:sz="0" w:space="0" w:color="auto"/>
        <w:right w:val="none" w:sz="0" w:space="0" w:color="auto"/>
      </w:divBdr>
    </w:div>
    <w:div w:id="1274511359">
      <w:bodyDiv w:val="1"/>
      <w:marLeft w:val="0"/>
      <w:marRight w:val="0"/>
      <w:marTop w:val="0"/>
      <w:marBottom w:val="0"/>
      <w:divBdr>
        <w:top w:val="none" w:sz="0" w:space="0" w:color="auto"/>
        <w:left w:val="none" w:sz="0" w:space="0" w:color="auto"/>
        <w:bottom w:val="none" w:sz="0" w:space="0" w:color="auto"/>
        <w:right w:val="none" w:sz="0" w:space="0" w:color="auto"/>
      </w:divBdr>
    </w:div>
    <w:div w:id="1284002322">
      <w:bodyDiv w:val="1"/>
      <w:marLeft w:val="0"/>
      <w:marRight w:val="0"/>
      <w:marTop w:val="0"/>
      <w:marBottom w:val="0"/>
      <w:divBdr>
        <w:top w:val="none" w:sz="0" w:space="0" w:color="auto"/>
        <w:left w:val="none" w:sz="0" w:space="0" w:color="auto"/>
        <w:bottom w:val="none" w:sz="0" w:space="0" w:color="auto"/>
        <w:right w:val="none" w:sz="0" w:space="0" w:color="auto"/>
      </w:divBdr>
    </w:div>
    <w:div w:id="1285848204">
      <w:bodyDiv w:val="1"/>
      <w:marLeft w:val="0"/>
      <w:marRight w:val="0"/>
      <w:marTop w:val="0"/>
      <w:marBottom w:val="0"/>
      <w:divBdr>
        <w:top w:val="none" w:sz="0" w:space="0" w:color="auto"/>
        <w:left w:val="none" w:sz="0" w:space="0" w:color="auto"/>
        <w:bottom w:val="none" w:sz="0" w:space="0" w:color="auto"/>
        <w:right w:val="none" w:sz="0" w:space="0" w:color="auto"/>
      </w:divBdr>
    </w:div>
    <w:div w:id="1287543222">
      <w:bodyDiv w:val="1"/>
      <w:marLeft w:val="0"/>
      <w:marRight w:val="0"/>
      <w:marTop w:val="0"/>
      <w:marBottom w:val="0"/>
      <w:divBdr>
        <w:top w:val="none" w:sz="0" w:space="0" w:color="auto"/>
        <w:left w:val="none" w:sz="0" w:space="0" w:color="auto"/>
        <w:bottom w:val="none" w:sz="0" w:space="0" w:color="auto"/>
        <w:right w:val="none" w:sz="0" w:space="0" w:color="auto"/>
      </w:divBdr>
    </w:div>
    <w:div w:id="1292320375">
      <w:bodyDiv w:val="1"/>
      <w:marLeft w:val="0"/>
      <w:marRight w:val="0"/>
      <w:marTop w:val="0"/>
      <w:marBottom w:val="0"/>
      <w:divBdr>
        <w:top w:val="none" w:sz="0" w:space="0" w:color="auto"/>
        <w:left w:val="none" w:sz="0" w:space="0" w:color="auto"/>
        <w:bottom w:val="none" w:sz="0" w:space="0" w:color="auto"/>
        <w:right w:val="none" w:sz="0" w:space="0" w:color="auto"/>
      </w:divBdr>
    </w:div>
    <w:div w:id="1293557459">
      <w:bodyDiv w:val="1"/>
      <w:marLeft w:val="0"/>
      <w:marRight w:val="0"/>
      <w:marTop w:val="0"/>
      <w:marBottom w:val="0"/>
      <w:divBdr>
        <w:top w:val="none" w:sz="0" w:space="0" w:color="auto"/>
        <w:left w:val="none" w:sz="0" w:space="0" w:color="auto"/>
        <w:bottom w:val="none" w:sz="0" w:space="0" w:color="auto"/>
        <w:right w:val="none" w:sz="0" w:space="0" w:color="auto"/>
      </w:divBdr>
    </w:div>
    <w:div w:id="1298417810">
      <w:bodyDiv w:val="1"/>
      <w:marLeft w:val="0"/>
      <w:marRight w:val="0"/>
      <w:marTop w:val="0"/>
      <w:marBottom w:val="0"/>
      <w:divBdr>
        <w:top w:val="none" w:sz="0" w:space="0" w:color="auto"/>
        <w:left w:val="none" w:sz="0" w:space="0" w:color="auto"/>
        <w:bottom w:val="none" w:sz="0" w:space="0" w:color="auto"/>
        <w:right w:val="none" w:sz="0" w:space="0" w:color="auto"/>
      </w:divBdr>
    </w:div>
    <w:div w:id="1301568045">
      <w:bodyDiv w:val="1"/>
      <w:marLeft w:val="0"/>
      <w:marRight w:val="0"/>
      <w:marTop w:val="0"/>
      <w:marBottom w:val="0"/>
      <w:divBdr>
        <w:top w:val="none" w:sz="0" w:space="0" w:color="auto"/>
        <w:left w:val="none" w:sz="0" w:space="0" w:color="auto"/>
        <w:bottom w:val="none" w:sz="0" w:space="0" w:color="auto"/>
        <w:right w:val="none" w:sz="0" w:space="0" w:color="auto"/>
      </w:divBdr>
    </w:div>
    <w:div w:id="1312250596">
      <w:bodyDiv w:val="1"/>
      <w:marLeft w:val="0"/>
      <w:marRight w:val="0"/>
      <w:marTop w:val="0"/>
      <w:marBottom w:val="0"/>
      <w:divBdr>
        <w:top w:val="none" w:sz="0" w:space="0" w:color="auto"/>
        <w:left w:val="none" w:sz="0" w:space="0" w:color="auto"/>
        <w:bottom w:val="none" w:sz="0" w:space="0" w:color="auto"/>
        <w:right w:val="none" w:sz="0" w:space="0" w:color="auto"/>
      </w:divBdr>
    </w:div>
    <w:div w:id="1326587595">
      <w:bodyDiv w:val="1"/>
      <w:marLeft w:val="0"/>
      <w:marRight w:val="0"/>
      <w:marTop w:val="0"/>
      <w:marBottom w:val="0"/>
      <w:divBdr>
        <w:top w:val="none" w:sz="0" w:space="0" w:color="auto"/>
        <w:left w:val="none" w:sz="0" w:space="0" w:color="auto"/>
        <w:bottom w:val="none" w:sz="0" w:space="0" w:color="auto"/>
        <w:right w:val="none" w:sz="0" w:space="0" w:color="auto"/>
      </w:divBdr>
    </w:div>
    <w:div w:id="1328898792">
      <w:bodyDiv w:val="1"/>
      <w:marLeft w:val="0"/>
      <w:marRight w:val="0"/>
      <w:marTop w:val="0"/>
      <w:marBottom w:val="0"/>
      <w:divBdr>
        <w:top w:val="none" w:sz="0" w:space="0" w:color="auto"/>
        <w:left w:val="none" w:sz="0" w:space="0" w:color="auto"/>
        <w:bottom w:val="none" w:sz="0" w:space="0" w:color="auto"/>
        <w:right w:val="none" w:sz="0" w:space="0" w:color="auto"/>
      </w:divBdr>
    </w:div>
    <w:div w:id="1329096987">
      <w:bodyDiv w:val="1"/>
      <w:marLeft w:val="0"/>
      <w:marRight w:val="0"/>
      <w:marTop w:val="0"/>
      <w:marBottom w:val="0"/>
      <w:divBdr>
        <w:top w:val="none" w:sz="0" w:space="0" w:color="auto"/>
        <w:left w:val="none" w:sz="0" w:space="0" w:color="auto"/>
        <w:bottom w:val="none" w:sz="0" w:space="0" w:color="auto"/>
        <w:right w:val="none" w:sz="0" w:space="0" w:color="auto"/>
      </w:divBdr>
    </w:div>
    <w:div w:id="1329482666">
      <w:bodyDiv w:val="1"/>
      <w:marLeft w:val="0"/>
      <w:marRight w:val="0"/>
      <w:marTop w:val="0"/>
      <w:marBottom w:val="0"/>
      <w:divBdr>
        <w:top w:val="none" w:sz="0" w:space="0" w:color="auto"/>
        <w:left w:val="none" w:sz="0" w:space="0" w:color="auto"/>
        <w:bottom w:val="none" w:sz="0" w:space="0" w:color="auto"/>
        <w:right w:val="none" w:sz="0" w:space="0" w:color="auto"/>
      </w:divBdr>
    </w:div>
    <w:div w:id="1332560434">
      <w:bodyDiv w:val="1"/>
      <w:marLeft w:val="0"/>
      <w:marRight w:val="0"/>
      <w:marTop w:val="0"/>
      <w:marBottom w:val="0"/>
      <w:divBdr>
        <w:top w:val="none" w:sz="0" w:space="0" w:color="auto"/>
        <w:left w:val="none" w:sz="0" w:space="0" w:color="auto"/>
        <w:bottom w:val="none" w:sz="0" w:space="0" w:color="auto"/>
        <w:right w:val="none" w:sz="0" w:space="0" w:color="auto"/>
      </w:divBdr>
    </w:div>
    <w:div w:id="1333097229">
      <w:bodyDiv w:val="1"/>
      <w:marLeft w:val="0"/>
      <w:marRight w:val="0"/>
      <w:marTop w:val="0"/>
      <w:marBottom w:val="0"/>
      <w:divBdr>
        <w:top w:val="none" w:sz="0" w:space="0" w:color="auto"/>
        <w:left w:val="none" w:sz="0" w:space="0" w:color="auto"/>
        <w:bottom w:val="none" w:sz="0" w:space="0" w:color="auto"/>
        <w:right w:val="none" w:sz="0" w:space="0" w:color="auto"/>
      </w:divBdr>
      <w:divsChild>
        <w:div w:id="415328505">
          <w:marLeft w:val="0"/>
          <w:marRight w:val="0"/>
          <w:marTop w:val="0"/>
          <w:marBottom w:val="0"/>
          <w:divBdr>
            <w:top w:val="none" w:sz="0" w:space="0" w:color="auto"/>
            <w:left w:val="none" w:sz="0" w:space="0" w:color="auto"/>
            <w:bottom w:val="none" w:sz="0" w:space="0" w:color="auto"/>
            <w:right w:val="none" w:sz="0" w:space="0" w:color="auto"/>
          </w:divBdr>
          <w:divsChild>
            <w:div w:id="191693921">
              <w:marLeft w:val="0"/>
              <w:marRight w:val="0"/>
              <w:marTop w:val="0"/>
              <w:marBottom w:val="0"/>
              <w:divBdr>
                <w:top w:val="none" w:sz="0" w:space="0" w:color="auto"/>
                <w:left w:val="none" w:sz="0" w:space="0" w:color="auto"/>
                <w:bottom w:val="none" w:sz="0" w:space="0" w:color="auto"/>
                <w:right w:val="none" w:sz="0" w:space="0" w:color="auto"/>
              </w:divBdr>
            </w:div>
            <w:div w:id="354232799">
              <w:marLeft w:val="0"/>
              <w:marRight w:val="0"/>
              <w:marTop w:val="0"/>
              <w:marBottom w:val="0"/>
              <w:divBdr>
                <w:top w:val="none" w:sz="0" w:space="0" w:color="auto"/>
                <w:left w:val="none" w:sz="0" w:space="0" w:color="auto"/>
                <w:bottom w:val="none" w:sz="0" w:space="0" w:color="auto"/>
                <w:right w:val="none" w:sz="0" w:space="0" w:color="auto"/>
              </w:divBdr>
            </w:div>
            <w:div w:id="541017479">
              <w:marLeft w:val="0"/>
              <w:marRight w:val="0"/>
              <w:marTop w:val="0"/>
              <w:marBottom w:val="0"/>
              <w:divBdr>
                <w:top w:val="none" w:sz="0" w:space="0" w:color="auto"/>
                <w:left w:val="none" w:sz="0" w:space="0" w:color="auto"/>
                <w:bottom w:val="none" w:sz="0" w:space="0" w:color="auto"/>
                <w:right w:val="none" w:sz="0" w:space="0" w:color="auto"/>
              </w:divBdr>
            </w:div>
            <w:div w:id="1503813959">
              <w:marLeft w:val="0"/>
              <w:marRight w:val="0"/>
              <w:marTop w:val="0"/>
              <w:marBottom w:val="0"/>
              <w:divBdr>
                <w:top w:val="none" w:sz="0" w:space="0" w:color="auto"/>
                <w:left w:val="none" w:sz="0" w:space="0" w:color="auto"/>
                <w:bottom w:val="none" w:sz="0" w:space="0" w:color="auto"/>
                <w:right w:val="none" w:sz="0" w:space="0" w:color="auto"/>
              </w:divBdr>
            </w:div>
            <w:div w:id="1690140422">
              <w:marLeft w:val="0"/>
              <w:marRight w:val="0"/>
              <w:marTop w:val="0"/>
              <w:marBottom w:val="0"/>
              <w:divBdr>
                <w:top w:val="none" w:sz="0" w:space="0" w:color="auto"/>
                <w:left w:val="none" w:sz="0" w:space="0" w:color="auto"/>
                <w:bottom w:val="none" w:sz="0" w:space="0" w:color="auto"/>
                <w:right w:val="none" w:sz="0" w:space="0" w:color="auto"/>
              </w:divBdr>
            </w:div>
          </w:divsChild>
        </w:div>
        <w:div w:id="1211989655">
          <w:marLeft w:val="0"/>
          <w:marRight w:val="0"/>
          <w:marTop w:val="0"/>
          <w:marBottom w:val="0"/>
          <w:divBdr>
            <w:top w:val="none" w:sz="0" w:space="0" w:color="auto"/>
            <w:left w:val="none" w:sz="0" w:space="0" w:color="auto"/>
            <w:bottom w:val="none" w:sz="0" w:space="0" w:color="auto"/>
            <w:right w:val="none" w:sz="0" w:space="0" w:color="auto"/>
          </w:divBdr>
          <w:divsChild>
            <w:div w:id="609897212">
              <w:marLeft w:val="0"/>
              <w:marRight w:val="0"/>
              <w:marTop w:val="0"/>
              <w:marBottom w:val="0"/>
              <w:divBdr>
                <w:top w:val="none" w:sz="0" w:space="0" w:color="auto"/>
                <w:left w:val="none" w:sz="0" w:space="0" w:color="auto"/>
                <w:bottom w:val="none" w:sz="0" w:space="0" w:color="auto"/>
                <w:right w:val="none" w:sz="0" w:space="0" w:color="auto"/>
              </w:divBdr>
            </w:div>
          </w:divsChild>
        </w:div>
        <w:div w:id="1442915258">
          <w:marLeft w:val="0"/>
          <w:marRight w:val="0"/>
          <w:marTop w:val="0"/>
          <w:marBottom w:val="0"/>
          <w:divBdr>
            <w:top w:val="none" w:sz="0" w:space="0" w:color="auto"/>
            <w:left w:val="none" w:sz="0" w:space="0" w:color="auto"/>
            <w:bottom w:val="none" w:sz="0" w:space="0" w:color="auto"/>
            <w:right w:val="none" w:sz="0" w:space="0" w:color="auto"/>
          </w:divBdr>
          <w:divsChild>
            <w:div w:id="294140767">
              <w:marLeft w:val="0"/>
              <w:marRight w:val="0"/>
              <w:marTop w:val="0"/>
              <w:marBottom w:val="0"/>
              <w:divBdr>
                <w:top w:val="none" w:sz="0" w:space="0" w:color="auto"/>
                <w:left w:val="none" w:sz="0" w:space="0" w:color="auto"/>
                <w:bottom w:val="none" w:sz="0" w:space="0" w:color="auto"/>
                <w:right w:val="none" w:sz="0" w:space="0" w:color="auto"/>
              </w:divBdr>
            </w:div>
            <w:div w:id="998775932">
              <w:marLeft w:val="0"/>
              <w:marRight w:val="0"/>
              <w:marTop w:val="0"/>
              <w:marBottom w:val="0"/>
              <w:divBdr>
                <w:top w:val="none" w:sz="0" w:space="0" w:color="auto"/>
                <w:left w:val="none" w:sz="0" w:space="0" w:color="auto"/>
                <w:bottom w:val="none" w:sz="0" w:space="0" w:color="auto"/>
                <w:right w:val="none" w:sz="0" w:space="0" w:color="auto"/>
              </w:divBdr>
            </w:div>
            <w:div w:id="1064449469">
              <w:marLeft w:val="0"/>
              <w:marRight w:val="0"/>
              <w:marTop w:val="0"/>
              <w:marBottom w:val="0"/>
              <w:divBdr>
                <w:top w:val="none" w:sz="0" w:space="0" w:color="auto"/>
                <w:left w:val="none" w:sz="0" w:space="0" w:color="auto"/>
                <w:bottom w:val="none" w:sz="0" w:space="0" w:color="auto"/>
                <w:right w:val="none" w:sz="0" w:space="0" w:color="auto"/>
              </w:divBdr>
            </w:div>
            <w:div w:id="1506751367">
              <w:marLeft w:val="0"/>
              <w:marRight w:val="0"/>
              <w:marTop w:val="0"/>
              <w:marBottom w:val="0"/>
              <w:divBdr>
                <w:top w:val="none" w:sz="0" w:space="0" w:color="auto"/>
                <w:left w:val="none" w:sz="0" w:space="0" w:color="auto"/>
                <w:bottom w:val="none" w:sz="0" w:space="0" w:color="auto"/>
                <w:right w:val="none" w:sz="0" w:space="0" w:color="auto"/>
              </w:divBdr>
            </w:div>
            <w:div w:id="1718968933">
              <w:marLeft w:val="0"/>
              <w:marRight w:val="0"/>
              <w:marTop w:val="0"/>
              <w:marBottom w:val="0"/>
              <w:divBdr>
                <w:top w:val="none" w:sz="0" w:space="0" w:color="auto"/>
                <w:left w:val="none" w:sz="0" w:space="0" w:color="auto"/>
                <w:bottom w:val="none" w:sz="0" w:space="0" w:color="auto"/>
                <w:right w:val="none" w:sz="0" w:space="0" w:color="auto"/>
              </w:divBdr>
            </w:div>
          </w:divsChild>
        </w:div>
        <w:div w:id="1864438856">
          <w:marLeft w:val="0"/>
          <w:marRight w:val="0"/>
          <w:marTop w:val="0"/>
          <w:marBottom w:val="0"/>
          <w:divBdr>
            <w:top w:val="none" w:sz="0" w:space="0" w:color="auto"/>
            <w:left w:val="none" w:sz="0" w:space="0" w:color="auto"/>
            <w:bottom w:val="none" w:sz="0" w:space="0" w:color="auto"/>
            <w:right w:val="none" w:sz="0" w:space="0" w:color="auto"/>
          </w:divBdr>
          <w:divsChild>
            <w:div w:id="5237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147">
      <w:bodyDiv w:val="1"/>
      <w:marLeft w:val="0"/>
      <w:marRight w:val="0"/>
      <w:marTop w:val="0"/>
      <w:marBottom w:val="0"/>
      <w:divBdr>
        <w:top w:val="none" w:sz="0" w:space="0" w:color="auto"/>
        <w:left w:val="none" w:sz="0" w:space="0" w:color="auto"/>
        <w:bottom w:val="none" w:sz="0" w:space="0" w:color="auto"/>
        <w:right w:val="none" w:sz="0" w:space="0" w:color="auto"/>
      </w:divBdr>
    </w:div>
    <w:div w:id="1333879025">
      <w:bodyDiv w:val="1"/>
      <w:marLeft w:val="0"/>
      <w:marRight w:val="0"/>
      <w:marTop w:val="0"/>
      <w:marBottom w:val="0"/>
      <w:divBdr>
        <w:top w:val="none" w:sz="0" w:space="0" w:color="auto"/>
        <w:left w:val="none" w:sz="0" w:space="0" w:color="auto"/>
        <w:bottom w:val="none" w:sz="0" w:space="0" w:color="auto"/>
        <w:right w:val="none" w:sz="0" w:space="0" w:color="auto"/>
      </w:divBdr>
    </w:div>
    <w:div w:id="1334458792">
      <w:bodyDiv w:val="1"/>
      <w:marLeft w:val="0"/>
      <w:marRight w:val="0"/>
      <w:marTop w:val="0"/>
      <w:marBottom w:val="0"/>
      <w:divBdr>
        <w:top w:val="none" w:sz="0" w:space="0" w:color="auto"/>
        <w:left w:val="none" w:sz="0" w:space="0" w:color="auto"/>
        <w:bottom w:val="none" w:sz="0" w:space="0" w:color="auto"/>
        <w:right w:val="none" w:sz="0" w:space="0" w:color="auto"/>
      </w:divBdr>
    </w:div>
    <w:div w:id="1338776318">
      <w:bodyDiv w:val="1"/>
      <w:marLeft w:val="0"/>
      <w:marRight w:val="0"/>
      <w:marTop w:val="0"/>
      <w:marBottom w:val="0"/>
      <w:divBdr>
        <w:top w:val="none" w:sz="0" w:space="0" w:color="auto"/>
        <w:left w:val="none" w:sz="0" w:space="0" w:color="auto"/>
        <w:bottom w:val="none" w:sz="0" w:space="0" w:color="auto"/>
        <w:right w:val="none" w:sz="0" w:space="0" w:color="auto"/>
      </w:divBdr>
    </w:div>
    <w:div w:id="1342124100">
      <w:bodyDiv w:val="1"/>
      <w:marLeft w:val="0"/>
      <w:marRight w:val="0"/>
      <w:marTop w:val="0"/>
      <w:marBottom w:val="0"/>
      <w:divBdr>
        <w:top w:val="none" w:sz="0" w:space="0" w:color="auto"/>
        <w:left w:val="none" w:sz="0" w:space="0" w:color="auto"/>
        <w:bottom w:val="none" w:sz="0" w:space="0" w:color="auto"/>
        <w:right w:val="none" w:sz="0" w:space="0" w:color="auto"/>
      </w:divBdr>
    </w:div>
    <w:div w:id="1342243527">
      <w:bodyDiv w:val="1"/>
      <w:marLeft w:val="0"/>
      <w:marRight w:val="0"/>
      <w:marTop w:val="0"/>
      <w:marBottom w:val="0"/>
      <w:divBdr>
        <w:top w:val="none" w:sz="0" w:space="0" w:color="auto"/>
        <w:left w:val="none" w:sz="0" w:space="0" w:color="auto"/>
        <w:bottom w:val="none" w:sz="0" w:space="0" w:color="auto"/>
        <w:right w:val="none" w:sz="0" w:space="0" w:color="auto"/>
      </w:divBdr>
    </w:div>
    <w:div w:id="1345520141">
      <w:bodyDiv w:val="1"/>
      <w:marLeft w:val="0"/>
      <w:marRight w:val="0"/>
      <w:marTop w:val="0"/>
      <w:marBottom w:val="0"/>
      <w:divBdr>
        <w:top w:val="none" w:sz="0" w:space="0" w:color="auto"/>
        <w:left w:val="none" w:sz="0" w:space="0" w:color="auto"/>
        <w:bottom w:val="none" w:sz="0" w:space="0" w:color="auto"/>
        <w:right w:val="none" w:sz="0" w:space="0" w:color="auto"/>
      </w:divBdr>
    </w:div>
    <w:div w:id="1346708550">
      <w:bodyDiv w:val="1"/>
      <w:marLeft w:val="0"/>
      <w:marRight w:val="0"/>
      <w:marTop w:val="0"/>
      <w:marBottom w:val="0"/>
      <w:divBdr>
        <w:top w:val="none" w:sz="0" w:space="0" w:color="auto"/>
        <w:left w:val="none" w:sz="0" w:space="0" w:color="auto"/>
        <w:bottom w:val="none" w:sz="0" w:space="0" w:color="auto"/>
        <w:right w:val="none" w:sz="0" w:space="0" w:color="auto"/>
      </w:divBdr>
    </w:div>
    <w:div w:id="1357854149">
      <w:bodyDiv w:val="1"/>
      <w:marLeft w:val="0"/>
      <w:marRight w:val="0"/>
      <w:marTop w:val="0"/>
      <w:marBottom w:val="0"/>
      <w:divBdr>
        <w:top w:val="none" w:sz="0" w:space="0" w:color="auto"/>
        <w:left w:val="none" w:sz="0" w:space="0" w:color="auto"/>
        <w:bottom w:val="none" w:sz="0" w:space="0" w:color="auto"/>
        <w:right w:val="none" w:sz="0" w:space="0" w:color="auto"/>
      </w:divBdr>
    </w:div>
    <w:div w:id="1361055269">
      <w:bodyDiv w:val="1"/>
      <w:marLeft w:val="0"/>
      <w:marRight w:val="0"/>
      <w:marTop w:val="0"/>
      <w:marBottom w:val="0"/>
      <w:divBdr>
        <w:top w:val="none" w:sz="0" w:space="0" w:color="auto"/>
        <w:left w:val="none" w:sz="0" w:space="0" w:color="auto"/>
        <w:bottom w:val="none" w:sz="0" w:space="0" w:color="auto"/>
        <w:right w:val="none" w:sz="0" w:space="0" w:color="auto"/>
      </w:divBdr>
    </w:div>
    <w:div w:id="1361475572">
      <w:bodyDiv w:val="1"/>
      <w:marLeft w:val="0"/>
      <w:marRight w:val="0"/>
      <w:marTop w:val="0"/>
      <w:marBottom w:val="0"/>
      <w:divBdr>
        <w:top w:val="none" w:sz="0" w:space="0" w:color="auto"/>
        <w:left w:val="none" w:sz="0" w:space="0" w:color="auto"/>
        <w:bottom w:val="none" w:sz="0" w:space="0" w:color="auto"/>
        <w:right w:val="none" w:sz="0" w:space="0" w:color="auto"/>
      </w:divBdr>
    </w:div>
    <w:div w:id="1362707457">
      <w:bodyDiv w:val="1"/>
      <w:marLeft w:val="0"/>
      <w:marRight w:val="0"/>
      <w:marTop w:val="0"/>
      <w:marBottom w:val="0"/>
      <w:divBdr>
        <w:top w:val="none" w:sz="0" w:space="0" w:color="auto"/>
        <w:left w:val="none" w:sz="0" w:space="0" w:color="auto"/>
        <w:bottom w:val="none" w:sz="0" w:space="0" w:color="auto"/>
        <w:right w:val="none" w:sz="0" w:space="0" w:color="auto"/>
      </w:divBdr>
    </w:div>
    <w:div w:id="1363285692">
      <w:bodyDiv w:val="1"/>
      <w:marLeft w:val="0"/>
      <w:marRight w:val="0"/>
      <w:marTop w:val="0"/>
      <w:marBottom w:val="0"/>
      <w:divBdr>
        <w:top w:val="none" w:sz="0" w:space="0" w:color="auto"/>
        <w:left w:val="none" w:sz="0" w:space="0" w:color="auto"/>
        <w:bottom w:val="none" w:sz="0" w:space="0" w:color="auto"/>
        <w:right w:val="none" w:sz="0" w:space="0" w:color="auto"/>
      </w:divBdr>
    </w:div>
    <w:div w:id="1371806286">
      <w:bodyDiv w:val="1"/>
      <w:marLeft w:val="0"/>
      <w:marRight w:val="0"/>
      <w:marTop w:val="0"/>
      <w:marBottom w:val="0"/>
      <w:divBdr>
        <w:top w:val="none" w:sz="0" w:space="0" w:color="auto"/>
        <w:left w:val="none" w:sz="0" w:space="0" w:color="auto"/>
        <w:bottom w:val="none" w:sz="0" w:space="0" w:color="auto"/>
        <w:right w:val="none" w:sz="0" w:space="0" w:color="auto"/>
      </w:divBdr>
    </w:div>
    <w:div w:id="1373766106">
      <w:bodyDiv w:val="1"/>
      <w:marLeft w:val="0"/>
      <w:marRight w:val="0"/>
      <w:marTop w:val="0"/>
      <w:marBottom w:val="0"/>
      <w:divBdr>
        <w:top w:val="none" w:sz="0" w:space="0" w:color="auto"/>
        <w:left w:val="none" w:sz="0" w:space="0" w:color="auto"/>
        <w:bottom w:val="none" w:sz="0" w:space="0" w:color="auto"/>
        <w:right w:val="none" w:sz="0" w:space="0" w:color="auto"/>
      </w:divBdr>
    </w:div>
    <w:div w:id="1374189688">
      <w:bodyDiv w:val="1"/>
      <w:marLeft w:val="0"/>
      <w:marRight w:val="0"/>
      <w:marTop w:val="0"/>
      <w:marBottom w:val="0"/>
      <w:divBdr>
        <w:top w:val="none" w:sz="0" w:space="0" w:color="auto"/>
        <w:left w:val="none" w:sz="0" w:space="0" w:color="auto"/>
        <w:bottom w:val="none" w:sz="0" w:space="0" w:color="auto"/>
        <w:right w:val="none" w:sz="0" w:space="0" w:color="auto"/>
      </w:divBdr>
    </w:div>
    <w:div w:id="1374621181">
      <w:bodyDiv w:val="1"/>
      <w:marLeft w:val="0"/>
      <w:marRight w:val="0"/>
      <w:marTop w:val="0"/>
      <w:marBottom w:val="0"/>
      <w:divBdr>
        <w:top w:val="none" w:sz="0" w:space="0" w:color="auto"/>
        <w:left w:val="none" w:sz="0" w:space="0" w:color="auto"/>
        <w:bottom w:val="none" w:sz="0" w:space="0" w:color="auto"/>
        <w:right w:val="none" w:sz="0" w:space="0" w:color="auto"/>
      </w:divBdr>
    </w:div>
    <w:div w:id="1382562051">
      <w:bodyDiv w:val="1"/>
      <w:marLeft w:val="0"/>
      <w:marRight w:val="0"/>
      <w:marTop w:val="0"/>
      <w:marBottom w:val="0"/>
      <w:divBdr>
        <w:top w:val="none" w:sz="0" w:space="0" w:color="auto"/>
        <w:left w:val="none" w:sz="0" w:space="0" w:color="auto"/>
        <w:bottom w:val="none" w:sz="0" w:space="0" w:color="auto"/>
        <w:right w:val="none" w:sz="0" w:space="0" w:color="auto"/>
      </w:divBdr>
    </w:div>
    <w:div w:id="1391460992">
      <w:bodyDiv w:val="1"/>
      <w:marLeft w:val="0"/>
      <w:marRight w:val="0"/>
      <w:marTop w:val="0"/>
      <w:marBottom w:val="0"/>
      <w:divBdr>
        <w:top w:val="none" w:sz="0" w:space="0" w:color="auto"/>
        <w:left w:val="none" w:sz="0" w:space="0" w:color="auto"/>
        <w:bottom w:val="none" w:sz="0" w:space="0" w:color="auto"/>
        <w:right w:val="none" w:sz="0" w:space="0" w:color="auto"/>
      </w:divBdr>
    </w:div>
    <w:div w:id="1391539421">
      <w:bodyDiv w:val="1"/>
      <w:marLeft w:val="0"/>
      <w:marRight w:val="0"/>
      <w:marTop w:val="0"/>
      <w:marBottom w:val="0"/>
      <w:divBdr>
        <w:top w:val="none" w:sz="0" w:space="0" w:color="auto"/>
        <w:left w:val="none" w:sz="0" w:space="0" w:color="auto"/>
        <w:bottom w:val="none" w:sz="0" w:space="0" w:color="auto"/>
        <w:right w:val="none" w:sz="0" w:space="0" w:color="auto"/>
      </w:divBdr>
    </w:div>
    <w:div w:id="1392390283">
      <w:bodyDiv w:val="1"/>
      <w:marLeft w:val="0"/>
      <w:marRight w:val="0"/>
      <w:marTop w:val="0"/>
      <w:marBottom w:val="0"/>
      <w:divBdr>
        <w:top w:val="none" w:sz="0" w:space="0" w:color="auto"/>
        <w:left w:val="none" w:sz="0" w:space="0" w:color="auto"/>
        <w:bottom w:val="none" w:sz="0" w:space="0" w:color="auto"/>
        <w:right w:val="none" w:sz="0" w:space="0" w:color="auto"/>
      </w:divBdr>
    </w:div>
    <w:div w:id="1393045482">
      <w:bodyDiv w:val="1"/>
      <w:marLeft w:val="0"/>
      <w:marRight w:val="0"/>
      <w:marTop w:val="0"/>
      <w:marBottom w:val="0"/>
      <w:divBdr>
        <w:top w:val="none" w:sz="0" w:space="0" w:color="auto"/>
        <w:left w:val="none" w:sz="0" w:space="0" w:color="auto"/>
        <w:bottom w:val="none" w:sz="0" w:space="0" w:color="auto"/>
        <w:right w:val="none" w:sz="0" w:space="0" w:color="auto"/>
      </w:divBdr>
    </w:div>
    <w:div w:id="1393773597">
      <w:bodyDiv w:val="1"/>
      <w:marLeft w:val="0"/>
      <w:marRight w:val="0"/>
      <w:marTop w:val="0"/>
      <w:marBottom w:val="0"/>
      <w:divBdr>
        <w:top w:val="none" w:sz="0" w:space="0" w:color="auto"/>
        <w:left w:val="none" w:sz="0" w:space="0" w:color="auto"/>
        <w:bottom w:val="none" w:sz="0" w:space="0" w:color="auto"/>
        <w:right w:val="none" w:sz="0" w:space="0" w:color="auto"/>
      </w:divBdr>
    </w:div>
    <w:div w:id="1396247325">
      <w:bodyDiv w:val="1"/>
      <w:marLeft w:val="0"/>
      <w:marRight w:val="0"/>
      <w:marTop w:val="0"/>
      <w:marBottom w:val="0"/>
      <w:divBdr>
        <w:top w:val="none" w:sz="0" w:space="0" w:color="auto"/>
        <w:left w:val="none" w:sz="0" w:space="0" w:color="auto"/>
        <w:bottom w:val="none" w:sz="0" w:space="0" w:color="auto"/>
        <w:right w:val="none" w:sz="0" w:space="0" w:color="auto"/>
      </w:divBdr>
    </w:div>
    <w:div w:id="1397629677">
      <w:bodyDiv w:val="1"/>
      <w:marLeft w:val="0"/>
      <w:marRight w:val="0"/>
      <w:marTop w:val="0"/>
      <w:marBottom w:val="0"/>
      <w:divBdr>
        <w:top w:val="none" w:sz="0" w:space="0" w:color="auto"/>
        <w:left w:val="none" w:sz="0" w:space="0" w:color="auto"/>
        <w:bottom w:val="none" w:sz="0" w:space="0" w:color="auto"/>
        <w:right w:val="none" w:sz="0" w:space="0" w:color="auto"/>
      </w:divBdr>
    </w:div>
    <w:div w:id="1415933659">
      <w:bodyDiv w:val="1"/>
      <w:marLeft w:val="0"/>
      <w:marRight w:val="0"/>
      <w:marTop w:val="0"/>
      <w:marBottom w:val="0"/>
      <w:divBdr>
        <w:top w:val="none" w:sz="0" w:space="0" w:color="auto"/>
        <w:left w:val="none" w:sz="0" w:space="0" w:color="auto"/>
        <w:bottom w:val="none" w:sz="0" w:space="0" w:color="auto"/>
        <w:right w:val="none" w:sz="0" w:space="0" w:color="auto"/>
      </w:divBdr>
    </w:div>
    <w:div w:id="1418749261">
      <w:bodyDiv w:val="1"/>
      <w:marLeft w:val="0"/>
      <w:marRight w:val="0"/>
      <w:marTop w:val="0"/>
      <w:marBottom w:val="0"/>
      <w:divBdr>
        <w:top w:val="none" w:sz="0" w:space="0" w:color="auto"/>
        <w:left w:val="none" w:sz="0" w:space="0" w:color="auto"/>
        <w:bottom w:val="none" w:sz="0" w:space="0" w:color="auto"/>
        <w:right w:val="none" w:sz="0" w:space="0" w:color="auto"/>
      </w:divBdr>
      <w:divsChild>
        <w:div w:id="456991955">
          <w:marLeft w:val="0"/>
          <w:marRight w:val="0"/>
          <w:marTop w:val="0"/>
          <w:marBottom w:val="0"/>
          <w:divBdr>
            <w:top w:val="none" w:sz="0" w:space="0" w:color="auto"/>
            <w:left w:val="none" w:sz="0" w:space="0" w:color="auto"/>
            <w:bottom w:val="none" w:sz="0" w:space="0" w:color="auto"/>
            <w:right w:val="none" w:sz="0" w:space="0" w:color="auto"/>
          </w:divBdr>
        </w:div>
        <w:div w:id="531646388">
          <w:marLeft w:val="0"/>
          <w:marRight w:val="0"/>
          <w:marTop w:val="0"/>
          <w:marBottom w:val="0"/>
          <w:divBdr>
            <w:top w:val="none" w:sz="0" w:space="0" w:color="auto"/>
            <w:left w:val="none" w:sz="0" w:space="0" w:color="auto"/>
            <w:bottom w:val="none" w:sz="0" w:space="0" w:color="auto"/>
            <w:right w:val="none" w:sz="0" w:space="0" w:color="auto"/>
          </w:divBdr>
        </w:div>
        <w:div w:id="1852792246">
          <w:marLeft w:val="0"/>
          <w:marRight w:val="0"/>
          <w:marTop w:val="0"/>
          <w:marBottom w:val="0"/>
          <w:divBdr>
            <w:top w:val="none" w:sz="0" w:space="0" w:color="auto"/>
            <w:left w:val="none" w:sz="0" w:space="0" w:color="auto"/>
            <w:bottom w:val="none" w:sz="0" w:space="0" w:color="auto"/>
            <w:right w:val="none" w:sz="0" w:space="0" w:color="auto"/>
          </w:divBdr>
        </w:div>
      </w:divsChild>
    </w:div>
    <w:div w:id="1419251196">
      <w:bodyDiv w:val="1"/>
      <w:marLeft w:val="0"/>
      <w:marRight w:val="0"/>
      <w:marTop w:val="0"/>
      <w:marBottom w:val="0"/>
      <w:divBdr>
        <w:top w:val="none" w:sz="0" w:space="0" w:color="auto"/>
        <w:left w:val="none" w:sz="0" w:space="0" w:color="auto"/>
        <w:bottom w:val="none" w:sz="0" w:space="0" w:color="auto"/>
        <w:right w:val="none" w:sz="0" w:space="0" w:color="auto"/>
      </w:divBdr>
    </w:div>
    <w:div w:id="1423407625">
      <w:bodyDiv w:val="1"/>
      <w:marLeft w:val="0"/>
      <w:marRight w:val="0"/>
      <w:marTop w:val="0"/>
      <w:marBottom w:val="0"/>
      <w:divBdr>
        <w:top w:val="none" w:sz="0" w:space="0" w:color="auto"/>
        <w:left w:val="none" w:sz="0" w:space="0" w:color="auto"/>
        <w:bottom w:val="none" w:sz="0" w:space="0" w:color="auto"/>
        <w:right w:val="none" w:sz="0" w:space="0" w:color="auto"/>
      </w:divBdr>
    </w:div>
    <w:div w:id="1423643041">
      <w:bodyDiv w:val="1"/>
      <w:marLeft w:val="0"/>
      <w:marRight w:val="0"/>
      <w:marTop w:val="0"/>
      <w:marBottom w:val="0"/>
      <w:divBdr>
        <w:top w:val="none" w:sz="0" w:space="0" w:color="auto"/>
        <w:left w:val="none" w:sz="0" w:space="0" w:color="auto"/>
        <w:bottom w:val="none" w:sz="0" w:space="0" w:color="auto"/>
        <w:right w:val="none" w:sz="0" w:space="0" w:color="auto"/>
      </w:divBdr>
    </w:div>
    <w:div w:id="1425345433">
      <w:bodyDiv w:val="1"/>
      <w:marLeft w:val="0"/>
      <w:marRight w:val="0"/>
      <w:marTop w:val="0"/>
      <w:marBottom w:val="0"/>
      <w:divBdr>
        <w:top w:val="none" w:sz="0" w:space="0" w:color="auto"/>
        <w:left w:val="none" w:sz="0" w:space="0" w:color="auto"/>
        <w:bottom w:val="none" w:sz="0" w:space="0" w:color="auto"/>
        <w:right w:val="none" w:sz="0" w:space="0" w:color="auto"/>
      </w:divBdr>
    </w:div>
    <w:div w:id="1434548469">
      <w:bodyDiv w:val="1"/>
      <w:marLeft w:val="0"/>
      <w:marRight w:val="0"/>
      <w:marTop w:val="0"/>
      <w:marBottom w:val="0"/>
      <w:divBdr>
        <w:top w:val="none" w:sz="0" w:space="0" w:color="auto"/>
        <w:left w:val="none" w:sz="0" w:space="0" w:color="auto"/>
        <w:bottom w:val="none" w:sz="0" w:space="0" w:color="auto"/>
        <w:right w:val="none" w:sz="0" w:space="0" w:color="auto"/>
      </w:divBdr>
    </w:div>
    <w:div w:id="1435591916">
      <w:bodyDiv w:val="1"/>
      <w:marLeft w:val="0"/>
      <w:marRight w:val="0"/>
      <w:marTop w:val="0"/>
      <w:marBottom w:val="0"/>
      <w:divBdr>
        <w:top w:val="none" w:sz="0" w:space="0" w:color="auto"/>
        <w:left w:val="none" w:sz="0" w:space="0" w:color="auto"/>
        <w:bottom w:val="none" w:sz="0" w:space="0" w:color="auto"/>
        <w:right w:val="none" w:sz="0" w:space="0" w:color="auto"/>
      </w:divBdr>
    </w:div>
    <w:div w:id="1438450084">
      <w:bodyDiv w:val="1"/>
      <w:marLeft w:val="0"/>
      <w:marRight w:val="0"/>
      <w:marTop w:val="0"/>
      <w:marBottom w:val="0"/>
      <w:divBdr>
        <w:top w:val="none" w:sz="0" w:space="0" w:color="auto"/>
        <w:left w:val="none" w:sz="0" w:space="0" w:color="auto"/>
        <w:bottom w:val="none" w:sz="0" w:space="0" w:color="auto"/>
        <w:right w:val="none" w:sz="0" w:space="0" w:color="auto"/>
      </w:divBdr>
    </w:div>
    <w:div w:id="1440486439">
      <w:bodyDiv w:val="1"/>
      <w:marLeft w:val="0"/>
      <w:marRight w:val="0"/>
      <w:marTop w:val="0"/>
      <w:marBottom w:val="0"/>
      <w:divBdr>
        <w:top w:val="none" w:sz="0" w:space="0" w:color="auto"/>
        <w:left w:val="none" w:sz="0" w:space="0" w:color="auto"/>
        <w:bottom w:val="none" w:sz="0" w:space="0" w:color="auto"/>
        <w:right w:val="none" w:sz="0" w:space="0" w:color="auto"/>
      </w:divBdr>
    </w:div>
    <w:div w:id="1440950857">
      <w:bodyDiv w:val="1"/>
      <w:marLeft w:val="0"/>
      <w:marRight w:val="0"/>
      <w:marTop w:val="0"/>
      <w:marBottom w:val="0"/>
      <w:divBdr>
        <w:top w:val="none" w:sz="0" w:space="0" w:color="auto"/>
        <w:left w:val="none" w:sz="0" w:space="0" w:color="auto"/>
        <w:bottom w:val="none" w:sz="0" w:space="0" w:color="auto"/>
        <w:right w:val="none" w:sz="0" w:space="0" w:color="auto"/>
      </w:divBdr>
    </w:div>
    <w:div w:id="1442844727">
      <w:bodyDiv w:val="1"/>
      <w:marLeft w:val="0"/>
      <w:marRight w:val="0"/>
      <w:marTop w:val="0"/>
      <w:marBottom w:val="0"/>
      <w:divBdr>
        <w:top w:val="none" w:sz="0" w:space="0" w:color="auto"/>
        <w:left w:val="none" w:sz="0" w:space="0" w:color="auto"/>
        <w:bottom w:val="none" w:sz="0" w:space="0" w:color="auto"/>
        <w:right w:val="none" w:sz="0" w:space="0" w:color="auto"/>
      </w:divBdr>
    </w:div>
    <w:div w:id="1444420108">
      <w:bodyDiv w:val="1"/>
      <w:marLeft w:val="0"/>
      <w:marRight w:val="0"/>
      <w:marTop w:val="0"/>
      <w:marBottom w:val="0"/>
      <w:divBdr>
        <w:top w:val="none" w:sz="0" w:space="0" w:color="auto"/>
        <w:left w:val="none" w:sz="0" w:space="0" w:color="auto"/>
        <w:bottom w:val="none" w:sz="0" w:space="0" w:color="auto"/>
        <w:right w:val="none" w:sz="0" w:space="0" w:color="auto"/>
      </w:divBdr>
    </w:div>
    <w:div w:id="1445152123">
      <w:bodyDiv w:val="1"/>
      <w:marLeft w:val="0"/>
      <w:marRight w:val="0"/>
      <w:marTop w:val="0"/>
      <w:marBottom w:val="0"/>
      <w:divBdr>
        <w:top w:val="none" w:sz="0" w:space="0" w:color="auto"/>
        <w:left w:val="none" w:sz="0" w:space="0" w:color="auto"/>
        <w:bottom w:val="none" w:sz="0" w:space="0" w:color="auto"/>
        <w:right w:val="none" w:sz="0" w:space="0" w:color="auto"/>
      </w:divBdr>
    </w:div>
    <w:div w:id="1445728197">
      <w:bodyDiv w:val="1"/>
      <w:marLeft w:val="0"/>
      <w:marRight w:val="0"/>
      <w:marTop w:val="0"/>
      <w:marBottom w:val="0"/>
      <w:divBdr>
        <w:top w:val="none" w:sz="0" w:space="0" w:color="auto"/>
        <w:left w:val="none" w:sz="0" w:space="0" w:color="auto"/>
        <w:bottom w:val="none" w:sz="0" w:space="0" w:color="auto"/>
        <w:right w:val="none" w:sz="0" w:space="0" w:color="auto"/>
      </w:divBdr>
    </w:div>
    <w:div w:id="1446804179">
      <w:bodyDiv w:val="1"/>
      <w:marLeft w:val="0"/>
      <w:marRight w:val="0"/>
      <w:marTop w:val="0"/>
      <w:marBottom w:val="0"/>
      <w:divBdr>
        <w:top w:val="none" w:sz="0" w:space="0" w:color="auto"/>
        <w:left w:val="none" w:sz="0" w:space="0" w:color="auto"/>
        <w:bottom w:val="none" w:sz="0" w:space="0" w:color="auto"/>
        <w:right w:val="none" w:sz="0" w:space="0" w:color="auto"/>
      </w:divBdr>
    </w:div>
    <w:div w:id="1447428604">
      <w:bodyDiv w:val="1"/>
      <w:marLeft w:val="0"/>
      <w:marRight w:val="0"/>
      <w:marTop w:val="0"/>
      <w:marBottom w:val="0"/>
      <w:divBdr>
        <w:top w:val="none" w:sz="0" w:space="0" w:color="auto"/>
        <w:left w:val="none" w:sz="0" w:space="0" w:color="auto"/>
        <w:bottom w:val="none" w:sz="0" w:space="0" w:color="auto"/>
        <w:right w:val="none" w:sz="0" w:space="0" w:color="auto"/>
      </w:divBdr>
    </w:div>
    <w:div w:id="1450511721">
      <w:bodyDiv w:val="1"/>
      <w:marLeft w:val="0"/>
      <w:marRight w:val="0"/>
      <w:marTop w:val="0"/>
      <w:marBottom w:val="0"/>
      <w:divBdr>
        <w:top w:val="none" w:sz="0" w:space="0" w:color="auto"/>
        <w:left w:val="none" w:sz="0" w:space="0" w:color="auto"/>
        <w:bottom w:val="none" w:sz="0" w:space="0" w:color="auto"/>
        <w:right w:val="none" w:sz="0" w:space="0" w:color="auto"/>
      </w:divBdr>
    </w:div>
    <w:div w:id="1451902733">
      <w:bodyDiv w:val="1"/>
      <w:marLeft w:val="0"/>
      <w:marRight w:val="0"/>
      <w:marTop w:val="0"/>
      <w:marBottom w:val="0"/>
      <w:divBdr>
        <w:top w:val="none" w:sz="0" w:space="0" w:color="auto"/>
        <w:left w:val="none" w:sz="0" w:space="0" w:color="auto"/>
        <w:bottom w:val="none" w:sz="0" w:space="0" w:color="auto"/>
        <w:right w:val="none" w:sz="0" w:space="0" w:color="auto"/>
      </w:divBdr>
    </w:div>
    <w:div w:id="1453280638">
      <w:bodyDiv w:val="1"/>
      <w:marLeft w:val="0"/>
      <w:marRight w:val="0"/>
      <w:marTop w:val="0"/>
      <w:marBottom w:val="0"/>
      <w:divBdr>
        <w:top w:val="none" w:sz="0" w:space="0" w:color="auto"/>
        <w:left w:val="none" w:sz="0" w:space="0" w:color="auto"/>
        <w:bottom w:val="none" w:sz="0" w:space="0" w:color="auto"/>
        <w:right w:val="none" w:sz="0" w:space="0" w:color="auto"/>
      </w:divBdr>
    </w:div>
    <w:div w:id="1458718512">
      <w:bodyDiv w:val="1"/>
      <w:marLeft w:val="0"/>
      <w:marRight w:val="0"/>
      <w:marTop w:val="0"/>
      <w:marBottom w:val="0"/>
      <w:divBdr>
        <w:top w:val="none" w:sz="0" w:space="0" w:color="auto"/>
        <w:left w:val="none" w:sz="0" w:space="0" w:color="auto"/>
        <w:bottom w:val="none" w:sz="0" w:space="0" w:color="auto"/>
        <w:right w:val="none" w:sz="0" w:space="0" w:color="auto"/>
      </w:divBdr>
    </w:div>
    <w:div w:id="1461074581">
      <w:bodyDiv w:val="1"/>
      <w:marLeft w:val="0"/>
      <w:marRight w:val="0"/>
      <w:marTop w:val="0"/>
      <w:marBottom w:val="0"/>
      <w:divBdr>
        <w:top w:val="none" w:sz="0" w:space="0" w:color="auto"/>
        <w:left w:val="none" w:sz="0" w:space="0" w:color="auto"/>
        <w:bottom w:val="none" w:sz="0" w:space="0" w:color="auto"/>
        <w:right w:val="none" w:sz="0" w:space="0" w:color="auto"/>
      </w:divBdr>
    </w:div>
    <w:div w:id="1461847504">
      <w:bodyDiv w:val="1"/>
      <w:marLeft w:val="0"/>
      <w:marRight w:val="0"/>
      <w:marTop w:val="0"/>
      <w:marBottom w:val="0"/>
      <w:divBdr>
        <w:top w:val="none" w:sz="0" w:space="0" w:color="auto"/>
        <w:left w:val="none" w:sz="0" w:space="0" w:color="auto"/>
        <w:bottom w:val="none" w:sz="0" w:space="0" w:color="auto"/>
        <w:right w:val="none" w:sz="0" w:space="0" w:color="auto"/>
      </w:divBdr>
    </w:div>
    <w:div w:id="1463961586">
      <w:bodyDiv w:val="1"/>
      <w:marLeft w:val="0"/>
      <w:marRight w:val="0"/>
      <w:marTop w:val="0"/>
      <w:marBottom w:val="0"/>
      <w:divBdr>
        <w:top w:val="none" w:sz="0" w:space="0" w:color="auto"/>
        <w:left w:val="none" w:sz="0" w:space="0" w:color="auto"/>
        <w:bottom w:val="none" w:sz="0" w:space="0" w:color="auto"/>
        <w:right w:val="none" w:sz="0" w:space="0" w:color="auto"/>
      </w:divBdr>
    </w:div>
    <w:div w:id="1468430498">
      <w:bodyDiv w:val="1"/>
      <w:marLeft w:val="0"/>
      <w:marRight w:val="0"/>
      <w:marTop w:val="0"/>
      <w:marBottom w:val="0"/>
      <w:divBdr>
        <w:top w:val="none" w:sz="0" w:space="0" w:color="auto"/>
        <w:left w:val="none" w:sz="0" w:space="0" w:color="auto"/>
        <w:bottom w:val="none" w:sz="0" w:space="0" w:color="auto"/>
        <w:right w:val="none" w:sz="0" w:space="0" w:color="auto"/>
      </w:divBdr>
    </w:div>
    <w:div w:id="1469056567">
      <w:bodyDiv w:val="1"/>
      <w:marLeft w:val="0"/>
      <w:marRight w:val="0"/>
      <w:marTop w:val="0"/>
      <w:marBottom w:val="0"/>
      <w:divBdr>
        <w:top w:val="none" w:sz="0" w:space="0" w:color="auto"/>
        <w:left w:val="none" w:sz="0" w:space="0" w:color="auto"/>
        <w:bottom w:val="none" w:sz="0" w:space="0" w:color="auto"/>
        <w:right w:val="none" w:sz="0" w:space="0" w:color="auto"/>
      </w:divBdr>
    </w:div>
    <w:div w:id="1472021992">
      <w:bodyDiv w:val="1"/>
      <w:marLeft w:val="0"/>
      <w:marRight w:val="0"/>
      <w:marTop w:val="0"/>
      <w:marBottom w:val="0"/>
      <w:divBdr>
        <w:top w:val="none" w:sz="0" w:space="0" w:color="auto"/>
        <w:left w:val="none" w:sz="0" w:space="0" w:color="auto"/>
        <w:bottom w:val="none" w:sz="0" w:space="0" w:color="auto"/>
        <w:right w:val="none" w:sz="0" w:space="0" w:color="auto"/>
      </w:divBdr>
    </w:div>
    <w:div w:id="1473451044">
      <w:bodyDiv w:val="1"/>
      <w:marLeft w:val="0"/>
      <w:marRight w:val="0"/>
      <w:marTop w:val="0"/>
      <w:marBottom w:val="0"/>
      <w:divBdr>
        <w:top w:val="none" w:sz="0" w:space="0" w:color="auto"/>
        <w:left w:val="none" w:sz="0" w:space="0" w:color="auto"/>
        <w:bottom w:val="none" w:sz="0" w:space="0" w:color="auto"/>
        <w:right w:val="none" w:sz="0" w:space="0" w:color="auto"/>
      </w:divBdr>
    </w:div>
    <w:div w:id="1480461414">
      <w:bodyDiv w:val="1"/>
      <w:marLeft w:val="0"/>
      <w:marRight w:val="0"/>
      <w:marTop w:val="0"/>
      <w:marBottom w:val="0"/>
      <w:divBdr>
        <w:top w:val="none" w:sz="0" w:space="0" w:color="auto"/>
        <w:left w:val="none" w:sz="0" w:space="0" w:color="auto"/>
        <w:bottom w:val="none" w:sz="0" w:space="0" w:color="auto"/>
        <w:right w:val="none" w:sz="0" w:space="0" w:color="auto"/>
      </w:divBdr>
    </w:div>
    <w:div w:id="1485124269">
      <w:bodyDiv w:val="1"/>
      <w:marLeft w:val="0"/>
      <w:marRight w:val="0"/>
      <w:marTop w:val="0"/>
      <w:marBottom w:val="0"/>
      <w:divBdr>
        <w:top w:val="none" w:sz="0" w:space="0" w:color="auto"/>
        <w:left w:val="none" w:sz="0" w:space="0" w:color="auto"/>
        <w:bottom w:val="none" w:sz="0" w:space="0" w:color="auto"/>
        <w:right w:val="none" w:sz="0" w:space="0" w:color="auto"/>
      </w:divBdr>
    </w:div>
    <w:div w:id="1487940938">
      <w:bodyDiv w:val="1"/>
      <w:marLeft w:val="0"/>
      <w:marRight w:val="0"/>
      <w:marTop w:val="0"/>
      <w:marBottom w:val="0"/>
      <w:divBdr>
        <w:top w:val="none" w:sz="0" w:space="0" w:color="auto"/>
        <w:left w:val="none" w:sz="0" w:space="0" w:color="auto"/>
        <w:bottom w:val="none" w:sz="0" w:space="0" w:color="auto"/>
        <w:right w:val="none" w:sz="0" w:space="0" w:color="auto"/>
      </w:divBdr>
    </w:div>
    <w:div w:id="1490904468">
      <w:bodyDiv w:val="1"/>
      <w:marLeft w:val="0"/>
      <w:marRight w:val="0"/>
      <w:marTop w:val="0"/>
      <w:marBottom w:val="0"/>
      <w:divBdr>
        <w:top w:val="none" w:sz="0" w:space="0" w:color="auto"/>
        <w:left w:val="none" w:sz="0" w:space="0" w:color="auto"/>
        <w:bottom w:val="none" w:sz="0" w:space="0" w:color="auto"/>
        <w:right w:val="none" w:sz="0" w:space="0" w:color="auto"/>
      </w:divBdr>
    </w:div>
    <w:div w:id="1492797745">
      <w:bodyDiv w:val="1"/>
      <w:marLeft w:val="0"/>
      <w:marRight w:val="0"/>
      <w:marTop w:val="0"/>
      <w:marBottom w:val="0"/>
      <w:divBdr>
        <w:top w:val="none" w:sz="0" w:space="0" w:color="auto"/>
        <w:left w:val="none" w:sz="0" w:space="0" w:color="auto"/>
        <w:bottom w:val="none" w:sz="0" w:space="0" w:color="auto"/>
        <w:right w:val="none" w:sz="0" w:space="0" w:color="auto"/>
      </w:divBdr>
    </w:div>
    <w:div w:id="1492864734">
      <w:bodyDiv w:val="1"/>
      <w:marLeft w:val="0"/>
      <w:marRight w:val="0"/>
      <w:marTop w:val="0"/>
      <w:marBottom w:val="0"/>
      <w:divBdr>
        <w:top w:val="none" w:sz="0" w:space="0" w:color="auto"/>
        <w:left w:val="none" w:sz="0" w:space="0" w:color="auto"/>
        <w:bottom w:val="none" w:sz="0" w:space="0" w:color="auto"/>
        <w:right w:val="none" w:sz="0" w:space="0" w:color="auto"/>
      </w:divBdr>
      <w:divsChild>
        <w:div w:id="563030837">
          <w:marLeft w:val="0"/>
          <w:marRight w:val="0"/>
          <w:marTop w:val="0"/>
          <w:marBottom w:val="0"/>
          <w:divBdr>
            <w:top w:val="none" w:sz="0" w:space="0" w:color="auto"/>
            <w:left w:val="none" w:sz="0" w:space="0" w:color="auto"/>
            <w:bottom w:val="none" w:sz="0" w:space="0" w:color="auto"/>
            <w:right w:val="none" w:sz="0" w:space="0" w:color="auto"/>
          </w:divBdr>
          <w:divsChild>
            <w:div w:id="180973525">
              <w:marLeft w:val="0"/>
              <w:marRight w:val="0"/>
              <w:marTop w:val="0"/>
              <w:marBottom w:val="0"/>
              <w:divBdr>
                <w:top w:val="none" w:sz="0" w:space="0" w:color="auto"/>
                <w:left w:val="none" w:sz="0" w:space="0" w:color="auto"/>
                <w:bottom w:val="none" w:sz="0" w:space="0" w:color="auto"/>
                <w:right w:val="none" w:sz="0" w:space="0" w:color="auto"/>
              </w:divBdr>
            </w:div>
            <w:div w:id="1659848684">
              <w:marLeft w:val="0"/>
              <w:marRight w:val="0"/>
              <w:marTop w:val="0"/>
              <w:marBottom w:val="0"/>
              <w:divBdr>
                <w:top w:val="none" w:sz="0" w:space="0" w:color="auto"/>
                <w:left w:val="none" w:sz="0" w:space="0" w:color="auto"/>
                <w:bottom w:val="none" w:sz="0" w:space="0" w:color="auto"/>
                <w:right w:val="none" w:sz="0" w:space="0" w:color="auto"/>
              </w:divBdr>
            </w:div>
            <w:div w:id="1683821373">
              <w:marLeft w:val="0"/>
              <w:marRight w:val="0"/>
              <w:marTop w:val="0"/>
              <w:marBottom w:val="0"/>
              <w:divBdr>
                <w:top w:val="none" w:sz="0" w:space="0" w:color="auto"/>
                <w:left w:val="none" w:sz="0" w:space="0" w:color="auto"/>
                <w:bottom w:val="none" w:sz="0" w:space="0" w:color="auto"/>
                <w:right w:val="none" w:sz="0" w:space="0" w:color="auto"/>
              </w:divBdr>
            </w:div>
            <w:div w:id="1908495171">
              <w:marLeft w:val="0"/>
              <w:marRight w:val="0"/>
              <w:marTop w:val="0"/>
              <w:marBottom w:val="0"/>
              <w:divBdr>
                <w:top w:val="none" w:sz="0" w:space="0" w:color="auto"/>
                <w:left w:val="none" w:sz="0" w:space="0" w:color="auto"/>
                <w:bottom w:val="none" w:sz="0" w:space="0" w:color="auto"/>
                <w:right w:val="none" w:sz="0" w:space="0" w:color="auto"/>
              </w:divBdr>
            </w:div>
            <w:div w:id="2054966407">
              <w:marLeft w:val="0"/>
              <w:marRight w:val="0"/>
              <w:marTop w:val="0"/>
              <w:marBottom w:val="0"/>
              <w:divBdr>
                <w:top w:val="none" w:sz="0" w:space="0" w:color="auto"/>
                <w:left w:val="none" w:sz="0" w:space="0" w:color="auto"/>
                <w:bottom w:val="none" w:sz="0" w:space="0" w:color="auto"/>
                <w:right w:val="none" w:sz="0" w:space="0" w:color="auto"/>
              </w:divBdr>
            </w:div>
          </w:divsChild>
        </w:div>
        <w:div w:id="863447302">
          <w:marLeft w:val="0"/>
          <w:marRight w:val="0"/>
          <w:marTop w:val="0"/>
          <w:marBottom w:val="0"/>
          <w:divBdr>
            <w:top w:val="none" w:sz="0" w:space="0" w:color="auto"/>
            <w:left w:val="none" w:sz="0" w:space="0" w:color="auto"/>
            <w:bottom w:val="none" w:sz="0" w:space="0" w:color="auto"/>
            <w:right w:val="none" w:sz="0" w:space="0" w:color="auto"/>
          </w:divBdr>
          <w:divsChild>
            <w:div w:id="779570171">
              <w:marLeft w:val="0"/>
              <w:marRight w:val="0"/>
              <w:marTop w:val="0"/>
              <w:marBottom w:val="0"/>
              <w:divBdr>
                <w:top w:val="none" w:sz="0" w:space="0" w:color="auto"/>
                <w:left w:val="none" w:sz="0" w:space="0" w:color="auto"/>
                <w:bottom w:val="none" w:sz="0" w:space="0" w:color="auto"/>
                <w:right w:val="none" w:sz="0" w:space="0" w:color="auto"/>
              </w:divBdr>
            </w:div>
            <w:div w:id="1107777767">
              <w:marLeft w:val="0"/>
              <w:marRight w:val="0"/>
              <w:marTop w:val="0"/>
              <w:marBottom w:val="0"/>
              <w:divBdr>
                <w:top w:val="none" w:sz="0" w:space="0" w:color="auto"/>
                <w:left w:val="none" w:sz="0" w:space="0" w:color="auto"/>
                <w:bottom w:val="none" w:sz="0" w:space="0" w:color="auto"/>
                <w:right w:val="none" w:sz="0" w:space="0" w:color="auto"/>
              </w:divBdr>
            </w:div>
            <w:div w:id="1184245851">
              <w:marLeft w:val="0"/>
              <w:marRight w:val="0"/>
              <w:marTop w:val="0"/>
              <w:marBottom w:val="0"/>
              <w:divBdr>
                <w:top w:val="none" w:sz="0" w:space="0" w:color="auto"/>
                <w:left w:val="none" w:sz="0" w:space="0" w:color="auto"/>
                <w:bottom w:val="none" w:sz="0" w:space="0" w:color="auto"/>
                <w:right w:val="none" w:sz="0" w:space="0" w:color="auto"/>
              </w:divBdr>
            </w:div>
            <w:div w:id="1830752759">
              <w:marLeft w:val="0"/>
              <w:marRight w:val="0"/>
              <w:marTop w:val="0"/>
              <w:marBottom w:val="0"/>
              <w:divBdr>
                <w:top w:val="none" w:sz="0" w:space="0" w:color="auto"/>
                <w:left w:val="none" w:sz="0" w:space="0" w:color="auto"/>
                <w:bottom w:val="none" w:sz="0" w:space="0" w:color="auto"/>
                <w:right w:val="none" w:sz="0" w:space="0" w:color="auto"/>
              </w:divBdr>
            </w:div>
            <w:div w:id="2019500947">
              <w:marLeft w:val="0"/>
              <w:marRight w:val="0"/>
              <w:marTop w:val="0"/>
              <w:marBottom w:val="0"/>
              <w:divBdr>
                <w:top w:val="none" w:sz="0" w:space="0" w:color="auto"/>
                <w:left w:val="none" w:sz="0" w:space="0" w:color="auto"/>
                <w:bottom w:val="none" w:sz="0" w:space="0" w:color="auto"/>
                <w:right w:val="none" w:sz="0" w:space="0" w:color="auto"/>
              </w:divBdr>
            </w:div>
          </w:divsChild>
        </w:div>
        <w:div w:id="1194001244">
          <w:marLeft w:val="0"/>
          <w:marRight w:val="0"/>
          <w:marTop w:val="0"/>
          <w:marBottom w:val="0"/>
          <w:divBdr>
            <w:top w:val="none" w:sz="0" w:space="0" w:color="auto"/>
            <w:left w:val="none" w:sz="0" w:space="0" w:color="auto"/>
            <w:bottom w:val="none" w:sz="0" w:space="0" w:color="auto"/>
            <w:right w:val="none" w:sz="0" w:space="0" w:color="auto"/>
          </w:divBdr>
          <w:divsChild>
            <w:div w:id="1093670849">
              <w:marLeft w:val="0"/>
              <w:marRight w:val="0"/>
              <w:marTop w:val="0"/>
              <w:marBottom w:val="0"/>
              <w:divBdr>
                <w:top w:val="none" w:sz="0" w:space="0" w:color="auto"/>
                <w:left w:val="none" w:sz="0" w:space="0" w:color="auto"/>
                <w:bottom w:val="none" w:sz="0" w:space="0" w:color="auto"/>
                <w:right w:val="none" w:sz="0" w:space="0" w:color="auto"/>
              </w:divBdr>
            </w:div>
          </w:divsChild>
        </w:div>
        <w:div w:id="1222206559">
          <w:marLeft w:val="0"/>
          <w:marRight w:val="0"/>
          <w:marTop w:val="0"/>
          <w:marBottom w:val="0"/>
          <w:divBdr>
            <w:top w:val="none" w:sz="0" w:space="0" w:color="auto"/>
            <w:left w:val="none" w:sz="0" w:space="0" w:color="auto"/>
            <w:bottom w:val="none" w:sz="0" w:space="0" w:color="auto"/>
            <w:right w:val="none" w:sz="0" w:space="0" w:color="auto"/>
          </w:divBdr>
          <w:divsChild>
            <w:div w:id="7861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382">
      <w:bodyDiv w:val="1"/>
      <w:marLeft w:val="0"/>
      <w:marRight w:val="0"/>
      <w:marTop w:val="0"/>
      <w:marBottom w:val="0"/>
      <w:divBdr>
        <w:top w:val="none" w:sz="0" w:space="0" w:color="auto"/>
        <w:left w:val="none" w:sz="0" w:space="0" w:color="auto"/>
        <w:bottom w:val="none" w:sz="0" w:space="0" w:color="auto"/>
        <w:right w:val="none" w:sz="0" w:space="0" w:color="auto"/>
      </w:divBdr>
    </w:div>
    <w:div w:id="1493788754">
      <w:bodyDiv w:val="1"/>
      <w:marLeft w:val="0"/>
      <w:marRight w:val="0"/>
      <w:marTop w:val="0"/>
      <w:marBottom w:val="0"/>
      <w:divBdr>
        <w:top w:val="none" w:sz="0" w:space="0" w:color="auto"/>
        <w:left w:val="none" w:sz="0" w:space="0" w:color="auto"/>
        <w:bottom w:val="none" w:sz="0" w:space="0" w:color="auto"/>
        <w:right w:val="none" w:sz="0" w:space="0" w:color="auto"/>
      </w:divBdr>
    </w:div>
    <w:div w:id="1495534812">
      <w:bodyDiv w:val="1"/>
      <w:marLeft w:val="0"/>
      <w:marRight w:val="0"/>
      <w:marTop w:val="0"/>
      <w:marBottom w:val="0"/>
      <w:divBdr>
        <w:top w:val="none" w:sz="0" w:space="0" w:color="auto"/>
        <w:left w:val="none" w:sz="0" w:space="0" w:color="auto"/>
        <w:bottom w:val="none" w:sz="0" w:space="0" w:color="auto"/>
        <w:right w:val="none" w:sz="0" w:space="0" w:color="auto"/>
      </w:divBdr>
    </w:div>
    <w:div w:id="1499615846">
      <w:bodyDiv w:val="1"/>
      <w:marLeft w:val="0"/>
      <w:marRight w:val="0"/>
      <w:marTop w:val="0"/>
      <w:marBottom w:val="0"/>
      <w:divBdr>
        <w:top w:val="none" w:sz="0" w:space="0" w:color="auto"/>
        <w:left w:val="none" w:sz="0" w:space="0" w:color="auto"/>
        <w:bottom w:val="none" w:sz="0" w:space="0" w:color="auto"/>
        <w:right w:val="none" w:sz="0" w:space="0" w:color="auto"/>
      </w:divBdr>
    </w:div>
    <w:div w:id="1520317842">
      <w:bodyDiv w:val="1"/>
      <w:marLeft w:val="0"/>
      <w:marRight w:val="0"/>
      <w:marTop w:val="0"/>
      <w:marBottom w:val="0"/>
      <w:divBdr>
        <w:top w:val="none" w:sz="0" w:space="0" w:color="auto"/>
        <w:left w:val="none" w:sz="0" w:space="0" w:color="auto"/>
        <w:bottom w:val="none" w:sz="0" w:space="0" w:color="auto"/>
        <w:right w:val="none" w:sz="0" w:space="0" w:color="auto"/>
      </w:divBdr>
    </w:div>
    <w:div w:id="1521814881">
      <w:bodyDiv w:val="1"/>
      <w:marLeft w:val="0"/>
      <w:marRight w:val="0"/>
      <w:marTop w:val="0"/>
      <w:marBottom w:val="0"/>
      <w:divBdr>
        <w:top w:val="none" w:sz="0" w:space="0" w:color="auto"/>
        <w:left w:val="none" w:sz="0" w:space="0" w:color="auto"/>
        <w:bottom w:val="none" w:sz="0" w:space="0" w:color="auto"/>
        <w:right w:val="none" w:sz="0" w:space="0" w:color="auto"/>
      </w:divBdr>
    </w:div>
    <w:div w:id="1523009121">
      <w:bodyDiv w:val="1"/>
      <w:marLeft w:val="0"/>
      <w:marRight w:val="0"/>
      <w:marTop w:val="0"/>
      <w:marBottom w:val="0"/>
      <w:divBdr>
        <w:top w:val="none" w:sz="0" w:space="0" w:color="auto"/>
        <w:left w:val="none" w:sz="0" w:space="0" w:color="auto"/>
        <w:bottom w:val="none" w:sz="0" w:space="0" w:color="auto"/>
        <w:right w:val="none" w:sz="0" w:space="0" w:color="auto"/>
      </w:divBdr>
    </w:div>
    <w:div w:id="1528910628">
      <w:bodyDiv w:val="1"/>
      <w:marLeft w:val="0"/>
      <w:marRight w:val="0"/>
      <w:marTop w:val="0"/>
      <w:marBottom w:val="0"/>
      <w:divBdr>
        <w:top w:val="none" w:sz="0" w:space="0" w:color="auto"/>
        <w:left w:val="none" w:sz="0" w:space="0" w:color="auto"/>
        <w:bottom w:val="none" w:sz="0" w:space="0" w:color="auto"/>
        <w:right w:val="none" w:sz="0" w:space="0" w:color="auto"/>
      </w:divBdr>
    </w:div>
    <w:div w:id="1535462885">
      <w:bodyDiv w:val="1"/>
      <w:marLeft w:val="0"/>
      <w:marRight w:val="0"/>
      <w:marTop w:val="0"/>
      <w:marBottom w:val="0"/>
      <w:divBdr>
        <w:top w:val="none" w:sz="0" w:space="0" w:color="auto"/>
        <w:left w:val="none" w:sz="0" w:space="0" w:color="auto"/>
        <w:bottom w:val="none" w:sz="0" w:space="0" w:color="auto"/>
        <w:right w:val="none" w:sz="0" w:space="0" w:color="auto"/>
      </w:divBdr>
    </w:div>
    <w:div w:id="1537428149">
      <w:bodyDiv w:val="1"/>
      <w:marLeft w:val="0"/>
      <w:marRight w:val="0"/>
      <w:marTop w:val="0"/>
      <w:marBottom w:val="0"/>
      <w:divBdr>
        <w:top w:val="none" w:sz="0" w:space="0" w:color="auto"/>
        <w:left w:val="none" w:sz="0" w:space="0" w:color="auto"/>
        <w:bottom w:val="none" w:sz="0" w:space="0" w:color="auto"/>
        <w:right w:val="none" w:sz="0" w:space="0" w:color="auto"/>
      </w:divBdr>
    </w:div>
    <w:div w:id="1539702794">
      <w:bodyDiv w:val="1"/>
      <w:marLeft w:val="0"/>
      <w:marRight w:val="0"/>
      <w:marTop w:val="0"/>
      <w:marBottom w:val="0"/>
      <w:divBdr>
        <w:top w:val="none" w:sz="0" w:space="0" w:color="auto"/>
        <w:left w:val="none" w:sz="0" w:space="0" w:color="auto"/>
        <w:bottom w:val="none" w:sz="0" w:space="0" w:color="auto"/>
        <w:right w:val="none" w:sz="0" w:space="0" w:color="auto"/>
      </w:divBdr>
    </w:div>
    <w:div w:id="1542284906">
      <w:bodyDiv w:val="1"/>
      <w:marLeft w:val="0"/>
      <w:marRight w:val="0"/>
      <w:marTop w:val="0"/>
      <w:marBottom w:val="0"/>
      <w:divBdr>
        <w:top w:val="none" w:sz="0" w:space="0" w:color="auto"/>
        <w:left w:val="none" w:sz="0" w:space="0" w:color="auto"/>
        <w:bottom w:val="none" w:sz="0" w:space="0" w:color="auto"/>
        <w:right w:val="none" w:sz="0" w:space="0" w:color="auto"/>
      </w:divBdr>
    </w:div>
    <w:div w:id="1542480072">
      <w:bodyDiv w:val="1"/>
      <w:marLeft w:val="0"/>
      <w:marRight w:val="0"/>
      <w:marTop w:val="0"/>
      <w:marBottom w:val="0"/>
      <w:divBdr>
        <w:top w:val="none" w:sz="0" w:space="0" w:color="auto"/>
        <w:left w:val="none" w:sz="0" w:space="0" w:color="auto"/>
        <w:bottom w:val="none" w:sz="0" w:space="0" w:color="auto"/>
        <w:right w:val="none" w:sz="0" w:space="0" w:color="auto"/>
      </w:divBdr>
    </w:div>
    <w:div w:id="1545361342">
      <w:bodyDiv w:val="1"/>
      <w:marLeft w:val="0"/>
      <w:marRight w:val="0"/>
      <w:marTop w:val="0"/>
      <w:marBottom w:val="0"/>
      <w:divBdr>
        <w:top w:val="none" w:sz="0" w:space="0" w:color="auto"/>
        <w:left w:val="none" w:sz="0" w:space="0" w:color="auto"/>
        <w:bottom w:val="none" w:sz="0" w:space="0" w:color="auto"/>
        <w:right w:val="none" w:sz="0" w:space="0" w:color="auto"/>
      </w:divBdr>
    </w:div>
    <w:div w:id="1548373215">
      <w:bodyDiv w:val="1"/>
      <w:marLeft w:val="0"/>
      <w:marRight w:val="0"/>
      <w:marTop w:val="0"/>
      <w:marBottom w:val="0"/>
      <w:divBdr>
        <w:top w:val="none" w:sz="0" w:space="0" w:color="auto"/>
        <w:left w:val="none" w:sz="0" w:space="0" w:color="auto"/>
        <w:bottom w:val="none" w:sz="0" w:space="0" w:color="auto"/>
        <w:right w:val="none" w:sz="0" w:space="0" w:color="auto"/>
      </w:divBdr>
    </w:div>
    <w:div w:id="1554925584">
      <w:bodyDiv w:val="1"/>
      <w:marLeft w:val="0"/>
      <w:marRight w:val="0"/>
      <w:marTop w:val="0"/>
      <w:marBottom w:val="0"/>
      <w:divBdr>
        <w:top w:val="none" w:sz="0" w:space="0" w:color="auto"/>
        <w:left w:val="none" w:sz="0" w:space="0" w:color="auto"/>
        <w:bottom w:val="none" w:sz="0" w:space="0" w:color="auto"/>
        <w:right w:val="none" w:sz="0" w:space="0" w:color="auto"/>
      </w:divBdr>
    </w:div>
    <w:div w:id="1562712408">
      <w:bodyDiv w:val="1"/>
      <w:marLeft w:val="0"/>
      <w:marRight w:val="0"/>
      <w:marTop w:val="0"/>
      <w:marBottom w:val="0"/>
      <w:divBdr>
        <w:top w:val="none" w:sz="0" w:space="0" w:color="auto"/>
        <w:left w:val="none" w:sz="0" w:space="0" w:color="auto"/>
        <w:bottom w:val="none" w:sz="0" w:space="0" w:color="auto"/>
        <w:right w:val="none" w:sz="0" w:space="0" w:color="auto"/>
      </w:divBdr>
    </w:div>
    <w:div w:id="1566647982">
      <w:bodyDiv w:val="1"/>
      <w:marLeft w:val="0"/>
      <w:marRight w:val="0"/>
      <w:marTop w:val="0"/>
      <w:marBottom w:val="0"/>
      <w:divBdr>
        <w:top w:val="none" w:sz="0" w:space="0" w:color="auto"/>
        <w:left w:val="none" w:sz="0" w:space="0" w:color="auto"/>
        <w:bottom w:val="none" w:sz="0" w:space="0" w:color="auto"/>
        <w:right w:val="none" w:sz="0" w:space="0" w:color="auto"/>
      </w:divBdr>
    </w:div>
    <w:div w:id="1568490860">
      <w:bodyDiv w:val="1"/>
      <w:marLeft w:val="0"/>
      <w:marRight w:val="0"/>
      <w:marTop w:val="0"/>
      <w:marBottom w:val="0"/>
      <w:divBdr>
        <w:top w:val="none" w:sz="0" w:space="0" w:color="auto"/>
        <w:left w:val="none" w:sz="0" w:space="0" w:color="auto"/>
        <w:bottom w:val="none" w:sz="0" w:space="0" w:color="auto"/>
        <w:right w:val="none" w:sz="0" w:space="0" w:color="auto"/>
      </w:divBdr>
    </w:div>
    <w:div w:id="1568951462">
      <w:bodyDiv w:val="1"/>
      <w:marLeft w:val="0"/>
      <w:marRight w:val="0"/>
      <w:marTop w:val="0"/>
      <w:marBottom w:val="0"/>
      <w:divBdr>
        <w:top w:val="none" w:sz="0" w:space="0" w:color="auto"/>
        <w:left w:val="none" w:sz="0" w:space="0" w:color="auto"/>
        <w:bottom w:val="none" w:sz="0" w:space="0" w:color="auto"/>
        <w:right w:val="none" w:sz="0" w:space="0" w:color="auto"/>
      </w:divBdr>
    </w:div>
    <w:div w:id="1594438268">
      <w:bodyDiv w:val="1"/>
      <w:marLeft w:val="0"/>
      <w:marRight w:val="0"/>
      <w:marTop w:val="0"/>
      <w:marBottom w:val="0"/>
      <w:divBdr>
        <w:top w:val="none" w:sz="0" w:space="0" w:color="auto"/>
        <w:left w:val="none" w:sz="0" w:space="0" w:color="auto"/>
        <w:bottom w:val="none" w:sz="0" w:space="0" w:color="auto"/>
        <w:right w:val="none" w:sz="0" w:space="0" w:color="auto"/>
      </w:divBdr>
    </w:div>
    <w:div w:id="1597515598">
      <w:bodyDiv w:val="1"/>
      <w:marLeft w:val="0"/>
      <w:marRight w:val="0"/>
      <w:marTop w:val="0"/>
      <w:marBottom w:val="0"/>
      <w:divBdr>
        <w:top w:val="none" w:sz="0" w:space="0" w:color="auto"/>
        <w:left w:val="none" w:sz="0" w:space="0" w:color="auto"/>
        <w:bottom w:val="none" w:sz="0" w:space="0" w:color="auto"/>
        <w:right w:val="none" w:sz="0" w:space="0" w:color="auto"/>
      </w:divBdr>
    </w:div>
    <w:div w:id="1609971048">
      <w:bodyDiv w:val="1"/>
      <w:marLeft w:val="0"/>
      <w:marRight w:val="0"/>
      <w:marTop w:val="0"/>
      <w:marBottom w:val="0"/>
      <w:divBdr>
        <w:top w:val="none" w:sz="0" w:space="0" w:color="auto"/>
        <w:left w:val="none" w:sz="0" w:space="0" w:color="auto"/>
        <w:bottom w:val="none" w:sz="0" w:space="0" w:color="auto"/>
        <w:right w:val="none" w:sz="0" w:space="0" w:color="auto"/>
      </w:divBdr>
    </w:div>
    <w:div w:id="1610313497">
      <w:bodyDiv w:val="1"/>
      <w:marLeft w:val="0"/>
      <w:marRight w:val="0"/>
      <w:marTop w:val="0"/>
      <w:marBottom w:val="0"/>
      <w:divBdr>
        <w:top w:val="none" w:sz="0" w:space="0" w:color="auto"/>
        <w:left w:val="none" w:sz="0" w:space="0" w:color="auto"/>
        <w:bottom w:val="none" w:sz="0" w:space="0" w:color="auto"/>
        <w:right w:val="none" w:sz="0" w:space="0" w:color="auto"/>
      </w:divBdr>
    </w:div>
    <w:div w:id="1614091396">
      <w:bodyDiv w:val="1"/>
      <w:marLeft w:val="0"/>
      <w:marRight w:val="0"/>
      <w:marTop w:val="0"/>
      <w:marBottom w:val="0"/>
      <w:divBdr>
        <w:top w:val="none" w:sz="0" w:space="0" w:color="auto"/>
        <w:left w:val="none" w:sz="0" w:space="0" w:color="auto"/>
        <w:bottom w:val="none" w:sz="0" w:space="0" w:color="auto"/>
        <w:right w:val="none" w:sz="0" w:space="0" w:color="auto"/>
      </w:divBdr>
    </w:div>
    <w:div w:id="1614440636">
      <w:bodyDiv w:val="1"/>
      <w:marLeft w:val="0"/>
      <w:marRight w:val="0"/>
      <w:marTop w:val="0"/>
      <w:marBottom w:val="0"/>
      <w:divBdr>
        <w:top w:val="none" w:sz="0" w:space="0" w:color="auto"/>
        <w:left w:val="none" w:sz="0" w:space="0" w:color="auto"/>
        <w:bottom w:val="none" w:sz="0" w:space="0" w:color="auto"/>
        <w:right w:val="none" w:sz="0" w:space="0" w:color="auto"/>
      </w:divBdr>
    </w:div>
    <w:div w:id="1619676674">
      <w:bodyDiv w:val="1"/>
      <w:marLeft w:val="0"/>
      <w:marRight w:val="0"/>
      <w:marTop w:val="0"/>
      <w:marBottom w:val="0"/>
      <w:divBdr>
        <w:top w:val="none" w:sz="0" w:space="0" w:color="auto"/>
        <w:left w:val="none" w:sz="0" w:space="0" w:color="auto"/>
        <w:bottom w:val="none" w:sz="0" w:space="0" w:color="auto"/>
        <w:right w:val="none" w:sz="0" w:space="0" w:color="auto"/>
      </w:divBdr>
    </w:div>
    <w:div w:id="1621764176">
      <w:bodyDiv w:val="1"/>
      <w:marLeft w:val="0"/>
      <w:marRight w:val="0"/>
      <w:marTop w:val="0"/>
      <w:marBottom w:val="0"/>
      <w:divBdr>
        <w:top w:val="none" w:sz="0" w:space="0" w:color="auto"/>
        <w:left w:val="none" w:sz="0" w:space="0" w:color="auto"/>
        <w:bottom w:val="none" w:sz="0" w:space="0" w:color="auto"/>
        <w:right w:val="none" w:sz="0" w:space="0" w:color="auto"/>
      </w:divBdr>
    </w:div>
    <w:div w:id="1631743388">
      <w:bodyDiv w:val="1"/>
      <w:marLeft w:val="0"/>
      <w:marRight w:val="0"/>
      <w:marTop w:val="0"/>
      <w:marBottom w:val="0"/>
      <w:divBdr>
        <w:top w:val="none" w:sz="0" w:space="0" w:color="auto"/>
        <w:left w:val="none" w:sz="0" w:space="0" w:color="auto"/>
        <w:bottom w:val="none" w:sz="0" w:space="0" w:color="auto"/>
        <w:right w:val="none" w:sz="0" w:space="0" w:color="auto"/>
      </w:divBdr>
    </w:div>
    <w:div w:id="1633054741">
      <w:bodyDiv w:val="1"/>
      <w:marLeft w:val="0"/>
      <w:marRight w:val="0"/>
      <w:marTop w:val="0"/>
      <w:marBottom w:val="0"/>
      <w:divBdr>
        <w:top w:val="none" w:sz="0" w:space="0" w:color="auto"/>
        <w:left w:val="none" w:sz="0" w:space="0" w:color="auto"/>
        <w:bottom w:val="none" w:sz="0" w:space="0" w:color="auto"/>
        <w:right w:val="none" w:sz="0" w:space="0" w:color="auto"/>
      </w:divBdr>
    </w:div>
    <w:div w:id="1638098901">
      <w:bodyDiv w:val="1"/>
      <w:marLeft w:val="0"/>
      <w:marRight w:val="0"/>
      <w:marTop w:val="0"/>
      <w:marBottom w:val="0"/>
      <w:divBdr>
        <w:top w:val="none" w:sz="0" w:space="0" w:color="auto"/>
        <w:left w:val="none" w:sz="0" w:space="0" w:color="auto"/>
        <w:bottom w:val="none" w:sz="0" w:space="0" w:color="auto"/>
        <w:right w:val="none" w:sz="0" w:space="0" w:color="auto"/>
      </w:divBdr>
    </w:div>
    <w:div w:id="1642463786">
      <w:bodyDiv w:val="1"/>
      <w:marLeft w:val="0"/>
      <w:marRight w:val="0"/>
      <w:marTop w:val="0"/>
      <w:marBottom w:val="0"/>
      <w:divBdr>
        <w:top w:val="none" w:sz="0" w:space="0" w:color="auto"/>
        <w:left w:val="none" w:sz="0" w:space="0" w:color="auto"/>
        <w:bottom w:val="none" w:sz="0" w:space="0" w:color="auto"/>
        <w:right w:val="none" w:sz="0" w:space="0" w:color="auto"/>
      </w:divBdr>
    </w:div>
    <w:div w:id="1648317902">
      <w:bodyDiv w:val="1"/>
      <w:marLeft w:val="0"/>
      <w:marRight w:val="0"/>
      <w:marTop w:val="0"/>
      <w:marBottom w:val="0"/>
      <w:divBdr>
        <w:top w:val="none" w:sz="0" w:space="0" w:color="auto"/>
        <w:left w:val="none" w:sz="0" w:space="0" w:color="auto"/>
        <w:bottom w:val="none" w:sz="0" w:space="0" w:color="auto"/>
        <w:right w:val="none" w:sz="0" w:space="0" w:color="auto"/>
      </w:divBdr>
    </w:div>
    <w:div w:id="1648319843">
      <w:bodyDiv w:val="1"/>
      <w:marLeft w:val="0"/>
      <w:marRight w:val="0"/>
      <w:marTop w:val="0"/>
      <w:marBottom w:val="0"/>
      <w:divBdr>
        <w:top w:val="none" w:sz="0" w:space="0" w:color="auto"/>
        <w:left w:val="none" w:sz="0" w:space="0" w:color="auto"/>
        <w:bottom w:val="none" w:sz="0" w:space="0" w:color="auto"/>
        <w:right w:val="none" w:sz="0" w:space="0" w:color="auto"/>
      </w:divBdr>
    </w:div>
    <w:div w:id="1650942870">
      <w:bodyDiv w:val="1"/>
      <w:marLeft w:val="0"/>
      <w:marRight w:val="0"/>
      <w:marTop w:val="0"/>
      <w:marBottom w:val="0"/>
      <w:divBdr>
        <w:top w:val="none" w:sz="0" w:space="0" w:color="auto"/>
        <w:left w:val="none" w:sz="0" w:space="0" w:color="auto"/>
        <w:bottom w:val="none" w:sz="0" w:space="0" w:color="auto"/>
        <w:right w:val="none" w:sz="0" w:space="0" w:color="auto"/>
      </w:divBdr>
    </w:div>
    <w:div w:id="1651861388">
      <w:bodyDiv w:val="1"/>
      <w:marLeft w:val="0"/>
      <w:marRight w:val="0"/>
      <w:marTop w:val="0"/>
      <w:marBottom w:val="0"/>
      <w:divBdr>
        <w:top w:val="none" w:sz="0" w:space="0" w:color="auto"/>
        <w:left w:val="none" w:sz="0" w:space="0" w:color="auto"/>
        <w:bottom w:val="none" w:sz="0" w:space="0" w:color="auto"/>
        <w:right w:val="none" w:sz="0" w:space="0" w:color="auto"/>
      </w:divBdr>
    </w:div>
    <w:div w:id="1657302303">
      <w:bodyDiv w:val="1"/>
      <w:marLeft w:val="0"/>
      <w:marRight w:val="0"/>
      <w:marTop w:val="0"/>
      <w:marBottom w:val="0"/>
      <w:divBdr>
        <w:top w:val="none" w:sz="0" w:space="0" w:color="auto"/>
        <w:left w:val="none" w:sz="0" w:space="0" w:color="auto"/>
        <w:bottom w:val="none" w:sz="0" w:space="0" w:color="auto"/>
        <w:right w:val="none" w:sz="0" w:space="0" w:color="auto"/>
      </w:divBdr>
    </w:div>
    <w:div w:id="1657997146">
      <w:bodyDiv w:val="1"/>
      <w:marLeft w:val="0"/>
      <w:marRight w:val="0"/>
      <w:marTop w:val="0"/>
      <w:marBottom w:val="0"/>
      <w:divBdr>
        <w:top w:val="none" w:sz="0" w:space="0" w:color="auto"/>
        <w:left w:val="none" w:sz="0" w:space="0" w:color="auto"/>
        <w:bottom w:val="none" w:sz="0" w:space="0" w:color="auto"/>
        <w:right w:val="none" w:sz="0" w:space="0" w:color="auto"/>
      </w:divBdr>
    </w:div>
    <w:div w:id="1667436020">
      <w:bodyDiv w:val="1"/>
      <w:marLeft w:val="0"/>
      <w:marRight w:val="0"/>
      <w:marTop w:val="0"/>
      <w:marBottom w:val="0"/>
      <w:divBdr>
        <w:top w:val="none" w:sz="0" w:space="0" w:color="auto"/>
        <w:left w:val="none" w:sz="0" w:space="0" w:color="auto"/>
        <w:bottom w:val="none" w:sz="0" w:space="0" w:color="auto"/>
        <w:right w:val="none" w:sz="0" w:space="0" w:color="auto"/>
      </w:divBdr>
    </w:div>
    <w:div w:id="1667587146">
      <w:bodyDiv w:val="1"/>
      <w:marLeft w:val="0"/>
      <w:marRight w:val="0"/>
      <w:marTop w:val="0"/>
      <w:marBottom w:val="0"/>
      <w:divBdr>
        <w:top w:val="none" w:sz="0" w:space="0" w:color="auto"/>
        <w:left w:val="none" w:sz="0" w:space="0" w:color="auto"/>
        <w:bottom w:val="none" w:sz="0" w:space="0" w:color="auto"/>
        <w:right w:val="none" w:sz="0" w:space="0" w:color="auto"/>
      </w:divBdr>
    </w:div>
    <w:div w:id="1680111527">
      <w:bodyDiv w:val="1"/>
      <w:marLeft w:val="0"/>
      <w:marRight w:val="0"/>
      <w:marTop w:val="0"/>
      <w:marBottom w:val="0"/>
      <w:divBdr>
        <w:top w:val="none" w:sz="0" w:space="0" w:color="auto"/>
        <w:left w:val="none" w:sz="0" w:space="0" w:color="auto"/>
        <w:bottom w:val="none" w:sz="0" w:space="0" w:color="auto"/>
        <w:right w:val="none" w:sz="0" w:space="0" w:color="auto"/>
      </w:divBdr>
    </w:div>
    <w:div w:id="1682928078">
      <w:bodyDiv w:val="1"/>
      <w:marLeft w:val="0"/>
      <w:marRight w:val="0"/>
      <w:marTop w:val="0"/>
      <w:marBottom w:val="0"/>
      <w:divBdr>
        <w:top w:val="none" w:sz="0" w:space="0" w:color="auto"/>
        <w:left w:val="none" w:sz="0" w:space="0" w:color="auto"/>
        <w:bottom w:val="none" w:sz="0" w:space="0" w:color="auto"/>
        <w:right w:val="none" w:sz="0" w:space="0" w:color="auto"/>
      </w:divBdr>
    </w:div>
    <w:div w:id="1682928256">
      <w:bodyDiv w:val="1"/>
      <w:marLeft w:val="0"/>
      <w:marRight w:val="0"/>
      <w:marTop w:val="0"/>
      <w:marBottom w:val="0"/>
      <w:divBdr>
        <w:top w:val="none" w:sz="0" w:space="0" w:color="auto"/>
        <w:left w:val="none" w:sz="0" w:space="0" w:color="auto"/>
        <w:bottom w:val="none" w:sz="0" w:space="0" w:color="auto"/>
        <w:right w:val="none" w:sz="0" w:space="0" w:color="auto"/>
      </w:divBdr>
    </w:div>
    <w:div w:id="1684865303">
      <w:bodyDiv w:val="1"/>
      <w:marLeft w:val="0"/>
      <w:marRight w:val="0"/>
      <w:marTop w:val="0"/>
      <w:marBottom w:val="0"/>
      <w:divBdr>
        <w:top w:val="none" w:sz="0" w:space="0" w:color="auto"/>
        <w:left w:val="none" w:sz="0" w:space="0" w:color="auto"/>
        <w:bottom w:val="none" w:sz="0" w:space="0" w:color="auto"/>
        <w:right w:val="none" w:sz="0" w:space="0" w:color="auto"/>
      </w:divBdr>
    </w:div>
    <w:div w:id="1690982950">
      <w:bodyDiv w:val="1"/>
      <w:marLeft w:val="0"/>
      <w:marRight w:val="0"/>
      <w:marTop w:val="0"/>
      <w:marBottom w:val="0"/>
      <w:divBdr>
        <w:top w:val="none" w:sz="0" w:space="0" w:color="auto"/>
        <w:left w:val="none" w:sz="0" w:space="0" w:color="auto"/>
        <w:bottom w:val="none" w:sz="0" w:space="0" w:color="auto"/>
        <w:right w:val="none" w:sz="0" w:space="0" w:color="auto"/>
      </w:divBdr>
    </w:div>
    <w:div w:id="1694261779">
      <w:bodyDiv w:val="1"/>
      <w:marLeft w:val="0"/>
      <w:marRight w:val="0"/>
      <w:marTop w:val="0"/>
      <w:marBottom w:val="0"/>
      <w:divBdr>
        <w:top w:val="none" w:sz="0" w:space="0" w:color="auto"/>
        <w:left w:val="none" w:sz="0" w:space="0" w:color="auto"/>
        <w:bottom w:val="none" w:sz="0" w:space="0" w:color="auto"/>
        <w:right w:val="none" w:sz="0" w:space="0" w:color="auto"/>
      </w:divBdr>
    </w:div>
    <w:div w:id="1703945082">
      <w:bodyDiv w:val="1"/>
      <w:marLeft w:val="0"/>
      <w:marRight w:val="0"/>
      <w:marTop w:val="0"/>
      <w:marBottom w:val="0"/>
      <w:divBdr>
        <w:top w:val="none" w:sz="0" w:space="0" w:color="auto"/>
        <w:left w:val="none" w:sz="0" w:space="0" w:color="auto"/>
        <w:bottom w:val="none" w:sz="0" w:space="0" w:color="auto"/>
        <w:right w:val="none" w:sz="0" w:space="0" w:color="auto"/>
      </w:divBdr>
    </w:div>
    <w:div w:id="1709452033">
      <w:bodyDiv w:val="1"/>
      <w:marLeft w:val="0"/>
      <w:marRight w:val="0"/>
      <w:marTop w:val="0"/>
      <w:marBottom w:val="0"/>
      <w:divBdr>
        <w:top w:val="none" w:sz="0" w:space="0" w:color="auto"/>
        <w:left w:val="none" w:sz="0" w:space="0" w:color="auto"/>
        <w:bottom w:val="none" w:sz="0" w:space="0" w:color="auto"/>
        <w:right w:val="none" w:sz="0" w:space="0" w:color="auto"/>
      </w:divBdr>
    </w:div>
    <w:div w:id="1710643134">
      <w:bodyDiv w:val="1"/>
      <w:marLeft w:val="0"/>
      <w:marRight w:val="0"/>
      <w:marTop w:val="0"/>
      <w:marBottom w:val="0"/>
      <w:divBdr>
        <w:top w:val="none" w:sz="0" w:space="0" w:color="auto"/>
        <w:left w:val="none" w:sz="0" w:space="0" w:color="auto"/>
        <w:bottom w:val="none" w:sz="0" w:space="0" w:color="auto"/>
        <w:right w:val="none" w:sz="0" w:space="0" w:color="auto"/>
      </w:divBdr>
    </w:div>
    <w:div w:id="1718312040">
      <w:bodyDiv w:val="1"/>
      <w:marLeft w:val="0"/>
      <w:marRight w:val="0"/>
      <w:marTop w:val="0"/>
      <w:marBottom w:val="0"/>
      <w:divBdr>
        <w:top w:val="none" w:sz="0" w:space="0" w:color="auto"/>
        <w:left w:val="none" w:sz="0" w:space="0" w:color="auto"/>
        <w:bottom w:val="none" w:sz="0" w:space="0" w:color="auto"/>
        <w:right w:val="none" w:sz="0" w:space="0" w:color="auto"/>
      </w:divBdr>
    </w:div>
    <w:div w:id="1731534295">
      <w:bodyDiv w:val="1"/>
      <w:marLeft w:val="0"/>
      <w:marRight w:val="0"/>
      <w:marTop w:val="0"/>
      <w:marBottom w:val="0"/>
      <w:divBdr>
        <w:top w:val="none" w:sz="0" w:space="0" w:color="auto"/>
        <w:left w:val="none" w:sz="0" w:space="0" w:color="auto"/>
        <w:bottom w:val="none" w:sz="0" w:space="0" w:color="auto"/>
        <w:right w:val="none" w:sz="0" w:space="0" w:color="auto"/>
      </w:divBdr>
    </w:div>
    <w:div w:id="1737900470">
      <w:bodyDiv w:val="1"/>
      <w:marLeft w:val="0"/>
      <w:marRight w:val="0"/>
      <w:marTop w:val="0"/>
      <w:marBottom w:val="0"/>
      <w:divBdr>
        <w:top w:val="none" w:sz="0" w:space="0" w:color="auto"/>
        <w:left w:val="none" w:sz="0" w:space="0" w:color="auto"/>
        <w:bottom w:val="none" w:sz="0" w:space="0" w:color="auto"/>
        <w:right w:val="none" w:sz="0" w:space="0" w:color="auto"/>
      </w:divBdr>
    </w:div>
    <w:div w:id="1739085477">
      <w:bodyDiv w:val="1"/>
      <w:marLeft w:val="0"/>
      <w:marRight w:val="0"/>
      <w:marTop w:val="0"/>
      <w:marBottom w:val="0"/>
      <w:divBdr>
        <w:top w:val="none" w:sz="0" w:space="0" w:color="auto"/>
        <w:left w:val="none" w:sz="0" w:space="0" w:color="auto"/>
        <w:bottom w:val="none" w:sz="0" w:space="0" w:color="auto"/>
        <w:right w:val="none" w:sz="0" w:space="0" w:color="auto"/>
      </w:divBdr>
    </w:div>
    <w:div w:id="1744444618">
      <w:bodyDiv w:val="1"/>
      <w:marLeft w:val="0"/>
      <w:marRight w:val="0"/>
      <w:marTop w:val="0"/>
      <w:marBottom w:val="0"/>
      <w:divBdr>
        <w:top w:val="none" w:sz="0" w:space="0" w:color="auto"/>
        <w:left w:val="none" w:sz="0" w:space="0" w:color="auto"/>
        <w:bottom w:val="none" w:sz="0" w:space="0" w:color="auto"/>
        <w:right w:val="none" w:sz="0" w:space="0" w:color="auto"/>
      </w:divBdr>
    </w:div>
    <w:div w:id="1744983765">
      <w:bodyDiv w:val="1"/>
      <w:marLeft w:val="0"/>
      <w:marRight w:val="0"/>
      <w:marTop w:val="0"/>
      <w:marBottom w:val="0"/>
      <w:divBdr>
        <w:top w:val="none" w:sz="0" w:space="0" w:color="auto"/>
        <w:left w:val="none" w:sz="0" w:space="0" w:color="auto"/>
        <w:bottom w:val="none" w:sz="0" w:space="0" w:color="auto"/>
        <w:right w:val="none" w:sz="0" w:space="0" w:color="auto"/>
      </w:divBdr>
    </w:div>
    <w:div w:id="1751072821">
      <w:bodyDiv w:val="1"/>
      <w:marLeft w:val="0"/>
      <w:marRight w:val="0"/>
      <w:marTop w:val="0"/>
      <w:marBottom w:val="0"/>
      <w:divBdr>
        <w:top w:val="none" w:sz="0" w:space="0" w:color="auto"/>
        <w:left w:val="none" w:sz="0" w:space="0" w:color="auto"/>
        <w:bottom w:val="none" w:sz="0" w:space="0" w:color="auto"/>
        <w:right w:val="none" w:sz="0" w:space="0" w:color="auto"/>
      </w:divBdr>
    </w:div>
    <w:div w:id="1751265924">
      <w:bodyDiv w:val="1"/>
      <w:marLeft w:val="0"/>
      <w:marRight w:val="0"/>
      <w:marTop w:val="0"/>
      <w:marBottom w:val="0"/>
      <w:divBdr>
        <w:top w:val="none" w:sz="0" w:space="0" w:color="auto"/>
        <w:left w:val="none" w:sz="0" w:space="0" w:color="auto"/>
        <w:bottom w:val="none" w:sz="0" w:space="0" w:color="auto"/>
        <w:right w:val="none" w:sz="0" w:space="0" w:color="auto"/>
      </w:divBdr>
    </w:div>
    <w:div w:id="1751464855">
      <w:bodyDiv w:val="1"/>
      <w:marLeft w:val="0"/>
      <w:marRight w:val="0"/>
      <w:marTop w:val="0"/>
      <w:marBottom w:val="0"/>
      <w:divBdr>
        <w:top w:val="none" w:sz="0" w:space="0" w:color="auto"/>
        <w:left w:val="none" w:sz="0" w:space="0" w:color="auto"/>
        <w:bottom w:val="none" w:sz="0" w:space="0" w:color="auto"/>
        <w:right w:val="none" w:sz="0" w:space="0" w:color="auto"/>
      </w:divBdr>
    </w:div>
    <w:div w:id="1752237619">
      <w:bodyDiv w:val="1"/>
      <w:marLeft w:val="0"/>
      <w:marRight w:val="0"/>
      <w:marTop w:val="0"/>
      <w:marBottom w:val="0"/>
      <w:divBdr>
        <w:top w:val="none" w:sz="0" w:space="0" w:color="auto"/>
        <w:left w:val="none" w:sz="0" w:space="0" w:color="auto"/>
        <w:bottom w:val="none" w:sz="0" w:space="0" w:color="auto"/>
        <w:right w:val="none" w:sz="0" w:space="0" w:color="auto"/>
      </w:divBdr>
    </w:div>
    <w:div w:id="1752464312">
      <w:bodyDiv w:val="1"/>
      <w:marLeft w:val="0"/>
      <w:marRight w:val="0"/>
      <w:marTop w:val="0"/>
      <w:marBottom w:val="0"/>
      <w:divBdr>
        <w:top w:val="none" w:sz="0" w:space="0" w:color="auto"/>
        <w:left w:val="none" w:sz="0" w:space="0" w:color="auto"/>
        <w:bottom w:val="none" w:sz="0" w:space="0" w:color="auto"/>
        <w:right w:val="none" w:sz="0" w:space="0" w:color="auto"/>
      </w:divBdr>
    </w:div>
    <w:div w:id="1757551561">
      <w:bodyDiv w:val="1"/>
      <w:marLeft w:val="0"/>
      <w:marRight w:val="0"/>
      <w:marTop w:val="0"/>
      <w:marBottom w:val="0"/>
      <w:divBdr>
        <w:top w:val="none" w:sz="0" w:space="0" w:color="auto"/>
        <w:left w:val="none" w:sz="0" w:space="0" w:color="auto"/>
        <w:bottom w:val="none" w:sz="0" w:space="0" w:color="auto"/>
        <w:right w:val="none" w:sz="0" w:space="0" w:color="auto"/>
      </w:divBdr>
    </w:div>
    <w:div w:id="1759519945">
      <w:bodyDiv w:val="1"/>
      <w:marLeft w:val="0"/>
      <w:marRight w:val="0"/>
      <w:marTop w:val="0"/>
      <w:marBottom w:val="0"/>
      <w:divBdr>
        <w:top w:val="none" w:sz="0" w:space="0" w:color="auto"/>
        <w:left w:val="none" w:sz="0" w:space="0" w:color="auto"/>
        <w:bottom w:val="none" w:sz="0" w:space="0" w:color="auto"/>
        <w:right w:val="none" w:sz="0" w:space="0" w:color="auto"/>
      </w:divBdr>
    </w:div>
    <w:div w:id="1762220697">
      <w:bodyDiv w:val="1"/>
      <w:marLeft w:val="0"/>
      <w:marRight w:val="0"/>
      <w:marTop w:val="0"/>
      <w:marBottom w:val="0"/>
      <w:divBdr>
        <w:top w:val="none" w:sz="0" w:space="0" w:color="auto"/>
        <w:left w:val="none" w:sz="0" w:space="0" w:color="auto"/>
        <w:bottom w:val="none" w:sz="0" w:space="0" w:color="auto"/>
        <w:right w:val="none" w:sz="0" w:space="0" w:color="auto"/>
      </w:divBdr>
    </w:div>
    <w:div w:id="1763136614">
      <w:bodyDiv w:val="1"/>
      <w:marLeft w:val="0"/>
      <w:marRight w:val="0"/>
      <w:marTop w:val="0"/>
      <w:marBottom w:val="0"/>
      <w:divBdr>
        <w:top w:val="none" w:sz="0" w:space="0" w:color="auto"/>
        <w:left w:val="none" w:sz="0" w:space="0" w:color="auto"/>
        <w:bottom w:val="none" w:sz="0" w:space="0" w:color="auto"/>
        <w:right w:val="none" w:sz="0" w:space="0" w:color="auto"/>
      </w:divBdr>
    </w:div>
    <w:div w:id="1763644071">
      <w:bodyDiv w:val="1"/>
      <w:marLeft w:val="0"/>
      <w:marRight w:val="0"/>
      <w:marTop w:val="0"/>
      <w:marBottom w:val="0"/>
      <w:divBdr>
        <w:top w:val="none" w:sz="0" w:space="0" w:color="auto"/>
        <w:left w:val="none" w:sz="0" w:space="0" w:color="auto"/>
        <w:bottom w:val="none" w:sz="0" w:space="0" w:color="auto"/>
        <w:right w:val="none" w:sz="0" w:space="0" w:color="auto"/>
      </w:divBdr>
    </w:div>
    <w:div w:id="1765413345">
      <w:bodyDiv w:val="1"/>
      <w:marLeft w:val="0"/>
      <w:marRight w:val="0"/>
      <w:marTop w:val="0"/>
      <w:marBottom w:val="0"/>
      <w:divBdr>
        <w:top w:val="none" w:sz="0" w:space="0" w:color="auto"/>
        <w:left w:val="none" w:sz="0" w:space="0" w:color="auto"/>
        <w:bottom w:val="none" w:sz="0" w:space="0" w:color="auto"/>
        <w:right w:val="none" w:sz="0" w:space="0" w:color="auto"/>
      </w:divBdr>
    </w:div>
    <w:div w:id="1765682224">
      <w:bodyDiv w:val="1"/>
      <w:marLeft w:val="0"/>
      <w:marRight w:val="0"/>
      <w:marTop w:val="0"/>
      <w:marBottom w:val="0"/>
      <w:divBdr>
        <w:top w:val="none" w:sz="0" w:space="0" w:color="auto"/>
        <w:left w:val="none" w:sz="0" w:space="0" w:color="auto"/>
        <w:bottom w:val="none" w:sz="0" w:space="0" w:color="auto"/>
        <w:right w:val="none" w:sz="0" w:space="0" w:color="auto"/>
      </w:divBdr>
    </w:div>
    <w:div w:id="1770002912">
      <w:bodyDiv w:val="1"/>
      <w:marLeft w:val="0"/>
      <w:marRight w:val="0"/>
      <w:marTop w:val="0"/>
      <w:marBottom w:val="0"/>
      <w:divBdr>
        <w:top w:val="none" w:sz="0" w:space="0" w:color="auto"/>
        <w:left w:val="none" w:sz="0" w:space="0" w:color="auto"/>
        <w:bottom w:val="none" w:sz="0" w:space="0" w:color="auto"/>
        <w:right w:val="none" w:sz="0" w:space="0" w:color="auto"/>
      </w:divBdr>
    </w:div>
    <w:div w:id="1772626892">
      <w:bodyDiv w:val="1"/>
      <w:marLeft w:val="0"/>
      <w:marRight w:val="0"/>
      <w:marTop w:val="0"/>
      <w:marBottom w:val="0"/>
      <w:divBdr>
        <w:top w:val="none" w:sz="0" w:space="0" w:color="auto"/>
        <w:left w:val="none" w:sz="0" w:space="0" w:color="auto"/>
        <w:bottom w:val="none" w:sz="0" w:space="0" w:color="auto"/>
        <w:right w:val="none" w:sz="0" w:space="0" w:color="auto"/>
      </w:divBdr>
    </w:div>
    <w:div w:id="1774667362">
      <w:bodyDiv w:val="1"/>
      <w:marLeft w:val="0"/>
      <w:marRight w:val="0"/>
      <w:marTop w:val="0"/>
      <w:marBottom w:val="0"/>
      <w:divBdr>
        <w:top w:val="none" w:sz="0" w:space="0" w:color="auto"/>
        <w:left w:val="none" w:sz="0" w:space="0" w:color="auto"/>
        <w:bottom w:val="none" w:sz="0" w:space="0" w:color="auto"/>
        <w:right w:val="none" w:sz="0" w:space="0" w:color="auto"/>
      </w:divBdr>
    </w:div>
    <w:div w:id="1775517324">
      <w:bodyDiv w:val="1"/>
      <w:marLeft w:val="0"/>
      <w:marRight w:val="0"/>
      <w:marTop w:val="0"/>
      <w:marBottom w:val="0"/>
      <w:divBdr>
        <w:top w:val="none" w:sz="0" w:space="0" w:color="auto"/>
        <w:left w:val="none" w:sz="0" w:space="0" w:color="auto"/>
        <w:bottom w:val="none" w:sz="0" w:space="0" w:color="auto"/>
        <w:right w:val="none" w:sz="0" w:space="0" w:color="auto"/>
      </w:divBdr>
    </w:div>
    <w:div w:id="1780641200">
      <w:bodyDiv w:val="1"/>
      <w:marLeft w:val="0"/>
      <w:marRight w:val="0"/>
      <w:marTop w:val="0"/>
      <w:marBottom w:val="0"/>
      <w:divBdr>
        <w:top w:val="none" w:sz="0" w:space="0" w:color="auto"/>
        <w:left w:val="none" w:sz="0" w:space="0" w:color="auto"/>
        <w:bottom w:val="none" w:sz="0" w:space="0" w:color="auto"/>
        <w:right w:val="none" w:sz="0" w:space="0" w:color="auto"/>
      </w:divBdr>
    </w:div>
    <w:div w:id="1786999076">
      <w:bodyDiv w:val="1"/>
      <w:marLeft w:val="0"/>
      <w:marRight w:val="0"/>
      <w:marTop w:val="0"/>
      <w:marBottom w:val="0"/>
      <w:divBdr>
        <w:top w:val="none" w:sz="0" w:space="0" w:color="auto"/>
        <w:left w:val="none" w:sz="0" w:space="0" w:color="auto"/>
        <w:bottom w:val="none" w:sz="0" w:space="0" w:color="auto"/>
        <w:right w:val="none" w:sz="0" w:space="0" w:color="auto"/>
      </w:divBdr>
    </w:div>
    <w:div w:id="1787774427">
      <w:bodyDiv w:val="1"/>
      <w:marLeft w:val="0"/>
      <w:marRight w:val="0"/>
      <w:marTop w:val="0"/>
      <w:marBottom w:val="0"/>
      <w:divBdr>
        <w:top w:val="none" w:sz="0" w:space="0" w:color="auto"/>
        <w:left w:val="none" w:sz="0" w:space="0" w:color="auto"/>
        <w:bottom w:val="none" w:sz="0" w:space="0" w:color="auto"/>
        <w:right w:val="none" w:sz="0" w:space="0" w:color="auto"/>
      </w:divBdr>
    </w:div>
    <w:div w:id="1803034586">
      <w:bodyDiv w:val="1"/>
      <w:marLeft w:val="0"/>
      <w:marRight w:val="0"/>
      <w:marTop w:val="0"/>
      <w:marBottom w:val="0"/>
      <w:divBdr>
        <w:top w:val="none" w:sz="0" w:space="0" w:color="auto"/>
        <w:left w:val="none" w:sz="0" w:space="0" w:color="auto"/>
        <w:bottom w:val="none" w:sz="0" w:space="0" w:color="auto"/>
        <w:right w:val="none" w:sz="0" w:space="0" w:color="auto"/>
      </w:divBdr>
    </w:div>
    <w:div w:id="1807889073">
      <w:bodyDiv w:val="1"/>
      <w:marLeft w:val="0"/>
      <w:marRight w:val="0"/>
      <w:marTop w:val="0"/>
      <w:marBottom w:val="0"/>
      <w:divBdr>
        <w:top w:val="none" w:sz="0" w:space="0" w:color="auto"/>
        <w:left w:val="none" w:sz="0" w:space="0" w:color="auto"/>
        <w:bottom w:val="none" w:sz="0" w:space="0" w:color="auto"/>
        <w:right w:val="none" w:sz="0" w:space="0" w:color="auto"/>
      </w:divBdr>
    </w:div>
    <w:div w:id="1809320842">
      <w:bodyDiv w:val="1"/>
      <w:marLeft w:val="0"/>
      <w:marRight w:val="0"/>
      <w:marTop w:val="0"/>
      <w:marBottom w:val="0"/>
      <w:divBdr>
        <w:top w:val="none" w:sz="0" w:space="0" w:color="auto"/>
        <w:left w:val="none" w:sz="0" w:space="0" w:color="auto"/>
        <w:bottom w:val="none" w:sz="0" w:space="0" w:color="auto"/>
        <w:right w:val="none" w:sz="0" w:space="0" w:color="auto"/>
      </w:divBdr>
    </w:div>
    <w:div w:id="1809935654">
      <w:bodyDiv w:val="1"/>
      <w:marLeft w:val="0"/>
      <w:marRight w:val="0"/>
      <w:marTop w:val="0"/>
      <w:marBottom w:val="0"/>
      <w:divBdr>
        <w:top w:val="none" w:sz="0" w:space="0" w:color="auto"/>
        <w:left w:val="none" w:sz="0" w:space="0" w:color="auto"/>
        <w:bottom w:val="none" w:sz="0" w:space="0" w:color="auto"/>
        <w:right w:val="none" w:sz="0" w:space="0" w:color="auto"/>
      </w:divBdr>
    </w:div>
    <w:div w:id="1810628940">
      <w:bodyDiv w:val="1"/>
      <w:marLeft w:val="0"/>
      <w:marRight w:val="0"/>
      <w:marTop w:val="0"/>
      <w:marBottom w:val="0"/>
      <w:divBdr>
        <w:top w:val="none" w:sz="0" w:space="0" w:color="auto"/>
        <w:left w:val="none" w:sz="0" w:space="0" w:color="auto"/>
        <w:bottom w:val="none" w:sz="0" w:space="0" w:color="auto"/>
        <w:right w:val="none" w:sz="0" w:space="0" w:color="auto"/>
      </w:divBdr>
    </w:div>
    <w:div w:id="1811627738">
      <w:bodyDiv w:val="1"/>
      <w:marLeft w:val="0"/>
      <w:marRight w:val="0"/>
      <w:marTop w:val="0"/>
      <w:marBottom w:val="0"/>
      <w:divBdr>
        <w:top w:val="none" w:sz="0" w:space="0" w:color="auto"/>
        <w:left w:val="none" w:sz="0" w:space="0" w:color="auto"/>
        <w:bottom w:val="none" w:sz="0" w:space="0" w:color="auto"/>
        <w:right w:val="none" w:sz="0" w:space="0" w:color="auto"/>
      </w:divBdr>
    </w:div>
    <w:div w:id="1813717886">
      <w:bodyDiv w:val="1"/>
      <w:marLeft w:val="0"/>
      <w:marRight w:val="0"/>
      <w:marTop w:val="0"/>
      <w:marBottom w:val="0"/>
      <w:divBdr>
        <w:top w:val="none" w:sz="0" w:space="0" w:color="auto"/>
        <w:left w:val="none" w:sz="0" w:space="0" w:color="auto"/>
        <w:bottom w:val="none" w:sz="0" w:space="0" w:color="auto"/>
        <w:right w:val="none" w:sz="0" w:space="0" w:color="auto"/>
      </w:divBdr>
    </w:div>
    <w:div w:id="1817382176">
      <w:bodyDiv w:val="1"/>
      <w:marLeft w:val="0"/>
      <w:marRight w:val="0"/>
      <w:marTop w:val="0"/>
      <w:marBottom w:val="0"/>
      <w:divBdr>
        <w:top w:val="none" w:sz="0" w:space="0" w:color="auto"/>
        <w:left w:val="none" w:sz="0" w:space="0" w:color="auto"/>
        <w:bottom w:val="none" w:sz="0" w:space="0" w:color="auto"/>
        <w:right w:val="none" w:sz="0" w:space="0" w:color="auto"/>
      </w:divBdr>
    </w:div>
    <w:div w:id="1818838427">
      <w:bodyDiv w:val="1"/>
      <w:marLeft w:val="0"/>
      <w:marRight w:val="0"/>
      <w:marTop w:val="0"/>
      <w:marBottom w:val="0"/>
      <w:divBdr>
        <w:top w:val="none" w:sz="0" w:space="0" w:color="auto"/>
        <w:left w:val="none" w:sz="0" w:space="0" w:color="auto"/>
        <w:bottom w:val="none" w:sz="0" w:space="0" w:color="auto"/>
        <w:right w:val="none" w:sz="0" w:space="0" w:color="auto"/>
      </w:divBdr>
    </w:div>
    <w:div w:id="1819570579">
      <w:bodyDiv w:val="1"/>
      <w:marLeft w:val="0"/>
      <w:marRight w:val="0"/>
      <w:marTop w:val="0"/>
      <w:marBottom w:val="0"/>
      <w:divBdr>
        <w:top w:val="none" w:sz="0" w:space="0" w:color="auto"/>
        <w:left w:val="none" w:sz="0" w:space="0" w:color="auto"/>
        <w:bottom w:val="none" w:sz="0" w:space="0" w:color="auto"/>
        <w:right w:val="none" w:sz="0" w:space="0" w:color="auto"/>
      </w:divBdr>
    </w:div>
    <w:div w:id="1820338372">
      <w:bodyDiv w:val="1"/>
      <w:marLeft w:val="0"/>
      <w:marRight w:val="0"/>
      <w:marTop w:val="0"/>
      <w:marBottom w:val="0"/>
      <w:divBdr>
        <w:top w:val="none" w:sz="0" w:space="0" w:color="auto"/>
        <w:left w:val="none" w:sz="0" w:space="0" w:color="auto"/>
        <w:bottom w:val="none" w:sz="0" w:space="0" w:color="auto"/>
        <w:right w:val="none" w:sz="0" w:space="0" w:color="auto"/>
      </w:divBdr>
    </w:div>
    <w:div w:id="1823883537">
      <w:bodyDiv w:val="1"/>
      <w:marLeft w:val="0"/>
      <w:marRight w:val="0"/>
      <w:marTop w:val="0"/>
      <w:marBottom w:val="0"/>
      <w:divBdr>
        <w:top w:val="none" w:sz="0" w:space="0" w:color="auto"/>
        <w:left w:val="none" w:sz="0" w:space="0" w:color="auto"/>
        <w:bottom w:val="none" w:sz="0" w:space="0" w:color="auto"/>
        <w:right w:val="none" w:sz="0" w:space="0" w:color="auto"/>
      </w:divBdr>
    </w:div>
    <w:div w:id="1825077536">
      <w:bodyDiv w:val="1"/>
      <w:marLeft w:val="0"/>
      <w:marRight w:val="0"/>
      <w:marTop w:val="0"/>
      <w:marBottom w:val="0"/>
      <w:divBdr>
        <w:top w:val="none" w:sz="0" w:space="0" w:color="auto"/>
        <w:left w:val="none" w:sz="0" w:space="0" w:color="auto"/>
        <w:bottom w:val="none" w:sz="0" w:space="0" w:color="auto"/>
        <w:right w:val="none" w:sz="0" w:space="0" w:color="auto"/>
      </w:divBdr>
    </w:div>
    <w:div w:id="1829710607">
      <w:bodyDiv w:val="1"/>
      <w:marLeft w:val="0"/>
      <w:marRight w:val="0"/>
      <w:marTop w:val="0"/>
      <w:marBottom w:val="0"/>
      <w:divBdr>
        <w:top w:val="none" w:sz="0" w:space="0" w:color="auto"/>
        <w:left w:val="none" w:sz="0" w:space="0" w:color="auto"/>
        <w:bottom w:val="none" w:sz="0" w:space="0" w:color="auto"/>
        <w:right w:val="none" w:sz="0" w:space="0" w:color="auto"/>
      </w:divBdr>
    </w:div>
    <w:div w:id="1832477342">
      <w:bodyDiv w:val="1"/>
      <w:marLeft w:val="0"/>
      <w:marRight w:val="0"/>
      <w:marTop w:val="0"/>
      <w:marBottom w:val="0"/>
      <w:divBdr>
        <w:top w:val="none" w:sz="0" w:space="0" w:color="auto"/>
        <w:left w:val="none" w:sz="0" w:space="0" w:color="auto"/>
        <w:bottom w:val="none" w:sz="0" w:space="0" w:color="auto"/>
        <w:right w:val="none" w:sz="0" w:space="0" w:color="auto"/>
      </w:divBdr>
    </w:div>
    <w:div w:id="1835342097">
      <w:bodyDiv w:val="1"/>
      <w:marLeft w:val="0"/>
      <w:marRight w:val="0"/>
      <w:marTop w:val="0"/>
      <w:marBottom w:val="0"/>
      <w:divBdr>
        <w:top w:val="none" w:sz="0" w:space="0" w:color="auto"/>
        <w:left w:val="none" w:sz="0" w:space="0" w:color="auto"/>
        <w:bottom w:val="none" w:sz="0" w:space="0" w:color="auto"/>
        <w:right w:val="none" w:sz="0" w:space="0" w:color="auto"/>
      </w:divBdr>
    </w:div>
    <w:div w:id="1838572971">
      <w:bodyDiv w:val="1"/>
      <w:marLeft w:val="0"/>
      <w:marRight w:val="0"/>
      <w:marTop w:val="0"/>
      <w:marBottom w:val="0"/>
      <w:divBdr>
        <w:top w:val="none" w:sz="0" w:space="0" w:color="auto"/>
        <w:left w:val="none" w:sz="0" w:space="0" w:color="auto"/>
        <w:bottom w:val="none" w:sz="0" w:space="0" w:color="auto"/>
        <w:right w:val="none" w:sz="0" w:space="0" w:color="auto"/>
      </w:divBdr>
    </w:div>
    <w:div w:id="1839230793">
      <w:bodyDiv w:val="1"/>
      <w:marLeft w:val="0"/>
      <w:marRight w:val="0"/>
      <w:marTop w:val="0"/>
      <w:marBottom w:val="0"/>
      <w:divBdr>
        <w:top w:val="none" w:sz="0" w:space="0" w:color="auto"/>
        <w:left w:val="none" w:sz="0" w:space="0" w:color="auto"/>
        <w:bottom w:val="none" w:sz="0" w:space="0" w:color="auto"/>
        <w:right w:val="none" w:sz="0" w:space="0" w:color="auto"/>
      </w:divBdr>
    </w:div>
    <w:div w:id="1839464597">
      <w:bodyDiv w:val="1"/>
      <w:marLeft w:val="0"/>
      <w:marRight w:val="0"/>
      <w:marTop w:val="0"/>
      <w:marBottom w:val="0"/>
      <w:divBdr>
        <w:top w:val="none" w:sz="0" w:space="0" w:color="auto"/>
        <w:left w:val="none" w:sz="0" w:space="0" w:color="auto"/>
        <w:bottom w:val="none" w:sz="0" w:space="0" w:color="auto"/>
        <w:right w:val="none" w:sz="0" w:space="0" w:color="auto"/>
      </w:divBdr>
    </w:div>
    <w:div w:id="1840732766">
      <w:bodyDiv w:val="1"/>
      <w:marLeft w:val="0"/>
      <w:marRight w:val="0"/>
      <w:marTop w:val="0"/>
      <w:marBottom w:val="0"/>
      <w:divBdr>
        <w:top w:val="none" w:sz="0" w:space="0" w:color="auto"/>
        <w:left w:val="none" w:sz="0" w:space="0" w:color="auto"/>
        <w:bottom w:val="none" w:sz="0" w:space="0" w:color="auto"/>
        <w:right w:val="none" w:sz="0" w:space="0" w:color="auto"/>
      </w:divBdr>
    </w:div>
    <w:div w:id="1843547409">
      <w:bodyDiv w:val="1"/>
      <w:marLeft w:val="0"/>
      <w:marRight w:val="0"/>
      <w:marTop w:val="0"/>
      <w:marBottom w:val="0"/>
      <w:divBdr>
        <w:top w:val="none" w:sz="0" w:space="0" w:color="auto"/>
        <w:left w:val="none" w:sz="0" w:space="0" w:color="auto"/>
        <w:bottom w:val="none" w:sz="0" w:space="0" w:color="auto"/>
        <w:right w:val="none" w:sz="0" w:space="0" w:color="auto"/>
      </w:divBdr>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
    <w:div w:id="1852603936">
      <w:bodyDiv w:val="1"/>
      <w:marLeft w:val="0"/>
      <w:marRight w:val="0"/>
      <w:marTop w:val="0"/>
      <w:marBottom w:val="0"/>
      <w:divBdr>
        <w:top w:val="none" w:sz="0" w:space="0" w:color="auto"/>
        <w:left w:val="none" w:sz="0" w:space="0" w:color="auto"/>
        <w:bottom w:val="none" w:sz="0" w:space="0" w:color="auto"/>
        <w:right w:val="none" w:sz="0" w:space="0" w:color="auto"/>
      </w:divBdr>
    </w:div>
    <w:div w:id="1863204271">
      <w:bodyDiv w:val="1"/>
      <w:marLeft w:val="0"/>
      <w:marRight w:val="0"/>
      <w:marTop w:val="0"/>
      <w:marBottom w:val="0"/>
      <w:divBdr>
        <w:top w:val="none" w:sz="0" w:space="0" w:color="auto"/>
        <w:left w:val="none" w:sz="0" w:space="0" w:color="auto"/>
        <w:bottom w:val="none" w:sz="0" w:space="0" w:color="auto"/>
        <w:right w:val="none" w:sz="0" w:space="0" w:color="auto"/>
      </w:divBdr>
    </w:div>
    <w:div w:id="1866212434">
      <w:bodyDiv w:val="1"/>
      <w:marLeft w:val="0"/>
      <w:marRight w:val="0"/>
      <w:marTop w:val="0"/>
      <w:marBottom w:val="0"/>
      <w:divBdr>
        <w:top w:val="none" w:sz="0" w:space="0" w:color="auto"/>
        <w:left w:val="none" w:sz="0" w:space="0" w:color="auto"/>
        <w:bottom w:val="none" w:sz="0" w:space="0" w:color="auto"/>
        <w:right w:val="none" w:sz="0" w:space="0" w:color="auto"/>
      </w:divBdr>
    </w:div>
    <w:div w:id="1867408299">
      <w:bodyDiv w:val="1"/>
      <w:marLeft w:val="0"/>
      <w:marRight w:val="0"/>
      <w:marTop w:val="0"/>
      <w:marBottom w:val="0"/>
      <w:divBdr>
        <w:top w:val="none" w:sz="0" w:space="0" w:color="auto"/>
        <w:left w:val="none" w:sz="0" w:space="0" w:color="auto"/>
        <w:bottom w:val="none" w:sz="0" w:space="0" w:color="auto"/>
        <w:right w:val="none" w:sz="0" w:space="0" w:color="auto"/>
      </w:divBdr>
    </w:div>
    <w:div w:id="1870751895">
      <w:bodyDiv w:val="1"/>
      <w:marLeft w:val="0"/>
      <w:marRight w:val="0"/>
      <w:marTop w:val="0"/>
      <w:marBottom w:val="0"/>
      <w:divBdr>
        <w:top w:val="none" w:sz="0" w:space="0" w:color="auto"/>
        <w:left w:val="none" w:sz="0" w:space="0" w:color="auto"/>
        <w:bottom w:val="none" w:sz="0" w:space="0" w:color="auto"/>
        <w:right w:val="none" w:sz="0" w:space="0" w:color="auto"/>
      </w:divBdr>
    </w:div>
    <w:div w:id="1873152689">
      <w:bodyDiv w:val="1"/>
      <w:marLeft w:val="0"/>
      <w:marRight w:val="0"/>
      <w:marTop w:val="0"/>
      <w:marBottom w:val="0"/>
      <w:divBdr>
        <w:top w:val="none" w:sz="0" w:space="0" w:color="auto"/>
        <w:left w:val="none" w:sz="0" w:space="0" w:color="auto"/>
        <w:bottom w:val="none" w:sz="0" w:space="0" w:color="auto"/>
        <w:right w:val="none" w:sz="0" w:space="0" w:color="auto"/>
      </w:divBdr>
    </w:div>
    <w:div w:id="1898515901">
      <w:bodyDiv w:val="1"/>
      <w:marLeft w:val="0"/>
      <w:marRight w:val="0"/>
      <w:marTop w:val="0"/>
      <w:marBottom w:val="0"/>
      <w:divBdr>
        <w:top w:val="none" w:sz="0" w:space="0" w:color="auto"/>
        <w:left w:val="none" w:sz="0" w:space="0" w:color="auto"/>
        <w:bottom w:val="none" w:sz="0" w:space="0" w:color="auto"/>
        <w:right w:val="none" w:sz="0" w:space="0" w:color="auto"/>
      </w:divBdr>
    </w:div>
    <w:div w:id="1898785881">
      <w:bodyDiv w:val="1"/>
      <w:marLeft w:val="0"/>
      <w:marRight w:val="0"/>
      <w:marTop w:val="0"/>
      <w:marBottom w:val="0"/>
      <w:divBdr>
        <w:top w:val="none" w:sz="0" w:space="0" w:color="auto"/>
        <w:left w:val="none" w:sz="0" w:space="0" w:color="auto"/>
        <w:bottom w:val="none" w:sz="0" w:space="0" w:color="auto"/>
        <w:right w:val="none" w:sz="0" w:space="0" w:color="auto"/>
      </w:divBdr>
    </w:div>
    <w:div w:id="1899706733">
      <w:bodyDiv w:val="1"/>
      <w:marLeft w:val="0"/>
      <w:marRight w:val="0"/>
      <w:marTop w:val="0"/>
      <w:marBottom w:val="0"/>
      <w:divBdr>
        <w:top w:val="none" w:sz="0" w:space="0" w:color="auto"/>
        <w:left w:val="none" w:sz="0" w:space="0" w:color="auto"/>
        <w:bottom w:val="none" w:sz="0" w:space="0" w:color="auto"/>
        <w:right w:val="none" w:sz="0" w:space="0" w:color="auto"/>
      </w:divBdr>
    </w:div>
    <w:div w:id="1913007128">
      <w:bodyDiv w:val="1"/>
      <w:marLeft w:val="0"/>
      <w:marRight w:val="0"/>
      <w:marTop w:val="0"/>
      <w:marBottom w:val="0"/>
      <w:divBdr>
        <w:top w:val="none" w:sz="0" w:space="0" w:color="auto"/>
        <w:left w:val="none" w:sz="0" w:space="0" w:color="auto"/>
        <w:bottom w:val="none" w:sz="0" w:space="0" w:color="auto"/>
        <w:right w:val="none" w:sz="0" w:space="0" w:color="auto"/>
      </w:divBdr>
    </w:div>
    <w:div w:id="1918052718">
      <w:bodyDiv w:val="1"/>
      <w:marLeft w:val="0"/>
      <w:marRight w:val="0"/>
      <w:marTop w:val="0"/>
      <w:marBottom w:val="0"/>
      <w:divBdr>
        <w:top w:val="none" w:sz="0" w:space="0" w:color="auto"/>
        <w:left w:val="none" w:sz="0" w:space="0" w:color="auto"/>
        <w:bottom w:val="none" w:sz="0" w:space="0" w:color="auto"/>
        <w:right w:val="none" w:sz="0" w:space="0" w:color="auto"/>
      </w:divBdr>
    </w:div>
    <w:div w:id="1923829293">
      <w:bodyDiv w:val="1"/>
      <w:marLeft w:val="0"/>
      <w:marRight w:val="0"/>
      <w:marTop w:val="0"/>
      <w:marBottom w:val="0"/>
      <w:divBdr>
        <w:top w:val="none" w:sz="0" w:space="0" w:color="auto"/>
        <w:left w:val="none" w:sz="0" w:space="0" w:color="auto"/>
        <w:bottom w:val="none" w:sz="0" w:space="0" w:color="auto"/>
        <w:right w:val="none" w:sz="0" w:space="0" w:color="auto"/>
      </w:divBdr>
    </w:div>
    <w:div w:id="1925647673">
      <w:bodyDiv w:val="1"/>
      <w:marLeft w:val="0"/>
      <w:marRight w:val="0"/>
      <w:marTop w:val="0"/>
      <w:marBottom w:val="0"/>
      <w:divBdr>
        <w:top w:val="none" w:sz="0" w:space="0" w:color="auto"/>
        <w:left w:val="none" w:sz="0" w:space="0" w:color="auto"/>
        <w:bottom w:val="none" w:sz="0" w:space="0" w:color="auto"/>
        <w:right w:val="none" w:sz="0" w:space="0" w:color="auto"/>
      </w:divBdr>
    </w:div>
    <w:div w:id="1926651229">
      <w:bodyDiv w:val="1"/>
      <w:marLeft w:val="0"/>
      <w:marRight w:val="0"/>
      <w:marTop w:val="0"/>
      <w:marBottom w:val="0"/>
      <w:divBdr>
        <w:top w:val="none" w:sz="0" w:space="0" w:color="auto"/>
        <w:left w:val="none" w:sz="0" w:space="0" w:color="auto"/>
        <w:bottom w:val="none" w:sz="0" w:space="0" w:color="auto"/>
        <w:right w:val="none" w:sz="0" w:space="0" w:color="auto"/>
      </w:divBdr>
    </w:div>
    <w:div w:id="1929190312">
      <w:bodyDiv w:val="1"/>
      <w:marLeft w:val="0"/>
      <w:marRight w:val="0"/>
      <w:marTop w:val="0"/>
      <w:marBottom w:val="0"/>
      <w:divBdr>
        <w:top w:val="none" w:sz="0" w:space="0" w:color="auto"/>
        <w:left w:val="none" w:sz="0" w:space="0" w:color="auto"/>
        <w:bottom w:val="none" w:sz="0" w:space="0" w:color="auto"/>
        <w:right w:val="none" w:sz="0" w:space="0" w:color="auto"/>
      </w:divBdr>
    </w:div>
    <w:div w:id="1930699574">
      <w:bodyDiv w:val="1"/>
      <w:marLeft w:val="0"/>
      <w:marRight w:val="0"/>
      <w:marTop w:val="0"/>
      <w:marBottom w:val="0"/>
      <w:divBdr>
        <w:top w:val="none" w:sz="0" w:space="0" w:color="auto"/>
        <w:left w:val="none" w:sz="0" w:space="0" w:color="auto"/>
        <w:bottom w:val="none" w:sz="0" w:space="0" w:color="auto"/>
        <w:right w:val="none" w:sz="0" w:space="0" w:color="auto"/>
      </w:divBdr>
    </w:div>
    <w:div w:id="1933583618">
      <w:bodyDiv w:val="1"/>
      <w:marLeft w:val="0"/>
      <w:marRight w:val="0"/>
      <w:marTop w:val="0"/>
      <w:marBottom w:val="0"/>
      <w:divBdr>
        <w:top w:val="none" w:sz="0" w:space="0" w:color="auto"/>
        <w:left w:val="none" w:sz="0" w:space="0" w:color="auto"/>
        <w:bottom w:val="none" w:sz="0" w:space="0" w:color="auto"/>
        <w:right w:val="none" w:sz="0" w:space="0" w:color="auto"/>
      </w:divBdr>
    </w:div>
    <w:div w:id="1938631092">
      <w:bodyDiv w:val="1"/>
      <w:marLeft w:val="0"/>
      <w:marRight w:val="0"/>
      <w:marTop w:val="0"/>
      <w:marBottom w:val="0"/>
      <w:divBdr>
        <w:top w:val="none" w:sz="0" w:space="0" w:color="auto"/>
        <w:left w:val="none" w:sz="0" w:space="0" w:color="auto"/>
        <w:bottom w:val="none" w:sz="0" w:space="0" w:color="auto"/>
        <w:right w:val="none" w:sz="0" w:space="0" w:color="auto"/>
      </w:divBdr>
    </w:div>
    <w:div w:id="1942564537">
      <w:bodyDiv w:val="1"/>
      <w:marLeft w:val="0"/>
      <w:marRight w:val="0"/>
      <w:marTop w:val="0"/>
      <w:marBottom w:val="0"/>
      <w:divBdr>
        <w:top w:val="none" w:sz="0" w:space="0" w:color="auto"/>
        <w:left w:val="none" w:sz="0" w:space="0" w:color="auto"/>
        <w:bottom w:val="none" w:sz="0" w:space="0" w:color="auto"/>
        <w:right w:val="none" w:sz="0" w:space="0" w:color="auto"/>
      </w:divBdr>
    </w:div>
    <w:div w:id="1945459303">
      <w:bodyDiv w:val="1"/>
      <w:marLeft w:val="0"/>
      <w:marRight w:val="0"/>
      <w:marTop w:val="0"/>
      <w:marBottom w:val="0"/>
      <w:divBdr>
        <w:top w:val="none" w:sz="0" w:space="0" w:color="auto"/>
        <w:left w:val="none" w:sz="0" w:space="0" w:color="auto"/>
        <w:bottom w:val="none" w:sz="0" w:space="0" w:color="auto"/>
        <w:right w:val="none" w:sz="0" w:space="0" w:color="auto"/>
      </w:divBdr>
    </w:div>
    <w:div w:id="1949387286">
      <w:bodyDiv w:val="1"/>
      <w:marLeft w:val="0"/>
      <w:marRight w:val="0"/>
      <w:marTop w:val="0"/>
      <w:marBottom w:val="0"/>
      <w:divBdr>
        <w:top w:val="none" w:sz="0" w:space="0" w:color="auto"/>
        <w:left w:val="none" w:sz="0" w:space="0" w:color="auto"/>
        <w:bottom w:val="none" w:sz="0" w:space="0" w:color="auto"/>
        <w:right w:val="none" w:sz="0" w:space="0" w:color="auto"/>
      </w:divBdr>
    </w:div>
    <w:div w:id="1954246381">
      <w:bodyDiv w:val="1"/>
      <w:marLeft w:val="0"/>
      <w:marRight w:val="0"/>
      <w:marTop w:val="0"/>
      <w:marBottom w:val="0"/>
      <w:divBdr>
        <w:top w:val="none" w:sz="0" w:space="0" w:color="auto"/>
        <w:left w:val="none" w:sz="0" w:space="0" w:color="auto"/>
        <w:bottom w:val="none" w:sz="0" w:space="0" w:color="auto"/>
        <w:right w:val="none" w:sz="0" w:space="0" w:color="auto"/>
      </w:divBdr>
    </w:div>
    <w:div w:id="1965844840">
      <w:bodyDiv w:val="1"/>
      <w:marLeft w:val="0"/>
      <w:marRight w:val="0"/>
      <w:marTop w:val="0"/>
      <w:marBottom w:val="0"/>
      <w:divBdr>
        <w:top w:val="none" w:sz="0" w:space="0" w:color="auto"/>
        <w:left w:val="none" w:sz="0" w:space="0" w:color="auto"/>
        <w:bottom w:val="none" w:sz="0" w:space="0" w:color="auto"/>
        <w:right w:val="none" w:sz="0" w:space="0" w:color="auto"/>
      </w:divBdr>
    </w:div>
    <w:div w:id="1973175737">
      <w:bodyDiv w:val="1"/>
      <w:marLeft w:val="0"/>
      <w:marRight w:val="0"/>
      <w:marTop w:val="0"/>
      <w:marBottom w:val="0"/>
      <w:divBdr>
        <w:top w:val="none" w:sz="0" w:space="0" w:color="auto"/>
        <w:left w:val="none" w:sz="0" w:space="0" w:color="auto"/>
        <w:bottom w:val="none" w:sz="0" w:space="0" w:color="auto"/>
        <w:right w:val="none" w:sz="0" w:space="0" w:color="auto"/>
      </w:divBdr>
    </w:div>
    <w:div w:id="1980839618">
      <w:bodyDiv w:val="1"/>
      <w:marLeft w:val="0"/>
      <w:marRight w:val="0"/>
      <w:marTop w:val="0"/>
      <w:marBottom w:val="0"/>
      <w:divBdr>
        <w:top w:val="none" w:sz="0" w:space="0" w:color="auto"/>
        <w:left w:val="none" w:sz="0" w:space="0" w:color="auto"/>
        <w:bottom w:val="none" w:sz="0" w:space="0" w:color="auto"/>
        <w:right w:val="none" w:sz="0" w:space="0" w:color="auto"/>
      </w:divBdr>
    </w:div>
    <w:div w:id="1989435041">
      <w:bodyDiv w:val="1"/>
      <w:marLeft w:val="0"/>
      <w:marRight w:val="0"/>
      <w:marTop w:val="0"/>
      <w:marBottom w:val="0"/>
      <w:divBdr>
        <w:top w:val="none" w:sz="0" w:space="0" w:color="auto"/>
        <w:left w:val="none" w:sz="0" w:space="0" w:color="auto"/>
        <w:bottom w:val="none" w:sz="0" w:space="0" w:color="auto"/>
        <w:right w:val="none" w:sz="0" w:space="0" w:color="auto"/>
      </w:divBdr>
    </w:div>
    <w:div w:id="1991668413">
      <w:bodyDiv w:val="1"/>
      <w:marLeft w:val="0"/>
      <w:marRight w:val="0"/>
      <w:marTop w:val="0"/>
      <w:marBottom w:val="0"/>
      <w:divBdr>
        <w:top w:val="none" w:sz="0" w:space="0" w:color="auto"/>
        <w:left w:val="none" w:sz="0" w:space="0" w:color="auto"/>
        <w:bottom w:val="none" w:sz="0" w:space="0" w:color="auto"/>
        <w:right w:val="none" w:sz="0" w:space="0" w:color="auto"/>
      </w:divBdr>
    </w:div>
    <w:div w:id="1999453097">
      <w:bodyDiv w:val="1"/>
      <w:marLeft w:val="0"/>
      <w:marRight w:val="0"/>
      <w:marTop w:val="0"/>
      <w:marBottom w:val="0"/>
      <w:divBdr>
        <w:top w:val="none" w:sz="0" w:space="0" w:color="auto"/>
        <w:left w:val="none" w:sz="0" w:space="0" w:color="auto"/>
        <w:bottom w:val="none" w:sz="0" w:space="0" w:color="auto"/>
        <w:right w:val="none" w:sz="0" w:space="0" w:color="auto"/>
      </w:divBdr>
    </w:div>
    <w:div w:id="2002999411">
      <w:bodyDiv w:val="1"/>
      <w:marLeft w:val="0"/>
      <w:marRight w:val="0"/>
      <w:marTop w:val="0"/>
      <w:marBottom w:val="0"/>
      <w:divBdr>
        <w:top w:val="none" w:sz="0" w:space="0" w:color="auto"/>
        <w:left w:val="none" w:sz="0" w:space="0" w:color="auto"/>
        <w:bottom w:val="none" w:sz="0" w:space="0" w:color="auto"/>
        <w:right w:val="none" w:sz="0" w:space="0" w:color="auto"/>
      </w:divBdr>
    </w:div>
    <w:div w:id="2005819041">
      <w:bodyDiv w:val="1"/>
      <w:marLeft w:val="0"/>
      <w:marRight w:val="0"/>
      <w:marTop w:val="0"/>
      <w:marBottom w:val="0"/>
      <w:divBdr>
        <w:top w:val="none" w:sz="0" w:space="0" w:color="auto"/>
        <w:left w:val="none" w:sz="0" w:space="0" w:color="auto"/>
        <w:bottom w:val="none" w:sz="0" w:space="0" w:color="auto"/>
        <w:right w:val="none" w:sz="0" w:space="0" w:color="auto"/>
      </w:divBdr>
    </w:div>
    <w:div w:id="2011447681">
      <w:bodyDiv w:val="1"/>
      <w:marLeft w:val="0"/>
      <w:marRight w:val="0"/>
      <w:marTop w:val="0"/>
      <w:marBottom w:val="0"/>
      <w:divBdr>
        <w:top w:val="none" w:sz="0" w:space="0" w:color="auto"/>
        <w:left w:val="none" w:sz="0" w:space="0" w:color="auto"/>
        <w:bottom w:val="none" w:sz="0" w:space="0" w:color="auto"/>
        <w:right w:val="none" w:sz="0" w:space="0" w:color="auto"/>
      </w:divBdr>
    </w:div>
    <w:div w:id="2021661692">
      <w:bodyDiv w:val="1"/>
      <w:marLeft w:val="0"/>
      <w:marRight w:val="0"/>
      <w:marTop w:val="0"/>
      <w:marBottom w:val="0"/>
      <w:divBdr>
        <w:top w:val="none" w:sz="0" w:space="0" w:color="auto"/>
        <w:left w:val="none" w:sz="0" w:space="0" w:color="auto"/>
        <w:bottom w:val="none" w:sz="0" w:space="0" w:color="auto"/>
        <w:right w:val="none" w:sz="0" w:space="0" w:color="auto"/>
      </w:divBdr>
    </w:div>
    <w:div w:id="2024163022">
      <w:bodyDiv w:val="1"/>
      <w:marLeft w:val="0"/>
      <w:marRight w:val="0"/>
      <w:marTop w:val="0"/>
      <w:marBottom w:val="0"/>
      <w:divBdr>
        <w:top w:val="none" w:sz="0" w:space="0" w:color="auto"/>
        <w:left w:val="none" w:sz="0" w:space="0" w:color="auto"/>
        <w:bottom w:val="none" w:sz="0" w:space="0" w:color="auto"/>
        <w:right w:val="none" w:sz="0" w:space="0" w:color="auto"/>
      </w:divBdr>
    </w:div>
    <w:div w:id="2036930113">
      <w:bodyDiv w:val="1"/>
      <w:marLeft w:val="0"/>
      <w:marRight w:val="0"/>
      <w:marTop w:val="0"/>
      <w:marBottom w:val="0"/>
      <w:divBdr>
        <w:top w:val="none" w:sz="0" w:space="0" w:color="auto"/>
        <w:left w:val="none" w:sz="0" w:space="0" w:color="auto"/>
        <w:bottom w:val="none" w:sz="0" w:space="0" w:color="auto"/>
        <w:right w:val="none" w:sz="0" w:space="0" w:color="auto"/>
      </w:divBdr>
    </w:div>
    <w:div w:id="2042630970">
      <w:bodyDiv w:val="1"/>
      <w:marLeft w:val="0"/>
      <w:marRight w:val="0"/>
      <w:marTop w:val="0"/>
      <w:marBottom w:val="0"/>
      <w:divBdr>
        <w:top w:val="none" w:sz="0" w:space="0" w:color="auto"/>
        <w:left w:val="none" w:sz="0" w:space="0" w:color="auto"/>
        <w:bottom w:val="none" w:sz="0" w:space="0" w:color="auto"/>
        <w:right w:val="none" w:sz="0" w:space="0" w:color="auto"/>
      </w:divBdr>
    </w:div>
    <w:div w:id="2045787556">
      <w:bodyDiv w:val="1"/>
      <w:marLeft w:val="0"/>
      <w:marRight w:val="0"/>
      <w:marTop w:val="0"/>
      <w:marBottom w:val="0"/>
      <w:divBdr>
        <w:top w:val="none" w:sz="0" w:space="0" w:color="auto"/>
        <w:left w:val="none" w:sz="0" w:space="0" w:color="auto"/>
        <w:bottom w:val="none" w:sz="0" w:space="0" w:color="auto"/>
        <w:right w:val="none" w:sz="0" w:space="0" w:color="auto"/>
      </w:divBdr>
    </w:div>
    <w:div w:id="2050448186">
      <w:bodyDiv w:val="1"/>
      <w:marLeft w:val="0"/>
      <w:marRight w:val="0"/>
      <w:marTop w:val="0"/>
      <w:marBottom w:val="0"/>
      <w:divBdr>
        <w:top w:val="none" w:sz="0" w:space="0" w:color="auto"/>
        <w:left w:val="none" w:sz="0" w:space="0" w:color="auto"/>
        <w:bottom w:val="none" w:sz="0" w:space="0" w:color="auto"/>
        <w:right w:val="none" w:sz="0" w:space="0" w:color="auto"/>
      </w:divBdr>
    </w:div>
    <w:div w:id="2050521826">
      <w:bodyDiv w:val="1"/>
      <w:marLeft w:val="0"/>
      <w:marRight w:val="0"/>
      <w:marTop w:val="0"/>
      <w:marBottom w:val="0"/>
      <w:divBdr>
        <w:top w:val="none" w:sz="0" w:space="0" w:color="auto"/>
        <w:left w:val="none" w:sz="0" w:space="0" w:color="auto"/>
        <w:bottom w:val="none" w:sz="0" w:space="0" w:color="auto"/>
        <w:right w:val="none" w:sz="0" w:space="0" w:color="auto"/>
      </w:divBdr>
    </w:div>
    <w:div w:id="2054842931">
      <w:bodyDiv w:val="1"/>
      <w:marLeft w:val="0"/>
      <w:marRight w:val="0"/>
      <w:marTop w:val="0"/>
      <w:marBottom w:val="0"/>
      <w:divBdr>
        <w:top w:val="none" w:sz="0" w:space="0" w:color="auto"/>
        <w:left w:val="none" w:sz="0" w:space="0" w:color="auto"/>
        <w:bottom w:val="none" w:sz="0" w:space="0" w:color="auto"/>
        <w:right w:val="none" w:sz="0" w:space="0" w:color="auto"/>
      </w:divBdr>
    </w:div>
    <w:div w:id="2059668539">
      <w:bodyDiv w:val="1"/>
      <w:marLeft w:val="0"/>
      <w:marRight w:val="0"/>
      <w:marTop w:val="0"/>
      <w:marBottom w:val="0"/>
      <w:divBdr>
        <w:top w:val="none" w:sz="0" w:space="0" w:color="auto"/>
        <w:left w:val="none" w:sz="0" w:space="0" w:color="auto"/>
        <w:bottom w:val="none" w:sz="0" w:space="0" w:color="auto"/>
        <w:right w:val="none" w:sz="0" w:space="0" w:color="auto"/>
      </w:divBdr>
    </w:div>
    <w:div w:id="2064521313">
      <w:bodyDiv w:val="1"/>
      <w:marLeft w:val="0"/>
      <w:marRight w:val="0"/>
      <w:marTop w:val="0"/>
      <w:marBottom w:val="0"/>
      <w:divBdr>
        <w:top w:val="none" w:sz="0" w:space="0" w:color="auto"/>
        <w:left w:val="none" w:sz="0" w:space="0" w:color="auto"/>
        <w:bottom w:val="none" w:sz="0" w:space="0" w:color="auto"/>
        <w:right w:val="none" w:sz="0" w:space="0" w:color="auto"/>
      </w:divBdr>
    </w:div>
    <w:div w:id="2073045245">
      <w:bodyDiv w:val="1"/>
      <w:marLeft w:val="0"/>
      <w:marRight w:val="0"/>
      <w:marTop w:val="0"/>
      <w:marBottom w:val="0"/>
      <w:divBdr>
        <w:top w:val="none" w:sz="0" w:space="0" w:color="auto"/>
        <w:left w:val="none" w:sz="0" w:space="0" w:color="auto"/>
        <w:bottom w:val="none" w:sz="0" w:space="0" w:color="auto"/>
        <w:right w:val="none" w:sz="0" w:space="0" w:color="auto"/>
      </w:divBdr>
    </w:div>
    <w:div w:id="2075934049">
      <w:bodyDiv w:val="1"/>
      <w:marLeft w:val="0"/>
      <w:marRight w:val="0"/>
      <w:marTop w:val="0"/>
      <w:marBottom w:val="0"/>
      <w:divBdr>
        <w:top w:val="none" w:sz="0" w:space="0" w:color="auto"/>
        <w:left w:val="none" w:sz="0" w:space="0" w:color="auto"/>
        <w:bottom w:val="none" w:sz="0" w:space="0" w:color="auto"/>
        <w:right w:val="none" w:sz="0" w:space="0" w:color="auto"/>
      </w:divBdr>
    </w:div>
    <w:div w:id="2081056474">
      <w:bodyDiv w:val="1"/>
      <w:marLeft w:val="0"/>
      <w:marRight w:val="0"/>
      <w:marTop w:val="0"/>
      <w:marBottom w:val="0"/>
      <w:divBdr>
        <w:top w:val="none" w:sz="0" w:space="0" w:color="auto"/>
        <w:left w:val="none" w:sz="0" w:space="0" w:color="auto"/>
        <w:bottom w:val="none" w:sz="0" w:space="0" w:color="auto"/>
        <w:right w:val="none" w:sz="0" w:space="0" w:color="auto"/>
      </w:divBdr>
    </w:div>
    <w:div w:id="2082873159">
      <w:bodyDiv w:val="1"/>
      <w:marLeft w:val="0"/>
      <w:marRight w:val="0"/>
      <w:marTop w:val="0"/>
      <w:marBottom w:val="0"/>
      <w:divBdr>
        <w:top w:val="none" w:sz="0" w:space="0" w:color="auto"/>
        <w:left w:val="none" w:sz="0" w:space="0" w:color="auto"/>
        <w:bottom w:val="none" w:sz="0" w:space="0" w:color="auto"/>
        <w:right w:val="none" w:sz="0" w:space="0" w:color="auto"/>
      </w:divBdr>
    </w:div>
    <w:div w:id="2087654619">
      <w:bodyDiv w:val="1"/>
      <w:marLeft w:val="0"/>
      <w:marRight w:val="0"/>
      <w:marTop w:val="0"/>
      <w:marBottom w:val="0"/>
      <w:divBdr>
        <w:top w:val="none" w:sz="0" w:space="0" w:color="auto"/>
        <w:left w:val="none" w:sz="0" w:space="0" w:color="auto"/>
        <w:bottom w:val="none" w:sz="0" w:space="0" w:color="auto"/>
        <w:right w:val="none" w:sz="0" w:space="0" w:color="auto"/>
      </w:divBdr>
    </w:div>
    <w:div w:id="2089377418">
      <w:bodyDiv w:val="1"/>
      <w:marLeft w:val="0"/>
      <w:marRight w:val="0"/>
      <w:marTop w:val="0"/>
      <w:marBottom w:val="0"/>
      <w:divBdr>
        <w:top w:val="none" w:sz="0" w:space="0" w:color="auto"/>
        <w:left w:val="none" w:sz="0" w:space="0" w:color="auto"/>
        <w:bottom w:val="none" w:sz="0" w:space="0" w:color="auto"/>
        <w:right w:val="none" w:sz="0" w:space="0" w:color="auto"/>
      </w:divBdr>
    </w:div>
    <w:div w:id="2093425232">
      <w:bodyDiv w:val="1"/>
      <w:marLeft w:val="0"/>
      <w:marRight w:val="0"/>
      <w:marTop w:val="0"/>
      <w:marBottom w:val="0"/>
      <w:divBdr>
        <w:top w:val="none" w:sz="0" w:space="0" w:color="auto"/>
        <w:left w:val="none" w:sz="0" w:space="0" w:color="auto"/>
        <w:bottom w:val="none" w:sz="0" w:space="0" w:color="auto"/>
        <w:right w:val="none" w:sz="0" w:space="0" w:color="auto"/>
      </w:divBdr>
    </w:div>
    <w:div w:id="2097509909">
      <w:bodyDiv w:val="1"/>
      <w:marLeft w:val="0"/>
      <w:marRight w:val="0"/>
      <w:marTop w:val="0"/>
      <w:marBottom w:val="0"/>
      <w:divBdr>
        <w:top w:val="none" w:sz="0" w:space="0" w:color="auto"/>
        <w:left w:val="none" w:sz="0" w:space="0" w:color="auto"/>
        <w:bottom w:val="none" w:sz="0" w:space="0" w:color="auto"/>
        <w:right w:val="none" w:sz="0" w:space="0" w:color="auto"/>
      </w:divBdr>
    </w:div>
    <w:div w:id="2102556997">
      <w:bodyDiv w:val="1"/>
      <w:marLeft w:val="0"/>
      <w:marRight w:val="0"/>
      <w:marTop w:val="0"/>
      <w:marBottom w:val="0"/>
      <w:divBdr>
        <w:top w:val="none" w:sz="0" w:space="0" w:color="auto"/>
        <w:left w:val="none" w:sz="0" w:space="0" w:color="auto"/>
        <w:bottom w:val="none" w:sz="0" w:space="0" w:color="auto"/>
        <w:right w:val="none" w:sz="0" w:space="0" w:color="auto"/>
      </w:divBdr>
    </w:div>
    <w:div w:id="2103330444">
      <w:bodyDiv w:val="1"/>
      <w:marLeft w:val="0"/>
      <w:marRight w:val="0"/>
      <w:marTop w:val="0"/>
      <w:marBottom w:val="0"/>
      <w:divBdr>
        <w:top w:val="none" w:sz="0" w:space="0" w:color="auto"/>
        <w:left w:val="none" w:sz="0" w:space="0" w:color="auto"/>
        <w:bottom w:val="none" w:sz="0" w:space="0" w:color="auto"/>
        <w:right w:val="none" w:sz="0" w:space="0" w:color="auto"/>
      </w:divBdr>
    </w:div>
    <w:div w:id="2104523411">
      <w:bodyDiv w:val="1"/>
      <w:marLeft w:val="0"/>
      <w:marRight w:val="0"/>
      <w:marTop w:val="0"/>
      <w:marBottom w:val="0"/>
      <w:divBdr>
        <w:top w:val="none" w:sz="0" w:space="0" w:color="auto"/>
        <w:left w:val="none" w:sz="0" w:space="0" w:color="auto"/>
        <w:bottom w:val="none" w:sz="0" w:space="0" w:color="auto"/>
        <w:right w:val="none" w:sz="0" w:space="0" w:color="auto"/>
      </w:divBdr>
    </w:div>
    <w:div w:id="2107384191">
      <w:bodyDiv w:val="1"/>
      <w:marLeft w:val="0"/>
      <w:marRight w:val="0"/>
      <w:marTop w:val="0"/>
      <w:marBottom w:val="0"/>
      <w:divBdr>
        <w:top w:val="none" w:sz="0" w:space="0" w:color="auto"/>
        <w:left w:val="none" w:sz="0" w:space="0" w:color="auto"/>
        <w:bottom w:val="none" w:sz="0" w:space="0" w:color="auto"/>
        <w:right w:val="none" w:sz="0" w:space="0" w:color="auto"/>
      </w:divBdr>
    </w:div>
    <w:div w:id="2108886130">
      <w:bodyDiv w:val="1"/>
      <w:marLeft w:val="0"/>
      <w:marRight w:val="0"/>
      <w:marTop w:val="0"/>
      <w:marBottom w:val="0"/>
      <w:divBdr>
        <w:top w:val="none" w:sz="0" w:space="0" w:color="auto"/>
        <w:left w:val="none" w:sz="0" w:space="0" w:color="auto"/>
        <w:bottom w:val="none" w:sz="0" w:space="0" w:color="auto"/>
        <w:right w:val="none" w:sz="0" w:space="0" w:color="auto"/>
      </w:divBdr>
    </w:div>
    <w:div w:id="2109227137">
      <w:bodyDiv w:val="1"/>
      <w:marLeft w:val="0"/>
      <w:marRight w:val="0"/>
      <w:marTop w:val="0"/>
      <w:marBottom w:val="0"/>
      <w:divBdr>
        <w:top w:val="none" w:sz="0" w:space="0" w:color="auto"/>
        <w:left w:val="none" w:sz="0" w:space="0" w:color="auto"/>
        <w:bottom w:val="none" w:sz="0" w:space="0" w:color="auto"/>
        <w:right w:val="none" w:sz="0" w:space="0" w:color="auto"/>
      </w:divBdr>
    </w:div>
    <w:div w:id="2109882845">
      <w:bodyDiv w:val="1"/>
      <w:marLeft w:val="0"/>
      <w:marRight w:val="0"/>
      <w:marTop w:val="0"/>
      <w:marBottom w:val="0"/>
      <w:divBdr>
        <w:top w:val="none" w:sz="0" w:space="0" w:color="auto"/>
        <w:left w:val="none" w:sz="0" w:space="0" w:color="auto"/>
        <w:bottom w:val="none" w:sz="0" w:space="0" w:color="auto"/>
        <w:right w:val="none" w:sz="0" w:space="0" w:color="auto"/>
      </w:divBdr>
    </w:div>
    <w:div w:id="2112116131">
      <w:bodyDiv w:val="1"/>
      <w:marLeft w:val="0"/>
      <w:marRight w:val="0"/>
      <w:marTop w:val="0"/>
      <w:marBottom w:val="0"/>
      <w:divBdr>
        <w:top w:val="none" w:sz="0" w:space="0" w:color="auto"/>
        <w:left w:val="none" w:sz="0" w:space="0" w:color="auto"/>
        <w:bottom w:val="none" w:sz="0" w:space="0" w:color="auto"/>
        <w:right w:val="none" w:sz="0" w:space="0" w:color="auto"/>
      </w:divBdr>
    </w:div>
    <w:div w:id="2123841826">
      <w:bodyDiv w:val="1"/>
      <w:marLeft w:val="0"/>
      <w:marRight w:val="0"/>
      <w:marTop w:val="0"/>
      <w:marBottom w:val="0"/>
      <w:divBdr>
        <w:top w:val="none" w:sz="0" w:space="0" w:color="auto"/>
        <w:left w:val="none" w:sz="0" w:space="0" w:color="auto"/>
        <w:bottom w:val="none" w:sz="0" w:space="0" w:color="auto"/>
        <w:right w:val="none" w:sz="0" w:space="0" w:color="auto"/>
      </w:divBdr>
    </w:div>
    <w:div w:id="2125880709">
      <w:bodyDiv w:val="1"/>
      <w:marLeft w:val="0"/>
      <w:marRight w:val="0"/>
      <w:marTop w:val="0"/>
      <w:marBottom w:val="0"/>
      <w:divBdr>
        <w:top w:val="none" w:sz="0" w:space="0" w:color="auto"/>
        <w:left w:val="none" w:sz="0" w:space="0" w:color="auto"/>
        <w:bottom w:val="none" w:sz="0" w:space="0" w:color="auto"/>
        <w:right w:val="none" w:sz="0" w:space="0" w:color="auto"/>
      </w:divBdr>
    </w:div>
    <w:div w:id="2127654512">
      <w:bodyDiv w:val="1"/>
      <w:marLeft w:val="0"/>
      <w:marRight w:val="0"/>
      <w:marTop w:val="0"/>
      <w:marBottom w:val="0"/>
      <w:divBdr>
        <w:top w:val="none" w:sz="0" w:space="0" w:color="auto"/>
        <w:left w:val="none" w:sz="0" w:space="0" w:color="auto"/>
        <w:bottom w:val="none" w:sz="0" w:space="0" w:color="auto"/>
        <w:right w:val="none" w:sz="0" w:space="0" w:color="auto"/>
      </w:divBdr>
    </w:div>
    <w:div w:id="2130663310">
      <w:bodyDiv w:val="1"/>
      <w:marLeft w:val="0"/>
      <w:marRight w:val="0"/>
      <w:marTop w:val="0"/>
      <w:marBottom w:val="0"/>
      <w:divBdr>
        <w:top w:val="none" w:sz="0" w:space="0" w:color="auto"/>
        <w:left w:val="none" w:sz="0" w:space="0" w:color="auto"/>
        <w:bottom w:val="none" w:sz="0" w:space="0" w:color="auto"/>
        <w:right w:val="none" w:sz="0" w:space="0" w:color="auto"/>
      </w:divBdr>
    </w:div>
    <w:div w:id="214041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GEMSProductReview@dcceew.gov.au" TargetMode="External"/><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nsult.dcceew.gov.au/" TargetMode="External"/><Relationship Id="rId29" Type="http://schemas.openxmlformats.org/officeDocument/2006/relationships/hyperlink" Target="https://www.eeca.govt.nz/regulations/equipment-energy-efficiency/how-to-comply-with-e3-product-regulations/manufacturers-and-importers/ttmra-and-fta/" TargetMode="Externa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1.xml"/><Relationship Id="rId58"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star@eeca.govt.nz"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tar@eeca.govt.nz"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dcceew.gov.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ickrell\AppData\Local\Microsoft\Windows\INetCache\Content.Outlook\DDL7XVSA\E3%20Report_%20Standard%20doc%20v2%20(0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0F1410F891497282CDC975EB8FC5AE"/>
        <w:category>
          <w:name w:val="General"/>
          <w:gallery w:val="placeholder"/>
        </w:category>
        <w:types>
          <w:type w:val="bbPlcHdr"/>
        </w:types>
        <w:behaviors>
          <w:behavior w:val="content"/>
        </w:behaviors>
        <w:guid w:val="{19696EB8-C280-40C3-BD93-E83072023517}"/>
      </w:docPartPr>
      <w:docPartBody>
        <w:p w:rsidR="0065131C" w:rsidRDefault="0065131C"/>
      </w:docPartBody>
    </w:docPart>
    <w:docPart>
      <w:docPartPr>
        <w:name w:val="8E85A0BE15C64958A1D25820E656859C"/>
        <w:category>
          <w:name w:val="General"/>
          <w:gallery w:val="placeholder"/>
        </w:category>
        <w:types>
          <w:type w:val="bbPlcHdr"/>
        </w:types>
        <w:behaviors>
          <w:behavior w:val="content"/>
        </w:behaviors>
        <w:guid w:val="{D208B16B-6C3E-474C-84A2-D05FDE8D0545}"/>
      </w:docPartPr>
      <w:docPartBody>
        <w:p w:rsidR="00E670FE" w:rsidRDefault="00E670FE"/>
      </w:docPartBody>
    </w:docPart>
    <w:docPart>
      <w:docPartPr>
        <w:name w:val="4E1A6767E460499DA51A52E23660D2A5"/>
        <w:category>
          <w:name w:val="General"/>
          <w:gallery w:val="placeholder"/>
        </w:category>
        <w:types>
          <w:type w:val="bbPlcHdr"/>
        </w:types>
        <w:behaviors>
          <w:behavior w:val="content"/>
        </w:behaviors>
        <w:guid w:val="{47CBDE04-8012-4571-938D-7BF334EE428C}"/>
      </w:docPartPr>
      <w:docPartBody>
        <w:p w:rsidR="00E670FE" w:rsidRDefault="00E670FE"/>
      </w:docPartBody>
    </w:docPart>
    <w:docPart>
      <w:docPartPr>
        <w:name w:val="E3418F11CC6248C2A48E000654C0A512"/>
        <w:category>
          <w:name w:val="General"/>
          <w:gallery w:val="placeholder"/>
        </w:category>
        <w:types>
          <w:type w:val="bbPlcHdr"/>
        </w:types>
        <w:behaviors>
          <w:behavior w:val="content"/>
        </w:behaviors>
        <w:guid w:val="{052EC1E2-11FD-4BDE-B92B-E0DAC97CA300}"/>
      </w:docPartPr>
      <w:docPartBody>
        <w:p w:rsidR="00E670FE" w:rsidRDefault="00E670FE"/>
      </w:docPartBody>
    </w:docPart>
    <w:docPart>
      <w:docPartPr>
        <w:name w:val="68E914A4D9CC8B46862205364DF33F05"/>
        <w:category>
          <w:name w:val="General"/>
          <w:gallery w:val="placeholder"/>
        </w:category>
        <w:types>
          <w:type w:val="bbPlcHdr"/>
        </w:types>
        <w:behaviors>
          <w:behavior w:val="content"/>
        </w:behaviors>
        <w:guid w:val="{27E3099C-B7CE-C74A-906C-367ED3CD6F28}"/>
      </w:docPartPr>
      <w:docPartBody>
        <w:p w:rsidR="00F6734B" w:rsidRDefault="00F6734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skerville">
    <w:altName w:val="Cambria"/>
    <w:charset w:val="00"/>
    <w:family w:val="roman"/>
    <w:pitch w:val="variable"/>
    <w:sig w:usb0="80000067" w:usb1="02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597"/>
    <w:rsid w:val="0001314B"/>
    <w:rsid w:val="00052B89"/>
    <w:rsid w:val="00063597"/>
    <w:rsid w:val="000824DF"/>
    <w:rsid w:val="000A2B82"/>
    <w:rsid w:val="000E28F4"/>
    <w:rsid w:val="001159B3"/>
    <w:rsid w:val="00126ED7"/>
    <w:rsid w:val="001432BC"/>
    <w:rsid w:val="00172459"/>
    <w:rsid w:val="001F40F2"/>
    <w:rsid w:val="002175D3"/>
    <w:rsid w:val="0023769B"/>
    <w:rsid w:val="00244DC4"/>
    <w:rsid w:val="00245114"/>
    <w:rsid w:val="00276BD1"/>
    <w:rsid w:val="002A4C96"/>
    <w:rsid w:val="00330BB3"/>
    <w:rsid w:val="00344144"/>
    <w:rsid w:val="003B5E93"/>
    <w:rsid w:val="00493832"/>
    <w:rsid w:val="004959C0"/>
    <w:rsid w:val="004C669F"/>
    <w:rsid w:val="004D20F5"/>
    <w:rsid w:val="005C6CFE"/>
    <w:rsid w:val="005D0AA8"/>
    <w:rsid w:val="00635BAA"/>
    <w:rsid w:val="0065131C"/>
    <w:rsid w:val="006B2C84"/>
    <w:rsid w:val="00736E3E"/>
    <w:rsid w:val="007B24BD"/>
    <w:rsid w:val="007B591E"/>
    <w:rsid w:val="007E0381"/>
    <w:rsid w:val="00805A13"/>
    <w:rsid w:val="00820713"/>
    <w:rsid w:val="00871FB0"/>
    <w:rsid w:val="00892CF3"/>
    <w:rsid w:val="008D7FA6"/>
    <w:rsid w:val="0090254B"/>
    <w:rsid w:val="00931AAD"/>
    <w:rsid w:val="00997A58"/>
    <w:rsid w:val="009F7335"/>
    <w:rsid w:val="00A139EB"/>
    <w:rsid w:val="00A3282C"/>
    <w:rsid w:val="00A567FE"/>
    <w:rsid w:val="00AA22D1"/>
    <w:rsid w:val="00AA69E6"/>
    <w:rsid w:val="00B15FE6"/>
    <w:rsid w:val="00B31915"/>
    <w:rsid w:val="00B861B0"/>
    <w:rsid w:val="00BA3DE6"/>
    <w:rsid w:val="00BA44F3"/>
    <w:rsid w:val="00C53D86"/>
    <w:rsid w:val="00C75FB7"/>
    <w:rsid w:val="00CA4803"/>
    <w:rsid w:val="00CB349A"/>
    <w:rsid w:val="00CC6E38"/>
    <w:rsid w:val="00D34BEC"/>
    <w:rsid w:val="00E034B4"/>
    <w:rsid w:val="00E36799"/>
    <w:rsid w:val="00E670FE"/>
    <w:rsid w:val="00EB3C21"/>
    <w:rsid w:val="00ED637A"/>
    <w:rsid w:val="00F43621"/>
    <w:rsid w:val="00F46A41"/>
    <w:rsid w:val="00F511FE"/>
    <w:rsid w:val="00F6734B"/>
    <w:rsid w:val="00FD2923"/>
    <w:rsid w:val="00FD59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Aus201</b:Tag>
    <b:SourceType>InternetSite</b:SourceType>
    <b:Guid>{1549A8FD-3D5C-3248-B533-69ED09A3FC89}</b:Guid>
    <b:Author>
      <b:Author>
        <b:Corporate>Australian, State and Territory and New Zealand Governments </b:Corporate>
      </b:Author>
    </b:Author>
    <b:Title>Legislation</b:Title>
    <b:URL>https://www.energyrating.gov.au/suppliers/legislation#:~:text=Legislative%20Framework-,Overview,administering%20the%20legislation%20in%20Australia</b:URL>
    <b:Year>2020</b:Year>
    <b:YearAccessed>2022</b:YearAccessed>
    <b:MonthAccessed>October</b:MonthAccessed>
    <b:DayAccessed>4</b:DayAccessed>
    <b:RefOrder>1</b:RefOrder>
  </b:Source>
  <b:Source>
    <b:Tag>Aus222</b:Tag>
    <b:SourceType>InternetSite</b:SourceType>
    <b:Guid>{5A65D05B-0DC6-E846-A6E3-9E427F34E1C7}</b:Guid>
    <b:Title>About the E3 program</b:Title>
    <b:Author>
      <b:Author>
        <b:Corporate>Australian, State and Territory and New Zealand Governments</b:Corporate>
      </b:Author>
    </b:Author>
    <b:URL>https://www.energyrating.gov.au/about</b:URL>
    <b:YearAccessed>2022</b:YearAccessed>
    <b:MonthAccessed>October</b:MonthAccessed>
    <b:DayAccessed>4</b:DayAccessed>
    <b:RefOrder>2</b:RefOrder>
  </b:Source>
  <b:Source>
    <b:Tag>Aus14</b:Tag>
    <b:SourceType>DocumentFromInternetSite</b:SourceType>
    <b:Guid>{0479FE94-F5E0-EA4A-A0F5-810A0307866F}</b:Guid>
    <b:Author>
      <b:Author>
        <b:Corporate>Australian Government</b:Corporate>
      </b:Author>
    </b:Author>
    <b:Title>Greenhouse and Energy Minimum Standards (External Power Supplies) Determination 2014</b:Title>
    <b:Year>2014</b:Year>
    <b:URL>https://www.legislation.gov.au/Details/F2014L01580</b:URL>
    <b:Month>November</b:Month>
    <b:Day>21</b:Day>
    <b:YearAccessed>2023</b:YearAccessed>
    <b:MonthAccessed>August</b:MonthAccessed>
    <b:DayAccessed>2</b:DayAccessed>
    <b:RefOrder>3</b:RefOrder>
  </b:Source>
  <b:Source>
    <b:Tag>Off20</b:Tag>
    <b:SourceType>Report</b:SourceType>
    <b:Guid>{9E931311-900D-2A4F-9ED4-6D95EA83F06C}</b:Guid>
    <b:Title>Australian Government Guide to Regulatory Impact Analysis </b:Title>
    <b:Year>2020</b:Year>
    <b:Author>
      <b:Author>
        <b:Corporate>Office of Best Practice Regulation</b:Corporate>
      </b:Author>
    </b:Author>
    <b:Publisher>Commonwealth of Australia, Department of the Prime Minister and Cabinet</b:Publisher>
    <b:RefOrder>4</b:RefOrder>
  </b:Source>
  <b:Source>
    <b:Tag>E3P21</b:Tag>
    <b:SourceType>Report</b:SourceType>
    <b:Guid>{53387976-16FE-634C-B37D-045602FFB502}</b:Guid>
    <b:Author>
      <b:Author>
        <b:Corporate>E3 Program</b:Corporate>
      </b:Author>
    </b:Author>
    <b:Title>Public Consultation Paper: Review of the GEMS External Power Supplies Determination</b:Title>
    <b:Publisher>Australian Government Department of Industry, Science, Energy and Resources</b:Publisher>
    <b:Year>2021</b:Year>
    <b:RefOrder>5</b:RefOrder>
  </b:Source>
  <b:Source>
    <b:Tag>Aus17</b:Tag>
    <b:SourceType>Report</b:SourceType>
    <b:Guid>{EAF2F934-6C1C-5E44-A3EF-58F75127F8F0}</b:Guid>
    <b:Title>Fact Sheet: External Power Supplies Minimum Energy Performance Standards</b:Title>
    <b:Year>2017</b:Year>
    <b:Author>
      <b:Author>
        <b:Corporate>Australian Government Department of Environment and Energy</b:Corporate>
      </b:Author>
    </b:Author>
    <b:RefOrder>6</b:RefOrder>
  </b:Source>
  <b:Source>
    <b:Tag>Sai23</b:Tag>
    <b:SourceType>InternetSite</b:SourceType>
    <b:Guid>{D5BC40C0-31BA-8C43-BBD9-CA4A1C86F05E}</b:Guid>
    <b:Author>
      <b:Author>
        <b:Corporate>Sai Global</b:Corporate>
      </b:Author>
    </b:Author>
    <b:Title>AS/NZS 4665.1: 2005 Performance of External Power Supplies  Test Methods njd energy performance mark</b:Title>
    <b:URL>https://www.saiglobal.com/PDFTemp/Previews/OSH/as/as4000/4600/4665.1-2005.pdf</b:URL>
    <b:YearAccessed>2023</b:YearAccessed>
    <b:MonthAccessed>July</b:MonthAccessed>
    <b:RefOrder>7</b:RefOrder>
  </b:Source>
  <b:Source>
    <b:Tag>Ene23</b:Tag>
    <b:SourceType>InternetSite</b:SourceType>
    <b:Guid>{B33442C4-A262-6E45-9B4C-AF295B158AEE}</b:Guid>
    <b:Title>Australia's Greenhouse and Energy Minimum Standards (GEMS) due to expire</b:Title>
    <b:Author>
      <b:Author>
        <b:Corporate>Energy Efficiency Conservation Authority</b:Corporate>
      </b:Author>
    </b:Author>
    <b:URL>https://www.eeca.govt.nz/regulations/regulatory-requirements-under-review/australias-greenhouse-and-energy-minimum-standards-gems-due-to-expire/</b:URL>
    <b:YearAccessed>2023</b:YearAccessed>
    <b:MonthAccessed>July</b:MonthAccessed>
    <b:RefOrder>8</b:RefOrder>
  </b:Source>
  <b:Source>
    <b:Tag>Col07</b:Tag>
    <b:SourceType>Report</b:SourceType>
    <b:Guid>{0401E344-D727-6045-9E92-1EF04061FF94}</b:Guid>
    <b:Title>Energy efficiency options for external power supplies in Australia</b:Title>
    <b:Publisher>ECEEE</b:Publisher>
    <b:Year>2007</b:Year>
    <b:Author>
      <b:Author>
        <b:NameList>
          <b:Person>
            <b:Last>Collins</b:Last>
            <b:First>Richard</b:First>
          </b:Person>
          <b:Person>
            <b:Last>Holt</b:Last>
            <b:First>Shane</b:First>
          </b:Person>
        </b:NameList>
      </b:Author>
    </b:Author>
    <b:RefOrder>9</b:RefOrder>
  </b:Source>
  <b:Source>
    <b:Tag>Aus234</b:Tag>
    <b:SourceType>InternetSite</b:SourceType>
    <b:Guid>{FF213FDD-57A8-4641-A378-4436B3EE11B5}</b:Guid>
    <b:Title>Energy rating: external power supplies</b:Title>
    <b:Author>
      <b:Author>
        <b:Corporate>Australian Government</b:Corporate>
      </b:Author>
    </b:Author>
    <b:URL>https://www.energyrating.gov.au/industry-information/products/external-power-supplies</b:URL>
    <b:YearAccessed>2023</b:YearAccessed>
    <b:MonthAccessed>July</b:MonthAccessed>
    <b:DayAccessed>11</b:DayAccessed>
    <b:RefOrder>10</b:RefOrder>
  </b:Source>
  <b:Source>
    <b:Tag>USD22</b:Tag>
    <b:SourceType>Report</b:SourceType>
    <b:Guid>{4C016877-E9AB-1C46-8FD0-97FC895CCB3F}</b:Guid>
    <b:Author>
      <b:Author>
        <b:Corporate>U.S. Department of Energy</b:Corporate>
      </b:Author>
    </b:Author>
    <b:Title>Technical Support Document: Energy Efficiency Program for Consumer Products and Commercial and Industrial Equipment: External Power Supplies</b:Title>
    <b:City>Washington DC</b:City>
    <b:Year>2022</b:Year>
    <b:RefOrder>11</b:RefOrder>
  </b:Source>
  <b:Source>
    <b:Tag>EUC19</b:Tag>
    <b:SourceType>DocumentFromInternetSite</b:SourceType>
    <b:Guid>{4FD1FD39-6D0E-9943-8231-F2AF3A543512}</b:Guid>
    <b:Title>COMMISSION STAFF WORKING DOCUMENT IMPACT ASSESSMENT Accompanying the document Commission Regulation laying down ecodesign requirements for external power supplies pursuant to Directive 2009/125/EC of the European Parliament and of the Council repealing Co</b:Title>
    <b:Year>2019</b:Year>
    <b:Author>
      <b:Author>
        <b:Corporate>EU Commission</b:Corporate>
      </b:Author>
    </b:Author>
    <b:URL>https://eur-lex.europa.eu/legal-content/EN/TXT/?uri=celex%3A52019SC0345</b:URL>
    <b:RefOrder>13</b:RefOrder>
  </b:Source>
  <b:Source>
    <b:Tag>Bro22</b:Tag>
    <b:SourceType>Report</b:SourceType>
    <b:Guid>{2639EBD7-D074-344D-BE35-F2E27064E3A7}</b:Guid>
    <b:Title>International External Power Supply Regulations</b:Title>
    <b:Publisher>Renesas</b:Publisher>
    <b:City>Campbell</b:City>
    <b:Year>2022</b:Year>
    <b:Author>
      <b:Author>
        <b:NameList>
          <b:Person>
            <b:Last>Brown</b:Last>
            <b:First>Scott</b:First>
          </b:Person>
        </b:NameList>
      </b:Author>
    </b:Author>
    <b:RefOrder>14</b:RefOrder>
  </b:Source>
  <b:Source>
    <b:Tag>The22</b:Tag>
    <b:SourceType>JournalArticle</b:SourceType>
    <b:Guid>{AEF70665-74AB-C649-A269-5B80FC06EE4E}</b:Guid>
    <b:Author>
      <b:Author>
        <b:Corporate>European Commission</b:Corporate>
      </b:Author>
    </b:Author>
    <b:Title>DIRECTIVE (EU) 2022/2380 OF THE EUROPEAN PARLIAMENT AND OF THE COUNCIL - Amending Directive 2014/53/EU on the harmonisation of the laws of the Member States relating to the making available on the market of radio equipment</b:Title>
    <b:JournalName>Official Journal of the European Union</b:JournalName>
    <b:Year>2022</b:Year>
    <b:RefOrder>16</b:RefOrder>
  </b:Source>
  <b:Source>
    <b:Tag>Eur23</b:Tag>
    <b:SourceType>InternetSite</b:SourceType>
    <b:Guid>{31244D01-271C-AE4C-824E-160F6EBEBC3C}</b:Guid>
    <b:Title>One common charging solution for all</b:Title>
    <b:Author>
      <b:Author>
        <b:Corporate>European Commission</b:Corporate>
      </b:Author>
    </b:Author>
    <b:URL>https://single-market-economy.ec.europa.eu/sectors/electrical-and-electronic-engineering-industries-eei/radio-equipment-directive-red/one-common-charging-solution-all_en</b:URL>
    <b:YearAccessed>2023</b:YearAccessed>
    <b:MonthAccessed>July</b:MonthAccessed>
    <b:RefOrder>17</b:RefOrder>
  </b:Source>
  <b:Source>
    <b:Tag>The19</b:Tag>
    <b:SourceType>JournalArticle</b:SourceType>
    <b:Guid>{5A6ADC7D-59AC-CC4C-993A-4D6319AC1D30}</b:Guid>
    <b:Title>COMMISSION REGULATION (EU) 2019/2021 - laying down ecodesign requirements for electronic displays pursuant to Directive 2009/125/EC of the European Parliament and of the Council, amending Commission Regulation (EC) No 1275/2008 and repealing Commission Re</b:Title>
    <b:Year>2019</b:Year>
    <b:Author>
      <b:Author>
        <b:Corporate>European Commission</b:Corporate>
      </b:Author>
    </b:Author>
    <b:JournalName>Official Journal of the European Union</b:JournalName>
    <b:RefOrder>12</b:RefOrder>
  </b:Source>
  <b:Source>
    <b:Tag>Chi</b:Tag>
    <b:SourceType>Report</b:SourceType>
    <b:Guid>{BA413F5B-ADF5-A146-AD59-0521F58FA5A7}</b:Guid>
    <b:Author>
      <b:Author>
        <b:Corporate>China Quality Certification Centre</b:Corporate>
      </b:Author>
    </b:Author>
    <b:Title>Energy-saving certification rules for single-output AC -DC and AC -AC external power supplies</b:Title>
    <b:City>2014</b:City>
    <b:RefOrder>18</b:RefOrder>
  </b:Source>
  <b:Source>
    <b:Tag>Tek16</b:Tag>
    <b:SourceType>Report</b:SourceType>
    <b:Guid>{A8044710-CC46-924A-B26D-20CA39F2DAC1}</b:Guid>
    <b:Author>
      <b:Author>
        <b:Corporate>Tektronix</b:Corporate>
      </b:Author>
    </b:Author>
    <b:Title>Efficiency Requirements External Power Supplies (EPS) / AC Adapters</b:Title>
    <b:Year>2016</b:Year>
    <b:RefOrder>19</b:RefOrder>
  </b:Source>
  <b:Source>
    <b:Tag>36016</b:Tag>
    <b:SourceType>InternetSite</b:SourceType>
    <b:Guid>{CA3D55D0-DD61-5849-9F1F-D423FB687376}</b:Guid>
    <b:Author>
      <b:Author>
        <b:Corporate>360 Compliance</b:Corporate>
      </b:Author>
    </b:Author>
    <b:Title>External Power Supplies Must Meet Level VI Energy Efficiency Requirements for U.S. DoE</b:Title>
    <b:Year>2016</b:Year>
    <b:URL>https://360compliance.co/energy-efficiency/rpsum-dolor-sit-amet-consectetuer-adipiscing-elit/</b:URL>
    <b:Month>February</b:Month>
    <b:YearAccessed>2023</b:YearAccessed>
    <b:RefOrder>20</b:RefOrder>
  </b:Source>
  <b:Source>
    <b:Tag>Joh21</b:Tag>
    <b:SourceType>InternetSite</b:SourceType>
    <b:Guid>{80648C9F-6048-734C-939D-E0CB31FDA689}</b:Guid>
    <b:Title>External Power Supply Efficiency Regulations Outside the U.S. and E.U.</b:Title>
    <b:URL>https://www.asme.org/topics-resources/content/external-power-supply-efficiency-regulations-outside-the-us-and-eu</b:URL>
    <b:ProductionCompany>The American Society of Mechanical Engineers</b:ProductionCompany>
    <b:Year>2021</b:Year>
    <b:YearAccessed>2023</b:YearAccessed>
    <b:Author>
      <b:Author>
        <b:NameList>
          <b:Person>
            <b:Last>Johnson</b:Last>
            <b:First>Andrew</b:First>
          </b:Person>
        </b:NameList>
      </b:Author>
    </b:Author>
    <b:RefOrder>21</b:RefOrder>
  </b:Source>
  <b:Source>
    <b:Tag>Key19</b:Tag>
    <b:SourceType>InternetSite</b:SourceType>
    <b:Guid>{450EFFC3-55AD-FD4B-9EF9-4763F732784D}</b:Guid>
    <b:Title>https://sonoff.tech/wp-content/uploads/2022/08/813-CEC报告TR19110143-S-000.pdf</b:Title>
    <b:Year>2019</b:Year>
    <b:Author>
      <b:Author>
        <b:Corporate>Keyway</b:Corporate>
      </b:Author>
    </b:Author>
    <b:URL>https://sonoff.tech/wp-content/uploads/2022/08/813-CEC报告TR19110143-S-000.pdf</b:URL>
    <b:YearAccessed>2023</b:YearAccessed>
    <b:RefOrder>22</b:RefOrder>
  </b:Source>
  <b:Source>
    <b:Tag>SLP16</b:Tag>
    <b:SourceType>InternetSite</b:SourceType>
    <b:Guid>{878B846B-BDB2-FC4D-8871-A8CF2B2870D4}</b:Guid>
    <b:Author>
      <b:Author>
        <b:Corporate>SL Power Electronics</b:Corporate>
      </b:Author>
    </b:Author>
    <b:Title>Energy Efficiency Requirements by Levels: VI</b:Title>
    <b:URL>https://slpower.com/data/collateral/PW174KB_DS.pdf</b:URL>
    <b:Year>2016</b:Year>
    <b:YearAccessed>2023</b:YearAccessed>
    <b:RefOrder>23</b:RefOrder>
  </b:Source>
  <b:Source>
    <b:Tag>Eur11</b:Tag>
    <b:SourceType>Report</b:SourceType>
    <b:Guid>{326BA55F-5C7A-1B4F-9F8B-A379C759D082}</b:Guid>
    <b:Author>
      <b:Author>
        <b:Corporate>European Standard</b:Corporate>
      </b:Author>
    </b:Author>
    <b:Title>External a.c. - d.c. and a.c. - a.c. power supplies – Determination of no-load power and average efficiency of active modes</b:Title>
    <b:URL>https://cdn.standards.iteh.ai/samples/23095/9c00e32ce7c24f4e9b4c3cc87499a353/SIST-EN-50563-2012.pdf</b:URL>
    <b:Year>2011</b:Year>
    <b:RefOrder>24</b:RefOrder>
  </b:Source>
  <b:Source>
    <b:Tag>Key191</b:Tag>
    <b:SourceType>InternetSite</b:SourceType>
    <b:Guid>{EB6C3F1B-25EF-D243-B7A6-D35489AD54E6}</b:Guid>
    <b:Author>
      <b:Author>
        <b:Corporate>Keyway</b:Corporate>
      </b:Author>
    </b:Author>
    <b:Title>External Power Supplies Energy Effieincy Test Report</b:Title>
    <b:URL>https://www.amigoelec.com/pdf/AMS200-1201500FV_FB_F.pdf</b:URL>
    <b:Year>2019</b:Year>
    <b:YearAccessed>2023</b:YearAccessed>
    <b:RefOrder>25</b:RefOrder>
  </b:Source>
  <b:Source>
    <b:Tag>Aus232</b:Tag>
    <b:SourceType>InternetSite</b:SourceType>
    <b:Guid>{6A1F20B4-6FF1-564B-90D8-2292ED97E4D8}</b:Guid>
    <b:Author>
      <b:Author>
        <b:Corporate>Australian Govermnet: Energy Rating</b:Corporate>
      </b:Author>
    </b:Author>
    <b:Title>External Power Supplies</b:Title>
    <b:URL>https://www.energyrating.gov.au/industry-information/products/external-power-supplies</b:URL>
    <b:YearAccessed>2023</b:YearAccessed>
    <b:RefOrder>26</b:RefOrder>
  </b:Source>
  <b:Source>
    <b:Tag>Wan191</b:Tag>
    <b:SourceType>JournalArticle</b:SourceType>
    <b:Guid>{25F2957F-9D0F-7243-8489-E9D2FD99F454}</b:Guid>
    <b:Title>Purchasing intentions of Chinese consumers on energy-efficient appliances: Is the energy efficiency label effective?</b:Title>
    <b:JournalName>Journal of Leaner Production</b:JournalName>
    <b:Year>2019</b:Year>
    <b:Volume>238</b:Volume>
    <b:Author>
      <b:Author>
        <b:NameList>
          <b:Person>
            <b:Last>Wang</b:Last>
            <b:First>Zhaohua</b:First>
          </b:Person>
          <b:Person>
            <b:Last>Sun</b:Last>
            <b:First>Qingyu</b:First>
          </b:Person>
          <b:Person>
            <b:Last>Zhang</b:Last>
            <b:First>Bin</b:First>
          </b:Person>
        </b:NameList>
      </b:Author>
    </b:Author>
    <b:RefOrder>27</b:RefOrder>
  </b:Source>
  <b:Source>
    <b:Tag>Placeholder1</b:Tag>
    <b:SourceType>Report</b:SourceType>
    <b:Guid>{1B42807A-D885-4B40-9FB6-CBE9A71360A7}</b:Guid>
    <b:Author>
      <b:Author>
        <b:Corporate>US Department of Energy</b:Corporate>
      </b:Author>
    </b:Author>
    <b:Title>Technical Support Document: Energy Efficiency Program for Consumer Products and Commercial and Industrial Equipment: External Power Supplies</b:Title>
    <b:City>Washington DC</b:City>
    <b:Year>2022</b:Year>
    <b:RefOrder>28</b:RefOrder>
  </b:Source>
  <b:Source>
    <b:Tag>Int23</b:Tag>
    <b:SourceType>Report</b:SourceType>
    <b:Guid>{E20657D9-2548-4EC9-A52B-ACD7FF605892}</b:Guid>
    <b:Author>
      <b:Author>
        <b:Corporate>Ministry of Business, Innovation &amp; Employment</b:Corporate>
      </b:Author>
    </b:Author>
    <b:Title>New Zealand Energy Efficiency and Conservation Strategy 2017-2022</b:Title>
    <b:Year>2017</b:Year>
    <b:RefOrder>30</b:RefOrder>
  </b:Source>
  <b:Source>
    <b:Tag>COA15</b:Tag>
    <b:SourceType>Report</b:SourceType>
    <b:Guid>{8EF04EB5-606F-FD45-BDCF-62EFC70C2E29}</b:Guid>
    <b:Author>
      <b:Author>
        <b:Corporate>COAG Energy Council</b:Corporate>
      </b:Author>
    </b:Author>
    <b:Title>National Energy Productivity Plan 2015 - 2030</b:Title>
    <b:Year>2015</b:Year>
    <b:RefOrder>31</b:RefOrder>
  </b:Source>
  <b:Source>
    <b:Tag>Dep19</b:Tag>
    <b:SourceType>Report</b:SourceType>
    <b:Guid>{7973B4D9-7205-7A47-923B-158EADA33725}</b:Guid>
    <b:Author>
      <b:Author>
        <b:Corporate>Department of Energy</b:Corporate>
      </b:Author>
    </b:Author>
    <b:Title>Energy Conservation Program: Test Procedure for External Power Supplies: 10 CFR Part 430</b:Title>
    <b:Year>2019</b:Year>
    <b:RefOrder>35</b:RefOrder>
  </b:Source>
  <b:Source>
    <b:Tag>Eur22</b:Tag>
    <b:SourceType>Report</b:SourceType>
    <b:Guid>{50332817-6CD9-48D2-BCD5-3B2E39B5590D}</b:Guid>
    <b:Author>
      <b:Author>
        <b:Corporate>European Union</b:Corporate>
      </b:Author>
    </b:Author>
    <b:Title>Directive (EU) 2022/2380 of the European Parliament and of the Council of 23 November 2022 amending Directive 2014/53/EU on the harmonisation of the laws of the Member States relating to the making available on the market of radio equipment</b:Title>
    <b:Year>2022</b:Year>
    <b:RefOrder>36</b:RefOrder>
  </b:Source>
  <b:Source>
    <b:Tag>Wir23</b:Tag>
    <b:SourceType>InternetSite</b:SourceType>
    <b:Guid>{94C39ED7-E857-7C47-AA73-602F8ECBF990}</b:Guid>
    <b:Title>Wireless Power Consortium: Qi</b:Title>
    <b:URL>https://www.wirelesspowerconsortium.com/qi/</b:URL>
    <b:YearAccessed>2023</b:YearAccessed>
    <b:MonthAccessed>July</b:MonthAccessed>
    <b:RefOrder>37</b:RefOrder>
  </b:Source>
  <b:Source>
    <b:Tag>Sta22</b:Tag>
    <b:SourceType>DocumentFromInternetSite</b:SourceType>
    <b:Guid>{CF4FFA9C-00FB-E348-8061-1885C6FB8D84}</b:Guid>
    <b:Title>National population projections: 2022(base)-2073</b:Title>
    <b:Year>2022</b:Year>
    <b:Author>
      <b:Author>
        <b:Corporate>Stats NZ</b:Corporate>
      </b:Author>
    </b:Author>
    <b:URL>https://www.stats.govt.nz/information-releases/national-population-projections-2022base2073/</b:URL>
    <b:Month>July</b:Month>
    <b:Day>27</b:Day>
    <b:YearAccessed>2023</b:YearAccessed>
    <b:MonthAccessed>April</b:MonthAccessed>
    <b:DayAccessed>21</b:DayAccessed>
    <b:RefOrder>38</b:RefOrder>
  </b:Source>
  <b:Source>
    <b:Tag>Aus18</b:Tag>
    <b:SourceType>DocumentFromInternetSite</b:SourceType>
    <b:Guid>{05E2FBAA-510E-954F-A273-3AEC24764D41}</b:Guid>
    <b:Author>
      <b:Author>
        <b:Corporate>Australian Bureau of Statistics</b:Corporate>
      </b:Author>
    </b:Author>
    <b:Title>Population Projections, Australia</b:Title>
    <b:URL>https://www.abs.gov.au/statistics/people/population/population-projections-australia/latest-release</b:URL>
    <b:Year>2018</b:Year>
    <b:Month>November</b:Month>
    <b:Day>22</b:Day>
    <b:YearAccessed>2023</b:YearAccessed>
    <b:MonthAccessed>April</b:MonthAccessed>
    <b:DayAccessed>21</b:DayAccessed>
    <b:RefOrder>39</b:RefOrder>
  </b:Source>
  <b:Source>
    <b:Tag>ACI22</b:Tag>
    <b:SourceType>Report</b:SourceType>
    <b:Guid>{96FFDA32-F4C8-DA4B-9D79-726BF2E4D342}</b:Guid>
    <b:Author>
      <b:Author>
        <b:Corporate>ACIL Allen</b:Corporate>
      </b:Author>
    </b:Author>
    <b:Title>National Construction Code 2022: Decision Regulation Impact Statement for a proposal to increase residential building energy efficiency requirements</b:Title>
    <b:Year>2022</b:Year>
    <b:Publisher>ACIL Allen</b:Publisher>
    <b:RefOrder>40</b:RefOrder>
  </b:Source>
  <b:Source>
    <b:Tag>Str19</b:Tag>
    <b:SourceType>Report</b:SourceType>
    <b:Guid>{DB8C756B-83C6-824C-9A36-1BB50B4E2AB5}</b:Guid>
    <b:Author>
      <b:Author>
        <b:Corporate>Strategy. Policy. Research.</b:Corporate>
      </b:Author>
    </b:Author>
    <b:Title>Energy Efficiency Forecasts: 2019-2041: Final Report</b:Title>
    <b:Publisher>Strategy. Policy. Research.</b:Publisher>
    <b:Year>2019</b:Year>
    <b:RefOrder>41</b:RefOrder>
  </b:Source>
  <b:Source>
    <b:Tag>JAC19</b:Tag>
    <b:SourceType>Report</b:SourceType>
    <b:Guid>{EB1C4DED-F70C-4744-811C-C7B991231B41}</b:Guid>
    <b:Author>
      <b:Author>
        <b:Corporate>JACOBS</b:Corporate>
      </b:Author>
    </b:Author>
    <b:Title>2019 Victorian Energy Upgrades Program Energy Market Modelling</b:Title>
    <b:Publisher>JACOBS</b:Publisher>
    <b:Year>2019</b:Year>
    <b:RefOrder>42</b:RefOrder>
  </b:Source>
  <b:Source>
    <b:Tag>Maz21</b:Tag>
    <b:SourceType>JournalArticle</b:SourceType>
    <b:Guid>{00BB78EB-67EA-5449-BA62-E392D86B9F78}</b:Guid>
    <b:Title>Monetising Air Pollution Benefits of Clean Energy Requires Locally Specific Information</b:Title>
    <b:Year>2021</b:Year>
    <b:JournalName>Energies</b:JournalName>
    <b:Volume>14</b:Volume>
    <b:Issue>22</b:Issue>
    <b:Pages>7622</b:Pages>
    <b:Author>
      <b:Author>
        <b:NameList>
          <b:Person>
            <b:Last>Mazaheri</b:Last>
            <b:First>Mandana</b:First>
          </b:Person>
          <b:Person>
            <b:Last>Scorgie</b:Last>
            <b:First>Yvonne</b:First>
          </b:Person>
          <b:Person>
            <b:Last>Broome</b:Last>
            <b:First>Richard</b:First>
          </b:Person>
          <b:Person>
            <b:Last>Morgan</b:Last>
            <b:First>Geoffrey</b:First>
          </b:Person>
          <b:Person>
            <b:Last>Jalaludin</b:Last>
            <b:First>Bin</b:First>
          </b:Person>
          <b:Person>
            <b:Last>Riley</b:Last>
            <b:First>Matthew</b:First>
          </b:Person>
        </b:NameList>
      </b:Author>
    </b:Author>
    <b:RefOrder>43</b:RefOrder>
  </b:Source>
  <b:Source>
    <b:Tag>Aus09</b:Tag>
    <b:SourceType>Report</b:SourceType>
    <b:Guid>{3652EA28-AE14-4442-A956-C12D60AC09BA}</b:Guid>
    <b:Title>The Hidden Costs of Electricity: Externalities of Power Generation in Australia</b:Title>
    <b:Year>2009</b:Year>
    <b:Author>
      <b:Author>
        <b:Corporate>Australian Academy of Technological Sciences and Engineering</b:Corporate>
      </b:Author>
    </b:Author>
    <b:Publisher>ATSE</b:Publisher>
    <b:RefOrder>44</b:RefOrder>
  </b:Source>
  <b:Source>
    <b:Tag>New22</b:Tag>
    <b:SourceType>DocumentFromInternetSite</b:SourceType>
    <b:Guid>{DFED9014-B47C-4449-A3BE-77877DDAF56B}</b:Guid>
    <b:Author>
      <b:Author>
        <b:Corporate>New Zealand Government</b:Corporate>
      </b:Author>
    </b:Author>
    <b:Title>CBAx Tool User Guidance</b:Title>
    <b:URL>https://www.treasury.govt.nz/sites/default/files/2022-10/cbax-guide-oct22.pdf</b:URL>
    <b:Year>2022</b:Year>
    <b:Month>October</b:Month>
    <b:YearAccessed>2023</b:YearAccessed>
    <b:MonthAccessed>August</b:MonthAccessed>
    <b:DayAccessed>2</b:DayAccessed>
    <b:RefOrder>46</b:RefOrder>
  </b:Source>
  <b:Source>
    <b:Tag>Int21</b:Tag>
    <b:SourceType>Report</b:SourceType>
    <b:Guid>{42E5D29E-B237-8349-9B5F-ACA37E44075C}</b:Guid>
    <b:Author>
      <b:Author>
        <b:Corporate>Interagency Working Group on Social Cost of Greenhouse Gases, United States Government</b:Corporate>
      </b:Author>
    </b:Author>
    <b:Title>Technical Support Document: Social Cost of Carbon, Methane, and Nitrous Oxide Interim Estimates under Executive Order 13990</b:Title>
    <b:City>Washington DC</b:City>
    <b:Year>2021</b:Year>
    <b:RefOrder>47</b:RefOrder>
  </b:Source>
  <b:Source>
    <b:Tag>USD08</b:Tag>
    <b:SourceType>Report</b:SourceType>
    <b:Guid>{7F04F3DD-CEB2-8F41-8997-6E70B25CCE30}</b:Guid>
    <b:Author>
      <b:Author>
        <b:Corporate>US Department of Energy</b:Corporate>
      </b:Author>
    </b:Author>
    <b:Title>Technical support document: Energy efficiency program for consumer products and commercial and industrial equipment: External power supplies</b:Title>
    <b:City>Washington DC</b:City>
    <b:Year>2008</b:Year>
    <b:RefOrder>49</b:RefOrder>
  </b:Source>
  <b:Source>
    <b:Tag>Off23</b:Tag>
    <b:SourceType>Report</b:SourceType>
    <b:Guid>{092B1488-9FFA-0346-BB1C-DD65C5EDC4A4}</b:Guid>
    <b:Author>
      <b:Author>
        <b:Corporate>Office of Energy Efficiency, Department of Energy</b:Corporate>
      </b:Author>
    </b:Author>
    <b:Title>Energy Conservation Program: Energy Conservation Standards for External Power Supplies - Notice of proposed rulemaking and announcement of public meeting</b:Title>
    <b:Year>2023</b:Year>
    <b:RefOrder>50</b:RefOrder>
  </b:Source>
  <b:Source>
    <b:Tag>New19</b:Tag>
    <b:SourceType>Report</b:SourceType>
    <b:Guid>{A47CA873-2108-4745-903B-C9E76037198C}</b:Guid>
    <b:Author>
      <b:Author>
        <b:Corporate>New Zealand Legislation</b:Corporate>
      </b:Author>
    </b:Author>
    <b:Title>Climate Change Response (Zero Carbon) Amendment Act</b:Title>
    <b:Year>2019</b:Year>
    <b:RefOrder>29</b:RefOrder>
  </b:Source>
  <b:Source>
    <b:Tag>Aus22</b:Tag>
    <b:SourceType>Report</b:SourceType>
    <b:Guid>{50AB2DD0-AFE9-4687-A012-721A822675FD}</b:Guid>
    <b:Author>
      <b:Author>
        <b:Corporate>Australian Government: Australian Office of Financial Management</b:Corporate>
      </b:Author>
    </b:Author>
    <b:Title>Australian Government Climate Change COmmitments, Policies and Programs</b:Title>
    <b:Year>2022</b:Year>
    <b:RefOrder>33</b:RefOrder>
  </b:Source>
  <b:Source>
    <b:Tag>The191</b:Tag>
    <b:SourceType>Report</b:SourceType>
    <b:Guid>{54B6EB2C-60CB-4AAD-94CD-C7D5909EAD40}</b:Guid>
    <b:Author>
      <b:Author>
        <b:Corporate>The European Commission</b:Corporate>
      </b:Author>
    </b:Author>
    <b:Title>COMMISSION REGULATION (EU) 2019/1782: laying down ecodesign requirements for external power supplies pursuant to Directive 2009/125/EC of the European Parliament and of the Council and repealing Commission Regulation (EC) No 278/2009</b:Title>
    <b:Year>2019</b:Year>
    <b:RefOrder>34</b:RefOrder>
  </b:Source>
  <b:Source>
    <b:Tag>CCE22</b:Tag>
    <b:SourceType>Report</b:SourceType>
    <b:Guid>{26B91093-CD50-45A9-9E29-A8DA85061DEF}</b:Guid>
    <b:Author>
      <b:Author>
        <b:NameList>
          <b:Person>
            <b:Last>DCCEEW</b:Last>
          </b:Person>
        </b:NameList>
      </b:Author>
    </b:Author>
    <b:Title>Sunsetting Review of EPS Determination</b:Title>
    <b:Year>2022</b:Year>
    <b:RefOrder>15</b:RefOrder>
  </b:Source>
  <b:Source>
    <b:Tag>Aus23</b:Tag>
    <b:SourceType>Report</b:SourceType>
    <b:Guid>{5FB522F6-A1A8-4F2A-9C42-D12A6BC80C5C}</b:Guid>
    <b:Author>
      <b:Author>
        <b:Corporate>Department of Climate Change, Energy, the Environment and Water</b:Corporate>
      </b:Author>
    </b:Author>
    <b:Title>The National Energy Performance Strategy</b:Title>
    <b:Year>2024</b:Year>
    <b:RefOrder>32</b:RefOrder>
  </b:Source>
  <b:Source>
    <b:Tag>Aus241</b:Tag>
    <b:SourceType>Report</b:SourceType>
    <b:Guid>{CBA14FCF-CF68-AD46-8F04-6236CCCF1B01}</b:Guid>
    <b:Title>How the national energy objectives shape our decisions, Final Guidelies</b:Title>
    <b:Year>2024</b:Year>
    <b:Author>
      <b:Author>
        <b:Corporate>Australian Energy Market Commission</b:Corporate>
      </b:Author>
    </b:Author>
    <b:RefOrder>48</b:RefOrder>
  </b:Source>
  <b:Source>
    <b:Tag>Aus237</b:Tag>
    <b:SourceType>Report</b:SourceType>
    <b:Guid>{5E95CFA7-5E85-5341-83B4-E1EC1DE0470D}</b:Guid>
    <b:Author>
      <b:Author>
        <b:Corporate>Australian Government Department of Climate Change, Energy, the Environment and Water</b:Corporate>
      </b:Author>
    </b:Author>
    <b:Title>Australia’s emissions projections 2023</b:Title>
    <b:Publisher>Commonwealth of Australia</b:Publisher>
    <b:Year>2023</b:Year>
    <b:RefOrder>45</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578BEC5E59CBA4882B22C22E16C5641" ma:contentTypeVersion="8" ma:contentTypeDescription="Create a new document." ma:contentTypeScope="" ma:versionID="d5cc91fe907a525edef1b8e74e8fae83">
  <xsd:schema xmlns:xsd="http://www.w3.org/2001/XMLSchema" xmlns:xs="http://www.w3.org/2001/XMLSchema" xmlns:p="http://schemas.microsoft.com/office/2006/metadata/properties" xmlns:ns1="http://schemas.microsoft.com/sharepoint/v3" xmlns:ns2="2d5a604d-cf3e-4f51-ae06-ce5f7b4b904f" xmlns:ns3="4c70a926-dbaa-45f1-afc0-26a9639aec76" xmlns:ns4="48d9e47e-32db-43c4-9293-80ac5949bf17" xmlns:ns5="e069ed18-643f-4fa2-8f24-2a187e93ad6d" targetNamespace="http://schemas.microsoft.com/office/2006/metadata/properties" ma:root="true" ma:fieldsID="c5ac0b6e32169c8edf007d89b32c295a" ns1:_="" ns2:_="" ns3:_="" ns4:_="" ns5:_="">
    <xsd:import namespace="http://schemas.microsoft.com/sharepoint/v3"/>
    <xsd:import namespace="2d5a604d-cf3e-4f51-ae06-ce5f7b4b904f"/>
    <xsd:import namespace="4c70a926-dbaa-45f1-afc0-26a9639aec76"/>
    <xsd:import namespace="48d9e47e-32db-43c4-9293-80ac5949bf1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Classificatio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1:_ip_UnifiedCompliancePolicyProperties" minOccurs="0"/>
                <xsd:element ref="ns1:_ip_UnifiedCompliancePolicyUIAction" minOccurs="0"/>
                <xsd:element ref="ns4:lcf76f155ced4ddcb4097134ff3c332f" minOccurs="0"/>
                <xsd:element ref="ns5:TaxCatchAll" minOccurs="0"/>
                <xsd:element ref="ns2:Statu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a604d-cf3e-4f51-ae06-ce5f7b4b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lassification" ma:index="11" nillable="true" ma:displayName="Classification" ma:default="Official" ma:description="Security classification of the document" ma:format="Dropdown" ma:internalName="Classification">
      <xsd:simpleType>
        <xsd:restriction base="dms:Text">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Status" ma:index="24"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9e47e-32db-43c4-9293-80ac5949bf17"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069ed18-643f-4fa2-8f24-2a187e93ad6d" xsi:nil="true"/>
    <lcf76f155ced4ddcb4097134ff3c332f xmlns="48d9e47e-32db-43c4-9293-80ac5949bf17">
      <Terms xmlns="http://schemas.microsoft.com/office/infopath/2007/PartnerControls"/>
    </lcf76f155ced4ddcb4097134ff3c332f>
    <_ip_UnifiedCompliancePolicyUIAction xmlns="http://schemas.microsoft.com/sharepoint/v3" xsi:nil="true"/>
    <Status xmlns="2d5a604d-cf3e-4f51-ae06-ce5f7b4b904f" xsi:nil="true"/>
    <_ip_UnifiedCompliancePolicyProperties xmlns="http://schemas.microsoft.com/sharepoint/v3" xsi:nil="true"/>
    <Classification xmlns="2d5a604d-cf3e-4f51-ae06-ce5f7b4b904f">Official</Classification>
  </documentManagement>
</p:properties>
</file>

<file path=customXml/itemProps1.xml><?xml version="1.0" encoding="utf-8"?>
<ds:datastoreItem xmlns:ds="http://schemas.openxmlformats.org/officeDocument/2006/customXml" ds:itemID="{EFDC218A-928E-4B75-852B-9ED14BA0187A}">
  <ds:schemaRefs>
    <ds:schemaRef ds:uri="http://schemas.microsoft.com/sharepoint/v3/contenttype/forms"/>
  </ds:schemaRefs>
</ds:datastoreItem>
</file>

<file path=customXml/itemProps2.xml><?xml version="1.0" encoding="utf-8"?>
<ds:datastoreItem xmlns:ds="http://schemas.openxmlformats.org/officeDocument/2006/customXml" ds:itemID="{1064B0FB-16C0-1241-97D9-23AE6DFD5AB0}">
  <ds:schemaRefs>
    <ds:schemaRef ds:uri="http://schemas.openxmlformats.org/officeDocument/2006/bibliography"/>
  </ds:schemaRefs>
</ds:datastoreItem>
</file>

<file path=customXml/itemProps3.xml><?xml version="1.0" encoding="utf-8"?>
<ds:datastoreItem xmlns:ds="http://schemas.openxmlformats.org/officeDocument/2006/customXml" ds:itemID="{9F3407DF-250F-4062-BD46-7E11FFDF5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5a604d-cf3e-4f51-ae06-ce5f7b4b904f"/>
    <ds:schemaRef ds:uri="4c70a926-dbaa-45f1-afc0-26a9639aec76"/>
    <ds:schemaRef ds:uri="48d9e47e-32db-43c4-9293-80ac5949bf1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484350-6EA0-4F0B-96DB-E75B07155EFE}">
  <ds:schemaRefs>
    <ds:schemaRef ds:uri="http://schemas.microsoft.com/office/2006/metadata/properties"/>
    <ds:schemaRef ds:uri="http://schemas.microsoft.com/office/infopath/2007/PartnerControls"/>
    <ds:schemaRef ds:uri="e069ed18-643f-4fa2-8f24-2a187e93ad6d"/>
    <ds:schemaRef ds:uri="48d9e47e-32db-43c4-9293-80ac5949bf17"/>
    <ds:schemaRef ds:uri="http://schemas.microsoft.com/sharepoint/v3"/>
    <ds:schemaRef ds:uri="2d5a604d-cf3e-4f51-ae06-ce5f7b4b904f"/>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E3 Report_ Standard doc v2 (006)</Template>
  <TotalTime>3</TotalTime>
  <Pages>110</Pages>
  <Words>26274</Words>
  <Characters>149767</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EPS CRIS_V5 Victoria Comments</vt:lpstr>
    </vt:vector>
  </TitlesOfParts>
  <Company/>
  <LinksUpToDate>false</LinksUpToDate>
  <CharactersWithSpaces>175690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Power Supplies CRIS</dc:title>
  <dc:subject/>
  <dc:creator>Department of Climate Change Energy the Environment and Water</dc:creator>
  <cp:keywords/>
  <cp:lastModifiedBy>Angela JONES</cp:lastModifiedBy>
  <cp:revision>3</cp:revision>
  <cp:lastPrinted>2025-03-17T05:21:00Z</cp:lastPrinted>
  <dcterms:created xsi:type="dcterms:W3CDTF">2025-03-17T05:21:00Z</dcterms:created>
  <dcterms:modified xsi:type="dcterms:W3CDTF">2025-03-17T05:22:00Z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Hub_Year">
    <vt:lpwstr/>
  </property>
  <property fmtid="{D5CDD505-2E9C-101B-9397-08002B2CF9AE}" pid="3" name="DocHub_DocumentType">
    <vt:lpwstr>59;#Template|9b48ba34-650a-488d-9fe8-e5181e10b797</vt:lpwstr>
  </property>
  <property fmtid="{D5CDD505-2E9C-101B-9397-08002B2CF9AE}" pid="4" name="DocHub_SecurityClassification">
    <vt:lpwstr>1;#OFFICIAL|6106d03b-a1a0-4e30-9d91-d5e9fb4314f9</vt:lpwstr>
  </property>
  <property fmtid="{D5CDD505-2E9C-101B-9397-08002B2CF9AE}" pid="5" name="DocHub_Keywords">
    <vt:lpwstr>1882;#Branding Guidelines|9bb8f058-be70-4ae4-8e59-6ba67cbee5cf</vt:lpwstr>
  </property>
  <property fmtid="{D5CDD505-2E9C-101B-9397-08002B2CF9AE}" pid="6" name="DocHub_WorkActivity">
    <vt:lpwstr>457;#Publishing|9ba07de0-82b8-4e1d-94a3-171623fcca2e</vt:lpwstr>
  </property>
  <property fmtid="{D5CDD505-2E9C-101B-9397-08002B2CF9AE}" pid="7" name="DocHub_MeetingDate">
    <vt:lpwstr/>
  </property>
  <property fmtid="{D5CDD505-2E9C-101B-9397-08002B2CF9AE}" pid="8" name="DocHub_GEMSWorkTopics">
    <vt:lpwstr>2482;#Energy Rating Website Content Management|07f014ea-f7f1-45f7-9698-4a87abdde269</vt:lpwstr>
  </property>
  <property fmtid="{D5CDD505-2E9C-101B-9397-08002B2CF9AE}" pid="9" name="Order">
    <vt:r8>18200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y fmtid="{D5CDD505-2E9C-101B-9397-08002B2CF9AE}" pid="17" name="ClassificationContentMarkingFooterShapeIds">
    <vt:lpwstr>5b423998,567da2ea,4745f038,240c7563,63a52363,1e2d70fd</vt:lpwstr>
  </property>
  <property fmtid="{D5CDD505-2E9C-101B-9397-08002B2CF9AE}" pid="18" name="ClassificationContentMarkingFooterFontProps">
    <vt:lpwstr>#000000,12,Calibri</vt:lpwstr>
  </property>
  <property fmtid="{D5CDD505-2E9C-101B-9397-08002B2CF9AE}" pid="19" name="ClassificationContentMarkingFooterText">
    <vt:lpwstr>OFFICIAL</vt:lpwstr>
  </property>
  <property fmtid="{D5CDD505-2E9C-101B-9397-08002B2CF9AE}" pid="20" name="ContentTypeId">
    <vt:lpwstr>0x0101003578BEC5E59CBA4882B22C22E16C5641</vt:lpwstr>
  </property>
  <property fmtid="{D5CDD505-2E9C-101B-9397-08002B2CF9AE}" pid="21" name="MSIP_Label_3f3ac5bd-667f-4729-bae4-9cad4f1d410e_Enabled">
    <vt:lpwstr>true</vt:lpwstr>
  </property>
  <property fmtid="{D5CDD505-2E9C-101B-9397-08002B2CF9AE}" pid="22" name="MSIP_Label_3f3ac5bd-667f-4729-bae4-9cad4f1d410e_SetDate">
    <vt:lpwstr>2024-09-23T03:42:32Z</vt:lpwstr>
  </property>
  <property fmtid="{D5CDD505-2E9C-101B-9397-08002B2CF9AE}" pid="23" name="MSIP_Label_3f3ac5bd-667f-4729-bae4-9cad4f1d410e_Method">
    <vt:lpwstr>Standard</vt:lpwstr>
  </property>
  <property fmtid="{D5CDD505-2E9C-101B-9397-08002B2CF9AE}" pid="24" name="MSIP_Label_3f3ac5bd-667f-4729-bae4-9cad4f1d410e_Name">
    <vt:lpwstr>3f3ac5bd-667f-4729-bae4-9cad4f1d410e</vt:lpwstr>
  </property>
  <property fmtid="{D5CDD505-2E9C-101B-9397-08002B2CF9AE}" pid="25" name="MSIP_Label_3f3ac5bd-667f-4729-bae4-9cad4f1d410e_SiteId">
    <vt:lpwstr>b076ce60-ca2a-4185-9041-851d1b7bc01a</vt:lpwstr>
  </property>
  <property fmtid="{D5CDD505-2E9C-101B-9397-08002B2CF9AE}" pid="26" name="MSIP_Label_3f3ac5bd-667f-4729-bae4-9cad4f1d410e_ActionId">
    <vt:lpwstr>583110ef-a8d6-4d86-970b-ede5273d0948</vt:lpwstr>
  </property>
  <property fmtid="{D5CDD505-2E9C-101B-9397-08002B2CF9AE}" pid="27" name="MSIP_Label_3f3ac5bd-667f-4729-bae4-9cad4f1d410e_ContentBits">
    <vt:lpwstr>3</vt:lpwstr>
  </property>
  <property fmtid="{D5CDD505-2E9C-101B-9397-08002B2CF9AE}" pid="28" name="MSIP_Label_4257e2ab-f512-40e2-9c9a-c64247360765_Enabled">
    <vt:lpwstr>true</vt:lpwstr>
  </property>
  <property fmtid="{D5CDD505-2E9C-101B-9397-08002B2CF9AE}" pid="29" name="MSIP_Label_4257e2ab-f512-40e2-9c9a-c64247360765_SetDate">
    <vt:lpwstr>2024-10-04T01:05:31Z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b29a7c2d-60d9-48f1-af9d-30f4037c3e6c</vt:lpwstr>
  </property>
  <property fmtid="{D5CDD505-2E9C-101B-9397-08002B2CF9AE}" pid="34" name="MSIP_Label_4257e2ab-f512-40e2-9c9a-c64247360765_ContentBits">
    <vt:lpwstr>2</vt:lpwstr>
  </property>
  <property fmtid="{D5CDD505-2E9C-101B-9397-08002B2CF9AE}" pid="35" name="Section">
    <vt:lpwstr>8;#All|8270565e-a836-42c0-aa61-1ac7b0ff14aa</vt:lpwstr>
  </property>
  <property fmtid="{D5CDD505-2E9C-101B-9397-08002B2CF9AE}" pid="36" name="Sub-Section">
    <vt:lpwstr/>
  </property>
  <property fmtid="{D5CDD505-2E9C-101B-9397-08002B2CF9AE}" pid="37" name="Agency">
    <vt:lpwstr>1;#Department of Environment, Land, Water and Planning|607a3f87-1228-4cd9-82a5-076aa8776274</vt:lpwstr>
  </property>
  <property fmtid="{D5CDD505-2E9C-101B-9397-08002B2CF9AE}" pid="38" name="Branch">
    <vt:lpwstr>6;#Energy Efficiency|ef958207-59c7-4f97-84ab-1f83e6060f72</vt:lpwstr>
  </property>
  <property fmtid="{D5CDD505-2E9C-101B-9397-08002B2CF9AE}" pid="39" name="o85941e134754762b9719660a258a6e6">
    <vt:lpwstr/>
  </property>
  <property fmtid="{D5CDD505-2E9C-101B-9397-08002B2CF9AE}" pid="40" name="Reference_x0020_Type">
    <vt:lpwstr/>
  </property>
  <property fmtid="{D5CDD505-2E9C-101B-9397-08002B2CF9AE}" pid="41" name="Location_x0020_Type">
    <vt:lpwstr/>
  </property>
  <property fmtid="{D5CDD505-2E9C-101B-9397-08002B2CF9AE}" pid="42" name="Copyright_x0020_Licence_x0020_Name">
    <vt:lpwstr/>
  </property>
  <property fmtid="{D5CDD505-2E9C-101B-9397-08002B2CF9AE}" pid="43" name="df723ab3fe1c4eb7a0b151674e7ac40d">
    <vt:lpwstr/>
  </property>
  <property fmtid="{D5CDD505-2E9C-101B-9397-08002B2CF9AE}" pid="44" name="Division">
    <vt:lpwstr>5;#Energy Policy and Programs|bd7e0405-0ffe-40eb-a2cb-d5a44b2db5b0</vt:lpwstr>
  </property>
  <property fmtid="{D5CDD505-2E9C-101B-9397-08002B2CF9AE}" pid="45" name="Dissemination Limiting Marker">
    <vt:lpwstr>2;#FOUO|955eb6fc-b35a-4808-8aa5-31e514fa3f26</vt:lpwstr>
  </property>
  <property fmtid="{D5CDD505-2E9C-101B-9397-08002B2CF9AE}" pid="46" name="o2e611f6ba3e4c8f9a895dfb7980639e">
    <vt:lpwstr/>
  </property>
  <property fmtid="{D5CDD505-2E9C-101B-9397-08002B2CF9AE}" pid="47" name="ld508a88e6264ce89693af80a72862cb">
    <vt:lpwstr/>
  </property>
  <property fmtid="{D5CDD505-2E9C-101B-9397-08002B2CF9AE}" pid="48" name="Copyright_x0020_License_x0020_Type">
    <vt:lpwstr/>
  </property>
  <property fmtid="{D5CDD505-2E9C-101B-9397-08002B2CF9AE}" pid="49" name="Group1">
    <vt:lpwstr>4;#Energy, Environment and Climate Change|94bee464-a01d-4057-aeaf-10b10373b617</vt:lpwstr>
  </property>
  <property fmtid="{D5CDD505-2E9C-101B-9397-08002B2CF9AE}" pid="50" name="Security Classification">
    <vt:lpwstr>3;#Unclassified|7fa379f4-4aba-4692-ab80-7d39d3a23cf4</vt:lpwstr>
  </property>
  <property fmtid="{D5CDD505-2E9C-101B-9397-08002B2CF9AE}" pid="51" name="Copyright Licence Name">
    <vt:lpwstr/>
  </property>
  <property fmtid="{D5CDD505-2E9C-101B-9397-08002B2CF9AE}" pid="52" name="Reference Type">
    <vt:lpwstr/>
  </property>
  <property fmtid="{D5CDD505-2E9C-101B-9397-08002B2CF9AE}" pid="53" name="Copyright License Type">
    <vt:lpwstr/>
  </property>
  <property fmtid="{D5CDD505-2E9C-101B-9397-08002B2CF9AE}" pid="54" name="Location Type">
    <vt:lpwstr/>
  </property>
  <property fmtid="{D5CDD505-2E9C-101B-9397-08002B2CF9AE}" pid="55" name="_dlc_DocIdItemGuid">
    <vt:lpwstr>fc1b07e7-d59b-4506-9880-4de824c12eca</vt:lpwstr>
  </property>
</Properties>
</file>