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CE59A" w14:textId="057B2D52" w:rsidR="00764D6A" w:rsidRPr="008001F1" w:rsidRDefault="007F7F92" w:rsidP="00A4349F">
      <w:pPr>
        <w:pStyle w:val="Heading1"/>
        <w:spacing w:before="1300"/>
        <w:rPr>
          <w:b w:val="0"/>
          <w:bCs w:val="0"/>
        </w:rPr>
      </w:pPr>
      <w:r w:rsidRPr="008001F1">
        <w:rPr>
          <w:b w:val="0"/>
          <w:bCs w:val="0"/>
          <w:noProof/>
        </w:rPr>
        <w:drawing>
          <wp:anchor distT="0" distB="0" distL="114300" distR="114300" simplePos="0" relativeHeight="251658240" behindDoc="1" locked="0" layoutInCell="1" allowOverlap="1" wp14:anchorId="2F77DC81" wp14:editId="368D2DAE">
            <wp:simplePos x="0" y="0"/>
            <wp:positionH relativeFrom="page">
              <wp:align>left</wp:align>
            </wp:positionH>
            <wp:positionV relativeFrom="paragraph">
              <wp:posOffset>-1172992</wp:posOffset>
            </wp:positionV>
            <wp:extent cx="7576997" cy="10713600"/>
            <wp:effectExtent l="0" t="0" r="5080" b="0"/>
            <wp:wrapNone/>
            <wp:docPr id="215967834" name="Picture 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descr="Cover Image"/>
                    <pic:cNvPicPr/>
                  </pic:nvPicPr>
                  <pic:blipFill>
                    <a:blip r:embed="rId11">
                      <a:extLst>
                        <a:ext uri="{28A0092B-C50C-407E-A947-70E740481C1C}">
                          <a14:useLocalDpi xmlns:a14="http://schemas.microsoft.com/office/drawing/2010/main" val="0"/>
                        </a:ext>
                      </a:extLst>
                    </a:blip>
                    <a:stretch>
                      <a:fillRect/>
                    </a:stretch>
                  </pic:blipFill>
                  <pic:spPr>
                    <a:xfrm>
                      <a:off x="0" y="0"/>
                      <a:ext cx="7576997" cy="10713600"/>
                    </a:xfrm>
                    <a:prstGeom prst="rect">
                      <a:avLst/>
                    </a:prstGeom>
                  </pic:spPr>
                </pic:pic>
              </a:graphicData>
            </a:graphic>
            <wp14:sizeRelH relativeFrom="margin">
              <wp14:pctWidth>0</wp14:pctWidth>
            </wp14:sizeRelH>
            <wp14:sizeRelV relativeFrom="margin">
              <wp14:pctHeight>0</wp14:pctHeight>
            </wp14:sizeRelV>
          </wp:anchor>
        </w:drawing>
      </w:r>
      <w:r w:rsidR="0070249D" w:rsidRPr="008001F1">
        <w:rPr>
          <w:b w:val="0"/>
          <w:bCs w:val="0"/>
        </w:rPr>
        <w:t xml:space="preserve">National Greenhouse and Energy Reporting (NGER) </w:t>
      </w:r>
      <w:r w:rsidR="006A148D">
        <w:rPr>
          <w:b w:val="0"/>
          <w:bCs w:val="0"/>
        </w:rPr>
        <w:t>s</w:t>
      </w:r>
      <w:r w:rsidR="0070249D" w:rsidRPr="008001F1">
        <w:rPr>
          <w:b w:val="0"/>
          <w:bCs w:val="0"/>
        </w:rPr>
        <w:t>cheme</w:t>
      </w:r>
    </w:p>
    <w:p w14:paraId="3AA12FB8" w14:textId="45C7632C" w:rsidR="00764D6A" w:rsidRPr="008001F1" w:rsidRDefault="0070249D">
      <w:pPr>
        <w:pStyle w:val="Subtitle"/>
      </w:pPr>
      <w:r w:rsidRPr="008001F1">
        <w:t>202</w:t>
      </w:r>
      <w:r w:rsidR="00AD39F3">
        <w:t>5</w:t>
      </w:r>
      <w:r w:rsidRPr="008001F1">
        <w:t xml:space="preserve"> </w:t>
      </w:r>
      <w:r w:rsidR="0096631E">
        <w:t>Public Consultation</w:t>
      </w:r>
    </w:p>
    <w:p w14:paraId="113098FC" w14:textId="1AE4DBCB" w:rsidR="00764D6A" w:rsidRDefault="00764D6A" w:rsidP="00D100F7">
      <w:pPr>
        <w:pStyle w:val="AuthorOrganisationAffiliation"/>
        <w:tabs>
          <w:tab w:val="left" w:pos="7995"/>
        </w:tabs>
        <w:spacing w:after="500"/>
      </w:pPr>
    </w:p>
    <w:p w14:paraId="1069AB5B" w14:textId="77777777" w:rsidR="00764D6A" w:rsidRPr="005D3790" w:rsidRDefault="00764D6A" w:rsidP="005D3790"/>
    <w:p w14:paraId="6DCC270E" w14:textId="77777777" w:rsidR="00AD39F3" w:rsidRDefault="00AD39F3">
      <w:pPr>
        <w:spacing w:after="0" w:line="240" w:lineRule="auto"/>
        <w:rPr>
          <w:sz w:val="18"/>
          <w:szCs w:val="18"/>
        </w:rPr>
      </w:pPr>
      <w:r>
        <w:br w:type="page"/>
      </w:r>
    </w:p>
    <w:p w14:paraId="40DF7130" w14:textId="554F9B1C" w:rsidR="00764D6A" w:rsidRDefault="00E91D72">
      <w:pPr>
        <w:pStyle w:val="Normalsmall"/>
      </w:pPr>
      <w:r>
        <w:lastRenderedPageBreak/>
        <w:t xml:space="preserve">© Commonwealth of Australia </w:t>
      </w:r>
      <w:r w:rsidR="00B97E61">
        <w:t>202</w:t>
      </w:r>
      <w:r w:rsidR="00AD39F3">
        <w:t>5</w:t>
      </w:r>
    </w:p>
    <w:p w14:paraId="570621F1" w14:textId="77777777" w:rsidR="00764D6A" w:rsidRDefault="00E91D72">
      <w:pPr>
        <w:pStyle w:val="Normalsmall"/>
        <w:rPr>
          <w:rStyle w:val="Strong"/>
        </w:rPr>
      </w:pPr>
      <w:r>
        <w:rPr>
          <w:rStyle w:val="Strong"/>
        </w:rPr>
        <w:t>Ownership of intellectual property rights</w:t>
      </w:r>
    </w:p>
    <w:p w14:paraId="2150FCC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AFE6384" w14:textId="77777777" w:rsidR="00764D6A" w:rsidRDefault="00E91D72">
      <w:pPr>
        <w:pStyle w:val="Normalsmall"/>
        <w:rPr>
          <w:rStyle w:val="Strong"/>
        </w:rPr>
      </w:pPr>
      <w:r>
        <w:rPr>
          <w:rStyle w:val="Strong"/>
        </w:rPr>
        <w:t>Creative Commons licence</w:t>
      </w:r>
    </w:p>
    <w:p w14:paraId="4C3C9725"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4B7F3843"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6A9E49AA" w14:textId="77777777" w:rsidR="00764D6A" w:rsidRPr="00364A4A" w:rsidRDefault="00E91D72">
      <w:pPr>
        <w:pStyle w:val="Normalsmall"/>
      </w:pPr>
      <w:r w:rsidRPr="00364A4A">
        <w:rPr>
          <w:noProof/>
          <w:lang w:eastAsia="en-AU"/>
        </w:rPr>
        <w:drawing>
          <wp:inline distT="0" distB="0" distL="0" distR="0" wp14:anchorId="20C47921" wp14:editId="2C67A5E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57CEB1A" w14:textId="77777777" w:rsidR="00764D6A" w:rsidRPr="00364A4A" w:rsidRDefault="00E91D72">
      <w:pPr>
        <w:pStyle w:val="Normalsmall"/>
        <w:rPr>
          <w:rStyle w:val="Strong"/>
        </w:rPr>
      </w:pPr>
      <w:r w:rsidRPr="00364A4A">
        <w:rPr>
          <w:rStyle w:val="Strong"/>
        </w:rPr>
        <w:t>Cataloguing data</w:t>
      </w:r>
    </w:p>
    <w:p w14:paraId="34543750" w14:textId="6305F54A" w:rsidR="00764D6A" w:rsidRDefault="00E91D72">
      <w:pPr>
        <w:pStyle w:val="Normalsmall"/>
      </w:pPr>
      <w:r w:rsidRPr="00364A4A">
        <w:t xml:space="preserve">This publication (and any material sourced from it) should be attributed as: </w:t>
      </w:r>
      <w:r w:rsidR="009D5007" w:rsidRPr="00950F5D">
        <w:t>D</w:t>
      </w:r>
      <w:r w:rsidR="000F2194" w:rsidRPr="00950F5D">
        <w:t>CCEEW</w:t>
      </w:r>
      <w:r w:rsidR="00B97E61" w:rsidRPr="00950F5D">
        <w:t xml:space="preserve"> 202</w:t>
      </w:r>
      <w:r w:rsidR="00437138">
        <w:t>5</w:t>
      </w:r>
      <w:r w:rsidRPr="00950F5D">
        <w:t xml:space="preserve">, </w:t>
      </w:r>
      <w:r w:rsidR="0070249D">
        <w:rPr>
          <w:i/>
        </w:rPr>
        <w:t>National Greenhouse and Energy Reporting (NGER) Scheme – 202</w:t>
      </w:r>
      <w:r w:rsidR="0000213B">
        <w:rPr>
          <w:i/>
        </w:rPr>
        <w:t>5</w:t>
      </w:r>
      <w:r w:rsidR="00DE5029">
        <w:rPr>
          <w:i/>
        </w:rPr>
        <w:t xml:space="preserve"> </w:t>
      </w:r>
      <w:r w:rsidR="005E789D">
        <w:rPr>
          <w:i/>
        </w:rPr>
        <w:t>Public Consultation</w:t>
      </w:r>
      <w:r>
        <w:t xml:space="preserve">, </w:t>
      </w:r>
      <w:r w:rsidR="006F065B" w:rsidRPr="006F065B">
        <w:t>Department of Climate Change, Energy, the Environment and Water</w:t>
      </w:r>
      <w:r>
        <w:t xml:space="preserve">, </w:t>
      </w:r>
      <w:r w:rsidRPr="00872E59">
        <w:t xml:space="preserve">Canberra, </w:t>
      </w:r>
      <w:r w:rsidR="6B3C4869">
        <w:t>February</w:t>
      </w:r>
      <w:r w:rsidR="00437138" w:rsidRPr="00872E59">
        <w:t xml:space="preserve"> </w:t>
      </w:r>
      <w:r w:rsidR="00762A01" w:rsidRPr="00872E59">
        <w:t>202</w:t>
      </w:r>
      <w:r w:rsidR="00CC788A" w:rsidRPr="00872E59">
        <w:t>5</w:t>
      </w:r>
      <w:r w:rsidRPr="00872E59">
        <w:t>. CC BY 4.0.</w:t>
      </w:r>
    </w:p>
    <w:p w14:paraId="1DDABD00" w14:textId="6CBEA197" w:rsidR="00764D6A" w:rsidRDefault="00E91D72">
      <w:pPr>
        <w:pStyle w:val="Normalsmall"/>
      </w:pPr>
      <w:r>
        <w:t xml:space="preserve">This </w:t>
      </w:r>
      <w:r w:rsidRPr="00364A4A">
        <w:t xml:space="preserve">publication is available at </w:t>
      </w:r>
      <w:hyperlink r:id="rId15" w:history="1">
        <w:r w:rsidR="00D86640" w:rsidRPr="00950F5D">
          <w:rPr>
            <w:rStyle w:val="Hyperlink"/>
          </w:rPr>
          <w:t>dcceew.gov.au/publications</w:t>
        </w:r>
      </w:hyperlink>
      <w:r w:rsidRPr="00364A4A">
        <w:t>.</w:t>
      </w:r>
    </w:p>
    <w:p w14:paraId="6B9160AB" w14:textId="77777777" w:rsidR="00DE0AAE" w:rsidRDefault="00D86640">
      <w:pPr>
        <w:pStyle w:val="Normalsmall"/>
        <w:spacing w:after="0"/>
      </w:pPr>
      <w:r w:rsidRPr="00D86640">
        <w:t>Department of Climate Change, Energy, the Environment and Water</w:t>
      </w:r>
    </w:p>
    <w:p w14:paraId="43367EC0" w14:textId="0F3D2F6A" w:rsidR="00764D6A" w:rsidRPr="00364A4A" w:rsidRDefault="00E91D72">
      <w:pPr>
        <w:pStyle w:val="Normalsmall"/>
        <w:spacing w:after="0"/>
      </w:pPr>
      <w:r w:rsidRPr="00364A4A">
        <w:t xml:space="preserve">GPO Box </w:t>
      </w:r>
      <w:r w:rsidR="008E2377">
        <w:t>3090</w:t>
      </w:r>
      <w:r w:rsidRPr="00364A4A">
        <w:t xml:space="preserve"> Canberra ACT 2601</w:t>
      </w:r>
    </w:p>
    <w:p w14:paraId="1CA964B1" w14:textId="4C235DFD" w:rsidR="00764D6A" w:rsidRPr="00364A4A" w:rsidRDefault="00E91D72">
      <w:pPr>
        <w:pStyle w:val="Normalsmall"/>
        <w:spacing w:after="0"/>
      </w:pPr>
      <w:r w:rsidRPr="00364A4A">
        <w:t xml:space="preserve">Telephone </w:t>
      </w:r>
      <w:r w:rsidR="00D464F4" w:rsidRPr="00D464F4">
        <w:t>1800 920 528</w:t>
      </w:r>
    </w:p>
    <w:p w14:paraId="2988A515" w14:textId="19AC9326" w:rsidR="00764D6A" w:rsidRPr="00364A4A" w:rsidRDefault="00E91D72">
      <w:pPr>
        <w:pStyle w:val="Normalsmall"/>
      </w:pPr>
      <w:bookmarkStart w:id="0" w:name="_Hlk108621036"/>
      <w:r w:rsidRPr="00364A4A">
        <w:t xml:space="preserve">Web </w:t>
      </w:r>
      <w:hyperlink r:id="rId16" w:history="1">
        <w:r w:rsidR="00D86640">
          <w:rPr>
            <w:rStyle w:val="Hyperlink"/>
          </w:rPr>
          <w:t>dcceew.gov.au</w:t>
        </w:r>
      </w:hyperlink>
    </w:p>
    <w:bookmarkEnd w:id="0"/>
    <w:p w14:paraId="7A31D4BE" w14:textId="77777777" w:rsidR="007C358A" w:rsidRDefault="007C358A">
      <w:pPr>
        <w:pStyle w:val="Normalsmall"/>
      </w:pPr>
      <w:r w:rsidRPr="00364A4A">
        <w:rPr>
          <w:rStyle w:val="Strong"/>
        </w:rPr>
        <w:t>Disclaimer</w:t>
      </w:r>
    </w:p>
    <w:p w14:paraId="64BB6D1D"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162A223" w14:textId="2EAA7008" w:rsidR="00B02B9B" w:rsidRDefault="00B02B9B" w:rsidP="00B02B9B">
      <w:pPr>
        <w:pStyle w:val="Normalsmall"/>
      </w:pPr>
      <w:r>
        <w:rPr>
          <w:rStyle w:val="Strong"/>
        </w:rPr>
        <w:t>Acknowledgement of Country</w:t>
      </w:r>
    </w:p>
    <w:p w14:paraId="6FF300B6" w14:textId="77777777"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586F4AD0" w14:textId="77777777" w:rsidR="00A32152" w:rsidRDefault="00A32152" w:rsidP="00C36B3E">
      <w:pPr>
        <w:pStyle w:val="Heading2"/>
      </w:pPr>
      <w:bookmarkStart w:id="1" w:name="_Toc430782148"/>
      <w:r>
        <w:br w:type="page"/>
      </w:r>
    </w:p>
    <w:bookmarkEnd w:id="1"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rPr>
      </w:sdtEndPr>
      <w:sdtContent>
        <w:p w14:paraId="38C8000F" w14:textId="740A7A53" w:rsidR="00764D6A" w:rsidRDefault="00E91D72">
          <w:pPr>
            <w:pStyle w:val="TOCHeading"/>
          </w:pPr>
          <w:r>
            <w:t>Contents</w:t>
          </w:r>
        </w:p>
        <w:p w14:paraId="7AC52B8D" w14:textId="4548EC08" w:rsidR="008D6C6A"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91373886" w:history="1">
            <w:r w:rsidR="008D6C6A" w:rsidRPr="002D0487">
              <w:rPr>
                <w:rStyle w:val="Hyperlink"/>
              </w:rPr>
              <w:t>Overview</w:t>
            </w:r>
            <w:r w:rsidR="008D6C6A">
              <w:rPr>
                <w:webHidden/>
              </w:rPr>
              <w:tab/>
            </w:r>
            <w:r w:rsidR="008D6C6A">
              <w:rPr>
                <w:webHidden/>
              </w:rPr>
              <w:fldChar w:fldCharType="begin"/>
            </w:r>
            <w:r w:rsidR="008D6C6A">
              <w:rPr>
                <w:webHidden/>
              </w:rPr>
              <w:instrText xml:space="preserve"> PAGEREF _Toc191373886 \h </w:instrText>
            </w:r>
            <w:r w:rsidR="008D6C6A">
              <w:rPr>
                <w:webHidden/>
              </w:rPr>
            </w:r>
            <w:r w:rsidR="008D6C6A">
              <w:rPr>
                <w:webHidden/>
              </w:rPr>
              <w:fldChar w:fldCharType="separate"/>
            </w:r>
            <w:r w:rsidR="008D6C6A">
              <w:rPr>
                <w:webHidden/>
              </w:rPr>
              <w:t>4</w:t>
            </w:r>
            <w:r w:rsidR="008D6C6A">
              <w:rPr>
                <w:webHidden/>
              </w:rPr>
              <w:fldChar w:fldCharType="end"/>
            </w:r>
          </w:hyperlink>
        </w:p>
        <w:p w14:paraId="7924C691" w14:textId="41AB4E34" w:rsidR="008D6C6A" w:rsidRDefault="008D6C6A">
          <w:pPr>
            <w:pStyle w:val="TOC2"/>
            <w:rPr>
              <w:rFonts w:eastAsiaTheme="minorEastAsia"/>
              <w:kern w:val="2"/>
              <w:sz w:val="24"/>
              <w:szCs w:val="24"/>
              <w:lang w:eastAsia="en-AU"/>
              <w14:ligatures w14:val="standardContextual"/>
            </w:rPr>
          </w:pPr>
          <w:hyperlink w:anchor="_Toc191373887" w:history="1">
            <w:r w:rsidRPr="002D0487">
              <w:rPr>
                <w:rStyle w:val="Hyperlink"/>
              </w:rPr>
              <w:t>The National Greenhouse and Energy Reporting (NGER) scheme</w:t>
            </w:r>
            <w:r>
              <w:rPr>
                <w:webHidden/>
              </w:rPr>
              <w:tab/>
            </w:r>
            <w:r>
              <w:rPr>
                <w:webHidden/>
              </w:rPr>
              <w:fldChar w:fldCharType="begin"/>
            </w:r>
            <w:r>
              <w:rPr>
                <w:webHidden/>
              </w:rPr>
              <w:instrText xml:space="preserve"> PAGEREF _Toc191373887 \h </w:instrText>
            </w:r>
            <w:r>
              <w:rPr>
                <w:webHidden/>
              </w:rPr>
            </w:r>
            <w:r>
              <w:rPr>
                <w:webHidden/>
              </w:rPr>
              <w:fldChar w:fldCharType="separate"/>
            </w:r>
            <w:r>
              <w:rPr>
                <w:webHidden/>
              </w:rPr>
              <w:t>4</w:t>
            </w:r>
            <w:r>
              <w:rPr>
                <w:webHidden/>
              </w:rPr>
              <w:fldChar w:fldCharType="end"/>
            </w:r>
          </w:hyperlink>
        </w:p>
        <w:p w14:paraId="12E29CBE" w14:textId="757E3400" w:rsidR="008D6C6A" w:rsidRDefault="008D6C6A">
          <w:pPr>
            <w:pStyle w:val="TOC2"/>
            <w:rPr>
              <w:rFonts w:eastAsiaTheme="minorEastAsia"/>
              <w:kern w:val="2"/>
              <w:sz w:val="24"/>
              <w:szCs w:val="24"/>
              <w:lang w:eastAsia="en-AU"/>
              <w14:ligatures w14:val="standardContextual"/>
            </w:rPr>
          </w:pPr>
          <w:hyperlink w:anchor="_Toc191373888" w:history="1">
            <w:r w:rsidRPr="002D0487">
              <w:rPr>
                <w:rStyle w:val="Hyperlink"/>
              </w:rPr>
              <w:t>Consultation topics</w:t>
            </w:r>
            <w:r>
              <w:rPr>
                <w:webHidden/>
              </w:rPr>
              <w:tab/>
            </w:r>
            <w:r>
              <w:rPr>
                <w:webHidden/>
              </w:rPr>
              <w:fldChar w:fldCharType="begin"/>
            </w:r>
            <w:r>
              <w:rPr>
                <w:webHidden/>
              </w:rPr>
              <w:instrText xml:space="preserve"> PAGEREF _Toc191373888 \h </w:instrText>
            </w:r>
            <w:r>
              <w:rPr>
                <w:webHidden/>
              </w:rPr>
            </w:r>
            <w:r>
              <w:rPr>
                <w:webHidden/>
              </w:rPr>
              <w:fldChar w:fldCharType="separate"/>
            </w:r>
            <w:r>
              <w:rPr>
                <w:webHidden/>
              </w:rPr>
              <w:t>5</w:t>
            </w:r>
            <w:r>
              <w:rPr>
                <w:webHidden/>
              </w:rPr>
              <w:fldChar w:fldCharType="end"/>
            </w:r>
          </w:hyperlink>
        </w:p>
        <w:p w14:paraId="1AA3E670" w14:textId="05F7F900" w:rsidR="008D6C6A" w:rsidRDefault="008D6C6A">
          <w:pPr>
            <w:pStyle w:val="TOC1"/>
            <w:rPr>
              <w:rFonts w:eastAsiaTheme="minorEastAsia"/>
              <w:b w:val="0"/>
              <w:kern w:val="2"/>
              <w:sz w:val="24"/>
              <w:szCs w:val="24"/>
              <w:lang w:eastAsia="en-AU"/>
              <w14:ligatures w14:val="standardContextual"/>
            </w:rPr>
          </w:pPr>
          <w:hyperlink w:anchor="_Toc191373889" w:history="1">
            <w:r w:rsidRPr="002D0487">
              <w:rPr>
                <w:rStyle w:val="Hyperlink"/>
              </w:rPr>
              <w:t>1.</w:t>
            </w:r>
            <w:r>
              <w:rPr>
                <w:rFonts w:eastAsiaTheme="minorEastAsia"/>
                <w:b w:val="0"/>
                <w:kern w:val="2"/>
                <w:sz w:val="24"/>
                <w:szCs w:val="24"/>
                <w:lang w:eastAsia="en-AU"/>
                <w14:ligatures w14:val="standardContextual"/>
              </w:rPr>
              <w:tab/>
            </w:r>
            <w:r w:rsidRPr="002D0487">
              <w:rPr>
                <w:rStyle w:val="Hyperlink"/>
              </w:rPr>
              <w:t>Proposed 2025 amendments</w:t>
            </w:r>
            <w:r>
              <w:rPr>
                <w:webHidden/>
              </w:rPr>
              <w:tab/>
            </w:r>
            <w:r>
              <w:rPr>
                <w:webHidden/>
              </w:rPr>
              <w:fldChar w:fldCharType="begin"/>
            </w:r>
            <w:r>
              <w:rPr>
                <w:webHidden/>
              </w:rPr>
              <w:instrText xml:space="preserve"> PAGEREF _Toc191373889 \h </w:instrText>
            </w:r>
            <w:r>
              <w:rPr>
                <w:webHidden/>
              </w:rPr>
            </w:r>
            <w:r>
              <w:rPr>
                <w:webHidden/>
              </w:rPr>
              <w:fldChar w:fldCharType="separate"/>
            </w:r>
            <w:r>
              <w:rPr>
                <w:webHidden/>
              </w:rPr>
              <w:t>7</w:t>
            </w:r>
            <w:r>
              <w:rPr>
                <w:webHidden/>
              </w:rPr>
              <w:fldChar w:fldCharType="end"/>
            </w:r>
          </w:hyperlink>
        </w:p>
        <w:p w14:paraId="1CCC201F" w14:textId="38AA92D4" w:rsidR="008D6C6A" w:rsidRDefault="008D6C6A">
          <w:pPr>
            <w:pStyle w:val="TOC2"/>
            <w:tabs>
              <w:tab w:val="left" w:pos="960"/>
            </w:tabs>
            <w:rPr>
              <w:rFonts w:eastAsiaTheme="minorEastAsia"/>
              <w:kern w:val="2"/>
              <w:sz w:val="24"/>
              <w:szCs w:val="24"/>
              <w:lang w:eastAsia="en-AU"/>
              <w14:ligatures w14:val="standardContextual"/>
            </w:rPr>
          </w:pPr>
          <w:hyperlink w:anchor="_Toc191373890" w:history="1">
            <w:r w:rsidRPr="002D0487">
              <w:rPr>
                <w:rStyle w:val="Hyperlink"/>
              </w:rPr>
              <w:t>A.</w:t>
            </w:r>
            <w:r>
              <w:rPr>
                <w:rFonts w:eastAsiaTheme="minorEastAsia"/>
                <w:kern w:val="2"/>
                <w:sz w:val="24"/>
                <w:szCs w:val="24"/>
                <w:lang w:eastAsia="en-AU"/>
                <w14:ligatures w14:val="standardContextual"/>
              </w:rPr>
              <w:tab/>
            </w:r>
            <w:r w:rsidRPr="002D0487">
              <w:rPr>
                <w:rStyle w:val="Hyperlink"/>
              </w:rPr>
              <w:t>Market-based reporting of emissions from consumption of biomethane and hydrogen</w:t>
            </w:r>
            <w:r>
              <w:rPr>
                <w:webHidden/>
              </w:rPr>
              <w:tab/>
            </w:r>
            <w:r>
              <w:rPr>
                <w:webHidden/>
              </w:rPr>
              <w:fldChar w:fldCharType="begin"/>
            </w:r>
            <w:r>
              <w:rPr>
                <w:webHidden/>
              </w:rPr>
              <w:instrText xml:space="preserve"> PAGEREF _Toc191373890 \h </w:instrText>
            </w:r>
            <w:r>
              <w:rPr>
                <w:webHidden/>
              </w:rPr>
            </w:r>
            <w:r>
              <w:rPr>
                <w:webHidden/>
              </w:rPr>
              <w:fldChar w:fldCharType="separate"/>
            </w:r>
            <w:r>
              <w:rPr>
                <w:webHidden/>
              </w:rPr>
              <w:t>7</w:t>
            </w:r>
            <w:r>
              <w:rPr>
                <w:webHidden/>
              </w:rPr>
              <w:fldChar w:fldCharType="end"/>
            </w:r>
          </w:hyperlink>
        </w:p>
        <w:p w14:paraId="5DF8F909" w14:textId="4673FF8E" w:rsidR="008D6C6A" w:rsidRDefault="008D6C6A">
          <w:pPr>
            <w:pStyle w:val="TOC2"/>
            <w:tabs>
              <w:tab w:val="left" w:pos="960"/>
            </w:tabs>
            <w:rPr>
              <w:rFonts w:eastAsiaTheme="minorEastAsia"/>
              <w:kern w:val="2"/>
              <w:sz w:val="24"/>
              <w:szCs w:val="24"/>
              <w:lang w:eastAsia="en-AU"/>
              <w14:ligatures w14:val="standardContextual"/>
            </w:rPr>
          </w:pPr>
          <w:hyperlink w:anchor="_Toc191373891" w:history="1">
            <w:r w:rsidRPr="002D0487">
              <w:rPr>
                <w:rStyle w:val="Hyperlink"/>
              </w:rPr>
              <w:t>B.</w:t>
            </w:r>
            <w:r>
              <w:rPr>
                <w:rFonts w:eastAsiaTheme="minorEastAsia"/>
                <w:kern w:val="2"/>
                <w:sz w:val="24"/>
                <w:szCs w:val="24"/>
                <w:lang w:eastAsia="en-AU"/>
                <w14:ligatures w14:val="standardContextual"/>
              </w:rPr>
              <w:tab/>
            </w:r>
            <w:r w:rsidRPr="002D0487">
              <w:rPr>
                <w:rStyle w:val="Hyperlink"/>
              </w:rPr>
              <w:t>Fugitive emissions from oil and natural gas operations</w:t>
            </w:r>
            <w:r>
              <w:rPr>
                <w:webHidden/>
              </w:rPr>
              <w:tab/>
            </w:r>
            <w:r>
              <w:rPr>
                <w:webHidden/>
              </w:rPr>
              <w:fldChar w:fldCharType="begin"/>
            </w:r>
            <w:r>
              <w:rPr>
                <w:webHidden/>
              </w:rPr>
              <w:instrText xml:space="preserve"> PAGEREF _Toc191373891 \h </w:instrText>
            </w:r>
            <w:r>
              <w:rPr>
                <w:webHidden/>
              </w:rPr>
            </w:r>
            <w:r>
              <w:rPr>
                <w:webHidden/>
              </w:rPr>
              <w:fldChar w:fldCharType="separate"/>
            </w:r>
            <w:r>
              <w:rPr>
                <w:webHidden/>
              </w:rPr>
              <w:t>14</w:t>
            </w:r>
            <w:r>
              <w:rPr>
                <w:webHidden/>
              </w:rPr>
              <w:fldChar w:fldCharType="end"/>
            </w:r>
          </w:hyperlink>
        </w:p>
        <w:p w14:paraId="3376BBD1" w14:textId="58A03F8D" w:rsidR="008D6C6A" w:rsidRDefault="008D6C6A">
          <w:pPr>
            <w:pStyle w:val="TOC2"/>
            <w:tabs>
              <w:tab w:val="left" w:pos="960"/>
            </w:tabs>
            <w:rPr>
              <w:rFonts w:eastAsiaTheme="minorEastAsia"/>
              <w:kern w:val="2"/>
              <w:sz w:val="24"/>
              <w:szCs w:val="24"/>
              <w:lang w:eastAsia="en-AU"/>
              <w14:ligatures w14:val="standardContextual"/>
            </w:rPr>
          </w:pPr>
          <w:hyperlink w:anchor="_Toc191373892" w:history="1">
            <w:r w:rsidRPr="002D0487">
              <w:rPr>
                <w:rStyle w:val="Hyperlink"/>
              </w:rPr>
              <w:t>C.</w:t>
            </w:r>
            <w:r>
              <w:rPr>
                <w:rFonts w:eastAsiaTheme="minorEastAsia"/>
                <w:kern w:val="2"/>
                <w:sz w:val="24"/>
                <w:szCs w:val="24"/>
                <w:lang w:eastAsia="en-AU"/>
                <w14:ligatures w14:val="standardContextual"/>
              </w:rPr>
              <w:tab/>
            </w:r>
            <w:r w:rsidRPr="002D0487">
              <w:rPr>
                <w:rStyle w:val="Hyperlink"/>
              </w:rPr>
              <w:t>Scope 2 emissions from consumption of electricity</w:t>
            </w:r>
            <w:r>
              <w:rPr>
                <w:webHidden/>
              </w:rPr>
              <w:tab/>
            </w:r>
            <w:r>
              <w:rPr>
                <w:webHidden/>
              </w:rPr>
              <w:fldChar w:fldCharType="begin"/>
            </w:r>
            <w:r>
              <w:rPr>
                <w:webHidden/>
              </w:rPr>
              <w:instrText xml:space="preserve"> PAGEREF _Toc191373892 \h </w:instrText>
            </w:r>
            <w:r>
              <w:rPr>
                <w:webHidden/>
              </w:rPr>
            </w:r>
            <w:r>
              <w:rPr>
                <w:webHidden/>
              </w:rPr>
              <w:fldChar w:fldCharType="separate"/>
            </w:r>
            <w:r>
              <w:rPr>
                <w:webHidden/>
              </w:rPr>
              <w:t>20</w:t>
            </w:r>
            <w:r>
              <w:rPr>
                <w:webHidden/>
              </w:rPr>
              <w:fldChar w:fldCharType="end"/>
            </w:r>
          </w:hyperlink>
        </w:p>
        <w:p w14:paraId="6D1009D4" w14:textId="4B94F9BD" w:rsidR="008D6C6A" w:rsidRDefault="008D6C6A">
          <w:pPr>
            <w:pStyle w:val="TOC2"/>
            <w:tabs>
              <w:tab w:val="left" w:pos="960"/>
            </w:tabs>
            <w:rPr>
              <w:rFonts w:eastAsiaTheme="minorEastAsia"/>
              <w:kern w:val="2"/>
              <w:sz w:val="24"/>
              <w:szCs w:val="24"/>
              <w:lang w:eastAsia="en-AU"/>
              <w14:ligatures w14:val="standardContextual"/>
            </w:rPr>
          </w:pPr>
          <w:hyperlink w:anchor="_Toc191373893" w:history="1">
            <w:r w:rsidRPr="002D0487">
              <w:rPr>
                <w:rStyle w:val="Hyperlink"/>
              </w:rPr>
              <w:t>D.</w:t>
            </w:r>
            <w:r>
              <w:rPr>
                <w:rFonts w:eastAsiaTheme="minorEastAsia"/>
                <w:kern w:val="2"/>
                <w:sz w:val="24"/>
                <w:szCs w:val="24"/>
                <w:lang w:eastAsia="en-AU"/>
                <w14:ligatures w14:val="standardContextual"/>
              </w:rPr>
              <w:tab/>
            </w:r>
            <w:r w:rsidRPr="002D0487">
              <w:rPr>
                <w:rStyle w:val="Hyperlink"/>
              </w:rPr>
              <w:t>Waste</w:t>
            </w:r>
            <w:r>
              <w:rPr>
                <w:webHidden/>
              </w:rPr>
              <w:tab/>
            </w:r>
            <w:r>
              <w:rPr>
                <w:webHidden/>
              </w:rPr>
              <w:fldChar w:fldCharType="begin"/>
            </w:r>
            <w:r>
              <w:rPr>
                <w:webHidden/>
              </w:rPr>
              <w:instrText xml:space="preserve"> PAGEREF _Toc191373893 \h </w:instrText>
            </w:r>
            <w:r>
              <w:rPr>
                <w:webHidden/>
              </w:rPr>
            </w:r>
            <w:r>
              <w:rPr>
                <w:webHidden/>
              </w:rPr>
              <w:fldChar w:fldCharType="separate"/>
            </w:r>
            <w:r>
              <w:rPr>
                <w:webHidden/>
              </w:rPr>
              <w:t>21</w:t>
            </w:r>
            <w:r>
              <w:rPr>
                <w:webHidden/>
              </w:rPr>
              <w:fldChar w:fldCharType="end"/>
            </w:r>
          </w:hyperlink>
        </w:p>
        <w:p w14:paraId="1B56001B" w14:textId="7DA540CE" w:rsidR="008D6C6A" w:rsidRDefault="008D6C6A">
          <w:pPr>
            <w:pStyle w:val="TOC1"/>
            <w:rPr>
              <w:rFonts w:eastAsiaTheme="minorEastAsia"/>
              <w:b w:val="0"/>
              <w:kern w:val="2"/>
              <w:sz w:val="24"/>
              <w:szCs w:val="24"/>
              <w:lang w:eastAsia="en-AU"/>
              <w14:ligatures w14:val="standardContextual"/>
            </w:rPr>
          </w:pPr>
          <w:hyperlink w:anchor="_Toc191373894" w:history="1">
            <w:r w:rsidRPr="002D0487">
              <w:rPr>
                <w:rStyle w:val="Hyperlink"/>
              </w:rPr>
              <w:t>2.</w:t>
            </w:r>
            <w:r>
              <w:rPr>
                <w:rFonts w:eastAsiaTheme="minorEastAsia"/>
                <w:b w:val="0"/>
                <w:kern w:val="2"/>
                <w:sz w:val="24"/>
                <w:szCs w:val="24"/>
                <w:lang w:eastAsia="en-AU"/>
                <w14:ligatures w14:val="standardContextual"/>
              </w:rPr>
              <w:tab/>
            </w:r>
            <w:r w:rsidRPr="002D0487">
              <w:rPr>
                <w:rStyle w:val="Hyperlink"/>
              </w:rPr>
              <w:t>NGER forward work program</w:t>
            </w:r>
            <w:r>
              <w:rPr>
                <w:webHidden/>
              </w:rPr>
              <w:tab/>
            </w:r>
            <w:r>
              <w:rPr>
                <w:webHidden/>
              </w:rPr>
              <w:fldChar w:fldCharType="begin"/>
            </w:r>
            <w:r>
              <w:rPr>
                <w:webHidden/>
              </w:rPr>
              <w:instrText xml:space="preserve"> PAGEREF _Toc191373894 \h </w:instrText>
            </w:r>
            <w:r>
              <w:rPr>
                <w:webHidden/>
              </w:rPr>
            </w:r>
            <w:r>
              <w:rPr>
                <w:webHidden/>
              </w:rPr>
              <w:fldChar w:fldCharType="separate"/>
            </w:r>
            <w:r>
              <w:rPr>
                <w:webHidden/>
              </w:rPr>
              <w:t>22</w:t>
            </w:r>
            <w:r>
              <w:rPr>
                <w:webHidden/>
              </w:rPr>
              <w:fldChar w:fldCharType="end"/>
            </w:r>
          </w:hyperlink>
        </w:p>
        <w:p w14:paraId="4D4EC979" w14:textId="7249F8DA" w:rsidR="008D6C6A" w:rsidRDefault="008D6C6A">
          <w:pPr>
            <w:pStyle w:val="TOC2"/>
            <w:tabs>
              <w:tab w:val="left" w:pos="960"/>
            </w:tabs>
            <w:rPr>
              <w:rFonts w:eastAsiaTheme="minorEastAsia"/>
              <w:kern w:val="2"/>
              <w:sz w:val="24"/>
              <w:szCs w:val="24"/>
              <w:lang w:eastAsia="en-AU"/>
              <w14:ligatures w14:val="standardContextual"/>
            </w:rPr>
          </w:pPr>
          <w:hyperlink w:anchor="_Toc191373895" w:history="1">
            <w:r w:rsidRPr="002D0487">
              <w:rPr>
                <w:rStyle w:val="Hyperlink"/>
              </w:rPr>
              <w:t>A.</w:t>
            </w:r>
            <w:r>
              <w:rPr>
                <w:rFonts w:eastAsiaTheme="minorEastAsia"/>
                <w:kern w:val="2"/>
                <w:sz w:val="24"/>
                <w:szCs w:val="24"/>
                <w:lang w:eastAsia="en-AU"/>
                <w14:ligatures w14:val="standardContextual"/>
              </w:rPr>
              <w:tab/>
            </w:r>
            <w:r w:rsidRPr="002D0487">
              <w:rPr>
                <w:rStyle w:val="Hyperlink"/>
              </w:rPr>
              <w:t>Review of Method 2 for estimating fugitive emissions from open cut coal mines</w:t>
            </w:r>
            <w:r>
              <w:rPr>
                <w:webHidden/>
              </w:rPr>
              <w:tab/>
            </w:r>
            <w:r>
              <w:rPr>
                <w:webHidden/>
              </w:rPr>
              <w:fldChar w:fldCharType="begin"/>
            </w:r>
            <w:r>
              <w:rPr>
                <w:webHidden/>
              </w:rPr>
              <w:instrText xml:space="preserve"> PAGEREF _Toc191373895 \h </w:instrText>
            </w:r>
            <w:r>
              <w:rPr>
                <w:webHidden/>
              </w:rPr>
            </w:r>
            <w:r>
              <w:rPr>
                <w:webHidden/>
              </w:rPr>
              <w:fldChar w:fldCharType="separate"/>
            </w:r>
            <w:r>
              <w:rPr>
                <w:webHidden/>
              </w:rPr>
              <w:t>22</w:t>
            </w:r>
            <w:r>
              <w:rPr>
                <w:webHidden/>
              </w:rPr>
              <w:fldChar w:fldCharType="end"/>
            </w:r>
          </w:hyperlink>
        </w:p>
        <w:p w14:paraId="6294139A" w14:textId="77ADB87A" w:rsidR="008D6C6A" w:rsidRDefault="008D6C6A">
          <w:pPr>
            <w:pStyle w:val="TOC2"/>
            <w:tabs>
              <w:tab w:val="left" w:pos="960"/>
            </w:tabs>
            <w:rPr>
              <w:rFonts w:eastAsiaTheme="minorEastAsia"/>
              <w:kern w:val="2"/>
              <w:sz w:val="24"/>
              <w:szCs w:val="24"/>
              <w:lang w:eastAsia="en-AU"/>
              <w14:ligatures w14:val="standardContextual"/>
            </w:rPr>
          </w:pPr>
          <w:hyperlink w:anchor="_Toc191373896" w:history="1">
            <w:r w:rsidRPr="002D0487">
              <w:rPr>
                <w:rStyle w:val="Hyperlink"/>
              </w:rPr>
              <w:t>B.</w:t>
            </w:r>
            <w:r>
              <w:rPr>
                <w:rFonts w:eastAsiaTheme="minorEastAsia"/>
                <w:kern w:val="2"/>
                <w:sz w:val="24"/>
                <w:szCs w:val="24"/>
                <w:lang w:eastAsia="en-AU"/>
                <w14:ligatures w14:val="standardContextual"/>
              </w:rPr>
              <w:tab/>
            </w:r>
            <w:r w:rsidRPr="002D0487">
              <w:rPr>
                <w:rStyle w:val="Hyperlink"/>
              </w:rPr>
              <w:t>Co-processed liquid fuels</w:t>
            </w:r>
            <w:r>
              <w:rPr>
                <w:webHidden/>
              </w:rPr>
              <w:tab/>
            </w:r>
            <w:r>
              <w:rPr>
                <w:webHidden/>
              </w:rPr>
              <w:fldChar w:fldCharType="begin"/>
            </w:r>
            <w:r>
              <w:rPr>
                <w:webHidden/>
              </w:rPr>
              <w:instrText xml:space="preserve"> PAGEREF _Toc191373896 \h </w:instrText>
            </w:r>
            <w:r>
              <w:rPr>
                <w:webHidden/>
              </w:rPr>
            </w:r>
            <w:r>
              <w:rPr>
                <w:webHidden/>
              </w:rPr>
              <w:fldChar w:fldCharType="separate"/>
            </w:r>
            <w:r>
              <w:rPr>
                <w:webHidden/>
              </w:rPr>
              <w:t>24</w:t>
            </w:r>
            <w:r>
              <w:rPr>
                <w:webHidden/>
              </w:rPr>
              <w:fldChar w:fldCharType="end"/>
            </w:r>
          </w:hyperlink>
        </w:p>
        <w:p w14:paraId="65C0E352" w14:textId="31AC7436" w:rsidR="008D6C6A" w:rsidRDefault="008D6C6A">
          <w:pPr>
            <w:pStyle w:val="TOC2"/>
            <w:tabs>
              <w:tab w:val="left" w:pos="960"/>
            </w:tabs>
            <w:rPr>
              <w:rFonts w:eastAsiaTheme="minorEastAsia"/>
              <w:kern w:val="2"/>
              <w:sz w:val="24"/>
              <w:szCs w:val="24"/>
              <w:lang w:eastAsia="en-AU"/>
              <w14:ligatures w14:val="standardContextual"/>
            </w:rPr>
          </w:pPr>
          <w:hyperlink w:anchor="_Toc191373897" w:history="1">
            <w:r w:rsidRPr="002D0487">
              <w:rPr>
                <w:rStyle w:val="Hyperlink"/>
              </w:rPr>
              <w:t>C.</w:t>
            </w:r>
            <w:r>
              <w:rPr>
                <w:rFonts w:eastAsiaTheme="minorEastAsia"/>
                <w:kern w:val="2"/>
                <w:sz w:val="24"/>
                <w:szCs w:val="24"/>
                <w:lang w:eastAsia="en-AU"/>
                <w14:ligatures w14:val="standardContextual"/>
              </w:rPr>
              <w:tab/>
            </w:r>
            <w:r w:rsidRPr="002D0487">
              <w:rPr>
                <w:rStyle w:val="Hyperlink"/>
              </w:rPr>
              <w:t>Scope 2 emissions</w:t>
            </w:r>
            <w:r>
              <w:rPr>
                <w:webHidden/>
              </w:rPr>
              <w:tab/>
            </w:r>
            <w:r>
              <w:rPr>
                <w:webHidden/>
              </w:rPr>
              <w:fldChar w:fldCharType="begin"/>
            </w:r>
            <w:r>
              <w:rPr>
                <w:webHidden/>
              </w:rPr>
              <w:instrText xml:space="preserve"> PAGEREF _Toc191373897 \h </w:instrText>
            </w:r>
            <w:r>
              <w:rPr>
                <w:webHidden/>
              </w:rPr>
            </w:r>
            <w:r>
              <w:rPr>
                <w:webHidden/>
              </w:rPr>
              <w:fldChar w:fldCharType="separate"/>
            </w:r>
            <w:r>
              <w:rPr>
                <w:webHidden/>
              </w:rPr>
              <w:t>25</w:t>
            </w:r>
            <w:r>
              <w:rPr>
                <w:webHidden/>
              </w:rPr>
              <w:fldChar w:fldCharType="end"/>
            </w:r>
          </w:hyperlink>
        </w:p>
        <w:p w14:paraId="33DD9B9A" w14:textId="3EACEF14" w:rsidR="008D6C6A" w:rsidRDefault="008D6C6A">
          <w:pPr>
            <w:pStyle w:val="TOC1"/>
            <w:rPr>
              <w:rFonts w:eastAsiaTheme="minorEastAsia"/>
              <w:b w:val="0"/>
              <w:kern w:val="2"/>
              <w:sz w:val="24"/>
              <w:szCs w:val="24"/>
              <w:lang w:eastAsia="en-AU"/>
              <w14:ligatures w14:val="standardContextual"/>
            </w:rPr>
          </w:pPr>
          <w:hyperlink w:anchor="_Toc191373898" w:history="1">
            <w:r w:rsidRPr="002D0487">
              <w:rPr>
                <w:rStyle w:val="Hyperlink"/>
              </w:rPr>
              <w:t>Annex: Notes on exposure draft clauses</w:t>
            </w:r>
            <w:r>
              <w:rPr>
                <w:webHidden/>
              </w:rPr>
              <w:tab/>
            </w:r>
            <w:r>
              <w:rPr>
                <w:webHidden/>
              </w:rPr>
              <w:fldChar w:fldCharType="begin"/>
            </w:r>
            <w:r>
              <w:rPr>
                <w:webHidden/>
              </w:rPr>
              <w:instrText xml:space="preserve"> PAGEREF _Toc191373898 \h </w:instrText>
            </w:r>
            <w:r>
              <w:rPr>
                <w:webHidden/>
              </w:rPr>
            </w:r>
            <w:r>
              <w:rPr>
                <w:webHidden/>
              </w:rPr>
              <w:fldChar w:fldCharType="separate"/>
            </w:r>
            <w:r>
              <w:rPr>
                <w:webHidden/>
              </w:rPr>
              <w:t>26</w:t>
            </w:r>
            <w:r>
              <w:rPr>
                <w:webHidden/>
              </w:rPr>
              <w:fldChar w:fldCharType="end"/>
            </w:r>
          </w:hyperlink>
        </w:p>
        <w:p w14:paraId="28B7D125" w14:textId="3EBC8E85" w:rsidR="00764D6A" w:rsidRDefault="00E91D72">
          <w:r>
            <w:rPr>
              <w:b/>
              <w:noProof/>
            </w:rPr>
            <w:fldChar w:fldCharType="end"/>
          </w:r>
        </w:p>
      </w:sdtContent>
    </w:sdt>
    <w:p w14:paraId="71ABB0C4" w14:textId="1B9044C6" w:rsidR="00A32152" w:rsidRDefault="00A32152" w:rsidP="00C36B3E">
      <w:pPr>
        <w:pStyle w:val="Heading2"/>
      </w:pPr>
      <w:bookmarkStart w:id="2" w:name="_Toc430782149"/>
      <w:r>
        <w:br w:type="page"/>
      </w:r>
    </w:p>
    <w:p w14:paraId="0AB4790D" w14:textId="77777777" w:rsidR="00762A01" w:rsidRPr="00C36B3E" w:rsidRDefault="00762A01" w:rsidP="00C36B3E">
      <w:pPr>
        <w:pStyle w:val="Heading2"/>
      </w:pPr>
      <w:bookmarkStart w:id="3" w:name="_Toc191373886"/>
      <w:bookmarkEnd w:id="2"/>
      <w:r w:rsidRPr="00C36B3E">
        <w:t>Overview</w:t>
      </w:r>
      <w:bookmarkEnd w:id="3"/>
    </w:p>
    <w:p w14:paraId="4894AD8E" w14:textId="1EA7FF9C" w:rsidR="00762A01" w:rsidRPr="008001F1" w:rsidRDefault="00762A01" w:rsidP="00A421F7">
      <w:pPr>
        <w:pStyle w:val="Heading3"/>
        <w:numPr>
          <w:ilvl w:val="0"/>
          <w:numId w:val="0"/>
        </w:numPr>
      </w:pPr>
      <w:bookmarkStart w:id="4" w:name="_Toc128662969"/>
      <w:bookmarkStart w:id="5" w:name="_Toc129179288"/>
      <w:bookmarkStart w:id="6" w:name="_Toc131170308"/>
      <w:bookmarkStart w:id="7" w:name="_Toc191373887"/>
      <w:r w:rsidRPr="008001F1">
        <w:t xml:space="preserve">The National Greenhouse and Energy Reporting (NGER) </w:t>
      </w:r>
      <w:r w:rsidR="006A148D">
        <w:t>s</w:t>
      </w:r>
      <w:r w:rsidRPr="008001F1">
        <w:t>cheme</w:t>
      </w:r>
      <w:bookmarkEnd w:id="4"/>
      <w:bookmarkEnd w:id="5"/>
      <w:bookmarkEnd w:id="6"/>
      <w:bookmarkEnd w:id="7"/>
    </w:p>
    <w:p w14:paraId="0AD30585" w14:textId="0C372892" w:rsidR="00762A01" w:rsidRPr="00185E99" w:rsidRDefault="00762A01" w:rsidP="00762A01">
      <w:r w:rsidRPr="00185E99">
        <w:t xml:space="preserve">The National Greenhouse and Energy Reporting (NGER) </w:t>
      </w:r>
      <w:r w:rsidR="000C10EE">
        <w:t>s</w:t>
      </w:r>
      <w:r w:rsidRPr="00185E99">
        <w:t xml:space="preserve">cheme is Australia’s national system for reporting greenhouse gas emissions, energy consumption and energy production by Australian corporations. </w:t>
      </w:r>
    </w:p>
    <w:p w14:paraId="5C876621" w14:textId="43F6FDAA" w:rsidR="00762A01" w:rsidRPr="00185E99" w:rsidRDefault="00762A01" w:rsidP="00762A01">
      <w:r w:rsidRPr="00185E99">
        <w:t xml:space="preserve">The NGER </w:t>
      </w:r>
      <w:r w:rsidR="000C10EE">
        <w:t>s</w:t>
      </w:r>
      <w:r w:rsidRPr="00185E99">
        <w:t xml:space="preserve">cheme is a key data source which supports Australia’s international </w:t>
      </w:r>
      <w:r>
        <w:t xml:space="preserve">and domestic </w:t>
      </w:r>
      <w:r w:rsidRPr="00185E99">
        <w:t xml:space="preserve">reporting obligations and informs domestic climate and energy policies. </w:t>
      </w:r>
      <w:r>
        <w:t xml:space="preserve">Emissions reported under the NGER </w:t>
      </w:r>
      <w:r w:rsidR="00633274">
        <w:t>s</w:t>
      </w:r>
      <w:r>
        <w:t>cheme underpin the operation of the Safeguard Mechanism.</w:t>
      </w:r>
    </w:p>
    <w:p w14:paraId="5165DD46" w14:textId="756E34BA" w:rsidR="00762A01" w:rsidRPr="00185E99" w:rsidRDefault="00762A01" w:rsidP="00762A01">
      <w:r w:rsidRPr="00185E99">
        <w:t xml:space="preserve">NGER </w:t>
      </w:r>
      <w:r w:rsidR="000C10EE">
        <w:t>s</w:t>
      </w:r>
      <w:r w:rsidRPr="00185E99">
        <w:t>cheme legislation includes:</w:t>
      </w:r>
    </w:p>
    <w:p w14:paraId="4BE6A5BD" w14:textId="02A74E10" w:rsidR="00762A01" w:rsidRPr="00185E99" w:rsidRDefault="00762A01" w:rsidP="00957458">
      <w:pPr>
        <w:pStyle w:val="ListParagraph"/>
        <w:numPr>
          <w:ilvl w:val="0"/>
          <w:numId w:val="10"/>
        </w:numPr>
        <w:spacing w:after="120" w:line="259" w:lineRule="auto"/>
        <w:ind w:left="714" w:hanging="357"/>
      </w:pPr>
      <w:r w:rsidRPr="00185E99">
        <w:t xml:space="preserve">the </w:t>
      </w:r>
      <w:r w:rsidRPr="00185E99">
        <w:rPr>
          <w:i/>
        </w:rPr>
        <w:t>National Greenhouse and Energy Reporting Act 2007</w:t>
      </w:r>
      <w:r w:rsidRPr="00185E99">
        <w:t xml:space="preserve"> (the Act) </w:t>
      </w:r>
    </w:p>
    <w:p w14:paraId="6A711F4C" w14:textId="7986F831" w:rsidR="00762A01" w:rsidRPr="00185E99" w:rsidRDefault="00762A01" w:rsidP="00957458">
      <w:pPr>
        <w:pStyle w:val="ListParagraph"/>
        <w:numPr>
          <w:ilvl w:val="0"/>
          <w:numId w:val="10"/>
        </w:numPr>
        <w:spacing w:after="120" w:line="259" w:lineRule="auto"/>
        <w:ind w:left="714" w:hanging="357"/>
      </w:pPr>
      <w:r w:rsidRPr="00185E99">
        <w:t xml:space="preserve">the </w:t>
      </w:r>
      <w:r w:rsidRPr="00185E99">
        <w:rPr>
          <w:i/>
        </w:rPr>
        <w:t xml:space="preserve">National Greenhouse and Energy Reporting Regulations 2008 </w:t>
      </w:r>
      <w:r w:rsidRPr="00185E99">
        <w:t xml:space="preserve">(the Regulations) </w:t>
      </w:r>
    </w:p>
    <w:p w14:paraId="10CA8612" w14:textId="77777777" w:rsidR="00762A01" w:rsidRPr="00185E99" w:rsidRDefault="00762A01" w:rsidP="00957458">
      <w:pPr>
        <w:pStyle w:val="ListParagraph"/>
        <w:numPr>
          <w:ilvl w:val="0"/>
          <w:numId w:val="10"/>
        </w:numPr>
        <w:spacing w:after="120" w:line="259" w:lineRule="auto"/>
        <w:ind w:left="714" w:hanging="357"/>
      </w:pPr>
      <w:r w:rsidRPr="00185E99">
        <w:t xml:space="preserve">the </w:t>
      </w:r>
      <w:r w:rsidRPr="00185E99">
        <w:rPr>
          <w:i/>
        </w:rPr>
        <w:t xml:space="preserve">National Greenhouse and Energy Reporting (Measurement) Determination 2008 </w:t>
      </w:r>
      <w:r w:rsidRPr="00185E99">
        <w:t>(the Measurement Determination)</w:t>
      </w:r>
      <w:r w:rsidRPr="00185E99">
        <w:rPr>
          <w:i/>
        </w:rPr>
        <w:t>.</w:t>
      </w:r>
    </w:p>
    <w:p w14:paraId="448623C0" w14:textId="1FE9B8D6" w:rsidR="00762A01" w:rsidRPr="00185E99" w:rsidRDefault="00762A01" w:rsidP="00762A01">
      <w:r w:rsidRPr="00185E99">
        <w:t xml:space="preserve">The NGER </w:t>
      </w:r>
      <w:r w:rsidR="000C10EE">
        <w:t>s</w:t>
      </w:r>
      <w:r w:rsidRPr="00185E99">
        <w:t>cheme requires the reporting of greenhouse gas emissions from:</w:t>
      </w:r>
    </w:p>
    <w:p w14:paraId="691653F7" w14:textId="49EC6823" w:rsidR="00762A01" w:rsidRPr="00185E99" w:rsidRDefault="00762A01" w:rsidP="00957458">
      <w:pPr>
        <w:numPr>
          <w:ilvl w:val="0"/>
          <w:numId w:val="9"/>
        </w:numPr>
        <w:spacing w:after="120" w:line="259" w:lineRule="auto"/>
        <w:ind w:left="714" w:hanging="357"/>
      </w:pPr>
      <w:r w:rsidRPr="00185E99">
        <w:t>the combustion of fuel for energy</w:t>
      </w:r>
    </w:p>
    <w:p w14:paraId="18A0150E" w14:textId="0D63D5C5" w:rsidR="00762A01" w:rsidRPr="00185E99" w:rsidRDefault="00762A01" w:rsidP="00957458">
      <w:pPr>
        <w:numPr>
          <w:ilvl w:val="0"/>
          <w:numId w:val="9"/>
        </w:numPr>
        <w:spacing w:after="120" w:line="259" w:lineRule="auto"/>
        <w:ind w:left="714" w:hanging="357"/>
      </w:pPr>
      <w:r w:rsidRPr="00185E99">
        <w:t>the extraction, production, flaring, processing and distribution of fossil fuels, and from carbon capture and storage</w:t>
      </w:r>
      <w:r w:rsidR="00D11564">
        <w:t xml:space="preserve"> (‘fugitive emissions’)</w:t>
      </w:r>
    </w:p>
    <w:p w14:paraId="50548A42" w14:textId="5E5F221C" w:rsidR="00762A01" w:rsidRPr="00185E99" w:rsidRDefault="00762A01" w:rsidP="00957458">
      <w:pPr>
        <w:numPr>
          <w:ilvl w:val="0"/>
          <w:numId w:val="9"/>
        </w:numPr>
        <w:spacing w:after="120" w:line="259" w:lineRule="auto"/>
        <w:ind w:left="714" w:hanging="357"/>
      </w:pPr>
      <w:r w:rsidRPr="00185E99">
        <w:t>industrial processes where a mineral, chemical or metal product is formed using a chemical reaction that generates greenhouse gases as a by-product</w:t>
      </w:r>
      <w:r>
        <w:t>,</w:t>
      </w:r>
      <w:r w:rsidRPr="00185E99">
        <w:t xml:space="preserve"> as well as emissions of hydrofluorocarbons and sulphur hexafluoride resulting from their use by certain industries </w:t>
      </w:r>
    </w:p>
    <w:p w14:paraId="5648ED74" w14:textId="77777777" w:rsidR="00762A01" w:rsidRPr="00185E99" w:rsidRDefault="00762A01" w:rsidP="00957458">
      <w:pPr>
        <w:numPr>
          <w:ilvl w:val="0"/>
          <w:numId w:val="9"/>
        </w:numPr>
        <w:spacing w:after="120" w:line="259" w:lineRule="auto"/>
        <w:ind w:left="714" w:hanging="357"/>
      </w:pPr>
      <w:r w:rsidRPr="00185E99">
        <w:t>waste disposal – either in landfill, from management of wastewater or from waste incineration.</w:t>
      </w:r>
    </w:p>
    <w:p w14:paraId="60EF8227" w14:textId="2C7E9F7E" w:rsidR="00D11564" w:rsidRPr="00D11564" w:rsidRDefault="00D11564" w:rsidP="00D11564">
      <w:r w:rsidRPr="00D11564">
        <w:t xml:space="preserve">The NGER scheme defines two reportable </w:t>
      </w:r>
      <w:r w:rsidRPr="00D11564">
        <w:rPr>
          <w:i/>
          <w:iCs/>
        </w:rPr>
        <w:t>scopes</w:t>
      </w:r>
      <w:r w:rsidRPr="00D11564">
        <w:t xml:space="preserve"> of emissions (</w:t>
      </w:r>
      <w:r>
        <w:t>defined</w:t>
      </w:r>
      <w:r w:rsidR="00F54399">
        <w:t xml:space="preserve"> in</w:t>
      </w:r>
      <w:r>
        <w:t xml:space="preserve"> </w:t>
      </w:r>
      <w:r w:rsidRPr="00D11564">
        <w:t>Regulations 2.23 and 2.24). Chapters 1 to 5 of the Measurement Determination provide methods for estimating ‘</w:t>
      </w:r>
      <w:r w:rsidR="00E431FF">
        <w:rPr>
          <w:b/>
          <w:bCs/>
        </w:rPr>
        <w:t>s</w:t>
      </w:r>
      <w:r w:rsidRPr="00D11564">
        <w:rPr>
          <w:b/>
          <w:bCs/>
        </w:rPr>
        <w:t>cope 1</w:t>
      </w:r>
      <w:r w:rsidRPr="00D11564">
        <w:t xml:space="preserve">’ emissions, which are emissions resulting directly from the activities at a facility controlled by the reporting entity. Chapter 7 of the Measurement Determination provides methods to estimate </w:t>
      </w:r>
      <w:r w:rsidRPr="00D11564">
        <w:rPr>
          <w:b/>
          <w:bCs/>
        </w:rPr>
        <w:t>‘</w:t>
      </w:r>
      <w:r w:rsidR="00E431FF">
        <w:rPr>
          <w:b/>
          <w:bCs/>
        </w:rPr>
        <w:t>s</w:t>
      </w:r>
      <w:r w:rsidRPr="00D11564">
        <w:rPr>
          <w:b/>
          <w:bCs/>
        </w:rPr>
        <w:t>cope</w:t>
      </w:r>
      <w:r>
        <w:rPr>
          <w:b/>
          <w:bCs/>
        </w:rPr>
        <w:t> </w:t>
      </w:r>
      <w:r w:rsidRPr="00D11564">
        <w:rPr>
          <w:b/>
          <w:bCs/>
        </w:rPr>
        <w:t>2</w:t>
      </w:r>
      <w:r w:rsidRPr="00D11564">
        <w:t>’ emissions, which are indirect emissions of an entity attributable to the consumption of electricity at facilities within the entity’s operational control.  </w:t>
      </w:r>
    </w:p>
    <w:p w14:paraId="5F60F8D1" w14:textId="750FFE59" w:rsidR="00D11564" w:rsidRPr="00D11564" w:rsidRDefault="00D11564" w:rsidP="00D11564">
      <w:r w:rsidRPr="00D11564">
        <w:t xml:space="preserve">Companies are required to register under the NGER </w:t>
      </w:r>
      <w:r w:rsidR="0049017D">
        <w:t>s</w:t>
      </w:r>
      <w:r w:rsidRPr="00D11564">
        <w:t>cheme if the emissions, energy production or energy consumption from facilities within their operational control exceed specified thresholds</w:t>
      </w:r>
      <w:r w:rsidR="003777B2">
        <w:t>.</w:t>
      </w:r>
      <w:r w:rsidRPr="00D11564">
        <w:t> </w:t>
      </w:r>
    </w:p>
    <w:p w14:paraId="0FB20FC0" w14:textId="6E60DCB5" w:rsidR="00D11564" w:rsidRPr="00D11564" w:rsidRDefault="00D11564" w:rsidP="00D11564">
      <w:r w:rsidRPr="00D11564">
        <w:t xml:space="preserve">The NGER scheme allows reporters to choose from a number of available emissions estimation methods to accommodate their individual </w:t>
      </w:r>
      <w:r w:rsidR="003C0284" w:rsidRPr="00D11564">
        <w:t>circumstances</w:t>
      </w:r>
      <w:r w:rsidRPr="00D11564">
        <w:t xml:space="preserve">. Available methods are ranked by number, with higher numbered methods </w:t>
      </w:r>
      <w:r w:rsidR="00BA5B6C">
        <w:t>in-principle</w:t>
      </w:r>
      <w:r w:rsidRPr="00D11564">
        <w:t xml:space="preserve"> providing greater accuracy but requiring more active measurement effort. For a given emissions source, available methods comprise some or all of:  </w:t>
      </w:r>
    </w:p>
    <w:p w14:paraId="3D12FA50" w14:textId="10B97DF2" w:rsidR="00D11564" w:rsidRPr="00D11564" w:rsidRDefault="00D11564" w:rsidP="00957458">
      <w:pPr>
        <w:numPr>
          <w:ilvl w:val="0"/>
          <w:numId w:val="14"/>
        </w:numPr>
        <w:spacing w:after="120"/>
        <w:ind w:left="714" w:hanging="357"/>
      </w:pPr>
      <w:r w:rsidRPr="00D11564">
        <w:rPr>
          <w:b/>
          <w:bCs/>
        </w:rPr>
        <w:t>Method 1</w:t>
      </w:r>
      <w:r w:rsidRPr="00D11564">
        <w:t>, which typically involves the use of default emission factors  </w:t>
      </w:r>
    </w:p>
    <w:p w14:paraId="1C19A66E" w14:textId="150E9E6D" w:rsidR="00D11564" w:rsidRPr="00D11564" w:rsidRDefault="00D11564" w:rsidP="00957458">
      <w:pPr>
        <w:numPr>
          <w:ilvl w:val="0"/>
          <w:numId w:val="14"/>
        </w:numPr>
        <w:spacing w:after="120"/>
        <w:ind w:left="714" w:hanging="357"/>
      </w:pPr>
      <w:r w:rsidRPr="00D11564">
        <w:rPr>
          <w:b/>
          <w:bCs/>
        </w:rPr>
        <w:t>Methods 2 and Method 3</w:t>
      </w:r>
      <w:r w:rsidRPr="00D11564">
        <w:t xml:space="preserve">, which involve </w:t>
      </w:r>
      <w:r w:rsidR="003777B2">
        <w:t xml:space="preserve">greater </w:t>
      </w:r>
      <w:r w:rsidRPr="00D11564">
        <w:t xml:space="preserve">use of facility-specific information </w:t>
      </w:r>
    </w:p>
    <w:p w14:paraId="1F129BDC" w14:textId="05E3A9EA" w:rsidR="00D11564" w:rsidRPr="00D11564" w:rsidRDefault="00D11564" w:rsidP="00957458">
      <w:pPr>
        <w:numPr>
          <w:ilvl w:val="0"/>
          <w:numId w:val="15"/>
        </w:numPr>
        <w:spacing w:after="120"/>
        <w:ind w:left="714" w:hanging="357"/>
      </w:pPr>
      <w:r w:rsidRPr="00D11564">
        <w:rPr>
          <w:b/>
          <w:bCs/>
        </w:rPr>
        <w:t>Method 4</w:t>
      </w:r>
      <w:r w:rsidRPr="00D11564">
        <w:t>, which requires direct measurement of emissions.  </w:t>
      </w:r>
    </w:p>
    <w:p w14:paraId="27F20EDB" w14:textId="29088B52" w:rsidR="00D11564" w:rsidRPr="00D11564" w:rsidRDefault="00D11564" w:rsidP="00D11564">
      <w:r w:rsidRPr="00D11564">
        <w:t>The requirements of Methods 1 to 3 differ for each source for which they are available. The requirements of Method 4, wherever available, are set out in Part 1.3 of the Measurement Determination</w:t>
      </w:r>
      <w:r w:rsidR="003777B2">
        <w:t xml:space="preserve">, </w:t>
      </w:r>
      <w:r w:rsidRPr="00D11564">
        <w:t>which specifies standards to be met regarding positioning of equipment, frequency of monitoring, and how to determine gas concentrations and flow rates. </w:t>
      </w:r>
    </w:p>
    <w:p w14:paraId="72EC0F79" w14:textId="37C4F16B" w:rsidR="003130D0" w:rsidRDefault="003130D0" w:rsidP="003777B2">
      <w:r>
        <w:t xml:space="preserve">The NGER </w:t>
      </w:r>
      <w:r w:rsidR="00DD0BEA">
        <w:t>s</w:t>
      </w:r>
      <w:r w:rsidRPr="00185E99">
        <w:t xml:space="preserve">cheme is administered by the Clean Energy Regulator (CER). Further information on NGER reporting is available at the </w:t>
      </w:r>
      <w:hyperlink r:id="rId17" w:history="1">
        <w:r w:rsidRPr="00EB70F3">
          <w:rPr>
            <w:rStyle w:val="Hyperlink"/>
          </w:rPr>
          <w:t>CER’s website</w:t>
        </w:r>
      </w:hyperlink>
      <w:r w:rsidRPr="00185E99">
        <w:t>.</w:t>
      </w:r>
    </w:p>
    <w:p w14:paraId="74AF3888" w14:textId="0F8E17D5" w:rsidR="00707FD3" w:rsidRDefault="0016388D" w:rsidP="003777B2">
      <w:r>
        <w:rPr>
          <w:rStyle w:val="eop"/>
          <w:color w:val="000000"/>
          <w:shd w:val="clear" w:color="auto" w:fill="FFFFFF"/>
        </w:rPr>
        <w:t xml:space="preserve">The </w:t>
      </w:r>
      <w:r w:rsidR="00C71496">
        <w:rPr>
          <w:rStyle w:val="eop"/>
          <w:color w:val="000000"/>
          <w:shd w:val="clear" w:color="auto" w:fill="FFFFFF"/>
        </w:rPr>
        <w:t>d</w:t>
      </w:r>
      <w:r>
        <w:rPr>
          <w:rStyle w:val="eop"/>
          <w:color w:val="000000"/>
          <w:shd w:val="clear" w:color="auto" w:fill="FFFFFF"/>
        </w:rPr>
        <w:t>epartment is committed to continuous improvement of Australia’s national greenhouse gas inventory and the related methods used for estimating emissions.</w:t>
      </w:r>
      <w:r>
        <w:t xml:space="preserve"> </w:t>
      </w:r>
      <w:r w:rsidR="00707FD3">
        <w:t xml:space="preserve">Each year the </w:t>
      </w:r>
      <w:r w:rsidR="00C71496">
        <w:t>d</w:t>
      </w:r>
      <w:r w:rsidR="00707FD3">
        <w:t xml:space="preserve">epartment reviews and updates the NGER scheme as part of </w:t>
      </w:r>
      <w:r w:rsidR="00D17DA9">
        <w:t>thi</w:t>
      </w:r>
      <w:r w:rsidR="00893B90">
        <w:t xml:space="preserve">s </w:t>
      </w:r>
      <w:r w:rsidR="00C13DE7">
        <w:t xml:space="preserve">improvement </w:t>
      </w:r>
      <w:r w:rsidR="00893B90">
        <w:t>process</w:t>
      </w:r>
      <w:r w:rsidR="00D17DA9">
        <w:t xml:space="preserve"> </w:t>
      </w:r>
      <w:r w:rsidR="00707FD3">
        <w:t xml:space="preserve">and in response to feedback from users and other stakeholders. Every five years the annual update is also informed by the Climate Change Authority’s review of the NGER scheme. </w:t>
      </w:r>
      <w:r w:rsidR="00FA72F0">
        <w:t>The Authority’s last review of the NGER scheme was delivered in December 2023</w:t>
      </w:r>
      <w:r w:rsidR="002E5782">
        <w:t xml:space="preserve">. </w:t>
      </w:r>
    </w:p>
    <w:p w14:paraId="14D93C7D" w14:textId="72DB67D6" w:rsidR="00762A01" w:rsidRPr="00185E99" w:rsidRDefault="007E0DE1" w:rsidP="00A421F7">
      <w:pPr>
        <w:pStyle w:val="Heading3"/>
        <w:numPr>
          <w:ilvl w:val="0"/>
          <w:numId w:val="0"/>
        </w:numPr>
      </w:pPr>
      <w:bookmarkStart w:id="8" w:name="_Toc191373888"/>
      <w:r>
        <w:t>Consultation topics</w:t>
      </w:r>
      <w:bookmarkEnd w:id="8"/>
    </w:p>
    <w:p w14:paraId="7CBCBE9F" w14:textId="5EB8AB5E" w:rsidR="009869E5" w:rsidRDefault="00762A01" w:rsidP="00762A01">
      <w:r w:rsidRPr="00185E99">
        <w:t>Th</w:t>
      </w:r>
      <w:r w:rsidR="00CC4363">
        <w:t xml:space="preserve">e </w:t>
      </w:r>
      <w:r w:rsidR="00C71496">
        <w:t>d</w:t>
      </w:r>
      <w:r w:rsidR="00CC4363">
        <w:t>epartment</w:t>
      </w:r>
      <w:r w:rsidRPr="00185E99">
        <w:t xml:space="preserve"> </w:t>
      </w:r>
      <w:r w:rsidR="00C95DFD">
        <w:t xml:space="preserve">seeks views on </w:t>
      </w:r>
      <w:r w:rsidR="009869E5">
        <w:t>two topics</w:t>
      </w:r>
      <w:r w:rsidR="00233CAC">
        <w:t>.</w:t>
      </w:r>
    </w:p>
    <w:p w14:paraId="6CF23676" w14:textId="2B927F18" w:rsidR="00762A01" w:rsidRDefault="004C47DE" w:rsidP="004A6720">
      <w:pPr>
        <w:pStyle w:val="Heading4"/>
        <w:numPr>
          <w:ilvl w:val="0"/>
          <w:numId w:val="56"/>
        </w:numPr>
      </w:pPr>
      <w:r>
        <w:t>P</w:t>
      </w:r>
      <w:r w:rsidR="00762A01" w:rsidRPr="00185E99">
        <w:t xml:space="preserve">roposed </w:t>
      </w:r>
      <w:r w:rsidR="00537D07">
        <w:t>202</w:t>
      </w:r>
      <w:r w:rsidR="00EB1FB9">
        <w:t xml:space="preserve">5 </w:t>
      </w:r>
      <w:r w:rsidR="0022749E">
        <w:t xml:space="preserve">amendments </w:t>
      </w:r>
      <w:r w:rsidR="00762A01" w:rsidRPr="00185E99">
        <w:t xml:space="preserve">to </w:t>
      </w:r>
      <w:r w:rsidR="00B474A9">
        <w:t>NGER scheme legislation</w:t>
      </w:r>
    </w:p>
    <w:p w14:paraId="02117AC3" w14:textId="439B84AA" w:rsidR="004C47DE" w:rsidRDefault="00E5753F" w:rsidP="00E5753F">
      <w:r>
        <w:t>The consultation paper outlines the following proposed amendments</w:t>
      </w:r>
      <w:r w:rsidR="00B474A9">
        <w:t xml:space="preserve"> to the Measurement Determination</w:t>
      </w:r>
      <w:r>
        <w:t xml:space="preserve">: </w:t>
      </w:r>
    </w:p>
    <w:p w14:paraId="00B9307E" w14:textId="545E59A2" w:rsidR="00361AE3" w:rsidRPr="00361AE3" w:rsidRDefault="00361AE3" w:rsidP="00957458">
      <w:pPr>
        <w:pStyle w:val="ListParagraph"/>
        <w:numPr>
          <w:ilvl w:val="0"/>
          <w:numId w:val="17"/>
        </w:numPr>
        <w:spacing w:after="120"/>
        <w:ind w:hanging="357"/>
      </w:pPr>
      <w:r w:rsidRPr="00361AE3">
        <w:rPr>
          <w:b/>
          <w:bCs/>
        </w:rPr>
        <w:t>Renewable fuels</w:t>
      </w:r>
      <w:r w:rsidRPr="00361AE3">
        <w:t>: Introducing market-based reporting of emissions from consumption of biomethane and hydrogen</w:t>
      </w:r>
    </w:p>
    <w:p w14:paraId="3F1CBE94" w14:textId="4EE08F8C" w:rsidR="00361AE3" w:rsidRPr="00361AE3" w:rsidRDefault="001E3938" w:rsidP="00957458">
      <w:pPr>
        <w:pStyle w:val="ListParagraph"/>
        <w:numPr>
          <w:ilvl w:val="0"/>
          <w:numId w:val="17"/>
        </w:numPr>
        <w:spacing w:after="120"/>
        <w:ind w:hanging="357"/>
      </w:pPr>
      <w:r>
        <w:rPr>
          <w:b/>
          <w:bCs/>
        </w:rPr>
        <w:t>F</w:t>
      </w:r>
      <w:r w:rsidR="00361AE3" w:rsidRPr="00D32063">
        <w:rPr>
          <w:b/>
          <w:bCs/>
        </w:rPr>
        <w:t>ugitive emissions</w:t>
      </w:r>
      <w:r>
        <w:rPr>
          <w:b/>
          <w:bCs/>
        </w:rPr>
        <w:t xml:space="preserve"> from oil and </w:t>
      </w:r>
      <w:r w:rsidR="00852686">
        <w:rPr>
          <w:b/>
          <w:bCs/>
        </w:rPr>
        <w:t xml:space="preserve">natural </w:t>
      </w:r>
      <w:r>
        <w:rPr>
          <w:b/>
          <w:bCs/>
        </w:rPr>
        <w:t>gas operations</w:t>
      </w:r>
      <w:r w:rsidR="00361AE3" w:rsidRPr="00361AE3">
        <w:t>:</w:t>
      </w:r>
    </w:p>
    <w:p w14:paraId="4CC81386" w14:textId="619695DD" w:rsidR="00361AE3" w:rsidRPr="00361AE3" w:rsidRDefault="00361AE3" w:rsidP="00957458">
      <w:pPr>
        <w:pStyle w:val="ListParagraph"/>
        <w:numPr>
          <w:ilvl w:val="1"/>
          <w:numId w:val="17"/>
        </w:numPr>
        <w:spacing w:after="120"/>
        <w:ind w:hanging="357"/>
      </w:pPr>
      <w:r w:rsidRPr="00361AE3">
        <w:t xml:space="preserve">Updates to the emissions factors used in Method 1 and Method 2A for gas flared during </w:t>
      </w:r>
      <w:r w:rsidR="00300614">
        <w:t xml:space="preserve">oil and </w:t>
      </w:r>
      <w:r w:rsidRPr="00361AE3">
        <w:t xml:space="preserve">natural gas </w:t>
      </w:r>
      <w:r w:rsidR="00F81241">
        <w:t>operations</w:t>
      </w:r>
    </w:p>
    <w:p w14:paraId="32A1DAC4" w14:textId="5633F412" w:rsidR="00361AE3" w:rsidRDefault="001E3938" w:rsidP="00957458">
      <w:pPr>
        <w:pStyle w:val="ListParagraph"/>
        <w:numPr>
          <w:ilvl w:val="1"/>
          <w:numId w:val="17"/>
        </w:numPr>
        <w:spacing w:after="120"/>
        <w:ind w:hanging="357"/>
      </w:pPr>
      <w:r>
        <w:t>Making</w:t>
      </w:r>
      <w:r w:rsidR="00361AE3" w:rsidRPr="00361AE3">
        <w:t xml:space="preserve"> Method 2B for gas flared during natural gas production </w:t>
      </w:r>
      <w:r>
        <w:t xml:space="preserve">available </w:t>
      </w:r>
      <w:r w:rsidR="00361AE3" w:rsidRPr="00361AE3">
        <w:t>to natural gas transmission and distribution facilities</w:t>
      </w:r>
    </w:p>
    <w:p w14:paraId="4BA0B4F3" w14:textId="2476FAD7" w:rsidR="00253BB2" w:rsidRPr="00361AE3" w:rsidRDefault="00A374D7" w:rsidP="00957458">
      <w:pPr>
        <w:pStyle w:val="ListParagraph"/>
        <w:numPr>
          <w:ilvl w:val="1"/>
          <w:numId w:val="17"/>
        </w:numPr>
        <w:spacing w:after="120"/>
        <w:ind w:hanging="357"/>
      </w:pPr>
      <w:r>
        <w:t xml:space="preserve">Requiring additional reporting of data used to estimate fugitive emissions from </w:t>
      </w:r>
      <w:r w:rsidRPr="00253BB2">
        <w:t xml:space="preserve">flaring </w:t>
      </w:r>
      <w:r>
        <w:t>during</w:t>
      </w:r>
      <w:r w:rsidRPr="00253BB2">
        <w:t xml:space="preserve"> natural gas production</w:t>
      </w:r>
    </w:p>
    <w:p w14:paraId="065257F0" w14:textId="77777777" w:rsidR="00361AE3" w:rsidRPr="00361AE3" w:rsidRDefault="00361AE3" w:rsidP="00957458">
      <w:pPr>
        <w:pStyle w:val="ListParagraph"/>
        <w:numPr>
          <w:ilvl w:val="0"/>
          <w:numId w:val="17"/>
        </w:numPr>
        <w:spacing w:after="120"/>
        <w:ind w:hanging="357"/>
      </w:pPr>
      <w:r w:rsidRPr="00D32063">
        <w:rPr>
          <w:b/>
          <w:bCs/>
        </w:rPr>
        <w:t>Scope 2 emissions from consumption of electricity</w:t>
      </w:r>
      <w:r w:rsidRPr="00361AE3">
        <w:t>:</w:t>
      </w:r>
    </w:p>
    <w:p w14:paraId="200457A6" w14:textId="77777777" w:rsidR="00361AE3" w:rsidRPr="00361AE3" w:rsidRDefault="00361AE3" w:rsidP="00957458">
      <w:pPr>
        <w:pStyle w:val="ListParagraph"/>
        <w:numPr>
          <w:ilvl w:val="1"/>
          <w:numId w:val="17"/>
        </w:numPr>
        <w:spacing w:after="120"/>
        <w:ind w:hanging="357"/>
      </w:pPr>
      <w:r w:rsidRPr="00361AE3">
        <w:t>Customary annual update of emission factors</w:t>
      </w:r>
    </w:p>
    <w:p w14:paraId="0C50B656" w14:textId="1630C8D0" w:rsidR="002B189D" w:rsidRDefault="00361AE3" w:rsidP="00471D21">
      <w:pPr>
        <w:pStyle w:val="ListParagraph"/>
        <w:numPr>
          <w:ilvl w:val="1"/>
          <w:numId w:val="17"/>
        </w:numPr>
        <w:spacing w:after="120"/>
        <w:ind w:hanging="357"/>
      </w:pPr>
      <w:r w:rsidRPr="00361AE3">
        <w:t>Updates to the market-based method including</w:t>
      </w:r>
      <w:r w:rsidR="002B189D">
        <w:t>:</w:t>
      </w:r>
      <w:r w:rsidRPr="00361AE3">
        <w:t xml:space="preserve"> </w:t>
      </w:r>
    </w:p>
    <w:p w14:paraId="5B69A1DF" w14:textId="77777777" w:rsidR="002B189D" w:rsidRDefault="006E689A" w:rsidP="002B189D">
      <w:pPr>
        <w:pStyle w:val="ListParagraph"/>
        <w:numPr>
          <w:ilvl w:val="2"/>
          <w:numId w:val="17"/>
        </w:numPr>
        <w:spacing w:after="120"/>
      </w:pPr>
      <w:r w:rsidRPr="006E689A">
        <w:t>Requirements for reporters who elect to use the market method to report market-based estimates for all facilities within their controlling corporation’s group for which a purchase or acquisition of electricity has occurred in the reporting yea</w:t>
      </w:r>
      <w:r w:rsidR="002B189D">
        <w:t>r, and</w:t>
      </w:r>
    </w:p>
    <w:p w14:paraId="51E87E23" w14:textId="77777777" w:rsidR="00FE1D93" w:rsidRDefault="00FE1D93" w:rsidP="00626B4A">
      <w:pPr>
        <w:pStyle w:val="ListNumber3"/>
        <w:numPr>
          <w:ilvl w:val="2"/>
          <w:numId w:val="17"/>
        </w:numPr>
        <w:spacing w:after="240"/>
      </w:pPr>
      <w:r>
        <w:t>Amendments to clarify the circumstances for the surrender of renewable electricity certificates</w:t>
      </w:r>
    </w:p>
    <w:p w14:paraId="61A33D64" w14:textId="25AFDE0D" w:rsidR="00361AE3" w:rsidRPr="00361AE3" w:rsidRDefault="00361AE3" w:rsidP="007D7358">
      <w:pPr>
        <w:pStyle w:val="ListParagraph"/>
        <w:spacing w:after="120"/>
        <w:ind w:left="2160"/>
      </w:pPr>
    </w:p>
    <w:p w14:paraId="16667717" w14:textId="00AC47A8" w:rsidR="0072432B" w:rsidRDefault="0072432B" w:rsidP="00957458">
      <w:pPr>
        <w:pStyle w:val="ListParagraph"/>
        <w:numPr>
          <w:ilvl w:val="0"/>
          <w:numId w:val="17"/>
        </w:numPr>
        <w:spacing w:after="120"/>
        <w:ind w:hanging="357"/>
      </w:pPr>
      <w:r w:rsidRPr="00E24D26">
        <w:rPr>
          <w:b/>
          <w:bCs/>
        </w:rPr>
        <w:t>Waste</w:t>
      </w:r>
      <w:r>
        <w:t>:</w:t>
      </w:r>
      <w:r w:rsidR="00684F93" w:rsidRPr="00684F93">
        <w:t xml:space="preserve"> </w:t>
      </w:r>
      <w:r w:rsidR="00684F93">
        <w:t>enabl</w:t>
      </w:r>
      <w:r w:rsidR="0089731D">
        <w:t>ing</w:t>
      </w:r>
      <w:r w:rsidR="00684F93">
        <w:t xml:space="preserve"> reporters to account for biosolids diverted to biochar production</w:t>
      </w:r>
      <w:r w:rsidR="001A2A45">
        <w:t xml:space="preserve"> and an update to the N</w:t>
      </w:r>
      <w:r w:rsidR="001A2A45" w:rsidRPr="00283CDC">
        <w:rPr>
          <w:vertAlign w:val="subscript"/>
        </w:rPr>
        <w:t>2</w:t>
      </w:r>
      <w:r w:rsidR="001A2A45">
        <w:t xml:space="preserve">O emission factor for effluent discharged to </w:t>
      </w:r>
      <w:r w:rsidR="004A3812">
        <w:t>estuar</w:t>
      </w:r>
      <w:r w:rsidR="003802BD">
        <w:t>ies</w:t>
      </w:r>
      <w:r w:rsidR="00684F93">
        <w:t>.</w:t>
      </w:r>
    </w:p>
    <w:p w14:paraId="1A928F47" w14:textId="4F947AE2" w:rsidR="000371EF" w:rsidRDefault="00361AE3" w:rsidP="00957458">
      <w:pPr>
        <w:pStyle w:val="ListParagraph"/>
        <w:numPr>
          <w:ilvl w:val="0"/>
          <w:numId w:val="17"/>
        </w:numPr>
        <w:spacing w:after="120"/>
        <w:ind w:hanging="357"/>
      </w:pPr>
      <w:r w:rsidRPr="00606F2A">
        <w:t>Other minor technical updates</w:t>
      </w:r>
      <w:r w:rsidR="00A1286E" w:rsidRPr="00606F2A">
        <w:t xml:space="preserve"> to improve clarity and operation of the </w:t>
      </w:r>
      <w:r w:rsidR="00A1286E" w:rsidRPr="00A66948">
        <w:t>scheme</w:t>
      </w:r>
      <w:r w:rsidRPr="00361AE3">
        <w:t>.</w:t>
      </w:r>
    </w:p>
    <w:p w14:paraId="441AC6AB" w14:textId="42CBD6DE" w:rsidR="00762A01" w:rsidRPr="00185E99" w:rsidRDefault="00762A01" w:rsidP="00762A01">
      <w:r>
        <w:t>T</w:t>
      </w:r>
      <w:r w:rsidRPr="00185E99">
        <w:t xml:space="preserve">he </w:t>
      </w:r>
      <w:r w:rsidR="00C71496">
        <w:t>d</w:t>
      </w:r>
      <w:r w:rsidRPr="00185E99">
        <w:t>epartment seek</w:t>
      </w:r>
      <w:r w:rsidR="00CC4363">
        <w:t>s</w:t>
      </w:r>
      <w:r w:rsidRPr="00185E99">
        <w:t xml:space="preserve"> views on the practical operation and application of the </w:t>
      </w:r>
      <w:r>
        <w:t>proposed</w:t>
      </w:r>
      <w:r w:rsidRPr="00185E99">
        <w:t xml:space="preserve"> amendments.</w:t>
      </w:r>
    </w:p>
    <w:p w14:paraId="52447778" w14:textId="77777777" w:rsidR="00762A01" w:rsidRPr="00185E99" w:rsidRDefault="010FFC9D" w:rsidP="00762A01">
      <w:bookmarkStart w:id="9" w:name="_Toc381887655"/>
      <w:r>
        <w:t>This consultation will inform the finalisation of the draft</w:t>
      </w:r>
      <w:r w:rsidRPr="00185E99">
        <w:rPr>
          <w:i/>
        </w:rPr>
        <w:t xml:space="preserve"> </w:t>
      </w:r>
      <w:bookmarkEnd w:id="9"/>
      <w:r>
        <w:t>amendment instruments</w:t>
      </w:r>
      <w:r w:rsidRPr="00185E99">
        <w:rPr>
          <w:i/>
        </w:rPr>
        <w:t xml:space="preserve">, </w:t>
      </w:r>
      <w:r>
        <w:t xml:space="preserve">which will be legislative instruments for the purposes of the </w:t>
      </w:r>
      <w:r w:rsidRPr="00185E99">
        <w:rPr>
          <w:i/>
        </w:rPr>
        <w:t>Legislation Act 2003</w:t>
      </w:r>
      <w:r>
        <w:t>.</w:t>
      </w:r>
    </w:p>
    <w:p w14:paraId="22FA45D7" w14:textId="6FF7824E" w:rsidR="00537D07" w:rsidRDefault="00B52F98" w:rsidP="00DA2A0B">
      <w:pPr>
        <w:pStyle w:val="Heading4"/>
        <w:numPr>
          <w:ilvl w:val="0"/>
          <w:numId w:val="56"/>
        </w:numPr>
      </w:pPr>
      <w:r>
        <w:t>NGER scheme forward work program</w:t>
      </w:r>
    </w:p>
    <w:p w14:paraId="09A0D789" w14:textId="4F169E8F" w:rsidR="00232E36" w:rsidRPr="00B252FE" w:rsidRDefault="00F9310D" w:rsidP="00DA2A0B">
      <w:r>
        <w:rPr>
          <w:lang w:eastAsia="en-AU"/>
        </w:rPr>
        <w:t xml:space="preserve">This consultation paper </w:t>
      </w:r>
      <w:r w:rsidR="00FC5111">
        <w:rPr>
          <w:lang w:eastAsia="en-AU"/>
        </w:rPr>
        <w:t xml:space="preserve">seeks feedback on </w:t>
      </w:r>
      <w:r>
        <w:rPr>
          <w:lang w:eastAsia="en-AU"/>
        </w:rPr>
        <w:t xml:space="preserve">the following </w:t>
      </w:r>
      <w:r w:rsidR="00EB7897">
        <w:rPr>
          <w:lang w:eastAsia="en-AU"/>
        </w:rPr>
        <w:t xml:space="preserve">areas for </w:t>
      </w:r>
      <w:r w:rsidR="00FD35CB">
        <w:rPr>
          <w:lang w:eastAsia="en-AU"/>
        </w:rPr>
        <w:t>potential future up</w:t>
      </w:r>
      <w:r w:rsidR="00765F8A">
        <w:rPr>
          <w:lang w:eastAsia="en-AU"/>
        </w:rPr>
        <w:t>dates</w:t>
      </w:r>
      <w:r w:rsidR="004F1D11">
        <w:rPr>
          <w:lang w:eastAsia="en-AU"/>
        </w:rPr>
        <w:t>:</w:t>
      </w:r>
      <w:r>
        <w:rPr>
          <w:lang w:eastAsia="en-AU"/>
        </w:rPr>
        <w:t xml:space="preserve"> </w:t>
      </w:r>
    </w:p>
    <w:p w14:paraId="3DCEA8DC" w14:textId="02695663" w:rsidR="00CF6293" w:rsidRDefault="007A2B94" w:rsidP="00F830C3">
      <w:pPr>
        <w:pStyle w:val="ListParagraph"/>
        <w:numPr>
          <w:ilvl w:val="0"/>
          <w:numId w:val="17"/>
        </w:numPr>
        <w:spacing w:after="120"/>
        <w:ind w:hanging="357"/>
      </w:pPr>
      <w:r w:rsidRPr="00DA2A0B">
        <w:rPr>
          <w:b/>
        </w:rPr>
        <w:t>Review of Method 2 for estimating fugitive methane emissions from open-cut coal mines</w:t>
      </w:r>
      <w:r w:rsidR="00F0304D">
        <w:rPr>
          <w:b/>
        </w:rPr>
        <w:t xml:space="preserve">: </w:t>
      </w:r>
      <w:r w:rsidR="00E371D8">
        <w:t xml:space="preserve">The consultation paper </w:t>
      </w:r>
      <w:r w:rsidR="009553B2">
        <w:t xml:space="preserve">outlines </w:t>
      </w:r>
      <w:r w:rsidR="0059522F">
        <w:t>the current Method 2</w:t>
      </w:r>
      <w:r w:rsidR="005B0C8D">
        <w:t>,</w:t>
      </w:r>
      <w:r w:rsidR="0059522F">
        <w:t xml:space="preserve"> the background to </w:t>
      </w:r>
      <w:r w:rsidR="00875C20">
        <w:t>its</w:t>
      </w:r>
      <w:r w:rsidR="0059522F">
        <w:t xml:space="preserve"> review</w:t>
      </w:r>
      <w:r w:rsidR="005B0C8D">
        <w:t xml:space="preserve"> and </w:t>
      </w:r>
      <w:r w:rsidR="00427F5A">
        <w:t xml:space="preserve">issues </w:t>
      </w:r>
      <w:r w:rsidR="004B3182">
        <w:t xml:space="preserve">raised </w:t>
      </w:r>
      <w:r w:rsidR="005012D6">
        <w:t xml:space="preserve">to date </w:t>
      </w:r>
      <w:r w:rsidR="00A1324C">
        <w:t>and invites submissions on issues to be covered by the review.</w:t>
      </w:r>
    </w:p>
    <w:p w14:paraId="28A6CBB6" w14:textId="668CE119" w:rsidR="006E0543" w:rsidRPr="00BB37AC" w:rsidRDefault="00E155A5" w:rsidP="00087D95">
      <w:pPr>
        <w:pStyle w:val="ListParagraph"/>
        <w:numPr>
          <w:ilvl w:val="0"/>
          <w:numId w:val="17"/>
        </w:numPr>
        <w:spacing w:after="120"/>
        <w:rPr>
          <w:b/>
        </w:rPr>
      </w:pPr>
      <w:r w:rsidRPr="00BB37AC">
        <w:rPr>
          <w:b/>
          <w:bCs/>
        </w:rPr>
        <w:t>Co-processed liquid fuels</w:t>
      </w:r>
      <w:r w:rsidR="00BB37AC" w:rsidRPr="00BB37AC">
        <w:rPr>
          <w:b/>
          <w:bCs/>
        </w:rPr>
        <w:t>:</w:t>
      </w:r>
      <w:r w:rsidR="00BB37AC">
        <w:rPr>
          <w:b/>
          <w:bCs/>
        </w:rPr>
        <w:t xml:space="preserve"> </w:t>
      </w:r>
      <w:r w:rsidR="00DA4779">
        <w:t xml:space="preserve">potential amendments </w:t>
      </w:r>
      <w:r w:rsidR="00501B31">
        <w:t>may</w:t>
      </w:r>
      <w:r w:rsidR="00DA4779" w:rsidRPr="00DA4779">
        <w:rPr>
          <w:lang w:eastAsia="en-AU"/>
        </w:rPr>
        <w:t xml:space="preserve"> </w:t>
      </w:r>
      <w:r w:rsidR="00DA4779">
        <w:rPr>
          <w:lang w:eastAsia="en-AU"/>
        </w:rPr>
        <w:t>better enable the reporting of scope 1 emissions from combustion of co-processed</w:t>
      </w:r>
      <w:r w:rsidR="00037904">
        <w:rPr>
          <w:lang w:eastAsia="en-AU"/>
        </w:rPr>
        <w:t xml:space="preserve"> liquid</w:t>
      </w:r>
      <w:r w:rsidR="00DA4779">
        <w:rPr>
          <w:lang w:eastAsia="en-AU"/>
        </w:rPr>
        <w:t xml:space="preserve"> fuels</w:t>
      </w:r>
      <w:r w:rsidR="00501B31">
        <w:rPr>
          <w:lang w:eastAsia="en-AU"/>
        </w:rPr>
        <w:t>; the paper</w:t>
      </w:r>
      <w:r w:rsidR="0057608F">
        <w:rPr>
          <w:lang w:eastAsia="en-AU"/>
        </w:rPr>
        <w:t xml:space="preserve"> </w:t>
      </w:r>
      <w:r w:rsidR="000D49CA">
        <w:t>invites submissions on issues to be considered in this work.</w:t>
      </w:r>
    </w:p>
    <w:p w14:paraId="72BB9034" w14:textId="7B113EDC" w:rsidR="00482956" w:rsidRDefault="00E155A5" w:rsidP="00E155A5">
      <w:pPr>
        <w:pStyle w:val="ListParagraph"/>
        <w:numPr>
          <w:ilvl w:val="0"/>
          <w:numId w:val="17"/>
        </w:numPr>
        <w:spacing w:after="120"/>
        <w:rPr>
          <w:b/>
          <w:bCs/>
        </w:rPr>
      </w:pPr>
      <w:r>
        <w:rPr>
          <w:b/>
          <w:bCs/>
        </w:rPr>
        <w:t>scope 2</w:t>
      </w:r>
      <w:r w:rsidR="00667F9A">
        <w:rPr>
          <w:b/>
          <w:bCs/>
        </w:rPr>
        <w:t xml:space="preserve"> emissions </w:t>
      </w:r>
      <w:r w:rsidR="00DF551B">
        <w:rPr>
          <w:b/>
          <w:bCs/>
        </w:rPr>
        <w:t>reporting</w:t>
      </w:r>
    </w:p>
    <w:p w14:paraId="0F0F3ABA" w14:textId="6274AE0F" w:rsidR="002B0B8A" w:rsidRPr="00B337E3" w:rsidRDefault="00D04CA0" w:rsidP="00482956">
      <w:pPr>
        <w:pStyle w:val="ListParagraph"/>
        <w:numPr>
          <w:ilvl w:val="1"/>
          <w:numId w:val="17"/>
        </w:numPr>
        <w:spacing w:after="120"/>
        <w:rPr>
          <w:b/>
        </w:rPr>
      </w:pPr>
      <w:r>
        <w:t xml:space="preserve">Renewable Electricity Guarantee of Origin </w:t>
      </w:r>
      <w:r w:rsidR="002B0B8A">
        <w:t xml:space="preserve">(REGO) </w:t>
      </w:r>
      <w:r>
        <w:t xml:space="preserve">certificates </w:t>
      </w:r>
      <w:r w:rsidR="00501B31">
        <w:t xml:space="preserve">may be recognised </w:t>
      </w:r>
      <w:r w:rsidR="003E0A9C">
        <w:t>under the scope-2 market-based method</w:t>
      </w:r>
      <w:r w:rsidR="00501B31">
        <w:t xml:space="preserve"> in the future; the paper</w:t>
      </w:r>
      <w:r w:rsidR="00D41A57">
        <w:t xml:space="preserve"> </w:t>
      </w:r>
      <w:r w:rsidR="00BE1FF2">
        <w:t xml:space="preserve">invites submissions on </w:t>
      </w:r>
      <w:r w:rsidR="006A67BE">
        <w:t>issues to be considered in this work</w:t>
      </w:r>
      <w:r w:rsidR="002B0B8A">
        <w:t>.</w:t>
      </w:r>
    </w:p>
    <w:p w14:paraId="7AEAE590" w14:textId="0EB7BD73" w:rsidR="005A0FE5" w:rsidRPr="00013631" w:rsidRDefault="00501B31" w:rsidP="00B337E3">
      <w:pPr>
        <w:pStyle w:val="ListParagraph"/>
        <w:numPr>
          <w:ilvl w:val="1"/>
          <w:numId w:val="17"/>
        </w:numPr>
        <w:spacing w:after="120"/>
        <w:rPr>
          <w:b/>
        </w:rPr>
      </w:pPr>
      <w:r>
        <w:t>T</w:t>
      </w:r>
      <w:r w:rsidR="008C68F1" w:rsidRPr="00013631">
        <w:t>o</w:t>
      </w:r>
      <w:r w:rsidR="002B6A94" w:rsidRPr="00013631">
        <w:t xml:space="preserve"> </w:t>
      </w:r>
      <w:r w:rsidR="6363F10D" w:rsidRPr="00013631">
        <w:t xml:space="preserve">reduce the risk of </w:t>
      </w:r>
      <w:r w:rsidR="008D098E" w:rsidRPr="00013631">
        <w:t xml:space="preserve">confusing </w:t>
      </w:r>
      <w:r w:rsidR="00313ED8" w:rsidRPr="00013631">
        <w:t>or m</w:t>
      </w:r>
      <w:r w:rsidR="0016540C" w:rsidRPr="00013631">
        <w:t xml:space="preserve">isleading </w:t>
      </w:r>
      <w:r w:rsidR="00ED3D43" w:rsidRPr="00013631">
        <w:t xml:space="preserve">claims </w:t>
      </w:r>
      <w:r>
        <w:t xml:space="preserve">arising </w:t>
      </w:r>
      <w:r w:rsidR="00ED3D43" w:rsidRPr="00013631">
        <w:t>from the interaction between the location</w:t>
      </w:r>
      <w:r>
        <w:t>-</w:t>
      </w:r>
      <w:r w:rsidR="00ED3D43" w:rsidRPr="00013631">
        <w:t>based and market</w:t>
      </w:r>
      <w:r w:rsidR="00602036" w:rsidRPr="00013631">
        <w:t>-</w:t>
      </w:r>
      <w:r w:rsidR="00ED3D43" w:rsidRPr="00013631">
        <w:t xml:space="preserve">based </w:t>
      </w:r>
      <w:r w:rsidR="005A0FE5" w:rsidRPr="00013631">
        <w:t>methods</w:t>
      </w:r>
      <w:r w:rsidR="00ED3D43" w:rsidRPr="00013631">
        <w:t xml:space="preserve"> for </w:t>
      </w:r>
      <w:r w:rsidR="005A0FE5" w:rsidRPr="00013631">
        <w:t>reporting scope 2 emissions</w:t>
      </w:r>
      <w:r>
        <w:t>, the paper</w:t>
      </w:r>
      <w:r w:rsidR="003E2129" w:rsidRPr="00013631">
        <w:t xml:space="preserve"> invites submissions to inform </w:t>
      </w:r>
      <w:r>
        <w:t>potential future amendments</w:t>
      </w:r>
      <w:r w:rsidR="005A0FE5" w:rsidRPr="00013631">
        <w:t xml:space="preserve">. </w:t>
      </w:r>
    </w:p>
    <w:p w14:paraId="7F0498AA" w14:textId="45F1056B" w:rsidR="00704D61" w:rsidRDefault="00ED690B" w:rsidP="00163DCC">
      <w:pPr>
        <w:rPr>
          <w:lang w:eastAsia="en-AU"/>
        </w:rPr>
      </w:pPr>
      <w:r>
        <w:rPr>
          <w:lang w:eastAsia="en-AU"/>
        </w:rPr>
        <w:t>This</w:t>
      </w:r>
      <w:r w:rsidR="007E7082">
        <w:rPr>
          <w:lang w:eastAsia="en-AU"/>
        </w:rPr>
        <w:t xml:space="preserve"> </w:t>
      </w:r>
      <w:r w:rsidR="00C34051">
        <w:rPr>
          <w:lang w:eastAsia="en-AU"/>
        </w:rPr>
        <w:t xml:space="preserve">consultation </w:t>
      </w:r>
      <w:r w:rsidR="00704D61">
        <w:rPr>
          <w:lang w:eastAsia="en-AU"/>
        </w:rPr>
        <w:t>progress</w:t>
      </w:r>
      <w:r>
        <w:rPr>
          <w:lang w:eastAsia="en-AU"/>
        </w:rPr>
        <w:t xml:space="preserve">es </w:t>
      </w:r>
      <w:r w:rsidR="006D53E8">
        <w:rPr>
          <w:lang w:eastAsia="en-AU"/>
        </w:rPr>
        <w:t xml:space="preserve">elements of the </w:t>
      </w:r>
      <w:hyperlink r:id="rId18" w:history="1">
        <w:r w:rsidR="00542345" w:rsidRPr="00542345">
          <w:rPr>
            <w:rStyle w:val="Hyperlink"/>
            <w:lang w:eastAsia="en-AU"/>
          </w:rPr>
          <w:t>Government Response</w:t>
        </w:r>
      </w:hyperlink>
      <w:r w:rsidR="00542345">
        <w:rPr>
          <w:lang w:eastAsia="en-AU"/>
        </w:rPr>
        <w:t xml:space="preserve"> </w:t>
      </w:r>
      <w:r w:rsidR="00704D61">
        <w:rPr>
          <w:lang w:eastAsia="en-AU"/>
        </w:rPr>
        <w:t xml:space="preserve">to the 2023 Climate Change Authority review of the NGER scheme. </w:t>
      </w:r>
      <w:r w:rsidR="003015B5">
        <w:rPr>
          <w:lang w:eastAsia="en-AU"/>
        </w:rPr>
        <w:t xml:space="preserve">Consistent with </w:t>
      </w:r>
      <w:r w:rsidR="00853594">
        <w:rPr>
          <w:lang w:eastAsia="en-AU"/>
        </w:rPr>
        <w:t>that</w:t>
      </w:r>
      <w:r w:rsidR="003015B5">
        <w:rPr>
          <w:lang w:eastAsia="en-AU"/>
        </w:rPr>
        <w:t xml:space="preserve"> response</w:t>
      </w:r>
      <w:r w:rsidR="00853594">
        <w:rPr>
          <w:lang w:eastAsia="en-AU"/>
        </w:rPr>
        <w:t xml:space="preserve">, the </w:t>
      </w:r>
      <w:r w:rsidR="00DF6568">
        <w:rPr>
          <w:lang w:eastAsia="en-AU"/>
        </w:rPr>
        <w:t>g</w:t>
      </w:r>
      <w:r w:rsidR="00853594">
        <w:rPr>
          <w:lang w:eastAsia="en-AU"/>
        </w:rPr>
        <w:t xml:space="preserve">overnment has also announced the </w:t>
      </w:r>
      <w:r w:rsidR="005E56EE">
        <w:rPr>
          <w:lang w:eastAsia="en-AU"/>
        </w:rPr>
        <w:t>Members</w:t>
      </w:r>
      <w:r w:rsidR="00D835A8">
        <w:rPr>
          <w:lang w:eastAsia="en-AU"/>
        </w:rPr>
        <w:t xml:space="preserve"> </w:t>
      </w:r>
      <w:r w:rsidR="005E56EE">
        <w:rPr>
          <w:lang w:eastAsia="en-AU"/>
        </w:rPr>
        <w:t xml:space="preserve">and Terms of Reference of the Expert Panel on Atmospheric Measurement Approaches to Fugitive Methane Emissions in Australia. </w:t>
      </w:r>
      <w:r w:rsidR="00704D61">
        <w:rPr>
          <w:lang w:eastAsia="en-AU"/>
        </w:rPr>
        <w:t>The department continues to progress other elements of the government’s response, which will incorporate opportunities for public consultation as appropriate.</w:t>
      </w:r>
    </w:p>
    <w:p w14:paraId="0DB7C654" w14:textId="0785DD00" w:rsidR="00762A01" w:rsidRPr="00185E99" w:rsidRDefault="00762A01" w:rsidP="00762A01">
      <w:r w:rsidRPr="00185E99">
        <w:t xml:space="preserve">Submissions </w:t>
      </w:r>
      <w:r w:rsidR="003D20A6">
        <w:t xml:space="preserve">on </w:t>
      </w:r>
      <w:r w:rsidR="00E155A5">
        <w:t>these</w:t>
      </w:r>
      <w:r w:rsidR="003D20A6">
        <w:t xml:space="preserve"> topics </w:t>
      </w:r>
      <w:r w:rsidRPr="00185E99">
        <w:t xml:space="preserve">are invited from all interested stakeholders. Submissions should be lodged electronically via the consultation website. </w:t>
      </w:r>
    </w:p>
    <w:p w14:paraId="5E402A81" w14:textId="4BD3109D" w:rsidR="00762A01" w:rsidRDefault="00762A01" w:rsidP="00762A01">
      <w:r w:rsidRPr="00185E99">
        <w:rPr>
          <w:b/>
          <w:bCs/>
        </w:rPr>
        <w:t xml:space="preserve">Submissions </w:t>
      </w:r>
      <w:r w:rsidR="0026696A">
        <w:rPr>
          <w:b/>
        </w:rPr>
        <w:t>may</w:t>
      </w:r>
      <w:r w:rsidR="0026696A" w:rsidRPr="00185E99">
        <w:rPr>
          <w:b/>
        </w:rPr>
        <w:t xml:space="preserve"> </w:t>
      </w:r>
      <w:r w:rsidRPr="00185E99">
        <w:rPr>
          <w:b/>
        </w:rPr>
        <w:t>be made publicly available</w:t>
      </w:r>
      <w:r w:rsidRPr="00185E99">
        <w:t xml:space="preserve">. If you wish for your submission to be kept confidential, this should be clearly indicated in your submission. </w:t>
      </w:r>
    </w:p>
    <w:p w14:paraId="7A0827A9" w14:textId="77777777" w:rsidR="00BE361C" w:rsidRDefault="00BE361C">
      <w:pPr>
        <w:spacing w:after="0" w:line="240" w:lineRule="auto"/>
        <w:rPr>
          <w:rFonts w:ascii="Calibri" w:eastAsiaTheme="minorEastAsia" w:hAnsi="Calibri"/>
          <w:bCs/>
          <w:color w:val="197C7D"/>
          <w:sz w:val="40"/>
          <w:szCs w:val="40"/>
          <w:lang w:eastAsia="ja-JP"/>
        </w:rPr>
      </w:pPr>
      <w:bookmarkStart w:id="10" w:name="_Toc128662971"/>
      <w:r>
        <w:br w:type="page"/>
      </w:r>
    </w:p>
    <w:p w14:paraId="5EAB7439" w14:textId="4CEFCA79" w:rsidR="00762A01" w:rsidRPr="008001F1" w:rsidRDefault="00A91E9C" w:rsidP="00E155A5">
      <w:pPr>
        <w:pStyle w:val="Heading2"/>
        <w:numPr>
          <w:ilvl w:val="0"/>
          <w:numId w:val="57"/>
        </w:numPr>
      </w:pPr>
      <w:bookmarkStart w:id="11" w:name="_Toc191373889"/>
      <w:r>
        <w:t>P</w:t>
      </w:r>
      <w:r w:rsidR="00A32DE1">
        <w:t xml:space="preserve">roposed </w:t>
      </w:r>
      <w:r w:rsidR="00026EA5">
        <w:t>2025</w:t>
      </w:r>
      <w:r w:rsidR="00A32DE1">
        <w:t xml:space="preserve"> </w:t>
      </w:r>
      <w:r w:rsidR="00762A01" w:rsidRPr="008001F1">
        <w:t>amendments</w:t>
      </w:r>
      <w:bookmarkEnd w:id="11"/>
    </w:p>
    <w:p w14:paraId="14A52D9E" w14:textId="3FB31893" w:rsidR="008A2535" w:rsidRDefault="002A63F8" w:rsidP="005D5E70">
      <w:pPr>
        <w:pStyle w:val="Heading3"/>
      </w:pPr>
      <w:bookmarkStart w:id="12" w:name="_Toc191373890"/>
      <w:bookmarkEnd w:id="10"/>
      <w:r>
        <w:t xml:space="preserve">Market-based </w:t>
      </w:r>
      <w:r w:rsidRPr="00A421F7">
        <w:t>reporting</w:t>
      </w:r>
      <w:r>
        <w:t xml:space="preserve"> of emissions from consumption of biomethane and hydrogen</w:t>
      </w:r>
      <w:bookmarkEnd w:id="12"/>
    </w:p>
    <w:p w14:paraId="54EB13CF" w14:textId="5266F995" w:rsidR="00B10242" w:rsidRPr="00B10242" w:rsidRDefault="00157DEA" w:rsidP="00B10242">
      <w:r>
        <w:t xml:space="preserve">The </w:t>
      </w:r>
      <w:r w:rsidR="00621989">
        <w:t xml:space="preserve">department </w:t>
      </w:r>
      <w:r>
        <w:t xml:space="preserve">proposes to introduce </w:t>
      </w:r>
      <w:r w:rsidR="000C75AF" w:rsidRPr="000C75AF">
        <w:t>market-based arrangements for reporting scope 1 emissions from</w:t>
      </w:r>
      <w:r w:rsidR="007763F9">
        <w:t xml:space="preserve"> the consumption of</w:t>
      </w:r>
      <w:r w:rsidR="000C75AF" w:rsidRPr="000C75AF">
        <w:t xml:space="preserve"> biomethane and hydrogen</w:t>
      </w:r>
      <w:r w:rsidR="007763F9">
        <w:t xml:space="preserve"> </w:t>
      </w:r>
      <w:r w:rsidR="00650854">
        <w:t xml:space="preserve">(collectively, renewable gas) </w:t>
      </w:r>
      <w:r w:rsidR="007763F9">
        <w:t xml:space="preserve">that has been </w:t>
      </w:r>
      <w:r w:rsidR="004174EA">
        <w:t xml:space="preserve">injected into the natural gas network. </w:t>
      </w:r>
      <w:r w:rsidR="008B5B71">
        <w:t xml:space="preserve">This is </w:t>
      </w:r>
      <w:r w:rsidR="00B36EAC">
        <w:t xml:space="preserve">analogous </w:t>
      </w:r>
      <w:r w:rsidR="008B5B71">
        <w:t>to the arrangements introduced for renewable liquid fuels in 2024.</w:t>
      </w:r>
    </w:p>
    <w:p w14:paraId="7655CE81" w14:textId="4DCFC845" w:rsidR="008E48D7" w:rsidRDefault="008E48D7" w:rsidP="008E48D7">
      <w:pPr>
        <w:pStyle w:val="BoxHeading"/>
      </w:pPr>
      <w:r>
        <w:t>What is renewable gas?</w:t>
      </w:r>
    </w:p>
    <w:p w14:paraId="62D06622" w14:textId="285834A3" w:rsidR="008E48D7" w:rsidRDefault="00DB372D" w:rsidP="008E48D7">
      <w:pPr>
        <w:pStyle w:val="BoxText"/>
      </w:pPr>
      <w:r>
        <w:t xml:space="preserve">For the purposes of these proposed amendments, renewable gas means biomethane and hydrogen. </w:t>
      </w:r>
      <w:r w:rsidR="008E48D7" w:rsidRPr="008E48D7">
        <w:t>Biomethane and hydrogen are both low scope 1 emissions gases that can be injected into existing gas networks</w:t>
      </w:r>
      <w:r w:rsidR="00CB4E36">
        <w:rPr>
          <w:rStyle w:val="FootnoteReference"/>
        </w:rPr>
        <w:footnoteReference w:id="2"/>
      </w:r>
      <w:r w:rsidR="008E48D7" w:rsidRPr="008E48D7">
        <w:t xml:space="preserve">. </w:t>
      </w:r>
    </w:p>
    <w:p w14:paraId="3EAC6982" w14:textId="1D3476B5" w:rsidR="008E48D7" w:rsidRDefault="008E48D7" w:rsidP="008E48D7">
      <w:pPr>
        <w:pStyle w:val="BoxText"/>
      </w:pPr>
      <w:r w:rsidRPr="008E48D7">
        <w:t>Biomethane is a biomass-derived, high-methane content gas with nearly identical chemical and physical properties to natural gas. Under the NGER scheme, biomethane has the same technical parameters as natural gas transmitted or distributed in a pipeline, except is assigned a scope 1 carbon dioxide (CO</w:t>
      </w:r>
      <w:r w:rsidRPr="008E48D7">
        <w:rPr>
          <w:vertAlign w:val="subscript"/>
        </w:rPr>
        <w:t>2</w:t>
      </w:r>
      <w:r w:rsidRPr="008E48D7">
        <w:t>) emission factor of zero. This approach is consistent with other biogenic fuel types and reflects the fact that combustion of biomethane releases carbon which was absorbed by its biogenic source materials from the atmosphere during their life</w:t>
      </w:r>
      <w:r w:rsidR="00F20C59">
        <w:rPr>
          <w:rStyle w:val="FootnoteReference"/>
        </w:rPr>
        <w:footnoteReference w:id="3"/>
      </w:r>
      <w:r w:rsidRPr="008E48D7">
        <w:t xml:space="preserve">. </w:t>
      </w:r>
      <w:r w:rsidR="006F36C3">
        <w:t xml:space="preserve"> </w:t>
      </w:r>
    </w:p>
    <w:p w14:paraId="1B096823" w14:textId="1F309B4D" w:rsidR="008E48D7" w:rsidRDefault="008E48D7" w:rsidP="008E48D7">
      <w:pPr>
        <w:pStyle w:val="BoxText"/>
      </w:pPr>
      <w:r w:rsidRPr="008E48D7">
        <w:t>Combustion of hydrogen releases zero physical CO</w:t>
      </w:r>
      <w:r w:rsidRPr="008E48D7">
        <w:rPr>
          <w:vertAlign w:val="subscript"/>
        </w:rPr>
        <w:t>2</w:t>
      </w:r>
      <w:r w:rsidRPr="008E48D7">
        <w:t xml:space="preserve"> emissions but does release nitrous oxide (N</w:t>
      </w:r>
      <w:r w:rsidRPr="008E48D7">
        <w:rPr>
          <w:vertAlign w:val="subscript"/>
        </w:rPr>
        <w:t>2</w:t>
      </w:r>
      <w:r w:rsidRPr="008E48D7">
        <w:t xml:space="preserve">O) emissions. Under the NGER scheme, hydrogen is currently considered an energy commodity, not a fuel. To support its inclusion in the proposed market-based reporting arrangements, the </w:t>
      </w:r>
      <w:r w:rsidR="004A78A4">
        <w:t>department</w:t>
      </w:r>
      <w:r w:rsidRPr="008E48D7">
        <w:t xml:space="preserve"> proposes to make hydrogen a reportable fuel type (see Including hydrogen as a reportable fuel type, below).</w:t>
      </w:r>
    </w:p>
    <w:p w14:paraId="1ACFC19F" w14:textId="0C18C1D7" w:rsidR="00996E63" w:rsidRDefault="00977149" w:rsidP="00996E63">
      <w:r w:rsidRPr="00977149">
        <w:t>Under the NGER scheme’s existing accounting approach, reporters report the scope 1 emissions from combustion of the gaseous fuel they physically consume.</w:t>
      </w:r>
      <w:r w:rsidR="009B5F64">
        <w:t xml:space="preserve"> </w:t>
      </w:r>
      <w:r w:rsidR="00996E63">
        <w:rPr>
          <w:rStyle w:val="Emphasis"/>
          <w:i w:val="0"/>
          <w:iCs w:val="0"/>
        </w:rPr>
        <w:t xml:space="preserve">This approach means </w:t>
      </w:r>
      <w:r w:rsidR="00996E63">
        <w:t>that when renewable gas is co-mingled with other gases and distributed through shared infrastructure (for example, through shared pipelines), the claim to its consumption and the associated emissions benefit is spread across all users of the infrastructure. Renewable gas purchasers</w:t>
      </w:r>
      <w:r w:rsidR="00996E63" w:rsidRPr="002D1289">
        <w:t xml:space="preserve"> </w:t>
      </w:r>
      <w:r w:rsidR="00996E63">
        <w:t xml:space="preserve">are </w:t>
      </w:r>
      <w:r w:rsidR="00996E63" w:rsidRPr="002D1289">
        <w:t xml:space="preserve">only able to report consumption of the part share of renewable </w:t>
      </w:r>
      <w:r w:rsidR="00996E63">
        <w:t>gas</w:t>
      </w:r>
      <w:r w:rsidR="00996E63" w:rsidRPr="002D1289">
        <w:t xml:space="preserve"> they physically consumed, determined in accordance with the </w:t>
      </w:r>
      <w:r w:rsidR="00996E63">
        <w:t>pipeline operator’s determination</w:t>
      </w:r>
      <w:r w:rsidR="00996E63" w:rsidRPr="002D1289">
        <w:t xml:space="preserve"> or by</w:t>
      </w:r>
      <w:r w:rsidR="00996E63">
        <w:t xml:space="preserve"> sampling and </w:t>
      </w:r>
      <w:r w:rsidR="00865CAA">
        <w:t>analysi</w:t>
      </w:r>
      <w:r w:rsidR="00BE57D5">
        <w:t>ng</w:t>
      </w:r>
      <w:r w:rsidR="00865CAA">
        <w:t xml:space="preserve"> </w:t>
      </w:r>
      <w:r w:rsidR="00996E63">
        <w:t>the fuel they physically receive</w:t>
      </w:r>
      <w:r w:rsidR="00996E63">
        <w:rPr>
          <w:rStyle w:val="FootnoteReference"/>
        </w:rPr>
        <w:footnoteReference w:id="4"/>
      </w:r>
      <w:r w:rsidR="00996E63" w:rsidRPr="002D1289">
        <w:t xml:space="preserve">. </w:t>
      </w:r>
    </w:p>
    <w:p w14:paraId="451E21CC" w14:textId="5974E466" w:rsidR="009C209E" w:rsidRPr="002F1EE8" w:rsidRDefault="009C209E" w:rsidP="009C209E">
      <w:r>
        <w:t>Stakeholder feedback is that this accounting approach is impeding domestic uptake of renewable gas</w:t>
      </w:r>
      <w:r w:rsidR="007101BE">
        <w:t>,</w:t>
      </w:r>
      <w:r w:rsidR="007101BE" w:rsidRPr="007101BE">
        <w:t xml:space="preserve"> </w:t>
      </w:r>
      <w:r w:rsidR="007101BE">
        <w:t xml:space="preserve">especially for some Safeguard Mechanism facilities for whom renewable </w:t>
      </w:r>
      <w:r w:rsidR="00697C2E">
        <w:t>gas</w:t>
      </w:r>
      <w:r w:rsidR="007101BE">
        <w:t xml:space="preserve"> may be one of the only viable decarbonisation options</w:t>
      </w:r>
      <w:r w:rsidR="00CD2936">
        <w:rPr>
          <w:rStyle w:val="FootnoteReference"/>
        </w:rPr>
        <w:footnoteReference w:id="5"/>
      </w:r>
      <w:r w:rsidR="007101BE">
        <w:t>.</w:t>
      </w:r>
      <w:r>
        <w:t xml:space="preserve"> </w:t>
      </w:r>
      <w:r w:rsidRPr="002F1EE8">
        <w:t xml:space="preserve">As such, stakeholders have advocated for more flexible ‘market-based’ accounting approaches that would enable full and exclusive attribution of the scope 1 emissions benefit from their renewable </w:t>
      </w:r>
      <w:r>
        <w:t>gas purchases</w:t>
      </w:r>
      <w:r w:rsidRPr="002F1EE8">
        <w:t xml:space="preserve">, even if the </w:t>
      </w:r>
      <w:r>
        <w:t>gas</w:t>
      </w:r>
      <w:r w:rsidRPr="002F1EE8">
        <w:t xml:space="preserve"> they purchased is distributed through </w:t>
      </w:r>
      <w:r>
        <w:t>the natural gas network</w:t>
      </w:r>
      <w:r w:rsidRPr="002F1EE8">
        <w:t xml:space="preserve"> and physically consumed by multiple entities. </w:t>
      </w:r>
    </w:p>
    <w:p w14:paraId="5B53EE7D" w14:textId="6FF734E6" w:rsidR="00895456" w:rsidRDefault="00895456" w:rsidP="00895456">
      <w:r>
        <w:t xml:space="preserve">The introduction of market-based reporting for renewable gaseous fuels was also a recommendation of the independent </w:t>
      </w:r>
      <w:hyperlink r:id="rId19" w:history="1">
        <w:r w:rsidRPr="3BE88E38">
          <w:rPr>
            <w:rStyle w:val="Hyperlink"/>
          </w:rPr>
          <w:t>Climate Change Authority (CCA) review of the NGER scheme</w:t>
        </w:r>
      </w:hyperlink>
      <w:r>
        <w:rPr>
          <w:rStyle w:val="Hyperlink"/>
        </w:rPr>
        <w:t xml:space="preserve"> (CCA review)</w:t>
      </w:r>
      <w:r>
        <w:t xml:space="preserve">, published in December 2023. </w:t>
      </w:r>
    </w:p>
    <w:p w14:paraId="27CEE8E1" w14:textId="57F961FE" w:rsidR="0048541C" w:rsidRDefault="000E5737" w:rsidP="00233CAC">
      <w:pPr>
        <w:pStyle w:val="Heading4"/>
      </w:pPr>
      <w:r>
        <w:t xml:space="preserve">Design of the proposed </w:t>
      </w:r>
      <w:r w:rsidR="00026D7A">
        <w:t xml:space="preserve">renewable gas </w:t>
      </w:r>
      <w:r>
        <w:t xml:space="preserve">market-based arrangements </w:t>
      </w:r>
    </w:p>
    <w:p w14:paraId="50504E3F" w14:textId="6A97BC8B" w:rsidR="000E5737" w:rsidRDefault="00597DAC" w:rsidP="000E5737">
      <w:pPr>
        <w:rPr>
          <w:lang w:eastAsia="en-AU"/>
        </w:rPr>
      </w:pPr>
      <w:r>
        <w:rPr>
          <w:lang w:eastAsia="en-AU"/>
        </w:rPr>
        <w:t xml:space="preserve">The </w:t>
      </w:r>
      <w:r w:rsidR="00EE693C">
        <w:t>department</w:t>
      </w:r>
      <w:r w:rsidR="00EE693C" w:rsidDel="00EE693C">
        <w:rPr>
          <w:lang w:eastAsia="en-AU"/>
        </w:rPr>
        <w:t xml:space="preserve"> </w:t>
      </w:r>
      <w:r>
        <w:rPr>
          <w:lang w:eastAsia="en-AU"/>
        </w:rPr>
        <w:t>propose</w:t>
      </w:r>
      <w:r w:rsidR="00B43939">
        <w:rPr>
          <w:lang w:eastAsia="en-AU"/>
        </w:rPr>
        <w:t xml:space="preserve">s to implement market-based </w:t>
      </w:r>
      <w:r w:rsidR="00EA4C5F">
        <w:rPr>
          <w:lang w:eastAsia="en-AU"/>
        </w:rPr>
        <w:t xml:space="preserve">reporting </w:t>
      </w:r>
      <w:r w:rsidR="00A40C26">
        <w:rPr>
          <w:lang w:eastAsia="en-AU"/>
        </w:rPr>
        <w:t>for</w:t>
      </w:r>
      <w:r w:rsidR="00EA4C5F">
        <w:rPr>
          <w:lang w:eastAsia="en-AU"/>
        </w:rPr>
        <w:t xml:space="preserve"> renewable gas </w:t>
      </w:r>
      <w:r w:rsidR="00B358DB">
        <w:rPr>
          <w:lang w:eastAsia="en-AU"/>
        </w:rPr>
        <w:t>by adding a new section (</w:t>
      </w:r>
      <w:r w:rsidR="00553B77">
        <w:rPr>
          <w:lang w:eastAsia="en-AU"/>
        </w:rPr>
        <w:t xml:space="preserve">see Schedule 1, Item </w:t>
      </w:r>
      <w:r w:rsidR="007C6BD8">
        <w:rPr>
          <w:lang w:eastAsia="en-AU"/>
        </w:rPr>
        <w:t>5</w:t>
      </w:r>
      <w:r w:rsidR="00553B77">
        <w:rPr>
          <w:lang w:eastAsia="en-AU"/>
        </w:rPr>
        <w:t>)</w:t>
      </w:r>
      <w:r w:rsidR="00E06DDE">
        <w:rPr>
          <w:lang w:eastAsia="en-AU"/>
        </w:rPr>
        <w:t xml:space="preserve"> </w:t>
      </w:r>
      <w:r w:rsidR="00E06DDE" w:rsidRPr="00E06DDE">
        <w:rPr>
          <w:lang w:eastAsia="en-AU"/>
        </w:rPr>
        <w:t>to Part 2.6 of the Measurement Determination, which sets out rules for determining the amounts of each kind of fuel that is in a blended fuel.</w:t>
      </w:r>
      <w:r w:rsidR="00977794" w:rsidRPr="00977794">
        <w:t xml:space="preserve"> </w:t>
      </w:r>
      <w:r w:rsidR="00977794" w:rsidRPr="00977794">
        <w:rPr>
          <w:lang w:eastAsia="en-AU"/>
        </w:rPr>
        <w:t xml:space="preserve">This is the same point at which amendments were made in </w:t>
      </w:r>
      <w:r w:rsidR="00603F44">
        <w:rPr>
          <w:lang w:eastAsia="en-AU"/>
        </w:rPr>
        <w:t>2024</w:t>
      </w:r>
      <w:r w:rsidR="00977794" w:rsidRPr="00977794">
        <w:rPr>
          <w:lang w:eastAsia="en-AU"/>
        </w:rPr>
        <w:t xml:space="preserve"> to facilitate market-based reporting for renewable liquid fuels.</w:t>
      </w:r>
    </w:p>
    <w:p w14:paraId="11C0B468" w14:textId="0895F293" w:rsidR="005676F5" w:rsidRDefault="00E213A8" w:rsidP="000E5737">
      <w:pPr>
        <w:rPr>
          <w:lang w:eastAsia="en-AU"/>
        </w:rPr>
      </w:pPr>
      <w:r>
        <w:rPr>
          <w:lang w:eastAsia="en-AU"/>
        </w:rPr>
        <w:t>T</w:t>
      </w:r>
      <w:r w:rsidR="00553B77">
        <w:rPr>
          <w:lang w:eastAsia="en-AU"/>
        </w:rPr>
        <w:t>he proposed new section</w:t>
      </w:r>
      <w:r>
        <w:rPr>
          <w:lang w:eastAsia="en-AU"/>
        </w:rPr>
        <w:t xml:space="preserve"> relies on </w:t>
      </w:r>
      <w:r w:rsidR="00152A6E">
        <w:rPr>
          <w:lang w:eastAsia="en-AU"/>
        </w:rPr>
        <w:t xml:space="preserve">extending </w:t>
      </w:r>
      <w:r>
        <w:rPr>
          <w:lang w:eastAsia="en-AU"/>
        </w:rPr>
        <w:t xml:space="preserve">the </w:t>
      </w:r>
      <w:r w:rsidR="00AE3B1B">
        <w:rPr>
          <w:lang w:eastAsia="en-AU"/>
        </w:rPr>
        <w:t xml:space="preserve">application of Part 2.6 </w:t>
      </w:r>
      <w:r w:rsidR="00152A6E">
        <w:rPr>
          <w:lang w:eastAsia="en-AU"/>
        </w:rPr>
        <w:t>t</w:t>
      </w:r>
      <w:r w:rsidR="00AE3B1B">
        <w:rPr>
          <w:lang w:eastAsia="en-AU"/>
        </w:rPr>
        <w:t xml:space="preserve">o </w:t>
      </w:r>
      <w:r w:rsidR="00474F77">
        <w:rPr>
          <w:lang w:eastAsia="en-AU"/>
        </w:rPr>
        <w:t>cover</w:t>
      </w:r>
      <w:r w:rsidR="00A865BB">
        <w:rPr>
          <w:lang w:eastAsia="en-AU"/>
        </w:rPr>
        <w:t xml:space="preserve"> blend</w:t>
      </w:r>
      <w:r w:rsidR="005676F5">
        <w:rPr>
          <w:lang w:eastAsia="en-AU"/>
        </w:rPr>
        <w:t>ed gaseous fuels containing hydrogen</w:t>
      </w:r>
      <w:r w:rsidR="00474F77">
        <w:rPr>
          <w:lang w:eastAsia="en-AU"/>
        </w:rPr>
        <w:t xml:space="preserve">, which the </w:t>
      </w:r>
      <w:r w:rsidR="00EE693C">
        <w:t>department</w:t>
      </w:r>
      <w:r w:rsidR="00EE693C" w:rsidDel="00EE693C">
        <w:rPr>
          <w:lang w:eastAsia="en-AU"/>
        </w:rPr>
        <w:t xml:space="preserve"> </w:t>
      </w:r>
      <w:r w:rsidR="00474F77">
        <w:rPr>
          <w:lang w:eastAsia="en-AU"/>
        </w:rPr>
        <w:t>proposes to achieve by amending the definition of</w:t>
      </w:r>
      <w:r w:rsidR="0015710C">
        <w:rPr>
          <w:lang w:eastAsia="en-AU"/>
        </w:rPr>
        <w:t xml:space="preserve"> a</w:t>
      </w:r>
      <w:r w:rsidR="00474F77">
        <w:rPr>
          <w:lang w:eastAsia="en-AU"/>
        </w:rPr>
        <w:t xml:space="preserve"> </w:t>
      </w:r>
      <w:r w:rsidR="00474F77" w:rsidRPr="005E6999">
        <w:rPr>
          <w:i/>
          <w:iCs/>
          <w:lang w:eastAsia="en-AU"/>
        </w:rPr>
        <w:t>blended fuel</w:t>
      </w:r>
      <w:r w:rsidR="0015710C">
        <w:rPr>
          <w:i/>
          <w:iCs/>
          <w:lang w:eastAsia="en-AU"/>
        </w:rPr>
        <w:t xml:space="preserve"> </w:t>
      </w:r>
      <w:r w:rsidR="0015710C">
        <w:rPr>
          <w:lang w:eastAsia="en-AU"/>
        </w:rPr>
        <w:t xml:space="preserve">(see Schedule 1, Item </w:t>
      </w:r>
      <w:r w:rsidR="00704A78">
        <w:rPr>
          <w:lang w:eastAsia="en-AU"/>
        </w:rPr>
        <w:t>1</w:t>
      </w:r>
      <w:r w:rsidR="0015710C">
        <w:rPr>
          <w:lang w:eastAsia="en-AU"/>
        </w:rPr>
        <w:t>)</w:t>
      </w:r>
      <w:r w:rsidR="005676F5">
        <w:rPr>
          <w:lang w:eastAsia="en-AU"/>
        </w:rPr>
        <w:t xml:space="preserve">. </w:t>
      </w:r>
    </w:p>
    <w:p w14:paraId="5A4E7EBC" w14:textId="4C6BA327" w:rsidR="00EC267E" w:rsidRPr="007111EA" w:rsidRDefault="007E2A67" w:rsidP="000E5737">
      <w:pPr>
        <w:rPr>
          <w:u w:val="single"/>
          <w:lang w:eastAsia="en-AU"/>
        </w:rPr>
      </w:pPr>
      <w:r w:rsidRPr="007111EA">
        <w:rPr>
          <w:u w:val="single"/>
          <w:lang w:eastAsia="en-AU"/>
        </w:rPr>
        <w:t>Mandatory, certificate-backed approach</w:t>
      </w:r>
    </w:p>
    <w:p w14:paraId="46275E1D" w14:textId="1CA252A4" w:rsidR="00300717" w:rsidRDefault="00300717" w:rsidP="00300717">
      <w:pPr>
        <w:rPr>
          <w:rStyle w:val="Emphasis"/>
          <w:i w:val="0"/>
          <w:iCs w:val="0"/>
        </w:rPr>
      </w:pPr>
      <w:r>
        <w:t xml:space="preserve">The </w:t>
      </w:r>
      <w:r w:rsidR="00EC267E">
        <w:t xml:space="preserve">proposed </w:t>
      </w:r>
      <w:r>
        <w:t xml:space="preserve">new section </w:t>
      </w:r>
      <w:r w:rsidR="00856ED0">
        <w:rPr>
          <w:lang w:eastAsia="en-AU"/>
        </w:rPr>
        <w:t xml:space="preserve">(see Schedule 1, Item </w:t>
      </w:r>
      <w:r w:rsidR="004375D5">
        <w:rPr>
          <w:lang w:eastAsia="en-AU"/>
        </w:rPr>
        <w:t>5</w:t>
      </w:r>
      <w:r w:rsidR="00856ED0">
        <w:rPr>
          <w:lang w:eastAsia="en-AU"/>
        </w:rPr>
        <w:t xml:space="preserve">) </w:t>
      </w:r>
      <w:r>
        <w:t>would a</w:t>
      </w:r>
      <w:r w:rsidRPr="00C57E59">
        <w:rPr>
          <w:rStyle w:val="Emphasis"/>
          <w:i w:val="0"/>
          <w:iCs w:val="0"/>
        </w:rPr>
        <w:t xml:space="preserve"> provide a market-based approach for determining the amount of </w:t>
      </w:r>
      <w:r w:rsidR="00EC267E">
        <w:rPr>
          <w:rStyle w:val="Emphasis"/>
          <w:i w:val="0"/>
          <w:iCs w:val="0"/>
        </w:rPr>
        <w:t xml:space="preserve">a </w:t>
      </w:r>
      <w:r w:rsidRPr="00C57E59">
        <w:rPr>
          <w:rStyle w:val="Emphasis"/>
          <w:i w:val="0"/>
          <w:iCs w:val="0"/>
        </w:rPr>
        <w:t xml:space="preserve">renewable gas in a blended </w:t>
      </w:r>
      <w:r>
        <w:rPr>
          <w:rStyle w:val="Emphasis"/>
          <w:i w:val="0"/>
          <w:iCs w:val="0"/>
        </w:rPr>
        <w:t xml:space="preserve">gaseous </w:t>
      </w:r>
      <w:r w:rsidRPr="00C57E59">
        <w:rPr>
          <w:rStyle w:val="Emphasis"/>
          <w:i w:val="0"/>
          <w:iCs w:val="0"/>
        </w:rPr>
        <w:t xml:space="preserve">fuel received from a natural gas </w:t>
      </w:r>
      <w:r>
        <w:rPr>
          <w:rStyle w:val="Emphasis"/>
          <w:i w:val="0"/>
          <w:iCs w:val="0"/>
        </w:rPr>
        <w:t xml:space="preserve">network. </w:t>
      </w:r>
    </w:p>
    <w:p w14:paraId="6F526050" w14:textId="64F70815" w:rsidR="00300717" w:rsidRDefault="00300717" w:rsidP="00300717">
      <w:pPr>
        <w:rPr>
          <w:rStyle w:val="Emphasis"/>
          <w:i w:val="0"/>
          <w:iCs w:val="0"/>
        </w:rPr>
      </w:pPr>
      <w:r>
        <w:rPr>
          <w:rStyle w:val="Emphasis"/>
          <w:i w:val="0"/>
          <w:iCs w:val="0"/>
        </w:rPr>
        <w:t xml:space="preserve">This market-based approach will replace the existing sampling-based approach in section 2.67A for the purposes of determining the amount of renewable gas in a </w:t>
      </w:r>
      <w:r w:rsidRPr="00C57E59">
        <w:rPr>
          <w:rStyle w:val="Emphasis"/>
          <w:i w:val="0"/>
          <w:iCs w:val="0"/>
        </w:rPr>
        <w:t xml:space="preserve">blended fuel received from a natural gas </w:t>
      </w:r>
      <w:r>
        <w:rPr>
          <w:rStyle w:val="Emphasis"/>
          <w:i w:val="0"/>
          <w:iCs w:val="0"/>
        </w:rPr>
        <w:t xml:space="preserve">network. </w:t>
      </w:r>
      <w:r w:rsidR="005E4918">
        <w:rPr>
          <w:rStyle w:val="Emphasis"/>
          <w:i w:val="0"/>
          <w:iCs w:val="0"/>
        </w:rPr>
        <w:t xml:space="preserve">Reporters </w:t>
      </w:r>
      <w:r>
        <w:rPr>
          <w:rStyle w:val="Emphasis"/>
          <w:i w:val="0"/>
          <w:iCs w:val="0"/>
        </w:rPr>
        <w:t>will continue to use the rules in section 2.67A to determine the composition of a</w:t>
      </w:r>
      <w:r w:rsidR="00CB6805">
        <w:rPr>
          <w:rStyle w:val="Emphasis"/>
          <w:i w:val="0"/>
          <w:iCs w:val="0"/>
        </w:rPr>
        <w:t>ny</w:t>
      </w:r>
      <w:r>
        <w:rPr>
          <w:rStyle w:val="Emphasis"/>
          <w:i w:val="0"/>
          <w:iCs w:val="0"/>
        </w:rPr>
        <w:t xml:space="preserve"> blended gaseous fuel that is not received from a natural gas network. </w:t>
      </w:r>
    </w:p>
    <w:p w14:paraId="470715B7" w14:textId="7B62B67A" w:rsidR="00384232" w:rsidRDefault="00384232" w:rsidP="00384232">
      <w:r>
        <w:rPr>
          <w:rStyle w:val="Emphasis"/>
          <w:i w:val="0"/>
          <w:iCs w:val="0"/>
        </w:rPr>
        <w:t xml:space="preserve">The </w:t>
      </w:r>
      <w:r w:rsidR="00764263">
        <w:t>department</w:t>
      </w:r>
      <w:r w:rsidR="00764263" w:rsidDel="00764263">
        <w:rPr>
          <w:rStyle w:val="Emphasis"/>
          <w:i w:val="0"/>
          <w:iCs w:val="0"/>
        </w:rPr>
        <w:t xml:space="preserve"> </w:t>
      </w:r>
      <w:r>
        <w:rPr>
          <w:rStyle w:val="Emphasis"/>
          <w:i w:val="0"/>
          <w:iCs w:val="0"/>
        </w:rPr>
        <w:t xml:space="preserve">proposes to implement </w:t>
      </w:r>
      <w:r w:rsidR="003376E4">
        <w:rPr>
          <w:rStyle w:val="Emphasis"/>
          <w:i w:val="0"/>
          <w:iCs w:val="0"/>
        </w:rPr>
        <w:t xml:space="preserve">renewable gas market-based reporting </w:t>
      </w:r>
      <w:r>
        <w:rPr>
          <w:rStyle w:val="Emphasis"/>
          <w:i w:val="0"/>
          <w:iCs w:val="0"/>
        </w:rPr>
        <w:t xml:space="preserve">using a certificate-backed approach. </w:t>
      </w:r>
      <w:r w:rsidRPr="00394853">
        <w:t xml:space="preserve">The essential feature of this model would be that the completion or retirement of an eligible renewable gas </w:t>
      </w:r>
      <w:r w:rsidR="00477FC8">
        <w:t xml:space="preserve">certificate </w:t>
      </w:r>
      <w:r w:rsidR="00660597">
        <w:t>by an NGER scheme reporter, or on their behalf, enables them to fully</w:t>
      </w:r>
      <w:r w:rsidRPr="00394853">
        <w:t xml:space="preserve"> and exclusiv</w:t>
      </w:r>
      <w:r w:rsidR="00660597">
        <w:t xml:space="preserve">ely </w:t>
      </w:r>
      <w:r w:rsidRPr="00394853">
        <w:t xml:space="preserve">reflect the scope 1 emissions attributes of the </w:t>
      </w:r>
      <w:r>
        <w:t>renewable</w:t>
      </w:r>
      <w:r w:rsidRPr="00394853">
        <w:t xml:space="preserve"> </w:t>
      </w:r>
      <w:r>
        <w:t xml:space="preserve">gas </w:t>
      </w:r>
      <w:r w:rsidRPr="00394853">
        <w:t>represented by the certificate in their scope 1 emissions reporting. This would be the case even if the facility does not physically consume all th</w:t>
      </w:r>
      <w:r w:rsidR="00052927">
        <w:t>e</w:t>
      </w:r>
      <w:r w:rsidRPr="00394853">
        <w:t xml:space="preserve"> </w:t>
      </w:r>
      <w:r>
        <w:t>gas</w:t>
      </w:r>
      <w:r w:rsidR="00052927">
        <w:t xml:space="preserve"> represented by the certificate</w:t>
      </w:r>
      <w:r w:rsidRPr="00394853">
        <w:t xml:space="preserve">, because of it having been blended and distributed with natural gas in the broader pipeline gas network. Any gas sourced from </w:t>
      </w:r>
      <w:r w:rsidR="002D700F">
        <w:t>the natural</w:t>
      </w:r>
      <w:r w:rsidRPr="00394853">
        <w:t xml:space="preserve"> gas network that is not supported by the retirement </w:t>
      </w:r>
      <w:r w:rsidR="002D700F">
        <w:t xml:space="preserve">or completion </w:t>
      </w:r>
      <w:r w:rsidRPr="00394853">
        <w:t xml:space="preserve">of an eligible renewable gas certificate must be reported as fossil natural gas. </w:t>
      </w:r>
      <w:r w:rsidR="009F11CD">
        <w:t xml:space="preserve">Once a certificate is </w:t>
      </w:r>
      <w:r w:rsidR="009F11CD" w:rsidRPr="00A611D4">
        <w:t>retired</w:t>
      </w:r>
      <w:r w:rsidR="009F11CD">
        <w:t xml:space="preserve"> or completed</w:t>
      </w:r>
      <w:r w:rsidR="009F11CD" w:rsidRPr="00A611D4">
        <w:t>, it is withdrawn from circulation and is unable to be used again</w:t>
      </w:r>
      <w:r w:rsidR="009F11CD">
        <w:t xml:space="preserve">, ensuring the attributes of a single unit of renewable gas cannot be reported more than once. </w:t>
      </w:r>
      <w:r w:rsidRPr="00394853">
        <w:t xml:space="preserve">   </w:t>
      </w:r>
    </w:p>
    <w:p w14:paraId="01BE164D" w14:textId="20CA5696" w:rsidR="00162C0F" w:rsidRDefault="00162C0F" w:rsidP="00162C0F">
      <w:pPr>
        <w:rPr>
          <w:lang w:val="en-GB"/>
        </w:rPr>
      </w:pPr>
      <w:r w:rsidRPr="7628ACF6">
        <w:rPr>
          <w:lang w:val="en-GB"/>
        </w:rPr>
        <w:t xml:space="preserve">Linking renewable gas certificates into the NGER scheme </w:t>
      </w:r>
      <w:r>
        <w:rPr>
          <w:lang w:val="en-GB"/>
        </w:rPr>
        <w:t>p</w:t>
      </w:r>
      <w:r w:rsidRPr="7628ACF6">
        <w:rPr>
          <w:lang w:val="en-GB"/>
        </w:rPr>
        <w:t>rovide</w:t>
      </w:r>
      <w:r>
        <w:rPr>
          <w:lang w:val="en-GB"/>
        </w:rPr>
        <w:t>s</w:t>
      </w:r>
      <w:r w:rsidRPr="7628ACF6">
        <w:rPr>
          <w:lang w:val="en-GB"/>
        </w:rPr>
        <w:t xml:space="preserve"> a streamlined way of transferring claims to the scope 1 emissions attributes of </w:t>
      </w:r>
      <w:r>
        <w:rPr>
          <w:lang w:val="en-GB"/>
        </w:rPr>
        <w:t>renewable gas</w:t>
      </w:r>
      <w:r w:rsidRPr="7628ACF6">
        <w:rPr>
          <w:lang w:val="en-GB"/>
        </w:rPr>
        <w:t xml:space="preserve"> within shared networks. It also provide</w:t>
      </w:r>
      <w:r w:rsidR="00E45823">
        <w:rPr>
          <w:lang w:val="en-GB"/>
        </w:rPr>
        <w:t>s</w:t>
      </w:r>
      <w:r w:rsidRPr="7628ACF6">
        <w:rPr>
          <w:lang w:val="en-GB"/>
        </w:rPr>
        <w:t xml:space="preserve"> assurance to </w:t>
      </w:r>
      <w:r w:rsidR="00115C69">
        <w:rPr>
          <w:lang w:val="en-GB"/>
        </w:rPr>
        <w:t>g</w:t>
      </w:r>
      <w:r w:rsidR="00115C69" w:rsidRPr="7628ACF6">
        <w:rPr>
          <w:lang w:val="en-GB"/>
        </w:rPr>
        <w:t>overnment</w:t>
      </w:r>
      <w:r w:rsidRPr="7628ACF6">
        <w:rPr>
          <w:lang w:val="en-GB"/>
        </w:rPr>
        <w:t xml:space="preserve">, the public and NGER scheme reporters, that the fuel whose attributes are being reported is indeed </w:t>
      </w:r>
      <w:r w:rsidRPr="007B6B3B">
        <w:rPr>
          <w:lang w:val="en-GB"/>
        </w:rPr>
        <w:t>renewable gas</w:t>
      </w:r>
      <w:r w:rsidRPr="7628ACF6">
        <w:rPr>
          <w:lang w:val="en-GB"/>
        </w:rPr>
        <w:t xml:space="preserve"> and improve</w:t>
      </w:r>
      <w:r w:rsidR="00E45823">
        <w:rPr>
          <w:lang w:val="en-GB"/>
        </w:rPr>
        <w:t>s</w:t>
      </w:r>
      <w:r w:rsidRPr="7628ACF6">
        <w:rPr>
          <w:lang w:val="en-GB"/>
        </w:rPr>
        <w:t xml:space="preserve"> the integrity and transparency of low emissions claims. </w:t>
      </w:r>
      <w:r w:rsidR="003A0209">
        <w:rPr>
          <w:lang w:val="en-GB"/>
        </w:rPr>
        <w:t xml:space="preserve">It </w:t>
      </w:r>
      <w:r w:rsidR="003A0209" w:rsidRPr="00813D84">
        <w:rPr>
          <w:rStyle w:val="Emphasis"/>
          <w:i w:val="0"/>
          <w:iCs w:val="0"/>
        </w:rPr>
        <w:t xml:space="preserve">does not mean the scheme would take a lifecycle or full supply chain accounting approach for reporting emissions from renewable gas. The NGER scheme is not a lifecycle emissions reporting scheme. While many low emissions or renewable certifications take a product-based emissions accounting framework that measures and tracks emissions and associated information across the value chain, all this information is </w:t>
      </w:r>
      <w:r w:rsidR="00747C86">
        <w:rPr>
          <w:rStyle w:val="Emphasis"/>
          <w:i w:val="0"/>
          <w:iCs w:val="0"/>
        </w:rPr>
        <w:t xml:space="preserve">not </w:t>
      </w:r>
      <w:r w:rsidR="003A0209" w:rsidRPr="00813D84">
        <w:rPr>
          <w:rStyle w:val="Emphasis"/>
          <w:i w:val="0"/>
          <w:iCs w:val="0"/>
        </w:rPr>
        <w:t>direct</w:t>
      </w:r>
      <w:r w:rsidR="0000725C">
        <w:rPr>
          <w:rStyle w:val="Emphasis"/>
          <w:i w:val="0"/>
          <w:iCs w:val="0"/>
        </w:rPr>
        <w:t>ly</w:t>
      </w:r>
      <w:r w:rsidR="003A0209" w:rsidRPr="00813D84">
        <w:rPr>
          <w:rStyle w:val="Emphasis"/>
          <w:i w:val="0"/>
          <w:iCs w:val="0"/>
        </w:rPr>
        <w:t xml:space="preserve"> relevan</w:t>
      </w:r>
      <w:r w:rsidR="0000725C">
        <w:rPr>
          <w:rStyle w:val="Emphasis"/>
          <w:i w:val="0"/>
          <w:iCs w:val="0"/>
        </w:rPr>
        <w:t>t</w:t>
      </w:r>
      <w:r w:rsidR="003A0209" w:rsidRPr="00813D84">
        <w:rPr>
          <w:rStyle w:val="Emphasis"/>
          <w:i w:val="0"/>
          <w:iCs w:val="0"/>
        </w:rPr>
        <w:t xml:space="preserve"> to the NGER scheme emissions reporting framework.</w:t>
      </w:r>
    </w:p>
    <w:p w14:paraId="74BFEDF5" w14:textId="7CC7A251" w:rsidR="00601740" w:rsidRDefault="00267E31" w:rsidP="00162C0F">
      <w:pPr>
        <w:rPr>
          <w:lang w:val="en-GB"/>
        </w:rPr>
      </w:pPr>
      <w:r>
        <w:rPr>
          <w:lang w:val="en-GB"/>
        </w:rPr>
        <w:t xml:space="preserve">The </w:t>
      </w:r>
      <w:r w:rsidR="00115C69">
        <w:t>department</w:t>
      </w:r>
      <w:r w:rsidR="00115C69" w:rsidDel="00115C69">
        <w:rPr>
          <w:lang w:val="en-GB"/>
        </w:rPr>
        <w:t xml:space="preserve"> </w:t>
      </w:r>
      <w:r>
        <w:rPr>
          <w:lang w:val="en-GB"/>
        </w:rPr>
        <w:t xml:space="preserve">proposes to recognise two </w:t>
      </w:r>
      <w:r w:rsidR="00F22FC4">
        <w:rPr>
          <w:lang w:val="en-GB"/>
        </w:rPr>
        <w:t xml:space="preserve">types of certificates under the market-based approach: </w:t>
      </w:r>
    </w:p>
    <w:p w14:paraId="130EC27A" w14:textId="599E462E" w:rsidR="00FC4C1A" w:rsidRPr="00754406" w:rsidRDefault="00FC4C1A" w:rsidP="00FC4C1A">
      <w:pPr>
        <w:pStyle w:val="ListBullet"/>
      </w:pPr>
      <w:r w:rsidRPr="00754406">
        <w:rPr>
          <w:b/>
          <w:bCs/>
        </w:rPr>
        <w:t>Product Guarantee of Origin</w:t>
      </w:r>
      <w:r w:rsidRPr="00754406">
        <w:t xml:space="preserve"> (PGO) certificates, </w:t>
      </w:r>
      <w:r w:rsidR="009916BC">
        <w:t>registered</w:t>
      </w:r>
      <w:r w:rsidRPr="00754406">
        <w:t xml:space="preserve"> under the </w:t>
      </w:r>
      <w:hyperlink r:id="rId20" w:history="1">
        <w:r w:rsidRPr="00754406">
          <w:rPr>
            <w:rStyle w:val="Hyperlink"/>
          </w:rPr>
          <w:t>Guarantee of Origin</w:t>
        </w:r>
      </w:hyperlink>
      <w:r w:rsidRPr="00754406">
        <w:t xml:space="preserve"> (GO) scheme.</w:t>
      </w:r>
    </w:p>
    <w:p w14:paraId="1523263F" w14:textId="77777777" w:rsidR="00754406" w:rsidRPr="00754406" w:rsidRDefault="00754406" w:rsidP="00754406">
      <w:pPr>
        <w:pStyle w:val="ListBullet"/>
      </w:pPr>
      <w:r w:rsidRPr="00754406">
        <w:rPr>
          <w:b/>
          <w:bCs/>
        </w:rPr>
        <w:t>Renewable Gas Guarantee of Origin</w:t>
      </w:r>
      <w:r w:rsidRPr="00754406">
        <w:t xml:space="preserve"> (RGGO)</w:t>
      </w:r>
      <w:r w:rsidRPr="00754406">
        <w:rPr>
          <w:b/>
          <w:bCs/>
        </w:rPr>
        <w:t xml:space="preserve"> </w:t>
      </w:r>
      <w:r w:rsidRPr="00754406">
        <w:t xml:space="preserve">certificates, issued under the </w:t>
      </w:r>
      <w:hyperlink r:id="rId21" w:history="1">
        <w:r w:rsidRPr="00754406">
          <w:rPr>
            <w:rStyle w:val="Hyperlink"/>
          </w:rPr>
          <w:t>GreenPower Renewable Gas Certification</w:t>
        </w:r>
      </w:hyperlink>
      <w:r w:rsidRPr="00754406">
        <w:t xml:space="preserve"> (RGC).</w:t>
      </w:r>
    </w:p>
    <w:p w14:paraId="37B12472" w14:textId="458E5251" w:rsidR="00F22FC4" w:rsidRDefault="10520504" w:rsidP="00400A16">
      <w:pPr>
        <w:rPr>
          <w:lang w:val="en-GB"/>
        </w:rPr>
      </w:pPr>
      <w:r w:rsidRPr="00400A16">
        <w:rPr>
          <w:lang w:val="en-GB"/>
        </w:rPr>
        <w:t>Both certificate types could be used to underpin NGER scheme market-based reporting for both biomethane and hydrogen, to the extent that the respective schemes currently cover those products</w:t>
      </w:r>
      <w:r w:rsidR="009E3422">
        <w:rPr>
          <w:rStyle w:val="FootnoteReference"/>
          <w:lang w:val="en-GB"/>
        </w:rPr>
        <w:footnoteReference w:id="6"/>
      </w:r>
      <w:r w:rsidRPr="00400A16">
        <w:rPr>
          <w:lang w:val="en-GB"/>
        </w:rPr>
        <w:t xml:space="preserve">.  </w:t>
      </w:r>
      <w:r w:rsidR="00325199">
        <w:rPr>
          <w:lang w:val="en-GB"/>
        </w:rPr>
        <w:t>Each</w:t>
      </w:r>
      <w:r w:rsidR="5D8E40AC" w:rsidRPr="00E21619">
        <w:rPr>
          <w:lang w:val="en-GB"/>
        </w:rPr>
        <w:t xml:space="preserve"> certification scheme </w:t>
      </w:r>
      <w:r w:rsidR="00325199" w:rsidRPr="5E126F7D">
        <w:rPr>
          <w:lang w:val="en-GB"/>
        </w:rPr>
        <w:t>has</w:t>
      </w:r>
      <w:r w:rsidR="5D8E40AC" w:rsidRPr="00E21619" w:rsidDel="00984C2D">
        <w:rPr>
          <w:lang w:val="en-GB"/>
        </w:rPr>
        <w:t xml:space="preserve"> </w:t>
      </w:r>
      <w:r w:rsidR="00984C2D">
        <w:rPr>
          <w:lang w:val="en-GB"/>
        </w:rPr>
        <w:t>its</w:t>
      </w:r>
      <w:r w:rsidR="5D8E40AC" w:rsidRPr="00E21619">
        <w:rPr>
          <w:lang w:val="en-GB"/>
        </w:rPr>
        <w:t xml:space="preserve"> own eligibility requirements that will remain outside of scope of the NGER scheme arrangements. The NGER scheme market-based arrangements will specify additional requirements that must be met for certificates issued under these schemes to be eligible for use in NGER scheme scope 1 emissions reporting (</w:t>
      </w:r>
      <w:r w:rsidR="1EBAD08E">
        <w:rPr>
          <w:lang w:val="en-GB"/>
        </w:rPr>
        <w:t xml:space="preserve">see Schedule 1, Item </w:t>
      </w:r>
      <w:r w:rsidR="004375D5">
        <w:rPr>
          <w:lang w:val="en-GB"/>
        </w:rPr>
        <w:t>5</w:t>
      </w:r>
      <w:r w:rsidR="1EBAD08E">
        <w:rPr>
          <w:lang w:val="en-GB"/>
        </w:rPr>
        <w:t xml:space="preserve">, and </w:t>
      </w:r>
      <w:r w:rsidR="5D8E40AC">
        <w:rPr>
          <w:lang w:val="en-GB"/>
        </w:rPr>
        <w:t>elaborated</w:t>
      </w:r>
      <w:r w:rsidR="5D8E40AC" w:rsidRPr="00E21619">
        <w:rPr>
          <w:lang w:val="en-GB"/>
        </w:rPr>
        <w:t xml:space="preserve"> below).</w:t>
      </w:r>
    </w:p>
    <w:p w14:paraId="0B111A10" w14:textId="38199201" w:rsidR="000A77E7" w:rsidRDefault="00C5215B" w:rsidP="000A77E7">
      <w:pPr>
        <w:rPr>
          <w:u w:val="single"/>
          <w:lang w:eastAsia="en-AU"/>
        </w:rPr>
      </w:pPr>
      <w:r>
        <w:rPr>
          <w:u w:val="single"/>
          <w:lang w:eastAsia="en-AU"/>
        </w:rPr>
        <w:t>Temporal link requirement</w:t>
      </w:r>
    </w:p>
    <w:p w14:paraId="4735EB90" w14:textId="4BFFCC17" w:rsidR="00B30374" w:rsidRPr="00DF0FEE" w:rsidRDefault="00D84F7C" w:rsidP="00B30374">
      <w:r>
        <w:rPr>
          <w:lang w:eastAsia="en-AU"/>
        </w:rPr>
        <w:t xml:space="preserve">The </w:t>
      </w:r>
      <w:r w:rsidR="00115C69">
        <w:t>department</w:t>
      </w:r>
      <w:r w:rsidR="00115C69" w:rsidDel="00115C69">
        <w:rPr>
          <w:lang w:eastAsia="en-AU"/>
        </w:rPr>
        <w:t xml:space="preserve"> </w:t>
      </w:r>
      <w:r>
        <w:rPr>
          <w:lang w:eastAsia="en-AU"/>
        </w:rPr>
        <w:t xml:space="preserve">proposes that </w:t>
      </w:r>
      <w:r w:rsidR="00545E38">
        <w:rPr>
          <w:lang w:eastAsia="en-AU"/>
        </w:rPr>
        <w:t xml:space="preserve">eligible renewable gas certificates used for market-based reporting must represent </w:t>
      </w:r>
      <w:r w:rsidR="00545E38" w:rsidRPr="00C5571E">
        <w:rPr>
          <w:lang w:eastAsia="en-AU"/>
        </w:rPr>
        <w:t>renewable gas that</w:t>
      </w:r>
      <w:r w:rsidR="00B30374" w:rsidRPr="00B30374">
        <w:t xml:space="preserve"> </w:t>
      </w:r>
      <w:r w:rsidR="00B30374" w:rsidRPr="00DF0FEE">
        <w:t xml:space="preserve">was injected into the natural gas network </w:t>
      </w:r>
      <w:r w:rsidR="0032673D">
        <w:t>during</w:t>
      </w:r>
      <w:r w:rsidR="00B30374" w:rsidRPr="00DF0FEE">
        <w:t xml:space="preserve"> the reporting year</w:t>
      </w:r>
      <w:r w:rsidR="00B30374">
        <w:t xml:space="preserve"> in which</w:t>
      </w:r>
      <w:r w:rsidR="0032673D">
        <w:t xml:space="preserve"> its attributes are being reported</w:t>
      </w:r>
      <w:r w:rsidR="008B6F05">
        <w:t xml:space="preserve"> (see Schedule 1, Item </w:t>
      </w:r>
      <w:r w:rsidR="004375D5">
        <w:t>5</w:t>
      </w:r>
      <w:r w:rsidR="008B6F05">
        <w:t>,</w:t>
      </w:r>
      <w:r w:rsidR="00BD6FDF">
        <w:t xml:space="preserve"> </w:t>
      </w:r>
      <w:r w:rsidR="00E615AF">
        <w:t>P</w:t>
      </w:r>
      <w:r w:rsidR="00BD6FDF">
        <w:t xml:space="preserve">aragraph </w:t>
      </w:r>
      <w:r w:rsidR="00E615AF">
        <w:t>2.67C(5)(a))</w:t>
      </w:r>
      <w:r w:rsidR="0032673D">
        <w:t xml:space="preserve">. </w:t>
      </w:r>
    </w:p>
    <w:p w14:paraId="5B2E2C87" w14:textId="77777777" w:rsidR="00525051" w:rsidRPr="00783873" w:rsidRDefault="00525051" w:rsidP="00525051">
      <w:r>
        <w:t xml:space="preserve">This is intended to ensure a close temporal link between when gas is injected, and when its attributes are reported – helping to maximise the accuracy and comparability of NGER scheme data by ensuring scope 1 emissions reported by a facility for a reporting year represent emissions that the occurred </w:t>
      </w:r>
      <w:r w:rsidRPr="14EBA632">
        <w:rPr>
          <w:b/>
          <w:bCs/>
        </w:rPr>
        <w:t>in that year</w:t>
      </w:r>
      <w:r>
        <w:t>, not in an earlier or later period. This is important for maintaining the utility of NGER scheme data in supporting annual products such as the Australian Energy Statistics and National Inventory Report, and for how facilities meet obligations under the Safeguard Mechanism.</w:t>
      </w:r>
    </w:p>
    <w:p w14:paraId="156F22B8" w14:textId="170ADA98" w:rsidR="00525051" w:rsidRDefault="00525051" w:rsidP="00525051">
      <w:r>
        <w:t>While the renewable gas represented by the certificate would need to have been injected into the network within the reporting year, the certificate itself would only need to be retired</w:t>
      </w:r>
      <w:r w:rsidRPr="007509C8">
        <w:t xml:space="preserve"> or complete</w:t>
      </w:r>
      <w:r>
        <w:t>d</w:t>
      </w:r>
      <w:r w:rsidRPr="007509C8">
        <w:t xml:space="preserve"> </w:t>
      </w:r>
      <w:r w:rsidR="00901C35">
        <w:t>prior to</w:t>
      </w:r>
      <w:r w:rsidRPr="007509C8">
        <w:t xml:space="preserve"> the </w:t>
      </w:r>
      <w:r w:rsidR="008C4DAB">
        <w:t>submission of t</w:t>
      </w:r>
      <w:r w:rsidR="00292954">
        <w:t xml:space="preserve">he report for the facility for the reporting </w:t>
      </w:r>
      <w:r w:rsidRPr="007509C8">
        <w:t>year (</w:t>
      </w:r>
      <w:r w:rsidR="00292954">
        <w:t xml:space="preserve">the NGER reporting deadline is </w:t>
      </w:r>
      <w:r w:rsidRPr="007509C8">
        <w:t>31 Oct each year</w:t>
      </w:r>
      <w:r>
        <w:t>, four months after the end of the reporting year</w:t>
      </w:r>
      <w:r w:rsidR="0080685A">
        <w:t xml:space="preserve">; see Schedule 1, Item </w:t>
      </w:r>
      <w:r w:rsidR="004375D5">
        <w:t>5</w:t>
      </w:r>
      <w:r w:rsidR="0080685A">
        <w:t xml:space="preserve">, </w:t>
      </w:r>
      <w:r w:rsidR="00EE46DB">
        <w:t xml:space="preserve">Subsection 2.67C(2), definition of </w:t>
      </w:r>
      <w:r w:rsidR="00EE46DB">
        <w:rPr>
          <w:b/>
          <w:bCs/>
          <w:i/>
          <w:iCs/>
        </w:rPr>
        <w:t>RGC</w:t>
      </w:r>
      <w:r w:rsidR="00EE46DB">
        <w:rPr>
          <w:b/>
          <w:bCs/>
          <w:i/>
          <w:iCs/>
          <w:vertAlign w:val="subscript"/>
        </w:rPr>
        <w:t>RoC</w:t>
      </w:r>
      <w:r>
        <w:t xml:space="preserve">). </w:t>
      </w:r>
    </w:p>
    <w:p w14:paraId="7EA390E8" w14:textId="2AE9DB99" w:rsidR="00D55D70" w:rsidRDefault="00525051" w:rsidP="00525051">
      <w:r w:rsidRPr="00697BDF">
        <w:t xml:space="preserve">Practically, </w:t>
      </w:r>
      <w:r w:rsidR="009634F8">
        <w:t>if reports are submitted on the</w:t>
      </w:r>
      <w:r w:rsidRPr="00697BDF">
        <w:t xml:space="preserve"> </w:t>
      </w:r>
      <w:r w:rsidR="009128D2">
        <w:t>due date, r</w:t>
      </w:r>
      <w:r>
        <w:t>eporters</w:t>
      </w:r>
      <w:r w:rsidRPr="00697BDF">
        <w:t xml:space="preserve"> will have </w:t>
      </w:r>
      <w:r>
        <w:t xml:space="preserve">between 4 months (if renewable gas is injected on the last day of the reporting year) and 16 months (if renewable gas is injected on the first day of the reporting year) to acquire and retire or complete </w:t>
      </w:r>
      <w:r w:rsidRPr="00697BDF">
        <w:t xml:space="preserve">certificates </w:t>
      </w:r>
      <w:r>
        <w:t>by the NGER reporting due date</w:t>
      </w:r>
      <w:r w:rsidR="00D55D70">
        <w:t>, as shown in Figure 1</w:t>
      </w:r>
      <w:r>
        <w:t>.</w:t>
      </w:r>
    </w:p>
    <w:p w14:paraId="6393A0FE" w14:textId="08E647B8" w:rsidR="00525051" w:rsidRDefault="00C301B5" w:rsidP="00C5751C">
      <w:pPr>
        <w:pStyle w:val="Caption"/>
      </w:pPr>
      <w:r>
        <w:t xml:space="preserve">Figure </w:t>
      </w:r>
      <w:r>
        <w:fldChar w:fldCharType="begin"/>
      </w:r>
      <w:r>
        <w:instrText xml:space="preserve"> SEQ Figure \* ARABIC </w:instrText>
      </w:r>
      <w:r>
        <w:fldChar w:fldCharType="separate"/>
      </w:r>
      <w:r w:rsidR="007B60EE">
        <w:rPr>
          <w:noProof/>
        </w:rPr>
        <w:t>1</w:t>
      </w:r>
      <w:r>
        <w:rPr>
          <w:noProof/>
        </w:rPr>
        <w:fldChar w:fldCharType="end"/>
      </w:r>
      <w:r>
        <w:t xml:space="preserve"> Temporal link requirement timeline</w:t>
      </w:r>
      <w:r w:rsidR="00211D10" w:rsidRPr="00211D10">
        <w:rPr>
          <w:noProof/>
        </w:rPr>
        <w:drawing>
          <wp:inline distT="0" distB="0" distL="0" distR="0" wp14:anchorId="68C58F8C" wp14:editId="67569250">
            <wp:extent cx="5759450" cy="957580"/>
            <wp:effectExtent l="0" t="0" r="0" b="0"/>
            <wp:docPr id="2017463062" name="Picture 1" descr="Renewable gas certificate temporal link timeline - setting out the requirement for reporters to surrender or complete RGGO or PGOs by the NGER reporting deadline of October 31 following the end of the reporting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63062" name="Picture 1" descr="Renewable gas certificate temporal link timeline - setting out the requirement for reporters to surrender or complete RGGO or PGOs by the NGER reporting deadline of October 31 following the end of the reporting year"/>
                    <pic:cNvPicPr/>
                  </pic:nvPicPr>
                  <pic:blipFill>
                    <a:blip r:embed="rId22"/>
                    <a:stretch>
                      <a:fillRect/>
                    </a:stretch>
                  </pic:blipFill>
                  <pic:spPr>
                    <a:xfrm>
                      <a:off x="0" y="0"/>
                      <a:ext cx="5759450" cy="957580"/>
                    </a:xfrm>
                    <a:prstGeom prst="rect">
                      <a:avLst/>
                    </a:prstGeom>
                  </pic:spPr>
                </pic:pic>
              </a:graphicData>
            </a:graphic>
          </wp:inline>
        </w:drawing>
      </w:r>
      <w:r w:rsidR="00525051">
        <w:t xml:space="preserve"> </w:t>
      </w:r>
    </w:p>
    <w:p w14:paraId="0123F0F3" w14:textId="0EB8E71D" w:rsidR="00801F3D" w:rsidRDefault="00801F3D" w:rsidP="00801F3D">
      <w:r>
        <w:t xml:space="preserve">This requirement would only apply to certificates for the purpose of using them to underpin NGER scheme market-based reporting. It would not impact on the underlying certificate lifetime or expiry date, which would </w:t>
      </w:r>
      <w:r w:rsidR="00B5443B">
        <w:t xml:space="preserve">continue to </w:t>
      </w:r>
      <w:r>
        <w:t xml:space="preserve">be determined in accordance with the rules of the relevant certification scheme. </w:t>
      </w:r>
    </w:p>
    <w:p w14:paraId="5ADF59F7" w14:textId="70B711F9" w:rsidR="00801F3D" w:rsidRDefault="00C26587" w:rsidP="00801F3D">
      <w:r>
        <w:t>The</w:t>
      </w:r>
      <w:r w:rsidR="00801F3D">
        <w:t xml:space="preserve"> information required to demonstrate this requirement will be recorded on eligible renewable gas certificates. For example, the </w:t>
      </w:r>
      <w:r w:rsidR="00801F3D" w:rsidRPr="007475B1">
        <w:t>period during which renewable gas was injected into the network will be recorded on a RGGO Retirement Statement</w:t>
      </w:r>
      <w:r w:rsidR="00801F3D">
        <w:t xml:space="preserve">. The time and date the product reached the delivery gate will also be listed on PGO certificates. </w:t>
      </w:r>
    </w:p>
    <w:p w14:paraId="690056B0" w14:textId="24E250D2" w:rsidR="007976B7" w:rsidRDefault="00C5215B" w:rsidP="007976B7">
      <w:pPr>
        <w:rPr>
          <w:u w:val="single"/>
          <w:lang w:eastAsia="en-AU"/>
        </w:rPr>
      </w:pPr>
      <w:r>
        <w:rPr>
          <w:u w:val="single"/>
          <w:lang w:eastAsia="en-AU"/>
        </w:rPr>
        <w:t>Reasonable physical link requirement</w:t>
      </w:r>
    </w:p>
    <w:p w14:paraId="18352F7A" w14:textId="0A60617C" w:rsidR="00D27D87" w:rsidRPr="00D27D87" w:rsidRDefault="00D27D87" w:rsidP="00D27D87">
      <w:pPr>
        <w:rPr>
          <w:lang w:eastAsia="en-AU"/>
        </w:rPr>
      </w:pPr>
      <w:r w:rsidRPr="00D27D87">
        <w:rPr>
          <w:lang w:eastAsia="en-AU"/>
        </w:rPr>
        <w:t xml:space="preserve">The </w:t>
      </w:r>
      <w:r w:rsidR="00115C69">
        <w:t>department</w:t>
      </w:r>
      <w:r w:rsidR="00115C69" w:rsidDel="00115C69">
        <w:rPr>
          <w:lang w:eastAsia="en-AU"/>
        </w:rPr>
        <w:t xml:space="preserve"> </w:t>
      </w:r>
      <w:r>
        <w:rPr>
          <w:lang w:eastAsia="en-AU"/>
        </w:rPr>
        <w:t>proposes</w:t>
      </w:r>
      <w:r w:rsidRPr="00D27D87">
        <w:rPr>
          <w:lang w:eastAsia="en-AU"/>
        </w:rPr>
        <w:t xml:space="preserve"> </w:t>
      </w:r>
      <w:r w:rsidR="00C205BB">
        <w:rPr>
          <w:lang w:eastAsia="en-AU"/>
        </w:rPr>
        <w:t xml:space="preserve">that </w:t>
      </w:r>
      <w:r w:rsidR="00755ECA">
        <w:rPr>
          <w:lang w:eastAsia="en-AU"/>
        </w:rPr>
        <w:t xml:space="preserve">eligible </w:t>
      </w:r>
      <w:r w:rsidR="00C205BB">
        <w:rPr>
          <w:lang w:eastAsia="en-AU"/>
        </w:rPr>
        <w:t xml:space="preserve">renewable gas certificates used for market-based reporting </w:t>
      </w:r>
      <w:r w:rsidR="002134AF">
        <w:rPr>
          <w:lang w:eastAsia="en-AU"/>
        </w:rPr>
        <w:t xml:space="preserve">must </w:t>
      </w:r>
      <w:r w:rsidR="00C205BB">
        <w:rPr>
          <w:lang w:eastAsia="en-AU"/>
        </w:rPr>
        <w:t xml:space="preserve">represent </w:t>
      </w:r>
      <w:r w:rsidR="00C5571E" w:rsidRPr="00C5571E">
        <w:rPr>
          <w:lang w:eastAsia="en-AU"/>
        </w:rPr>
        <w:t xml:space="preserve">renewable gas that could reasonably pass from its injection point into the natural gas network to the </w:t>
      </w:r>
      <w:r w:rsidR="00C5571E">
        <w:rPr>
          <w:lang w:eastAsia="en-AU"/>
        </w:rPr>
        <w:t xml:space="preserve">NGER </w:t>
      </w:r>
      <w:r w:rsidR="00C5571E" w:rsidRPr="00C5571E">
        <w:rPr>
          <w:lang w:eastAsia="en-AU"/>
        </w:rPr>
        <w:t>facility</w:t>
      </w:r>
      <w:r w:rsidR="00C5571E">
        <w:rPr>
          <w:lang w:eastAsia="en-AU"/>
        </w:rPr>
        <w:t xml:space="preserve"> reporting its attributes</w:t>
      </w:r>
      <w:r w:rsidR="00EC753B">
        <w:rPr>
          <w:lang w:eastAsia="en-AU"/>
        </w:rPr>
        <w:t xml:space="preserve"> </w:t>
      </w:r>
      <w:r w:rsidR="00EC753B">
        <w:t xml:space="preserve">(see Schedule 1, Item </w:t>
      </w:r>
      <w:r w:rsidR="004375D5">
        <w:t>5</w:t>
      </w:r>
      <w:r w:rsidR="00EC753B">
        <w:t>, Paragraph 2.67C(5)(</w:t>
      </w:r>
      <w:r w:rsidR="00FA489B">
        <w:t>c</w:t>
      </w:r>
      <w:r w:rsidR="00EC753B">
        <w:t>))</w:t>
      </w:r>
      <w:r w:rsidR="00C5571E">
        <w:rPr>
          <w:lang w:eastAsia="en-AU"/>
        </w:rPr>
        <w:t xml:space="preserve">. </w:t>
      </w:r>
      <w:r w:rsidR="00E11F14">
        <w:rPr>
          <w:lang w:eastAsia="en-AU"/>
        </w:rPr>
        <w:t xml:space="preserve">The proposed amendments are </w:t>
      </w:r>
      <w:r w:rsidR="00E11F14" w:rsidRPr="00A267F5">
        <w:rPr>
          <w:b/>
          <w:bCs/>
          <w:lang w:eastAsia="en-AU"/>
        </w:rPr>
        <w:t>not</w:t>
      </w:r>
      <w:r w:rsidR="00E11F14">
        <w:rPr>
          <w:lang w:eastAsia="en-AU"/>
        </w:rPr>
        <w:t xml:space="preserve"> intended to facilitate book and claim style reporting of </w:t>
      </w:r>
      <w:r w:rsidR="00785D69">
        <w:rPr>
          <w:lang w:eastAsia="en-AU"/>
        </w:rPr>
        <w:t>the emi</w:t>
      </w:r>
      <w:r w:rsidR="00D87CE5">
        <w:rPr>
          <w:lang w:eastAsia="en-AU"/>
        </w:rPr>
        <w:t xml:space="preserve">ssions from consuming renewable gas. </w:t>
      </w:r>
    </w:p>
    <w:p w14:paraId="3FA5E946" w14:textId="2E366D88" w:rsidR="00691958" w:rsidRPr="00691958" w:rsidRDefault="00A31D41" w:rsidP="007976B7">
      <w:pPr>
        <w:rPr>
          <w:lang w:eastAsia="en-AU"/>
        </w:rPr>
      </w:pPr>
      <w:r>
        <w:rPr>
          <w:lang w:eastAsia="en-AU"/>
        </w:rPr>
        <w:t xml:space="preserve">The reasonable physical link requirement balances the need for </w:t>
      </w:r>
      <w:r w:rsidRPr="00940313">
        <w:rPr>
          <w:lang w:eastAsia="en-AU"/>
        </w:rPr>
        <w:t>high integrity</w:t>
      </w:r>
      <w:r>
        <w:rPr>
          <w:lang w:eastAsia="en-AU"/>
        </w:rPr>
        <w:t xml:space="preserve">, traceable claims to the scope 1 emissions attributes of individual renewable gas consignments, while </w:t>
      </w:r>
      <w:r w:rsidRPr="00940313">
        <w:rPr>
          <w:lang w:eastAsia="en-AU"/>
        </w:rPr>
        <w:t xml:space="preserve">still </w:t>
      </w:r>
      <w:r>
        <w:rPr>
          <w:lang w:eastAsia="en-AU"/>
        </w:rPr>
        <w:t xml:space="preserve">providing flexibility in the production, supply and consumption of renewable gas through Australia’s interconnected gas networks. It is </w:t>
      </w:r>
      <w:r w:rsidRPr="008F0FF1">
        <w:rPr>
          <w:lang w:eastAsia="en-AU"/>
        </w:rPr>
        <w:t>broadly</w:t>
      </w:r>
      <w:r>
        <w:rPr>
          <w:lang w:eastAsia="en-AU"/>
        </w:rPr>
        <w:t xml:space="preserve"> consistent with the approach taken by other international statutory schemes</w:t>
      </w:r>
      <w:r w:rsidR="007C714E">
        <w:rPr>
          <w:rStyle w:val="FootnoteReference"/>
          <w:lang w:eastAsia="en-AU"/>
        </w:rPr>
        <w:footnoteReference w:id="7"/>
      </w:r>
      <w:r>
        <w:rPr>
          <w:lang w:eastAsia="en-AU"/>
        </w:rPr>
        <w:t xml:space="preserve">, which the </w:t>
      </w:r>
      <w:r w:rsidR="00115C69">
        <w:t>department</w:t>
      </w:r>
      <w:r w:rsidR="00115C69" w:rsidDel="00115C69">
        <w:rPr>
          <w:lang w:eastAsia="en-AU"/>
        </w:rPr>
        <w:t xml:space="preserve"> </w:t>
      </w:r>
      <w:r>
        <w:rPr>
          <w:lang w:eastAsia="en-AU"/>
        </w:rPr>
        <w:t xml:space="preserve">believes will be important in helping to support the </w:t>
      </w:r>
      <w:r w:rsidRPr="00A57E48">
        <w:rPr>
          <w:lang w:eastAsia="en-AU"/>
        </w:rPr>
        <w:t>export competitiveness of Australian producers of low emission products</w:t>
      </w:r>
      <w:r>
        <w:rPr>
          <w:lang w:eastAsia="en-AU"/>
        </w:rPr>
        <w:t xml:space="preserve"> for which renewable gas is an input.</w:t>
      </w:r>
      <w:r w:rsidRPr="007358E3">
        <w:rPr>
          <w:rFonts w:ascii="Segoe UI" w:hAnsi="Segoe UI" w:cs="Segoe UI"/>
          <w:sz w:val="18"/>
          <w:szCs w:val="18"/>
        </w:rPr>
        <w:t xml:space="preserve"> </w:t>
      </w:r>
      <w:r>
        <w:rPr>
          <w:rFonts w:ascii="Segoe UI" w:hAnsi="Segoe UI" w:cs="Segoe UI"/>
          <w:sz w:val="18"/>
          <w:szCs w:val="18"/>
        </w:rPr>
        <w:t>P</w:t>
      </w:r>
      <w:r w:rsidRPr="007358E3">
        <w:rPr>
          <w:lang w:eastAsia="en-AU"/>
        </w:rPr>
        <w:t xml:space="preserve">roducers will increasingly operate in an international trade environment, in which the calculation of embedded emissions will attract substantial scrutiny. </w:t>
      </w:r>
      <w:r>
        <w:rPr>
          <w:lang w:eastAsia="en-AU"/>
        </w:rPr>
        <w:t>If</w:t>
      </w:r>
      <w:r w:rsidRPr="007358E3">
        <w:rPr>
          <w:lang w:eastAsia="en-AU"/>
        </w:rPr>
        <w:t xml:space="preserve"> </w:t>
      </w:r>
      <w:r>
        <w:rPr>
          <w:lang w:eastAsia="en-AU"/>
        </w:rPr>
        <w:t>the comparability of proposed NGER scheme arrangements and those in place overseas is not</w:t>
      </w:r>
      <w:r w:rsidRPr="007358E3">
        <w:rPr>
          <w:lang w:eastAsia="en-AU"/>
        </w:rPr>
        <w:t xml:space="preserve"> considered, it could lead to producers potentially failing to meet environmentally focused trade measures, which could hinder their ability to be competitive or enter external markets.</w:t>
      </w:r>
      <w:r>
        <w:rPr>
          <w:lang w:eastAsia="en-AU"/>
        </w:rPr>
        <w:t xml:space="preserve">  </w:t>
      </w:r>
    </w:p>
    <w:p w14:paraId="39B78BAB" w14:textId="7663DD64" w:rsidR="00465C37" w:rsidRDefault="00465C37" w:rsidP="00465C37">
      <w:pPr>
        <w:rPr>
          <w:lang w:eastAsia="en-AU"/>
        </w:rPr>
      </w:pPr>
      <w:r>
        <w:rPr>
          <w:lang w:eastAsia="en-AU"/>
        </w:rPr>
        <w:t>Australia’s gas grids largely consist of two segregated systems of interconnected pipeline infrastructure – the East coast gas market and Western Australia gas market. The East coast gas market comprises an</w:t>
      </w:r>
      <w:r w:rsidRPr="0010731F">
        <w:rPr>
          <w:lang w:eastAsia="en-AU"/>
        </w:rPr>
        <w:t xml:space="preserve"> interconnected gas grid</w:t>
      </w:r>
      <w:r>
        <w:rPr>
          <w:lang w:eastAsia="en-AU"/>
        </w:rPr>
        <w:t xml:space="preserve"> connecting</w:t>
      </w:r>
      <w:r w:rsidRPr="0010731F">
        <w:rPr>
          <w:lang w:eastAsia="en-AU"/>
        </w:rPr>
        <w:t xml:space="preserve"> Australia’s eastern, northern and southern states and territories. </w:t>
      </w:r>
      <w:r>
        <w:rPr>
          <w:lang w:eastAsia="en-AU"/>
        </w:rPr>
        <w:t xml:space="preserve">A similar system of interconnected pipelines operates in Western Australia. </w:t>
      </w:r>
      <w:r w:rsidR="006E7CA0">
        <w:rPr>
          <w:lang w:eastAsia="en-AU"/>
        </w:rPr>
        <w:t>E</w:t>
      </w:r>
      <w:r>
        <w:rPr>
          <w:lang w:eastAsia="en-AU"/>
        </w:rPr>
        <w:t xml:space="preserve">ach of these two segregated systems </w:t>
      </w:r>
      <w:r w:rsidR="006E7CA0">
        <w:rPr>
          <w:lang w:eastAsia="en-AU"/>
        </w:rPr>
        <w:t xml:space="preserve">can be </w:t>
      </w:r>
      <w:r w:rsidR="00B33A3D">
        <w:rPr>
          <w:lang w:eastAsia="en-AU"/>
        </w:rPr>
        <w:t>treated as being</w:t>
      </w:r>
      <w:r w:rsidR="0023043A">
        <w:rPr>
          <w:lang w:eastAsia="en-AU"/>
        </w:rPr>
        <w:t xml:space="preserve"> </w:t>
      </w:r>
      <w:r w:rsidR="00D30BE4">
        <w:rPr>
          <w:lang w:eastAsia="en-AU"/>
        </w:rPr>
        <w:t>u</w:t>
      </w:r>
      <w:r>
        <w:rPr>
          <w:lang w:eastAsia="en-AU"/>
        </w:rPr>
        <w:t>nder a separate</w:t>
      </w:r>
      <w:r w:rsidR="00B33A3D">
        <w:rPr>
          <w:lang w:eastAsia="en-AU"/>
        </w:rPr>
        <w:t>, closed</w:t>
      </w:r>
      <w:r>
        <w:rPr>
          <w:lang w:eastAsia="en-AU"/>
        </w:rPr>
        <w:t xml:space="preserve"> mass balance for the purposes of NGER scheme market-based reporting. This </w:t>
      </w:r>
      <w:r w:rsidR="00453E9C">
        <w:rPr>
          <w:lang w:eastAsia="en-AU"/>
        </w:rPr>
        <w:t>means</w:t>
      </w:r>
      <w:r>
        <w:rPr>
          <w:lang w:eastAsia="en-AU"/>
        </w:rPr>
        <w:t xml:space="preserve"> NGER scheme facilities who source gas from the East coast gas market </w:t>
      </w:r>
      <w:r w:rsidR="00453E9C">
        <w:rPr>
          <w:lang w:eastAsia="en-AU"/>
        </w:rPr>
        <w:t>can</w:t>
      </w:r>
      <w:r>
        <w:rPr>
          <w:lang w:eastAsia="en-AU"/>
        </w:rPr>
        <w:t xml:space="preserve"> report the scope 1 emissions attributes of renewable gas (as represented by the eligible renewable gas certificates retired or completed by them or on their behalf) supplied into the East coast gas market from </w:t>
      </w:r>
      <w:r w:rsidRPr="00A44349">
        <w:rPr>
          <w:i/>
          <w:iCs/>
          <w:u w:val="single"/>
          <w:lang w:eastAsia="en-AU"/>
        </w:rPr>
        <w:t>any</w:t>
      </w:r>
      <w:r>
        <w:rPr>
          <w:lang w:eastAsia="en-AU"/>
        </w:rPr>
        <w:t xml:space="preserve"> injection point but </w:t>
      </w:r>
      <w:r w:rsidR="00453E9C">
        <w:rPr>
          <w:lang w:eastAsia="en-AU"/>
        </w:rPr>
        <w:t>cannot</w:t>
      </w:r>
      <w:r w:rsidR="00902ADB">
        <w:rPr>
          <w:lang w:eastAsia="en-AU"/>
        </w:rPr>
        <w:t xml:space="preserve"> report</w:t>
      </w:r>
      <w:r>
        <w:rPr>
          <w:lang w:eastAsia="en-AU"/>
        </w:rPr>
        <w:t xml:space="preserve"> the scope 1 emissions attributes of renewable gas injected into the Western Australia market (and vice versa). </w:t>
      </w:r>
    </w:p>
    <w:p w14:paraId="60D134C4" w14:textId="615B5CCC" w:rsidR="00AD42AD" w:rsidRPr="000E5737" w:rsidRDefault="00755855" w:rsidP="000E5737">
      <w:pPr>
        <w:rPr>
          <w:lang w:eastAsia="en-AU"/>
        </w:rPr>
      </w:pPr>
      <w:r>
        <w:rPr>
          <w:lang w:eastAsia="en-AU"/>
        </w:rPr>
        <w:t>Eligible renewable gas certificates will record and provide the information required to verify the reasonable physical link between the injection point and NGER scheme facility</w:t>
      </w:r>
      <w:r w:rsidR="00610CF8">
        <w:rPr>
          <w:rStyle w:val="FootnoteReference"/>
          <w:lang w:eastAsia="en-AU"/>
        </w:rPr>
        <w:footnoteReference w:id="8"/>
      </w:r>
      <w:r>
        <w:rPr>
          <w:lang w:eastAsia="en-AU"/>
        </w:rPr>
        <w:t>.</w:t>
      </w:r>
    </w:p>
    <w:p w14:paraId="7E168D9A" w14:textId="77777777" w:rsidR="00B36EAC" w:rsidRDefault="00A908DA" w:rsidP="00B36EAC">
      <w:pPr>
        <w:pStyle w:val="ListBullet"/>
        <w:numPr>
          <w:ilvl w:val="0"/>
          <w:numId w:val="0"/>
        </w:numPr>
        <w:rPr>
          <w:lang w:eastAsia="en-AU"/>
        </w:rPr>
      </w:pPr>
      <w:r>
        <w:rPr>
          <w:lang w:eastAsia="en-AU"/>
        </w:rPr>
        <w:t xml:space="preserve">Facilities that consume renewable gas ‘off-grid’, either through direct supply of pure renewable gas by ship, rail or road, or through behind the meter (BTM) consumption, can already exclusively report the full scope 1 emissions benefit of their renewable gas consumption within the existing NGER scheme reporting arrangements. Market-based reporting arrangements are not required in this circumstance. The </w:t>
      </w:r>
      <w:r w:rsidR="00115C69">
        <w:t>department</w:t>
      </w:r>
      <w:r w:rsidR="00115C69" w:rsidDel="00115C69">
        <w:rPr>
          <w:lang w:eastAsia="en-AU"/>
        </w:rPr>
        <w:t xml:space="preserve"> </w:t>
      </w:r>
      <w:r w:rsidR="00D87CE5">
        <w:rPr>
          <w:lang w:eastAsia="en-AU"/>
        </w:rPr>
        <w:t xml:space="preserve">does not propose to require </w:t>
      </w:r>
      <w:r>
        <w:rPr>
          <w:lang w:eastAsia="en-AU"/>
        </w:rPr>
        <w:t xml:space="preserve">NGER facilities that consume renewable gas in this way </w:t>
      </w:r>
      <w:r w:rsidR="00FC7EF2">
        <w:rPr>
          <w:lang w:eastAsia="en-AU"/>
        </w:rPr>
        <w:t>to</w:t>
      </w:r>
      <w:r>
        <w:rPr>
          <w:lang w:eastAsia="en-AU"/>
        </w:rPr>
        <w:t xml:space="preserve"> underpin their reporting by retiring or completing renewable gas certificates. Doing so would impose additional reporting burden and potentially cost on supply and consumption arrangements that are already supported under the scheme.</w:t>
      </w:r>
      <w:r w:rsidR="004B00B5">
        <w:rPr>
          <w:lang w:eastAsia="en-AU"/>
        </w:rPr>
        <w:t xml:space="preserve"> </w:t>
      </w:r>
      <w:r w:rsidR="00B36EAC">
        <w:rPr>
          <w:lang w:eastAsia="en-AU"/>
        </w:rPr>
        <w:t>This does not create a risk of double counting, because:</w:t>
      </w:r>
    </w:p>
    <w:p w14:paraId="42433B2A" w14:textId="77777777" w:rsidR="00B36EAC" w:rsidRDefault="00B36EAC" w:rsidP="00B36EAC">
      <w:pPr>
        <w:pStyle w:val="ListBullet"/>
        <w:rPr>
          <w:lang w:eastAsia="en-AU"/>
        </w:rPr>
      </w:pPr>
      <w:r>
        <w:rPr>
          <w:lang w:eastAsia="en-AU"/>
        </w:rPr>
        <w:t>users of the market-based reporting arrangements must demonstrate, through the information recorded on the certificates they use to underpin their reporting, that the renewable gas they report having consumed was injected into the natural gas network, which will not have occurred in direct supply scenarios; and</w:t>
      </w:r>
    </w:p>
    <w:p w14:paraId="1DE3EB98" w14:textId="28419B97" w:rsidR="00A908DA" w:rsidRDefault="00B36EAC" w:rsidP="00B36EAC">
      <w:pPr>
        <w:pStyle w:val="ListBullet"/>
        <w:rPr>
          <w:lang w:eastAsia="en-AU"/>
        </w:rPr>
      </w:pPr>
      <w:r>
        <w:rPr>
          <w:lang w:eastAsia="en-AU"/>
        </w:rPr>
        <w:t xml:space="preserve">off-grid consumers of renewable gas must continue to report the gas they physically consume, not the gas represented by any renewable gas certificates they retire or complete.  </w:t>
      </w:r>
    </w:p>
    <w:p w14:paraId="52ACAAB7" w14:textId="1C64E3DB" w:rsidR="009C209E" w:rsidRDefault="00412CCF" w:rsidP="00996E63">
      <w:pPr>
        <w:rPr>
          <w:u w:val="single"/>
        </w:rPr>
      </w:pPr>
      <w:r w:rsidRPr="00412CCF">
        <w:rPr>
          <w:u w:val="single"/>
        </w:rPr>
        <w:t>Biomethane displacement ACCU requirement</w:t>
      </w:r>
    </w:p>
    <w:p w14:paraId="70F3BCCE" w14:textId="77777777" w:rsidR="007E2A8D" w:rsidRDefault="007E2A8D" w:rsidP="007E2A8D">
      <w:r w:rsidRPr="002A0858">
        <w:t xml:space="preserve">There are currently three methods under the </w:t>
      </w:r>
      <w:r>
        <w:t>Australian carbon credit unit (ACCU)</w:t>
      </w:r>
      <w:r w:rsidRPr="002A0858">
        <w:t xml:space="preserve"> scheme that credit ACCUs to projects that generate abatement by producing biomethane and using it to displace the consumption of natural gas, for example, by injecting biomethane into the natural gas network (‘biomethane displacement ACCUs’).</w:t>
      </w:r>
    </w:p>
    <w:p w14:paraId="543655C4" w14:textId="77777777" w:rsidR="007637C0" w:rsidRDefault="006C607D" w:rsidP="007637C0">
      <w:pPr>
        <w:widowControl w:val="0"/>
      </w:pPr>
      <w:r>
        <w:t xml:space="preserve">If a biomethane producer creates </w:t>
      </w:r>
      <w:r w:rsidR="009065CD">
        <w:t xml:space="preserve">both biomethane displacement ACCUs and </w:t>
      </w:r>
      <w:r w:rsidR="00C8422E">
        <w:t xml:space="preserve">renewable gas certificates </w:t>
      </w:r>
      <w:r w:rsidR="00C15E6A">
        <w:t xml:space="preserve">in respect of a single unit of biomethane, </w:t>
      </w:r>
      <w:r w:rsidR="007637C0">
        <w:t xml:space="preserve">double counting could </w:t>
      </w:r>
      <w:r w:rsidR="00DA528A">
        <w:t xml:space="preserve">occur if </w:t>
      </w:r>
      <w:r w:rsidR="00F76CA5">
        <w:t>a</w:t>
      </w:r>
      <w:r w:rsidR="00D9494C">
        <w:t xml:space="preserve"> </w:t>
      </w:r>
      <w:r w:rsidR="00F522D7">
        <w:t>facility covered by the Safeguard Mechanism</w:t>
      </w:r>
      <w:r w:rsidR="007637C0">
        <w:t>:</w:t>
      </w:r>
    </w:p>
    <w:p w14:paraId="0BD23CFA" w14:textId="77777777" w:rsidR="007637C0" w:rsidRDefault="00F522D7" w:rsidP="007637C0">
      <w:pPr>
        <w:pStyle w:val="ListBullet"/>
        <w:rPr>
          <w:lang w:eastAsia="en-AU"/>
        </w:rPr>
      </w:pPr>
      <w:r>
        <w:t xml:space="preserve">uses the </w:t>
      </w:r>
      <w:r w:rsidR="007637C0">
        <w:t xml:space="preserve">renewable gas </w:t>
      </w:r>
      <w:r>
        <w:t>certificate under the market-based arrangements to report</w:t>
      </w:r>
      <w:r w:rsidRPr="001B1488">
        <w:t xml:space="preserve"> biomethane consumption</w:t>
      </w:r>
      <w:r w:rsidRPr="00F522D7">
        <w:t xml:space="preserve"> </w:t>
      </w:r>
      <w:r w:rsidR="00EA75C8">
        <w:t>(instead of natural gas consumption)</w:t>
      </w:r>
      <w:r w:rsidR="007637C0">
        <w:t>,</w:t>
      </w:r>
      <w:r w:rsidR="00EA75C8">
        <w:t xml:space="preserve"> </w:t>
      </w:r>
      <w:r w:rsidRPr="001B1488">
        <w:t>and</w:t>
      </w:r>
      <w:r>
        <w:t xml:space="preserve"> </w:t>
      </w:r>
    </w:p>
    <w:p w14:paraId="2F274796" w14:textId="77777777" w:rsidR="007637C0" w:rsidRDefault="00F522D7" w:rsidP="007637C0">
      <w:pPr>
        <w:pStyle w:val="ListBullet"/>
        <w:rPr>
          <w:lang w:eastAsia="en-AU"/>
        </w:rPr>
      </w:pPr>
      <w:r>
        <w:t>also</w:t>
      </w:r>
      <w:r w:rsidRPr="001B1488">
        <w:t xml:space="preserve"> meets their Safeguard obligation by surrendering </w:t>
      </w:r>
      <w:r w:rsidR="003C735A">
        <w:t>the associated</w:t>
      </w:r>
      <w:r w:rsidRPr="001B1488">
        <w:t xml:space="preserve"> biomethane displacement ACCU</w:t>
      </w:r>
      <w:r w:rsidR="003C735A">
        <w:t xml:space="preserve">. </w:t>
      </w:r>
    </w:p>
    <w:p w14:paraId="50417EEF" w14:textId="50FC7534" w:rsidR="007E2A8D" w:rsidRDefault="003C735A" w:rsidP="007637C0">
      <w:pPr>
        <w:pStyle w:val="ListBullet"/>
        <w:numPr>
          <w:ilvl w:val="0"/>
          <w:numId w:val="0"/>
        </w:numPr>
        <w:rPr>
          <w:lang w:eastAsia="en-AU"/>
        </w:rPr>
      </w:pPr>
      <w:r>
        <w:t xml:space="preserve">In this scenario, the emissions benefit </w:t>
      </w:r>
      <w:r w:rsidR="00745F56">
        <w:t>of a single unit biomethane consumption (compared to</w:t>
      </w:r>
      <w:r w:rsidR="00EE1E07">
        <w:t xml:space="preserve"> consuming the equivalent amount of</w:t>
      </w:r>
      <w:r w:rsidR="00745F56">
        <w:t xml:space="preserve"> natural gas) is claimed twice. </w:t>
      </w:r>
    </w:p>
    <w:p w14:paraId="2D401A54" w14:textId="0C63957A" w:rsidR="003F09BD" w:rsidRDefault="00AE2922" w:rsidP="00A7026D">
      <w:pPr>
        <w:rPr>
          <w:lang w:eastAsia="en-AU"/>
        </w:rPr>
      </w:pPr>
      <w:r>
        <w:rPr>
          <w:lang w:eastAsia="en-AU"/>
        </w:rPr>
        <w:t>To control this risk</w:t>
      </w:r>
      <w:r w:rsidR="001839BE">
        <w:rPr>
          <w:lang w:eastAsia="en-AU"/>
        </w:rPr>
        <w:t>,</w:t>
      </w:r>
      <w:r w:rsidR="00985684">
        <w:rPr>
          <w:lang w:eastAsia="en-AU"/>
        </w:rPr>
        <w:t xml:space="preserve"> </w:t>
      </w:r>
      <w:r w:rsidR="001839BE">
        <w:rPr>
          <w:lang w:eastAsia="en-AU"/>
        </w:rPr>
        <w:t>t</w:t>
      </w:r>
      <w:r w:rsidR="00B82CFF" w:rsidRPr="00D27D87">
        <w:rPr>
          <w:lang w:eastAsia="en-AU"/>
        </w:rPr>
        <w:t xml:space="preserve">he </w:t>
      </w:r>
      <w:r w:rsidR="00AD3682">
        <w:t>department</w:t>
      </w:r>
      <w:r w:rsidR="00AD3682" w:rsidDel="00AD3682">
        <w:rPr>
          <w:lang w:eastAsia="en-AU"/>
        </w:rPr>
        <w:t xml:space="preserve"> </w:t>
      </w:r>
      <w:r w:rsidR="00B82CFF">
        <w:rPr>
          <w:lang w:eastAsia="en-AU"/>
        </w:rPr>
        <w:t>proposes</w:t>
      </w:r>
      <w:r w:rsidR="00B82CFF" w:rsidRPr="00D27D87">
        <w:rPr>
          <w:lang w:eastAsia="en-AU"/>
        </w:rPr>
        <w:t xml:space="preserve"> </w:t>
      </w:r>
      <w:r w:rsidR="00B82CFF">
        <w:rPr>
          <w:lang w:eastAsia="en-AU"/>
        </w:rPr>
        <w:t xml:space="preserve">that eligible renewable gas certificates used for market-based reporting must </w:t>
      </w:r>
      <w:r w:rsidR="00EE1E07">
        <w:rPr>
          <w:lang w:eastAsia="en-AU"/>
        </w:rPr>
        <w:t xml:space="preserve">not </w:t>
      </w:r>
      <w:r w:rsidR="00B82CFF">
        <w:rPr>
          <w:lang w:eastAsia="en-AU"/>
        </w:rPr>
        <w:t xml:space="preserve">represent </w:t>
      </w:r>
      <w:r w:rsidR="00B82CFF" w:rsidRPr="00C5571E">
        <w:rPr>
          <w:lang w:eastAsia="en-AU"/>
        </w:rPr>
        <w:t>renewable gas</w:t>
      </w:r>
      <w:r w:rsidR="00B82CFF">
        <w:rPr>
          <w:lang w:eastAsia="en-AU"/>
        </w:rPr>
        <w:t xml:space="preserve"> in respect of which a biomethane displacement ACCU </w:t>
      </w:r>
      <w:r w:rsidR="001D23A7">
        <w:rPr>
          <w:lang w:eastAsia="en-AU"/>
        </w:rPr>
        <w:t xml:space="preserve">has been surrendered for the </w:t>
      </w:r>
      <w:r w:rsidR="008474F0">
        <w:rPr>
          <w:lang w:eastAsia="en-AU"/>
        </w:rPr>
        <w:t xml:space="preserve">purposes of reducing the </w:t>
      </w:r>
      <w:r w:rsidR="00AA6A09">
        <w:rPr>
          <w:lang w:eastAsia="en-AU"/>
        </w:rPr>
        <w:t>net emissions number for a facility with obligations under the Safeguard Mechanism</w:t>
      </w:r>
      <w:r w:rsidR="001A2302">
        <w:rPr>
          <w:lang w:eastAsia="en-AU"/>
        </w:rPr>
        <w:t xml:space="preserve"> </w:t>
      </w:r>
      <w:r w:rsidR="001A2302">
        <w:t xml:space="preserve">(see Schedule 1, Item </w:t>
      </w:r>
      <w:r w:rsidR="004375D5">
        <w:t>5</w:t>
      </w:r>
      <w:r w:rsidR="001A2302">
        <w:t>, Paragraph 2.67C(5)(d))</w:t>
      </w:r>
      <w:r w:rsidR="00AA6A09">
        <w:rPr>
          <w:lang w:eastAsia="en-AU"/>
        </w:rPr>
        <w:t xml:space="preserve">. </w:t>
      </w:r>
    </w:p>
    <w:p w14:paraId="7D96FEC9" w14:textId="35A2450F" w:rsidR="009A3B2A" w:rsidRPr="009A3B2A" w:rsidRDefault="00A1745B" w:rsidP="00A7026D">
      <w:pPr>
        <w:rPr>
          <w:lang w:eastAsia="en-AU"/>
        </w:rPr>
      </w:pPr>
      <w:r>
        <w:rPr>
          <w:lang w:eastAsia="en-AU"/>
        </w:rPr>
        <w:t xml:space="preserve">This </w:t>
      </w:r>
      <w:r w:rsidR="009A3B2A">
        <w:rPr>
          <w:lang w:eastAsia="en-AU"/>
        </w:rPr>
        <w:t xml:space="preserve">requirement </w:t>
      </w:r>
      <w:r w:rsidR="009A3B2A" w:rsidRPr="009A3B2A">
        <w:rPr>
          <w:lang w:eastAsia="en-AU"/>
        </w:rPr>
        <w:t>give</w:t>
      </w:r>
      <w:r w:rsidR="009A3B2A">
        <w:rPr>
          <w:lang w:eastAsia="en-AU"/>
        </w:rPr>
        <w:t>s</w:t>
      </w:r>
      <w:r w:rsidR="009A3B2A" w:rsidRPr="009A3B2A">
        <w:rPr>
          <w:lang w:eastAsia="en-AU"/>
        </w:rPr>
        <w:t xml:space="preserve"> biomethane producers the flexibility to create both renewable gas certificates and biomethane displacement ACCUs and to </w:t>
      </w:r>
      <w:r w:rsidR="00D60B5E">
        <w:rPr>
          <w:lang w:eastAsia="en-AU"/>
        </w:rPr>
        <w:t>use them in a</w:t>
      </w:r>
      <w:r w:rsidR="009A3B2A" w:rsidRPr="009A3B2A">
        <w:rPr>
          <w:lang w:eastAsia="en-AU"/>
        </w:rPr>
        <w:t xml:space="preserve"> manner that doesn’t lead to </w:t>
      </w:r>
      <w:r w:rsidR="00D60B5E">
        <w:rPr>
          <w:lang w:eastAsia="en-AU"/>
        </w:rPr>
        <w:t xml:space="preserve">double counting. </w:t>
      </w:r>
      <w:r w:rsidR="00932026">
        <w:rPr>
          <w:lang w:eastAsia="en-AU"/>
        </w:rPr>
        <w:t xml:space="preserve">This requirement complements </w:t>
      </w:r>
      <w:r w:rsidR="00B563AE">
        <w:rPr>
          <w:lang w:eastAsia="en-AU"/>
        </w:rPr>
        <w:t xml:space="preserve">a </w:t>
      </w:r>
      <w:r w:rsidR="001E7284">
        <w:rPr>
          <w:lang w:eastAsia="en-AU"/>
        </w:rPr>
        <w:t xml:space="preserve">similar </w:t>
      </w:r>
      <w:r w:rsidR="00B563AE">
        <w:rPr>
          <w:lang w:eastAsia="en-AU"/>
        </w:rPr>
        <w:t xml:space="preserve">requirement </w:t>
      </w:r>
      <w:r w:rsidR="00A45FFA">
        <w:rPr>
          <w:lang w:eastAsia="en-AU"/>
        </w:rPr>
        <w:t xml:space="preserve">in the </w:t>
      </w:r>
      <w:r w:rsidR="00A45FFA" w:rsidRPr="00A45FFA">
        <w:rPr>
          <w:lang w:eastAsia="en-AU"/>
        </w:rPr>
        <w:t xml:space="preserve">GreenPower </w:t>
      </w:r>
      <w:r w:rsidR="00A45FFA">
        <w:rPr>
          <w:lang w:eastAsia="en-AU"/>
        </w:rPr>
        <w:t>RGC</w:t>
      </w:r>
      <w:r w:rsidR="00A45FFA" w:rsidRPr="00A45FFA">
        <w:rPr>
          <w:lang w:eastAsia="en-AU"/>
        </w:rPr>
        <w:t xml:space="preserve"> scheme</w:t>
      </w:r>
      <w:r w:rsidR="009F01EB">
        <w:rPr>
          <w:rStyle w:val="FootnoteReference"/>
          <w:lang w:eastAsia="en-AU"/>
        </w:rPr>
        <w:footnoteReference w:id="9"/>
      </w:r>
      <w:r w:rsidR="00A45FFA" w:rsidRPr="00A45FFA">
        <w:rPr>
          <w:lang w:eastAsia="en-AU"/>
        </w:rPr>
        <w:t xml:space="preserve"> (currently the only domestic biomethane certification scheme)</w:t>
      </w:r>
      <w:r w:rsidR="00A45FFA">
        <w:rPr>
          <w:lang w:eastAsia="en-AU"/>
        </w:rPr>
        <w:t>.</w:t>
      </w:r>
    </w:p>
    <w:p w14:paraId="59A5AAE7" w14:textId="3A8D97AE" w:rsidR="007C2E86" w:rsidRDefault="007C2E86" w:rsidP="007C2E86">
      <w:pPr>
        <w:rPr>
          <w:u w:val="single"/>
          <w:lang w:eastAsia="en-AU"/>
        </w:rPr>
      </w:pPr>
      <w:r>
        <w:rPr>
          <w:u w:val="single"/>
          <w:lang w:eastAsia="en-AU"/>
        </w:rPr>
        <w:t>Accounting for pipeline losses</w:t>
      </w:r>
    </w:p>
    <w:p w14:paraId="012E5503" w14:textId="41247520" w:rsidR="00084671" w:rsidRDefault="00083D24" w:rsidP="0008485A">
      <w:pPr>
        <w:rPr>
          <w:lang w:eastAsia="en-AU"/>
        </w:rPr>
      </w:pPr>
      <w:r>
        <w:rPr>
          <w:lang w:eastAsia="en-AU"/>
        </w:rPr>
        <w:t xml:space="preserve">Renewable gas certificates represent an amount of renewable gas produced and injected into the network, some of which will be lost as pipeline fugitives as the gas moves through the network to a consumer. </w:t>
      </w:r>
      <w:r w:rsidR="0008485A" w:rsidRPr="14EBA632">
        <w:rPr>
          <w:lang w:eastAsia="en-AU"/>
        </w:rPr>
        <w:t xml:space="preserve">The </w:t>
      </w:r>
      <w:r w:rsidR="00AD3682">
        <w:t>department</w:t>
      </w:r>
      <w:r w:rsidR="00AD3682" w:rsidDel="00AD3682">
        <w:rPr>
          <w:lang w:eastAsia="en-AU"/>
        </w:rPr>
        <w:t xml:space="preserve"> </w:t>
      </w:r>
      <w:r w:rsidR="0008485A" w:rsidRPr="14EBA632">
        <w:rPr>
          <w:lang w:eastAsia="en-AU"/>
        </w:rPr>
        <w:t xml:space="preserve">intends to apply a </w:t>
      </w:r>
      <w:r w:rsidR="0008485A" w:rsidRPr="0008485A">
        <w:rPr>
          <w:lang w:eastAsia="en-AU"/>
        </w:rPr>
        <w:t>loss factor</w:t>
      </w:r>
      <w:r w:rsidR="0008485A" w:rsidRPr="14EBA632">
        <w:rPr>
          <w:lang w:eastAsia="en-AU"/>
        </w:rPr>
        <w:t xml:space="preserve"> </w:t>
      </w:r>
      <w:r w:rsidR="00081205">
        <w:rPr>
          <w:lang w:eastAsia="en-AU"/>
        </w:rPr>
        <w:t>to</w:t>
      </w:r>
      <w:r w:rsidR="0008485A" w:rsidRPr="14EBA632">
        <w:rPr>
          <w:lang w:eastAsia="en-AU"/>
        </w:rPr>
        <w:t xml:space="preserve"> account for these pipeline transport losses</w:t>
      </w:r>
      <w:r w:rsidR="0056647D">
        <w:rPr>
          <w:lang w:eastAsia="en-AU"/>
        </w:rPr>
        <w:t xml:space="preserve"> </w:t>
      </w:r>
      <w:r w:rsidR="0056647D">
        <w:t xml:space="preserve">(see Schedule 1, Item </w:t>
      </w:r>
      <w:r w:rsidR="004375D5">
        <w:t>5</w:t>
      </w:r>
      <w:r w:rsidR="0056647D">
        <w:t>, Subsection 2.67C(2), formula</w:t>
      </w:r>
      <w:r w:rsidR="00C01A1E">
        <w:t xml:space="preserve"> and definition of </w:t>
      </w:r>
      <w:r w:rsidR="00C01A1E">
        <w:rPr>
          <w:b/>
          <w:bCs/>
          <w:i/>
          <w:iCs/>
        </w:rPr>
        <w:t>LF</w:t>
      </w:r>
      <w:r w:rsidR="0056647D">
        <w:t>)</w:t>
      </w:r>
      <w:r w:rsidR="0008485A" w:rsidRPr="14EBA632">
        <w:rPr>
          <w:lang w:eastAsia="en-AU"/>
        </w:rPr>
        <w:t xml:space="preserve">. </w:t>
      </w:r>
    </w:p>
    <w:p w14:paraId="0A10FA69" w14:textId="5B69B414" w:rsidR="0008485A" w:rsidRDefault="0008485A" w:rsidP="0008485A">
      <w:pPr>
        <w:rPr>
          <w:lang w:eastAsia="en-AU"/>
        </w:rPr>
      </w:pPr>
      <w:r w:rsidRPr="14EBA632">
        <w:rPr>
          <w:lang w:eastAsia="en-AU"/>
        </w:rPr>
        <w:t xml:space="preserve">Broadly speaking, reporters would be able to determine that the gas they receive from a natural gas network in a reporting year contains an amount of a renewable gas, as represented by an amount of eligible renewable gas certificates, adjusted by the loss factor. Allowing reporters to determine the composition of gas they receive from the grid based only on the amount of renewable gas injected into the grid, with no accounting for losses, </w:t>
      </w:r>
      <w:r w:rsidR="000338FF">
        <w:rPr>
          <w:lang w:eastAsia="en-AU"/>
        </w:rPr>
        <w:t>risks</w:t>
      </w:r>
      <w:r w:rsidRPr="14EBA632">
        <w:rPr>
          <w:lang w:eastAsia="en-AU"/>
        </w:rPr>
        <w:t xml:space="preserve"> overestimat</w:t>
      </w:r>
      <w:r w:rsidR="000338FF">
        <w:rPr>
          <w:lang w:eastAsia="en-AU"/>
        </w:rPr>
        <w:t>ing</w:t>
      </w:r>
      <w:r w:rsidRPr="14EBA632">
        <w:rPr>
          <w:lang w:eastAsia="en-AU"/>
        </w:rPr>
        <w:t xml:space="preserve"> the renewable gas component eventually received by a customer. </w:t>
      </w:r>
    </w:p>
    <w:p w14:paraId="38F68136" w14:textId="223CFAB4" w:rsidR="00595047" w:rsidRDefault="00595047" w:rsidP="00595047">
      <w:pPr>
        <w:rPr>
          <w:lang w:eastAsia="en-AU"/>
        </w:rPr>
      </w:pPr>
      <w:r>
        <w:rPr>
          <w:lang w:eastAsia="en-AU"/>
        </w:rPr>
        <w:t>A similar approach to losses is taken in the NGER scheme’s optional scope 2 market-method. While the optional scope 2 market-method itself does not have an explicit loss factor, losses are already accounted for as part of LGC entitlement creation by applying a marginal loss factor to the amount of renewable electricity dispatched to the grid</w:t>
      </w:r>
      <w:r>
        <w:rPr>
          <w:rStyle w:val="FootnoteReference"/>
          <w:lang w:eastAsia="en-AU"/>
        </w:rPr>
        <w:footnoteReference w:id="10"/>
      </w:r>
      <w:r>
        <w:rPr>
          <w:lang w:eastAsia="en-AU"/>
        </w:rPr>
        <w:t xml:space="preserve">. </w:t>
      </w:r>
      <w:r w:rsidR="00674DFA">
        <w:rPr>
          <w:lang w:eastAsia="en-AU"/>
        </w:rPr>
        <w:t xml:space="preserve">Pipeline transport losses are also accounted for in the biomethane displacement ACCU methods. </w:t>
      </w:r>
      <w:r>
        <w:rPr>
          <w:lang w:eastAsia="en-AU"/>
        </w:rPr>
        <w:t xml:space="preserve"> </w:t>
      </w:r>
    </w:p>
    <w:p w14:paraId="63C7BE6B" w14:textId="324ED501" w:rsidR="00595047" w:rsidRDefault="00595047" w:rsidP="00595047">
      <w:pPr>
        <w:rPr>
          <w:lang w:eastAsia="en-AU"/>
        </w:rPr>
      </w:pPr>
      <w:r>
        <w:rPr>
          <w:lang w:eastAsia="en-AU"/>
        </w:rPr>
        <w:t xml:space="preserve">Accounting for losses in the proposed </w:t>
      </w:r>
      <w:r w:rsidR="00ED3D87">
        <w:rPr>
          <w:lang w:eastAsia="en-AU"/>
        </w:rPr>
        <w:t>m</w:t>
      </w:r>
      <w:r>
        <w:rPr>
          <w:lang w:eastAsia="en-AU"/>
        </w:rPr>
        <w:t xml:space="preserve">arket-based reporting arrangements is only for the purposes of estimating the amount of renewable gas received by a facility. It does not change existing, separate arrangements for reporting fugitive emissions under the NGER scheme. Renewable gas consumers will </w:t>
      </w:r>
      <w:r w:rsidRPr="00AF11C8">
        <w:rPr>
          <w:b/>
          <w:bCs/>
          <w:lang w:eastAsia="en-AU"/>
        </w:rPr>
        <w:t>not</w:t>
      </w:r>
      <w:r>
        <w:rPr>
          <w:lang w:eastAsia="en-AU"/>
        </w:rPr>
        <w:t xml:space="preserve"> be required to report fugitive emissions</w:t>
      </w:r>
      <w:r w:rsidR="002640CE">
        <w:rPr>
          <w:lang w:eastAsia="en-AU"/>
        </w:rPr>
        <w:t xml:space="preserve"> from </w:t>
      </w:r>
      <w:r w:rsidR="007B2CEA">
        <w:rPr>
          <w:lang w:eastAsia="en-AU"/>
        </w:rPr>
        <w:t xml:space="preserve">pipeline </w:t>
      </w:r>
      <w:r w:rsidR="002640CE">
        <w:rPr>
          <w:lang w:eastAsia="en-AU"/>
        </w:rPr>
        <w:t xml:space="preserve">losses of renewable gas they have purchased. </w:t>
      </w:r>
      <w:r w:rsidR="00C5115D">
        <w:rPr>
          <w:lang w:eastAsia="en-AU"/>
        </w:rPr>
        <w:t xml:space="preserve">Pipeline fugitive </w:t>
      </w:r>
      <w:r w:rsidR="003A21FC">
        <w:rPr>
          <w:lang w:eastAsia="en-AU"/>
        </w:rPr>
        <w:t>emissions</w:t>
      </w:r>
      <w:r w:rsidR="00C5115D">
        <w:rPr>
          <w:lang w:eastAsia="en-AU"/>
        </w:rPr>
        <w:t xml:space="preserve"> will continue to be reported by </w:t>
      </w:r>
      <w:r w:rsidR="0007649F">
        <w:rPr>
          <w:lang w:eastAsia="en-AU"/>
        </w:rPr>
        <w:t xml:space="preserve">those entities with operational control of the pipelines. </w:t>
      </w:r>
    </w:p>
    <w:p w14:paraId="6A0D2C22" w14:textId="6D28E6E2" w:rsidR="007C2E86" w:rsidRDefault="00D17340" w:rsidP="007C2E86">
      <w:pPr>
        <w:rPr>
          <w:lang w:eastAsia="en-AU"/>
        </w:rPr>
      </w:pPr>
      <w:r>
        <w:rPr>
          <w:lang w:eastAsia="en-AU"/>
        </w:rPr>
        <w:t xml:space="preserve">The </w:t>
      </w:r>
      <w:r w:rsidRPr="009B5D80">
        <w:rPr>
          <w:b/>
          <w:bCs/>
          <w:lang w:eastAsia="en-AU"/>
        </w:rPr>
        <w:t>loss factor for biomethane is 1%</w:t>
      </w:r>
      <w:r w:rsidR="009B5D80" w:rsidRPr="009B5D80">
        <w:rPr>
          <w:lang w:eastAsia="en-AU"/>
        </w:rPr>
        <w:t>,</w:t>
      </w:r>
      <w:r w:rsidR="009B5D80">
        <w:rPr>
          <w:lang w:eastAsia="en-AU"/>
        </w:rPr>
        <w:t xml:space="preserve"> based on an average of the unaccounted-for-gas percentages for each state and territory</w:t>
      </w:r>
      <w:r w:rsidR="009B5D80">
        <w:rPr>
          <w:rStyle w:val="FootnoteReference"/>
          <w:lang w:eastAsia="en-AU"/>
        </w:rPr>
        <w:footnoteReference w:id="11"/>
      </w:r>
      <w:r w:rsidR="009B5D80">
        <w:rPr>
          <w:lang w:eastAsia="en-AU"/>
        </w:rPr>
        <w:t>, weighted by each jurisdiction’s proportion of Australia’s total gas consumption</w:t>
      </w:r>
      <w:r w:rsidR="009B5D80">
        <w:rPr>
          <w:rStyle w:val="FootnoteReference"/>
          <w:lang w:eastAsia="en-AU"/>
        </w:rPr>
        <w:footnoteReference w:id="12"/>
      </w:r>
      <w:r w:rsidR="009B5D80">
        <w:rPr>
          <w:lang w:eastAsia="en-AU"/>
        </w:rPr>
        <w:t>. This factor take</w:t>
      </w:r>
      <w:r w:rsidR="005854D1">
        <w:rPr>
          <w:lang w:eastAsia="en-AU"/>
        </w:rPr>
        <w:t>s</w:t>
      </w:r>
      <w:r w:rsidR="009B5D80">
        <w:rPr>
          <w:lang w:eastAsia="en-AU"/>
        </w:rPr>
        <w:t xml:space="preserve"> account of the fact that only 37.3% of unaccounted for gas is attributable to leakage</w:t>
      </w:r>
      <w:r w:rsidR="009B5D80">
        <w:rPr>
          <w:rStyle w:val="FootnoteReference"/>
          <w:lang w:eastAsia="en-AU"/>
        </w:rPr>
        <w:footnoteReference w:id="13"/>
      </w:r>
      <w:r w:rsidR="009B5D80">
        <w:rPr>
          <w:lang w:eastAsia="en-AU"/>
        </w:rPr>
        <w:t>.</w:t>
      </w:r>
    </w:p>
    <w:p w14:paraId="2F414221" w14:textId="6E5FFC4A" w:rsidR="00743C66" w:rsidRDefault="00743C66" w:rsidP="00743C66">
      <w:pPr>
        <w:rPr>
          <w:lang w:eastAsia="en-AU"/>
        </w:rPr>
      </w:pPr>
      <w:r>
        <w:rPr>
          <w:lang w:eastAsia="en-AU"/>
        </w:rPr>
        <w:t>A loss factor of 1% mean</w:t>
      </w:r>
      <w:r w:rsidR="005854D1">
        <w:rPr>
          <w:lang w:eastAsia="en-AU"/>
        </w:rPr>
        <w:t>s</w:t>
      </w:r>
      <w:r>
        <w:rPr>
          <w:lang w:eastAsia="en-AU"/>
        </w:rPr>
        <w:t xml:space="preserve"> that 99% of renewable gas injected into the natural gas network, as represented by eligible renewable gas certificates, is</w:t>
      </w:r>
      <w:r w:rsidR="00A35E85">
        <w:rPr>
          <w:lang w:eastAsia="en-AU"/>
        </w:rPr>
        <w:t xml:space="preserve"> </w:t>
      </w:r>
      <w:r w:rsidR="003F6CCB">
        <w:rPr>
          <w:lang w:eastAsia="en-AU"/>
        </w:rPr>
        <w:t>n</w:t>
      </w:r>
      <w:r>
        <w:rPr>
          <w:lang w:eastAsia="en-AU"/>
        </w:rPr>
        <w:t>ot lost during pipeline</w:t>
      </w:r>
      <w:r w:rsidR="00EF6271">
        <w:rPr>
          <w:lang w:eastAsia="en-AU"/>
        </w:rPr>
        <w:t xml:space="preserve"> transport</w:t>
      </w:r>
      <w:r>
        <w:rPr>
          <w:lang w:eastAsia="en-AU"/>
        </w:rPr>
        <w:t xml:space="preserve"> and is therefore able to be reported as having been </w:t>
      </w:r>
      <w:r w:rsidR="00BB5D08">
        <w:rPr>
          <w:lang w:eastAsia="en-AU"/>
        </w:rPr>
        <w:t xml:space="preserve">received and </w:t>
      </w:r>
      <w:r>
        <w:rPr>
          <w:lang w:eastAsia="en-AU"/>
        </w:rPr>
        <w:t xml:space="preserve">consumed by a facility. Any gas sourced from the natural gas network not covered by the </w:t>
      </w:r>
      <w:r w:rsidR="00857C64">
        <w:rPr>
          <w:lang w:eastAsia="en-AU"/>
        </w:rPr>
        <w:t xml:space="preserve">loss-adjusted certificate amount would be reported as natural gas. </w:t>
      </w:r>
    </w:p>
    <w:p w14:paraId="5F5C5FDD" w14:textId="1465C3DC" w:rsidR="00412CCF" w:rsidRDefault="009B5D80" w:rsidP="00996E63">
      <w:pPr>
        <w:rPr>
          <w:lang w:eastAsia="en-AU"/>
        </w:rPr>
      </w:pPr>
      <w:r>
        <w:rPr>
          <w:lang w:eastAsia="en-AU"/>
        </w:rPr>
        <w:t xml:space="preserve">The </w:t>
      </w:r>
      <w:r w:rsidRPr="00834FCF">
        <w:rPr>
          <w:b/>
          <w:bCs/>
          <w:lang w:eastAsia="en-AU"/>
        </w:rPr>
        <w:t>loss factor for hydrogen is 0.9%</w:t>
      </w:r>
      <w:r w:rsidR="00960597">
        <w:rPr>
          <w:lang w:eastAsia="en-AU"/>
        </w:rPr>
        <w:t xml:space="preserve">, derived by </w:t>
      </w:r>
      <w:r w:rsidR="00834FCF">
        <w:rPr>
          <w:lang w:eastAsia="en-AU"/>
        </w:rPr>
        <w:t xml:space="preserve">converting the biomethane loss factor using the conversion factors set out in the 2022 consultancy report </w:t>
      </w:r>
      <w:hyperlink r:id="rId23" w:history="1">
        <w:r w:rsidR="00834FCF" w:rsidRPr="00A44349">
          <w:rPr>
            <w:rStyle w:val="Hyperlink"/>
            <w:i/>
            <w:iCs/>
            <w:lang w:eastAsia="en-AU"/>
          </w:rPr>
          <w:t>Fugitive Hydrogen Emissions in a Future Hydrogen Economy</w:t>
        </w:r>
      </w:hyperlink>
      <w:r w:rsidR="00834FCF">
        <w:rPr>
          <w:lang w:eastAsia="en-AU"/>
        </w:rPr>
        <w:t xml:space="preserve">, commissioned by the UK </w:t>
      </w:r>
      <w:r w:rsidR="00834FCF" w:rsidRPr="001C60AF">
        <w:rPr>
          <w:lang w:eastAsia="ja-JP"/>
        </w:rPr>
        <w:t>Department for Business, Energy and Industrial Strategy</w:t>
      </w:r>
      <w:r w:rsidR="00834FCF">
        <w:rPr>
          <w:lang w:eastAsia="ja-JP"/>
        </w:rPr>
        <w:t>.</w:t>
      </w:r>
      <w:r w:rsidR="00AA3473" w:rsidRPr="00AA3473">
        <w:rPr>
          <w:lang w:eastAsia="ja-JP"/>
        </w:rPr>
        <w:t xml:space="preserve"> </w:t>
      </w:r>
      <w:r w:rsidR="00AA3473">
        <w:rPr>
          <w:lang w:eastAsia="ja-JP"/>
        </w:rPr>
        <w:t>This report provides factors for converting natural gas leakage rates to hydrogen leakage rates, on a volumetric, mass and energy basis, under both laminar and turbulent flow regimes</w:t>
      </w:r>
      <w:r w:rsidR="009F4504">
        <w:rPr>
          <w:rStyle w:val="FootnoteReference"/>
          <w:lang w:eastAsia="ja-JP"/>
        </w:rPr>
        <w:footnoteReference w:id="14"/>
      </w:r>
      <w:r w:rsidR="00AA3473">
        <w:rPr>
          <w:lang w:eastAsia="ja-JP"/>
        </w:rPr>
        <w:t>.</w:t>
      </w:r>
    </w:p>
    <w:p w14:paraId="5557824E" w14:textId="1A6375DD" w:rsidR="00BC4572" w:rsidRDefault="00BC4572" w:rsidP="00996E63">
      <w:pPr>
        <w:rPr>
          <w:lang w:eastAsia="ja-JP"/>
        </w:rPr>
      </w:pPr>
      <w:r>
        <w:rPr>
          <w:lang w:eastAsia="ja-JP"/>
        </w:rPr>
        <w:t xml:space="preserve">Loss factors for both biomethane and hydrogen in the initial market-based reporting arrangements will be subject to ongoing review and could be updated considering new evidence as part of the NGER scheme’s continuous improvement program. </w:t>
      </w:r>
    </w:p>
    <w:p w14:paraId="3F19EE14" w14:textId="1C60B465" w:rsidR="00B07AE6" w:rsidRDefault="00A979C6" w:rsidP="00233CAC">
      <w:pPr>
        <w:pStyle w:val="Heading4"/>
      </w:pPr>
      <w:r>
        <w:t>New matters to be identified</w:t>
      </w:r>
      <w:r w:rsidR="001F116F">
        <w:t xml:space="preserve"> for fuel combustion sources and relevant industrial processes sources</w:t>
      </w:r>
    </w:p>
    <w:p w14:paraId="650BDA5B" w14:textId="46E113F8" w:rsidR="00305CD3" w:rsidRPr="00305CD3" w:rsidRDefault="00305CD3" w:rsidP="00305CD3">
      <w:pPr>
        <w:rPr>
          <w:lang w:eastAsia="en-AU"/>
        </w:rPr>
      </w:pPr>
      <w:r>
        <w:rPr>
          <w:lang w:eastAsia="en-AU"/>
        </w:rPr>
        <w:t xml:space="preserve">To support the proposed amendments, the </w:t>
      </w:r>
      <w:r w:rsidR="00AD3682">
        <w:t>department</w:t>
      </w:r>
      <w:r w:rsidR="00AD3682" w:rsidDel="00AD3682">
        <w:rPr>
          <w:lang w:eastAsia="en-AU"/>
        </w:rPr>
        <w:t xml:space="preserve"> </w:t>
      </w:r>
      <w:r>
        <w:rPr>
          <w:lang w:eastAsia="en-AU"/>
        </w:rPr>
        <w:t xml:space="preserve">proposes </w:t>
      </w:r>
      <w:r w:rsidR="00FE7110">
        <w:rPr>
          <w:lang w:eastAsia="en-AU"/>
        </w:rPr>
        <w:t xml:space="preserve">to </w:t>
      </w:r>
      <w:r w:rsidR="00441F36">
        <w:rPr>
          <w:lang w:eastAsia="en-AU"/>
        </w:rPr>
        <w:t xml:space="preserve">specify new reportable items </w:t>
      </w:r>
      <w:r w:rsidR="00AF6526" w:rsidRPr="00AF6526">
        <w:rPr>
          <w:lang w:eastAsia="en-AU"/>
        </w:rPr>
        <w:t>in Schedule 4 of the Measurement Determination (Matters to be identified in relation to sources) in relation to fuel combustion sources</w:t>
      </w:r>
      <w:r w:rsidR="00503FB1">
        <w:rPr>
          <w:lang w:eastAsia="en-AU"/>
        </w:rPr>
        <w:t xml:space="preserve"> (see Schedule 1, Item </w:t>
      </w:r>
      <w:r w:rsidR="00515B7A">
        <w:rPr>
          <w:lang w:eastAsia="en-AU"/>
        </w:rPr>
        <w:t>43</w:t>
      </w:r>
      <w:r w:rsidR="00503FB1">
        <w:rPr>
          <w:lang w:eastAsia="en-AU"/>
        </w:rPr>
        <w:t>)</w:t>
      </w:r>
      <w:r w:rsidR="002A6C34">
        <w:rPr>
          <w:lang w:eastAsia="en-AU"/>
        </w:rPr>
        <w:t>.</w:t>
      </w:r>
      <w:r w:rsidR="007701E7">
        <w:rPr>
          <w:lang w:eastAsia="en-AU"/>
        </w:rPr>
        <w:t xml:space="preserve"> The proposed items would</w:t>
      </w:r>
      <w:r w:rsidR="00503FB1">
        <w:rPr>
          <w:lang w:eastAsia="en-AU"/>
        </w:rPr>
        <w:t xml:space="preserve"> provide </w:t>
      </w:r>
      <w:r w:rsidR="00410400">
        <w:rPr>
          <w:lang w:eastAsia="en-AU"/>
        </w:rPr>
        <w:t xml:space="preserve">greater visibility over </w:t>
      </w:r>
      <w:r w:rsidR="004B2161">
        <w:rPr>
          <w:lang w:eastAsia="en-AU"/>
        </w:rPr>
        <w:t xml:space="preserve">the use of the proposed new market-based reporting arrangements by requiring </w:t>
      </w:r>
      <w:r w:rsidR="00B248A1">
        <w:rPr>
          <w:lang w:eastAsia="en-AU"/>
        </w:rPr>
        <w:t xml:space="preserve">reporters who make use of these provisions to identify the </w:t>
      </w:r>
      <w:r w:rsidR="0068038D">
        <w:rPr>
          <w:lang w:eastAsia="en-AU"/>
        </w:rPr>
        <w:t xml:space="preserve">eligible renewable gas certificates, and the amount of renewable gas represented by those certificates, used to underpin their reporting. </w:t>
      </w:r>
    </w:p>
    <w:p w14:paraId="5D9FBCC4" w14:textId="0C61A2EA" w:rsidR="00045A2F" w:rsidRPr="00305CD3" w:rsidRDefault="00B2060B" w:rsidP="00305CD3">
      <w:pPr>
        <w:rPr>
          <w:lang w:eastAsia="en-AU"/>
        </w:rPr>
      </w:pPr>
      <w:r>
        <w:rPr>
          <w:lang w:eastAsia="en-AU"/>
        </w:rPr>
        <w:t>The proposed new market-based reporting arrangements</w:t>
      </w:r>
      <w:r w:rsidR="00FA6370">
        <w:rPr>
          <w:lang w:eastAsia="en-AU"/>
        </w:rPr>
        <w:t xml:space="preserve"> can also be used </w:t>
      </w:r>
      <w:r w:rsidR="00FB0AAA">
        <w:rPr>
          <w:lang w:eastAsia="en-AU"/>
        </w:rPr>
        <w:t>for</w:t>
      </w:r>
      <w:r w:rsidR="007F31D4">
        <w:rPr>
          <w:lang w:eastAsia="en-AU"/>
        </w:rPr>
        <w:t xml:space="preserve"> the reporting of </w:t>
      </w:r>
      <w:r w:rsidR="00D92F58">
        <w:rPr>
          <w:lang w:eastAsia="en-AU"/>
        </w:rPr>
        <w:t xml:space="preserve">scope 1 </w:t>
      </w:r>
      <w:r w:rsidR="008311D4">
        <w:rPr>
          <w:lang w:eastAsia="en-AU"/>
        </w:rPr>
        <w:t xml:space="preserve">emissions from the </w:t>
      </w:r>
      <w:r w:rsidR="00320E6E">
        <w:rPr>
          <w:lang w:eastAsia="en-AU"/>
        </w:rPr>
        <w:t xml:space="preserve">consumption of </w:t>
      </w:r>
      <w:r w:rsidR="00AA6A27">
        <w:rPr>
          <w:lang w:eastAsia="en-AU"/>
        </w:rPr>
        <w:t xml:space="preserve">fuel received from the natural gas network that is </w:t>
      </w:r>
      <w:r w:rsidR="006821D8">
        <w:rPr>
          <w:lang w:eastAsia="en-AU"/>
        </w:rPr>
        <w:t>use</w:t>
      </w:r>
      <w:r w:rsidR="00AA6A27">
        <w:rPr>
          <w:lang w:eastAsia="en-AU"/>
        </w:rPr>
        <w:t>d as a</w:t>
      </w:r>
      <w:r w:rsidR="008311D4">
        <w:rPr>
          <w:lang w:eastAsia="en-AU"/>
        </w:rPr>
        <w:t xml:space="preserve"> </w:t>
      </w:r>
      <w:r w:rsidR="00891898">
        <w:rPr>
          <w:lang w:eastAsia="en-AU"/>
        </w:rPr>
        <w:t>feedstock</w:t>
      </w:r>
      <w:r w:rsidR="00CA64B7">
        <w:rPr>
          <w:lang w:eastAsia="en-AU"/>
        </w:rPr>
        <w:t xml:space="preserve"> in industrial processes (for example, ammonia production</w:t>
      </w:r>
      <w:r w:rsidR="001E1D2F">
        <w:rPr>
          <w:lang w:eastAsia="en-AU"/>
        </w:rPr>
        <w:t xml:space="preserve"> and hydrogen production</w:t>
      </w:r>
      <w:r w:rsidR="00CA64B7">
        <w:rPr>
          <w:lang w:eastAsia="en-AU"/>
        </w:rPr>
        <w:t>)</w:t>
      </w:r>
      <w:r w:rsidR="00F05189">
        <w:rPr>
          <w:lang w:eastAsia="en-AU"/>
        </w:rPr>
        <w:t>.</w:t>
      </w:r>
      <w:r w:rsidR="00891898">
        <w:rPr>
          <w:lang w:eastAsia="en-AU"/>
        </w:rPr>
        <w:t xml:space="preserve"> </w:t>
      </w:r>
      <w:r w:rsidR="00B63051">
        <w:rPr>
          <w:lang w:eastAsia="en-AU"/>
        </w:rPr>
        <w:t xml:space="preserve">As such, </w:t>
      </w:r>
      <w:r w:rsidR="00BF302F">
        <w:rPr>
          <w:lang w:eastAsia="en-AU"/>
        </w:rPr>
        <w:t>t</w:t>
      </w:r>
      <w:r w:rsidR="00307913">
        <w:rPr>
          <w:lang w:eastAsia="en-AU"/>
        </w:rPr>
        <w:t xml:space="preserve">he </w:t>
      </w:r>
      <w:r w:rsidR="00AD3682">
        <w:t>department</w:t>
      </w:r>
      <w:r w:rsidR="00AD3682" w:rsidDel="00AD3682">
        <w:rPr>
          <w:lang w:eastAsia="en-AU"/>
        </w:rPr>
        <w:t xml:space="preserve"> </w:t>
      </w:r>
      <w:r w:rsidR="002A6ED8">
        <w:rPr>
          <w:lang w:eastAsia="en-AU"/>
        </w:rPr>
        <w:t>also</w:t>
      </w:r>
      <w:r w:rsidR="00307913">
        <w:rPr>
          <w:lang w:eastAsia="en-AU"/>
        </w:rPr>
        <w:t xml:space="preserve"> </w:t>
      </w:r>
      <w:r w:rsidR="000B32AA">
        <w:rPr>
          <w:lang w:eastAsia="en-AU"/>
        </w:rPr>
        <w:t xml:space="preserve">proposes to </w:t>
      </w:r>
      <w:r w:rsidR="002C402B">
        <w:rPr>
          <w:lang w:eastAsia="en-AU"/>
        </w:rPr>
        <w:t xml:space="preserve">specify new reportable items </w:t>
      </w:r>
      <w:r w:rsidR="002C402B" w:rsidRPr="00AF6526">
        <w:rPr>
          <w:lang w:eastAsia="en-AU"/>
        </w:rPr>
        <w:t xml:space="preserve">in Schedule 4 of the Measurement Determination (Matters to be identified in relation to sources) in relation to </w:t>
      </w:r>
      <w:r w:rsidR="004D4512">
        <w:rPr>
          <w:lang w:eastAsia="en-AU"/>
        </w:rPr>
        <w:t>relevant industrial process</w:t>
      </w:r>
      <w:r w:rsidR="002C402B" w:rsidRPr="00AF6526">
        <w:rPr>
          <w:lang w:eastAsia="en-AU"/>
        </w:rPr>
        <w:t xml:space="preserve"> sources</w:t>
      </w:r>
      <w:r w:rsidR="004D4512">
        <w:rPr>
          <w:lang w:eastAsia="en-AU"/>
        </w:rPr>
        <w:t xml:space="preserve">. </w:t>
      </w:r>
      <w:r w:rsidR="00082FDF">
        <w:rPr>
          <w:lang w:eastAsia="en-AU"/>
        </w:rPr>
        <w:t>The proposed new items are subject to further legislative drafting and so are not included in the Exposure Draft</w:t>
      </w:r>
      <w:r w:rsidR="00927CE9">
        <w:rPr>
          <w:lang w:eastAsia="en-AU"/>
        </w:rPr>
        <w:t>.</w:t>
      </w:r>
      <w:r w:rsidR="00130970">
        <w:rPr>
          <w:lang w:eastAsia="en-AU"/>
        </w:rPr>
        <w:t xml:space="preserve"> The </w:t>
      </w:r>
      <w:r w:rsidR="00AD3682">
        <w:t>department</w:t>
      </w:r>
      <w:r w:rsidR="00AD3682" w:rsidDel="00AD3682">
        <w:rPr>
          <w:lang w:eastAsia="en-AU"/>
        </w:rPr>
        <w:t xml:space="preserve"> </w:t>
      </w:r>
      <w:r w:rsidR="00130970">
        <w:rPr>
          <w:lang w:eastAsia="en-AU"/>
        </w:rPr>
        <w:t xml:space="preserve">expects they will be similar to those proposed for fuel combustions sources. </w:t>
      </w:r>
    </w:p>
    <w:p w14:paraId="08671125" w14:textId="77777777" w:rsidR="0090355C" w:rsidRDefault="0090355C" w:rsidP="00233CAC">
      <w:pPr>
        <w:pStyle w:val="Heading4"/>
      </w:pPr>
      <w:r>
        <w:t>Including hydrogen as a reportable fuel type</w:t>
      </w:r>
    </w:p>
    <w:p w14:paraId="575F0357" w14:textId="01B67F9D" w:rsidR="00813ADF" w:rsidRDefault="006435B3" w:rsidP="00A75882">
      <w:r>
        <w:rPr>
          <w:bCs/>
          <w:lang w:eastAsia="en-AU"/>
        </w:rPr>
        <w:t xml:space="preserve">Hydrogen is currently classified in the NGER scheme as an </w:t>
      </w:r>
      <w:r>
        <w:rPr>
          <w:bCs/>
          <w:i/>
          <w:iCs/>
          <w:lang w:eastAsia="en-AU"/>
        </w:rPr>
        <w:t>energy commodity</w:t>
      </w:r>
      <w:r>
        <w:rPr>
          <w:bCs/>
          <w:lang w:eastAsia="en-AU"/>
        </w:rPr>
        <w:t xml:space="preserve">. </w:t>
      </w:r>
      <w:r w:rsidR="00A75882">
        <w:t xml:space="preserve">To support its inclusion in the market-based reporting arrangements, the </w:t>
      </w:r>
      <w:r w:rsidR="00AD3682">
        <w:t>department</w:t>
      </w:r>
      <w:r w:rsidR="00AD3682" w:rsidDel="00AD3682">
        <w:t xml:space="preserve"> </w:t>
      </w:r>
      <w:r w:rsidR="00A0007F">
        <w:t xml:space="preserve">proposes to </w:t>
      </w:r>
      <w:r>
        <w:t xml:space="preserve">reclassify </w:t>
      </w:r>
      <w:r w:rsidR="00AA4D67">
        <w:t>hydrogen a</w:t>
      </w:r>
      <w:r w:rsidR="005E29B1">
        <w:t>s</w:t>
      </w:r>
      <w:r w:rsidR="00B677CC">
        <w:t xml:space="preserve"> a </w:t>
      </w:r>
      <w:r w:rsidR="00B677CC">
        <w:rPr>
          <w:i/>
          <w:iCs/>
        </w:rPr>
        <w:t>fuel</w:t>
      </w:r>
      <w:r w:rsidR="00B677CC">
        <w:t>.</w:t>
      </w:r>
      <w:r w:rsidR="00786AFF">
        <w:t xml:space="preserve"> This </w:t>
      </w:r>
      <w:r w:rsidR="003E25BC">
        <w:t xml:space="preserve">will </w:t>
      </w:r>
      <w:r w:rsidR="002E18C4">
        <w:t xml:space="preserve">be </w:t>
      </w:r>
      <w:r w:rsidR="003E25BC">
        <w:t xml:space="preserve">done </w:t>
      </w:r>
      <w:r w:rsidR="00E840CD">
        <w:t xml:space="preserve">through associated amendments to the NGER Regulations. </w:t>
      </w:r>
      <w:r w:rsidR="00B677CC">
        <w:t xml:space="preserve"> </w:t>
      </w:r>
    </w:p>
    <w:p w14:paraId="612C1314" w14:textId="7588C410" w:rsidR="00DF20EB" w:rsidRDefault="00E840CD" w:rsidP="00A75882">
      <w:r>
        <w:t>Making hydrogen an NGER scheme fuel type means it</w:t>
      </w:r>
      <w:r w:rsidR="0051122E">
        <w:t xml:space="preserve"> </w:t>
      </w:r>
      <w:r w:rsidR="00E06C9F">
        <w:t>must be listed i</w:t>
      </w:r>
      <w:r w:rsidR="00A75882">
        <w:t>n</w:t>
      </w:r>
      <w:r w:rsidR="007574CF">
        <w:t xml:space="preserve"> Part 2 of</w:t>
      </w:r>
      <w:r w:rsidR="00F241E0">
        <w:t xml:space="preserve"> </w:t>
      </w:r>
      <w:r w:rsidR="00A75882">
        <w:t>Schedule 1 of the Measurement Determination, along with an energy content factor and emission factors, in terms of kg CO</w:t>
      </w:r>
      <w:r w:rsidR="00A75882" w:rsidRPr="14EBA632">
        <w:rPr>
          <w:vertAlign w:val="subscript"/>
        </w:rPr>
        <w:t>2</w:t>
      </w:r>
      <w:r w:rsidR="00A75882">
        <w:t>-e/GJ, for scope 1 emissions of CO</w:t>
      </w:r>
      <w:r w:rsidR="00A75882" w:rsidRPr="14EBA632">
        <w:rPr>
          <w:vertAlign w:val="subscript"/>
        </w:rPr>
        <w:t>2</w:t>
      </w:r>
      <w:r w:rsidR="00A75882">
        <w:t>, CH</w:t>
      </w:r>
      <w:r w:rsidR="00A75882" w:rsidRPr="14EBA632">
        <w:rPr>
          <w:vertAlign w:val="subscript"/>
        </w:rPr>
        <w:t>4</w:t>
      </w:r>
      <w:r w:rsidR="00A75882">
        <w:t xml:space="preserve"> and N</w:t>
      </w:r>
      <w:r w:rsidR="00A75882" w:rsidRPr="14EBA632">
        <w:rPr>
          <w:vertAlign w:val="subscript"/>
        </w:rPr>
        <w:t>2</w:t>
      </w:r>
      <w:r w:rsidR="00A75882">
        <w:t>O released from combustion of hydrogen</w:t>
      </w:r>
      <w:r w:rsidR="00AF35CA">
        <w:t xml:space="preserve"> (see Schedule 1, Item </w:t>
      </w:r>
      <w:r w:rsidR="003D0D47">
        <w:t>40</w:t>
      </w:r>
      <w:r w:rsidR="00AF35CA">
        <w:t>)</w:t>
      </w:r>
      <w:r w:rsidR="00A75882">
        <w:t>. Combustion of hydrogen does not lead to scope 1 emissions of CO</w:t>
      </w:r>
      <w:r w:rsidR="00A75882" w:rsidRPr="14EBA632">
        <w:rPr>
          <w:vertAlign w:val="subscript"/>
        </w:rPr>
        <w:t>2</w:t>
      </w:r>
      <w:r w:rsidR="00A75882">
        <w:t xml:space="preserve"> or </w:t>
      </w:r>
      <w:r w:rsidR="00E419F7">
        <w:t>CH</w:t>
      </w:r>
      <w:r w:rsidR="00E419F7" w:rsidRPr="14EBA632">
        <w:rPr>
          <w:vertAlign w:val="subscript"/>
        </w:rPr>
        <w:t xml:space="preserve">4 </w:t>
      </w:r>
      <w:r w:rsidR="00E419F7" w:rsidRPr="00E419F7">
        <w:t>but</w:t>
      </w:r>
      <w:r w:rsidR="00B72B92">
        <w:t xml:space="preserve"> does </w:t>
      </w:r>
      <w:r w:rsidR="00E419F7">
        <w:t>release</w:t>
      </w:r>
      <w:r w:rsidR="00A75882">
        <w:t xml:space="preserve"> N</w:t>
      </w:r>
      <w:r w:rsidR="00A75882" w:rsidRPr="14EBA632">
        <w:rPr>
          <w:vertAlign w:val="subscript"/>
        </w:rPr>
        <w:t>2</w:t>
      </w:r>
      <w:r w:rsidR="00A75882">
        <w:t>O</w:t>
      </w:r>
      <w:r w:rsidR="00E419F7">
        <w:t xml:space="preserve"> emissions</w:t>
      </w:r>
      <w:r w:rsidR="00A75882">
        <w:t xml:space="preserve">. The </w:t>
      </w:r>
      <w:r w:rsidR="00AD3682">
        <w:t>department</w:t>
      </w:r>
      <w:r w:rsidR="00AD3682" w:rsidDel="00AD3682">
        <w:t xml:space="preserve"> </w:t>
      </w:r>
      <w:r w:rsidR="00A75882">
        <w:t>is in the process of undertaking a review of domestic and international literature and research to help inform the setting of</w:t>
      </w:r>
      <w:r w:rsidR="00AF35CA">
        <w:t xml:space="preserve"> an N</w:t>
      </w:r>
      <w:r w:rsidR="00AF35CA">
        <w:rPr>
          <w:vertAlign w:val="subscript"/>
        </w:rPr>
        <w:t>2</w:t>
      </w:r>
      <w:r w:rsidR="00AF35CA">
        <w:t>O</w:t>
      </w:r>
      <w:r w:rsidR="00A75882">
        <w:t xml:space="preserve"> emission factor for hydrogen in the Measurement Determination. </w:t>
      </w:r>
      <w:r w:rsidR="002F7E9A">
        <w:t xml:space="preserve">This factor is subject to further </w:t>
      </w:r>
      <w:r w:rsidR="00685035">
        <w:t>development</w:t>
      </w:r>
      <w:r w:rsidR="00B85C8B">
        <w:t>,</w:t>
      </w:r>
      <w:r w:rsidR="003F710B">
        <w:t xml:space="preserve"> so is not included in the Exposure Draft. </w:t>
      </w:r>
      <w:r w:rsidR="003575A8">
        <w:t xml:space="preserve">However, </w:t>
      </w:r>
      <w:r w:rsidR="00594304">
        <w:t xml:space="preserve">without prejudice to the outcomes of the technical review, </w:t>
      </w:r>
      <w:r w:rsidR="003575A8">
        <w:t xml:space="preserve">the </w:t>
      </w:r>
      <w:r w:rsidR="00AD3682">
        <w:t>department</w:t>
      </w:r>
      <w:r w:rsidR="00AD3682" w:rsidDel="00AD3682">
        <w:t xml:space="preserve"> </w:t>
      </w:r>
      <w:r w:rsidR="00594304">
        <w:t>expects the emission</w:t>
      </w:r>
      <w:r w:rsidR="00594304" w:rsidRPr="00594304">
        <w:t xml:space="preserve"> </w:t>
      </w:r>
      <w:r w:rsidR="00594304">
        <w:t>N</w:t>
      </w:r>
      <w:r w:rsidR="00594304">
        <w:rPr>
          <w:vertAlign w:val="subscript"/>
        </w:rPr>
        <w:t>2</w:t>
      </w:r>
      <w:r w:rsidR="00594304">
        <w:t>O emission factor for hydrogen to be</w:t>
      </w:r>
      <w:r w:rsidR="00DF20EB">
        <w:t xml:space="preserve"> </w:t>
      </w:r>
      <w:r w:rsidR="0094310C">
        <w:t>similar</w:t>
      </w:r>
      <w:r w:rsidR="00EE29A0">
        <w:t xml:space="preserve"> to the N</w:t>
      </w:r>
      <w:r w:rsidR="00EE29A0">
        <w:rPr>
          <w:vertAlign w:val="subscript"/>
        </w:rPr>
        <w:t>2</w:t>
      </w:r>
      <w:r w:rsidR="00EE29A0">
        <w:t xml:space="preserve">O emission factor for natural gas transmitted or distributed in a pipeline. </w:t>
      </w:r>
    </w:p>
    <w:p w14:paraId="0D00FF75" w14:textId="1A1C1EB6" w:rsidR="00E2330C" w:rsidRPr="00B10242" w:rsidRDefault="00AB52AD" w:rsidP="00380FF4">
      <w:r>
        <w:t xml:space="preserve">Various other consequential amendments </w:t>
      </w:r>
      <w:r w:rsidR="007574CF">
        <w:t>are</w:t>
      </w:r>
      <w:r w:rsidR="00A63704">
        <w:t xml:space="preserve"> also required </w:t>
      </w:r>
      <w:r w:rsidR="007574CF">
        <w:t>because of</w:t>
      </w:r>
      <w:r w:rsidR="00A63704">
        <w:t xml:space="preserve"> hydrogen </w:t>
      </w:r>
      <w:r w:rsidR="007A61BE">
        <w:t>being reclassified as a fuel</w:t>
      </w:r>
      <w:r w:rsidR="00484662">
        <w:t xml:space="preserve">. Proposed amendments to </w:t>
      </w:r>
      <w:r w:rsidR="00353047">
        <w:t xml:space="preserve">Chapter 8 and </w:t>
      </w:r>
      <w:r w:rsidR="00045DB0">
        <w:t xml:space="preserve">Schedule 3 are included in the Exposure Draft (see </w:t>
      </w:r>
      <w:r w:rsidR="00A315E7">
        <w:t xml:space="preserve">Schedule 1, Items </w:t>
      </w:r>
      <w:r w:rsidR="003D0D47">
        <w:t>38</w:t>
      </w:r>
      <w:r w:rsidR="007873F9">
        <w:t xml:space="preserve"> </w:t>
      </w:r>
      <w:r w:rsidR="00A315E7">
        <w:t xml:space="preserve">and </w:t>
      </w:r>
      <w:r w:rsidR="003D0D47">
        <w:t>42</w:t>
      </w:r>
      <w:r w:rsidR="00A315E7">
        <w:t>).</w:t>
      </w:r>
      <w:r w:rsidR="00743487">
        <w:t xml:space="preserve"> Consequential amendments to Chapter 6 and Part 7 of Schedule </w:t>
      </w:r>
      <w:r w:rsidR="00853E86">
        <w:t xml:space="preserve">1 will also be required – these proposed </w:t>
      </w:r>
      <w:r w:rsidR="00121BF3">
        <w:t xml:space="preserve">amendments </w:t>
      </w:r>
      <w:r w:rsidR="007A6FA3">
        <w:t>are</w:t>
      </w:r>
      <w:r w:rsidR="003F6EE6">
        <w:t xml:space="preserve"> administrative in nature and</w:t>
      </w:r>
      <w:r w:rsidR="007A6FA3">
        <w:t xml:space="preserve"> </w:t>
      </w:r>
      <w:r w:rsidR="00F636F2">
        <w:t xml:space="preserve">are </w:t>
      </w:r>
      <w:r w:rsidR="00672526">
        <w:t xml:space="preserve">subject to </w:t>
      </w:r>
      <w:r w:rsidR="00994A95" w:rsidRPr="00994A95">
        <w:t>further legislative drafting</w:t>
      </w:r>
      <w:r w:rsidR="009F7A5A">
        <w:t xml:space="preserve">, </w:t>
      </w:r>
      <w:r w:rsidR="00994A95" w:rsidRPr="00994A95">
        <w:t>so are not included in the Exposure Draft</w:t>
      </w:r>
      <w:r w:rsidR="00994A95">
        <w:t>.</w:t>
      </w:r>
    </w:p>
    <w:p w14:paraId="5C1EB146" w14:textId="00859FB6" w:rsidR="00550466" w:rsidRDefault="00F011E4" w:rsidP="005D5E70">
      <w:pPr>
        <w:pStyle w:val="Heading3"/>
      </w:pPr>
      <w:bookmarkStart w:id="13" w:name="_Toc191373891"/>
      <w:r>
        <w:t>F</w:t>
      </w:r>
      <w:r w:rsidR="00550466">
        <w:t>ugitive</w:t>
      </w:r>
      <w:r w:rsidR="00413D64">
        <w:t xml:space="preserve"> emissions</w:t>
      </w:r>
      <w:r w:rsidR="00550466">
        <w:t xml:space="preserve"> </w:t>
      </w:r>
      <w:r>
        <w:t xml:space="preserve">from oil and </w:t>
      </w:r>
      <w:r w:rsidR="00852686">
        <w:t xml:space="preserve">natural </w:t>
      </w:r>
      <w:r>
        <w:t>gas operations</w:t>
      </w:r>
      <w:bookmarkEnd w:id="13"/>
    </w:p>
    <w:p w14:paraId="0544D180" w14:textId="225088A4" w:rsidR="002A4118" w:rsidRDefault="002A4118" w:rsidP="00603766">
      <w:pPr>
        <w:pStyle w:val="Heading4"/>
      </w:pPr>
      <w:r>
        <w:t xml:space="preserve">Updates to the emissions factors used in Method 1 and Method 2A for gas flared during </w:t>
      </w:r>
      <w:r w:rsidR="00906F47">
        <w:t>oil and gas operations</w:t>
      </w:r>
    </w:p>
    <w:p w14:paraId="362A5D56" w14:textId="1524F549" w:rsidR="003277D1" w:rsidRPr="00F82D8B" w:rsidRDefault="00A110B3" w:rsidP="00F82D8B">
      <w:r w:rsidRPr="00F82D8B">
        <w:t xml:space="preserve">Divisions 3.3.9A to 3.3.9G of the Measurement Determination provide for the estimation of fugitive greenhouse gas emissions from flaring from </w:t>
      </w:r>
      <w:r w:rsidR="004C3ED3" w:rsidRPr="00F82D8B">
        <w:t>oil and gas operations</w:t>
      </w:r>
      <w:r w:rsidRPr="00F82D8B">
        <w:t>. Currently NGER reporters have the option of estimating fugitive emissions from flaring of gas in accordance with Methods 1, 2, 2A, 2B, or 3.</w:t>
      </w:r>
    </w:p>
    <w:p w14:paraId="4807DAAF" w14:textId="69C8500C" w:rsidR="003277D1" w:rsidRPr="00F82D8B" w:rsidRDefault="003277D1" w:rsidP="00F82D8B">
      <w:r w:rsidRPr="00F82D8B">
        <w:t xml:space="preserve">Methods 1 and 2A provide emission factors for </w:t>
      </w:r>
      <w:r w:rsidR="00CB6D59">
        <w:t>CO</w:t>
      </w:r>
      <w:r w:rsidR="00CB6D59" w:rsidRPr="14EBA632">
        <w:rPr>
          <w:vertAlign w:val="subscript"/>
        </w:rPr>
        <w:t>2</w:t>
      </w:r>
      <w:r w:rsidRPr="00F82D8B">
        <w:t xml:space="preserve">, </w:t>
      </w:r>
      <w:r w:rsidR="5CB74EA8" w:rsidRPr="00F82D8B">
        <w:t>methane (</w:t>
      </w:r>
      <w:r w:rsidRPr="00F82D8B">
        <w:t>CH</w:t>
      </w:r>
      <w:r w:rsidRPr="00866591">
        <w:rPr>
          <w:vertAlign w:val="subscript"/>
        </w:rPr>
        <w:t>4</w:t>
      </w:r>
      <w:r w:rsidR="0A2482FC" w:rsidRPr="00F82D8B">
        <w:t>)</w:t>
      </w:r>
      <w:r w:rsidR="4A9E71D4" w:rsidRPr="00F82D8B">
        <w:t>,</w:t>
      </w:r>
      <w:r w:rsidRPr="00F82D8B">
        <w:t xml:space="preserve"> and N</w:t>
      </w:r>
      <w:r w:rsidRPr="00866591">
        <w:rPr>
          <w:vertAlign w:val="subscript"/>
        </w:rPr>
        <w:t>2</w:t>
      </w:r>
      <w:r w:rsidRPr="00F82D8B">
        <w:t>O to use in the estimation of emissions from gas flared and from crude oil and liquids flared.</w:t>
      </w:r>
      <w:r w:rsidR="007E5148" w:rsidRPr="00F82D8B">
        <w:t xml:space="preserve"> </w:t>
      </w:r>
    </w:p>
    <w:p w14:paraId="1371FD6E" w14:textId="6D9F6A98" w:rsidR="00064872" w:rsidRDefault="001438B7" w:rsidP="00F82D8B">
      <w:r w:rsidRPr="00F82D8B">
        <w:t>A</w:t>
      </w:r>
      <w:r w:rsidR="003277D1" w:rsidRPr="00F82D8B">
        <w:t xml:space="preserve">s part of </w:t>
      </w:r>
      <w:r w:rsidR="003D55E8" w:rsidRPr="00F82D8B">
        <w:t>its</w:t>
      </w:r>
      <w:r w:rsidR="00637061" w:rsidRPr="00F82D8B">
        <w:t xml:space="preserve"> continuous </w:t>
      </w:r>
      <w:r w:rsidR="003277D1" w:rsidRPr="00F82D8B">
        <w:t xml:space="preserve">improvement process, the </w:t>
      </w:r>
      <w:r w:rsidR="00C71496">
        <w:t>d</w:t>
      </w:r>
      <w:r w:rsidR="003277D1" w:rsidRPr="00F82D8B">
        <w:t xml:space="preserve">epartment reviewed </w:t>
      </w:r>
      <w:r w:rsidR="003277D1" w:rsidRPr="66EDD0DB">
        <w:t>the emissions factors and activity data for flaring of gas</w:t>
      </w:r>
      <w:r w:rsidR="003277D1">
        <w:t>.</w:t>
      </w:r>
    </w:p>
    <w:p w14:paraId="015B1003" w14:textId="266C8AF5" w:rsidR="00E228DC" w:rsidRDefault="00E3589E" w:rsidP="00F82D8B">
      <w:r>
        <w:t xml:space="preserve">The review identified an unintentional inconsistency between the emission factors </w:t>
      </w:r>
      <w:r w:rsidRPr="00F82D8B">
        <w:t>across flaring sources in the Measurement Determination</w:t>
      </w:r>
      <w:r>
        <w:t xml:space="preserve"> and identified a more suitable approach to deriving the existing factors.</w:t>
      </w:r>
      <w:r w:rsidR="00FD7293">
        <w:t xml:space="preserve"> </w:t>
      </w:r>
    </w:p>
    <w:p w14:paraId="52F574D0" w14:textId="70FD1C78" w:rsidR="00144E30" w:rsidRDefault="00E5000D" w:rsidP="00F82D8B">
      <w:r>
        <w:t xml:space="preserve">The </w:t>
      </w:r>
      <w:r w:rsidR="00746DC6">
        <w:t xml:space="preserve">existing factors are </w:t>
      </w:r>
      <w:r w:rsidR="00E86D8F">
        <w:t xml:space="preserve">sourced from </w:t>
      </w:r>
      <w:r w:rsidR="00DB1973" w:rsidRPr="66EDD0DB">
        <w:t xml:space="preserve">the </w:t>
      </w:r>
      <w:r w:rsidR="00DB1973" w:rsidRPr="00F82D8B">
        <w:t>Methods for Estimating Atmospheric Emissions from E&amp;P Operations</w:t>
      </w:r>
      <w:r w:rsidR="00DB1973" w:rsidRPr="66EDD0DB">
        <w:t xml:space="preserve"> published by the E&amp;P Forum in September 1994</w:t>
      </w:r>
      <w:r w:rsidR="005A0E54">
        <w:t xml:space="preserve"> (1994 E&amp;P</w:t>
      </w:r>
      <w:r w:rsidR="00CA36EC">
        <w:t>).</w:t>
      </w:r>
      <w:r w:rsidR="005068C8">
        <w:t xml:space="preserve"> </w:t>
      </w:r>
      <w:r w:rsidR="007E41AA">
        <w:t>1994 E&amp;P</w:t>
      </w:r>
      <w:r w:rsidR="00514495">
        <w:t xml:space="preserve"> provide</w:t>
      </w:r>
      <w:r w:rsidR="005665F8">
        <w:t>s</w:t>
      </w:r>
      <w:r w:rsidR="00514495">
        <w:t xml:space="preserve"> </w:t>
      </w:r>
      <w:r w:rsidR="00F14495">
        <w:t xml:space="preserve">limited </w:t>
      </w:r>
      <w:r w:rsidR="00BE3188">
        <w:t>information on</w:t>
      </w:r>
      <w:r w:rsidR="00761B81">
        <w:t xml:space="preserve"> </w:t>
      </w:r>
      <w:r w:rsidR="000A33A1">
        <w:t>how the factors</w:t>
      </w:r>
      <w:r w:rsidR="00AC4CAC">
        <w:t xml:space="preserve"> </w:t>
      </w:r>
      <w:r w:rsidR="000A33A1">
        <w:t>were derived</w:t>
      </w:r>
      <w:r w:rsidR="00822008">
        <w:t xml:space="preserve">, </w:t>
      </w:r>
      <w:r w:rsidR="00514495">
        <w:t xml:space="preserve">including </w:t>
      </w:r>
      <w:r w:rsidR="00441E4D">
        <w:t>on</w:t>
      </w:r>
      <w:r w:rsidR="00497003">
        <w:t xml:space="preserve"> underpinning</w:t>
      </w:r>
      <w:r w:rsidR="00D74D41">
        <w:t xml:space="preserve"> assumptions </w:t>
      </w:r>
      <w:r w:rsidR="000D2FA8">
        <w:t xml:space="preserve">(such as assumed gas composition) </w:t>
      </w:r>
      <w:r w:rsidR="00497003">
        <w:t>and data sample size</w:t>
      </w:r>
      <w:r w:rsidR="00514495">
        <w:t xml:space="preserve">. </w:t>
      </w:r>
      <w:r w:rsidR="003670F2">
        <w:t xml:space="preserve">It also </w:t>
      </w:r>
      <w:r w:rsidR="009347ED">
        <w:t>applie</w:t>
      </w:r>
      <w:r w:rsidR="006F4703">
        <w:t>s</w:t>
      </w:r>
      <w:r w:rsidR="009347ED">
        <w:t xml:space="preserve"> an assumed</w:t>
      </w:r>
      <w:r w:rsidR="009347ED" w:rsidRPr="66EDD0DB">
        <w:t xml:space="preserve"> oxidation factor of 95%</w:t>
      </w:r>
      <w:r w:rsidR="009347ED">
        <w:t xml:space="preserve"> that is inconsistent with the </w:t>
      </w:r>
      <w:r w:rsidR="00E81A9F">
        <w:rPr>
          <w:lang w:eastAsia="en-AU"/>
        </w:rPr>
        <w:t>default oxidation factor</w:t>
      </w:r>
      <w:r w:rsidR="00F4033D">
        <w:rPr>
          <w:lang w:eastAsia="en-AU"/>
        </w:rPr>
        <w:t>s o</w:t>
      </w:r>
      <w:r w:rsidR="00A20C75">
        <w:rPr>
          <w:lang w:eastAsia="en-AU"/>
        </w:rPr>
        <w:t>f</w:t>
      </w:r>
      <w:r w:rsidR="00F4033D">
        <w:rPr>
          <w:lang w:eastAsia="en-AU"/>
        </w:rPr>
        <w:t xml:space="preserve"> 98% and 99.5%</w:t>
      </w:r>
      <w:r w:rsidR="00E81A9F">
        <w:rPr>
          <w:lang w:eastAsia="en-AU"/>
        </w:rPr>
        <w:t xml:space="preserve"> </w:t>
      </w:r>
      <w:r w:rsidR="00E21855">
        <w:rPr>
          <w:lang w:eastAsia="en-AU"/>
        </w:rPr>
        <w:t xml:space="preserve">from the </w:t>
      </w:r>
      <w:r w:rsidR="009347ED">
        <w:rPr>
          <w:lang w:eastAsia="en-AU"/>
        </w:rPr>
        <w:t>2006 IPCC guidelines</w:t>
      </w:r>
      <w:r w:rsidR="00E50039">
        <w:rPr>
          <w:lang w:eastAsia="en-AU"/>
        </w:rPr>
        <w:t xml:space="preserve"> (IPCC 2006)</w:t>
      </w:r>
      <w:r w:rsidR="009347ED" w:rsidRPr="0060281F">
        <w:rPr>
          <w:vertAlign w:val="superscript"/>
        </w:rPr>
        <w:footnoteReference w:id="15"/>
      </w:r>
      <w:r w:rsidR="00166B2B">
        <w:rPr>
          <w:lang w:eastAsia="en-AU"/>
        </w:rPr>
        <w:t xml:space="preserve">, </w:t>
      </w:r>
      <w:r w:rsidR="00A73A9E">
        <w:rPr>
          <w:lang w:eastAsia="en-AU"/>
        </w:rPr>
        <w:t xml:space="preserve">which </w:t>
      </w:r>
      <w:r w:rsidR="00D1001E">
        <w:rPr>
          <w:lang w:eastAsia="en-AU"/>
        </w:rPr>
        <w:t xml:space="preserve">have been </w:t>
      </w:r>
      <w:r w:rsidR="005C5916">
        <w:rPr>
          <w:lang w:eastAsia="en-AU"/>
        </w:rPr>
        <w:t>adopted under the Paris Agreement for the estimation of national greenhouse gas inventories</w:t>
      </w:r>
      <w:r w:rsidR="002930F7">
        <w:rPr>
          <w:lang w:eastAsia="en-AU"/>
        </w:rPr>
        <w:t>.</w:t>
      </w:r>
    </w:p>
    <w:p w14:paraId="060957D0" w14:textId="7B979912" w:rsidR="008E4A1A" w:rsidRDefault="00E3589E" w:rsidP="00F82D8B">
      <w:r>
        <w:t>The</w:t>
      </w:r>
      <w:r w:rsidR="00476B00" w:rsidRPr="00F82D8B">
        <w:t xml:space="preserve"> </w:t>
      </w:r>
      <w:r w:rsidR="00C71496">
        <w:t>d</w:t>
      </w:r>
      <w:r w:rsidR="004F094C" w:rsidRPr="00F82D8B">
        <w:t xml:space="preserve">epartment </w:t>
      </w:r>
      <w:r w:rsidR="00476B00" w:rsidRPr="00F82D8B">
        <w:t xml:space="preserve">has </w:t>
      </w:r>
      <w:r w:rsidR="006032BF" w:rsidRPr="00F82D8B">
        <w:t>developed revised for CO</w:t>
      </w:r>
      <w:r w:rsidR="006032BF" w:rsidRPr="0060281F">
        <w:rPr>
          <w:vertAlign w:val="subscript"/>
        </w:rPr>
        <w:t>2</w:t>
      </w:r>
      <w:r w:rsidR="006032BF" w:rsidRPr="00F82D8B">
        <w:t xml:space="preserve"> and CH</w:t>
      </w:r>
      <w:r w:rsidR="006032BF" w:rsidRPr="0060281F">
        <w:rPr>
          <w:vertAlign w:val="subscript"/>
        </w:rPr>
        <w:t>4</w:t>
      </w:r>
      <w:r w:rsidR="006032BF" w:rsidRPr="00F82D8B">
        <w:t xml:space="preserve"> emission factors </w:t>
      </w:r>
      <w:r w:rsidR="00476B00" w:rsidRPr="00F82D8B">
        <w:t>us</w:t>
      </w:r>
      <w:r w:rsidR="006032BF" w:rsidRPr="00F82D8B">
        <w:t>ing</w:t>
      </w:r>
      <w:r w:rsidR="00476B00" w:rsidRPr="00F82D8B">
        <w:t xml:space="preserve"> a carbon balance stoichiometry approach. </w:t>
      </w:r>
      <w:r w:rsidR="008E4A1A">
        <w:t xml:space="preserve">As </w:t>
      </w:r>
      <w:r w:rsidR="008E4A1A" w:rsidRPr="00F82D8B">
        <w:t>CO</w:t>
      </w:r>
      <w:r w:rsidR="008E4A1A" w:rsidRPr="0060281F">
        <w:rPr>
          <w:vertAlign w:val="subscript"/>
        </w:rPr>
        <w:t>2</w:t>
      </w:r>
      <w:r w:rsidR="008E4A1A" w:rsidRPr="00F82D8B">
        <w:t xml:space="preserve"> and CH</w:t>
      </w:r>
      <w:r w:rsidR="008E4A1A" w:rsidRPr="0060281F">
        <w:rPr>
          <w:vertAlign w:val="subscript"/>
        </w:rPr>
        <w:t>4</w:t>
      </w:r>
      <w:r w:rsidR="008E4A1A" w:rsidRPr="00F82D8B">
        <w:t xml:space="preserve"> represent 99.3% of emissions from flaring, the </w:t>
      </w:r>
      <w:r w:rsidR="00C71496">
        <w:t>d</w:t>
      </w:r>
      <w:r w:rsidR="008E4A1A" w:rsidRPr="00F82D8B">
        <w:t xml:space="preserve">epartment has </w:t>
      </w:r>
      <w:r w:rsidR="00214108" w:rsidRPr="00F82D8B">
        <w:t>prioriti</w:t>
      </w:r>
      <w:r w:rsidR="0063022D" w:rsidRPr="00F82D8B">
        <w:t>s</w:t>
      </w:r>
      <w:r w:rsidR="00214108" w:rsidRPr="00F82D8B">
        <w:t>ed</w:t>
      </w:r>
      <w:r w:rsidR="008E4A1A" w:rsidRPr="00F82D8B">
        <w:t xml:space="preserve"> reviewing and updating these emission factors.</w:t>
      </w:r>
      <w:r w:rsidR="00F55DBB" w:rsidRPr="00F82D8B">
        <w:t xml:space="preserve"> </w:t>
      </w:r>
      <w:r w:rsidR="008E4A1A">
        <w:t xml:space="preserve">The </w:t>
      </w:r>
      <w:r w:rsidR="00725DDA">
        <w:t xml:space="preserve">department also proposes to </w:t>
      </w:r>
      <w:r w:rsidR="00C617DE">
        <w:t>align the</w:t>
      </w:r>
      <w:r w:rsidR="008E4A1A">
        <w:t xml:space="preserve"> </w:t>
      </w:r>
      <w:r w:rsidR="00C452AE">
        <w:t>assumed oxi</w:t>
      </w:r>
      <w:r w:rsidR="00487433">
        <w:t>dation factor for the</w:t>
      </w:r>
      <w:r w:rsidR="008E4A1A">
        <w:t xml:space="preserve"> </w:t>
      </w:r>
      <w:r w:rsidR="008E4A1A" w:rsidRPr="00C5275A">
        <w:t>N</w:t>
      </w:r>
      <w:r w:rsidR="008E4A1A" w:rsidRPr="002014A5">
        <w:rPr>
          <w:vertAlign w:val="subscript"/>
        </w:rPr>
        <w:t>2</w:t>
      </w:r>
      <w:r w:rsidR="008E4A1A" w:rsidRPr="00C5275A">
        <w:t xml:space="preserve">O emission factor </w:t>
      </w:r>
      <w:r w:rsidR="00E50039">
        <w:t xml:space="preserve">with </w:t>
      </w:r>
      <w:r w:rsidR="009D4875">
        <w:t xml:space="preserve">the </w:t>
      </w:r>
      <w:r w:rsidR="00E50039" w:rsidRPr="004267BC">
        <w:rPr>
          <w:lang w:eastAsia="en-AU"/>
        </w:rPr>
        <w:t>IPCC 2006 default oxidation factor of 98%</w:t>
      </w:r>
      <w:r w:rsidR="00B9076D">
        <w:rPr>
          <w:lang w:eastAsia="en-AU"/>
        </w:rPr>
        <w:t xml:space="preserve"> for gas </w:t>
      </w:r>
      <w:r w:rsidR="00DC5E21">
        <w:rPr>
          <w:lang w:eastAsia="en-AU"/>
        </w:rPr>
        <w:t>flaring at oil and gas operations</w:t>
      </w:r>
      <w:r w:rsidR="00B9076D">
        <w:rPr>
          <w:lang w:eastAsia="en-AU"/>
        </w:rPr>
        <w:t xml:space="preserve"> and 99.5% for</w:t>
      </w:r>
      <w:r w:rsidR="00DC5E21">
        <w:rPr>
          <w:lang w:eastAsia="en-AU"/>
        </w:rPr>
        <w:t xml:space="preserve"> gas flaring at</w:t>
      </w:r>
      <w:r w:rsidR="00B9076D">
        <w:rPr>
          <w:lang w:eastAsia="en-AU"/>
        </w:rPr>
        <w:t xml:space="preserve"> refineries</w:t>
      </w:r>
      <w:r w:rsidR="00E50039" w:rsidRPr="004267BC">
        <w:rPr>
          <w:lang w:eastAsia="en-AU"/>
        </w:rPr>
        <w:t>.</w:t>
      </w:r>
      <w:r w:rsidR="00443529">
        <w:rPr>
          <w:lang w:eastAsia="en-AU"/>
        </w:rPr>
        <w:t xml:space="preserve"> </w:t>
      </w:r>
    </w:p>
    <w:p w14:paraId="2F7A81D5" w14:textId="012F7833" w:rsidR="008E4A1A" w:rsidRPr="00CF72C9" w:rsidRDefault="00D02906" w:rsidP="00F82D8B">
      <w:pPr>
        <w:rPr>
          <w:u w:val="single"/>
          <w:lang w:eastAsia="en-AU"/>
        </w:rPr>
      </w:pPr>
      <w:r>
        <w:rPr>
          <w:u w:val="single"/>
          <w:lang w:eastAsia="en-AU"/>
        </w:rPr>
        <w:t>Proposed r</w:t>
      </w:r>
      <w:r w:rsidR="00461FE5">
        <w:rPr>
          <w:u w:val="single"/>
          <w:lang w:eastAsia="en-AU"/>
        </w:rPr>
        <w:t xml:space="preserve">evised </w:t>
      </w:r>
      <w:r w:rsidR="007516BE" w:rsidRPr="0060281F">
        <w:rPr>
          <w:u w:val="single"/>
          <w:lang w:eastAsia="en-AU"/>
        </w:rPr>
        <w:t>CO</w:t>
      </w:r>
      <w:r w:rsidR="007516BE" w:rsidRPr="0060281F">
        <w:rPr>
          <w:u w:val="single"/>
          <w:vertAlign w:val="subscript"/>
          <w:lang w:eastAsia="en-AU"/>
        </w:rPr>
        <w:t>2</w:t>
      </w:r>
      <w:r w:rsidR="008E4A1A" w:rsidRPr="00CF72C9" w:rsidDel="007516BE">
        <w:rPr>
          <w:u w:val="single"/>
          <w:lang w:eastAsia="en-AU"/>
        </w:rPr>
        <w:t xml:space="preserve"> </w:t>
      </w:r>
      <w:r w:rsidR="008E4A1A" w:rsidRPr="00CF72C9">
        <w:rPr>
          <w:u w:val="single"/>
          <w:lang w:eastAsia="en-AU"/>
        </w:rPr>
        <w:t>emissions factor</w:t>
      </w:r>
    </w:p>
    <w:p w14:paraId="09D395DC" w14:textId="60067338" w:rsidR="008E4A1A" w:rsidRPr="004267BC" w:rsidRDefault="008E4A1A" w:rsidP="0060281F">
      <w:pPr>
        <w:rPr>
          <w:lang w:eastAsia="en-AU"/>
        </w:rPr>
      </w:pPr>
      <w:r w:rsidRPr="004267BC">
        <w:rPr>
          <w:lang w:eastAsia="en-AU"/>
        </w:rPr>
        <w:t xml:space="preserve">The balanced chemical equation of combustion of </w:t>
      </w:r>
      <w:r w:rsidR="00D8584F" w:rsidRPr="004267BC">
        <w:rPr>
          <w:lang w:eastAsia="en-AU"/>
        </w:rPr>
        <w:t>CH</w:t>
      </w:r>
      <w:r w:rsidR="00D8584F" w:rsidRPr="00CF72C9">
        <w:rPr>
          <w:vertAlign w:val="subscript"/>
          <w:lang w:eastAsia="en-AU"/>
        </w:rPr>
        <w:t>4</w:t>
      </w:r>
      <w:r w:rsidR="0060281F">
        <w:rPr>
          <w:vertAlign w:val="subscript"/>
          <w:lang w:eastAsia="en-AU"/>
        </w:rPr>
        <w:t xml:space="preserve"> </w:t>
      </w:r>
      <w:r w:rsidRPr="004267BC">
        <w:rPr>
          <w:lang w:eastAsia="en-AU"/>
        </w:rPr>
        <w:t xml:space="preserve">into </w:t>
      </w:r>
      <w:r w:rsidR="00D8584F" w:rsidRPr="004267BC">
        <w:rPr>
          <w:lang w:eastAsia="en-AU"/>
        </w:rPr>
        <w:t>CO</w:t>
      </w:r>
      <w:r w:rsidR="00D8584F" w:rsidRPr="00CF72C9">
        <w:rPr>
          <w:vertAlign w:val="subscript"/>
          <w:lang w:eastAsia="en-AU"/>
        </w:rPr>
        <w:t>2</w:t>
      </w:r>
      <w:r w:rsidR="00BB7005">
        <w:rPr>
          <w:vertAlign w:val="subscript"/>
          <w:lang w:eastAsia="en-AU"/>
        </w:rPr>
        <w:t xml:space="preserve"> </w:t>
      </w:r>
      <w:r w:rsidRPr="004267BC">
        <w:rPr>
          <w:lang w:eastAsia="en-AU"/>
        </w:rPr>
        <w:t>is:</w:t>
      </w:r>
      <w:r w:rsidRPr="004267BC">
        <w:rPr>
          <w:lang w:eastAsia="en-AU"/>
        </w:rPr>
        <w:br/>
      </w:r>
      <w:r w:rsidRPr="004267BC">
        <w:rPr>
          <w:lang w:eastAsia="en-AU"/>
        </w:rPr>
        <w:br/>
        <w:t>CH</w:t>
      </w:r>
      <w:r w:rsidRPr="00CF72C9">
        <w:rPr>
          <w:vertAlign w:val="subscript"/>
          <w:lang w:eastAsia="en-AU"/>
        </w:rPr>
        <w:t>4</w:t>
      </w:r>
      <w:r w:rsidRPr="004267BC">
        <w:rPr>
          <w:lang w:eastAsia="en-AU"/>
        </w:rPr>
        <w:t xml:space="preserve"> + 2O</w:t>
      </w:r>
      <w:r w:rsidRPr="00CF72C9">
        <w:rPr>
          <w:vertAlign w:val="subscript"/>
          <w:lang w:eastAsia="en-AU"/>
        </w:rPr>
        <w:t>2</w:t>
      </w:r>
      <w:r w:rsidRPr="004267BC">
        <w:rPr>
          <w:lang w:eastAsia="en-AU"/>
        </w:rPr>
        <w:t xml:space="preserve"> → CO</w:t>
      </w:r>
      <w:r w:rsidRPr="00CF72C9">
        <w:rPr>
          <w:vertAlign w:val="subscript"/>
          <w:lang w:eastAsia="en-AU"/>
        </w:rPr>
        <w:t>2</w:t>
      </w:r>
      <w:r w:rsidRPr="004267BC">
        <w:rPr>
          <w:lang w:eastAsia="en-AU"/>
        </w:rPr>
        <w:t xml:space="preserve"> + 2H</w:t>
      </w:r>
      <w:r w:rsidRPr="00CF72C9">
        <w:rPr>
          <w:vertAlign w:val="subscript"/>
          <w:lang w:eastAsia="en-AU"/>
        </w:rPr>
        <w:t>2</w:t>
      </w:r>
      <w:r w:rsidRPr="004267BC">
        <w:rPr>
          <w:lang w:eastAsia="en-AU"/>
        </w:rPr>
        <w:t>O</w:t>
      </w:r>
    </w:p>
    <w:p w14:paraId="1528C55B" w14:textId="77777777" w:rsidR="008E4A1A" w:rsidRPr="004267BC" w:rsidRDefault="008E4A1A" w:rsidP="0060281F">
      <w:pPr>
        <w:rPr>
          <w:lang w:eastAsia="en-AU"/>
        </w:rPr>
      </w:pPr>
      <w:r w:rsidRPr="004267BC">
        <w:rPr>
          <w:lang w:eastAsia="en-AU"/>
        </w:rPr>
        <w:t>This assumes that the complete combustion of one molecule of CH</w:t>
      </w:r>
      <w:r w:rsidRPr="00B26D8A">
        <w:rPr>
          <w:vertAlign w:val="subscript"/>
          <w:lang w:eastAsia="en-AU"/>
        </w:rPr>
        <w:t>4</w:t>
      </w:r>
      <w:r w:rsidRPr="004267BC">
        <w:rPr>
          <w:lang w:eastAsia="en-AU"/>
        </w:rPr>
        <w:t xml:space="preserve"> results in one molecule of CO</w:t>
      </w:r>
      <w:r w:rsidRPr="00B26D8A">
        <w:rPr>
          <w:vertAlign w:val="subscript"/>
          <w:lang w:eastAsia="en-AU"/>
        </w:rPr>
        <w:t>2</w:t>
      </w:r>
      <w:r w:rsidRPr="004267BC">
        <w:rPr>
          <w:lang w:eastAsia="en-AU"/>
        </w:rPr>
        <w:t>.</w:t>
      </w:r>
      <w:r>
        <w:rPr>
          <w:lang w:eastAsia="en-AU"/>
        </w:rPr>
        <w:t xml:space="preserve"> </w:t>
      </w:r>
      <w:r w:rsidRPr="004267BC">
        <w:rPr>
          <w:lang w:eastAsia="en-AU"/>
        </w:rPr>
        <w:t>The relevant molar masses per gas are calculated by adding together the molar mass of each atom comprising the molecule (as listed in the periodic table of elements</w:t>
      </w:r>
      <w:r w:rsidRPr="00F82D8B">
        <w:rPr>
          <w:vertAlign w:val="superscript"/>
          <w:lang w:eastAsia="en-AU"/>
        </w:rPr>
        <w:footnoteReference w:id="16"/>
      </w:r>
      <w:r w:rsidRPr="004267BC">
        <w:rPr>
          <w:lang w:eastAsia="en-AU"/>
        </w:rPr>
        <w:t>):</w:t>
      </w:r>
    </w:p>
    <w:p w14:paraId="582802E2" w14:textId="77777777" w:rsidR="008E4A1A" w:rsidRPr="004267BC" w:rsidRDefault="008E4A1A" w:rsidP="0060281F">
      <w:pPr>
        <w:rPr>
          <w:lang w:eastAsia="en-AU"/>
        </w:rPr>
      </w:pPr>
      <w:r w:rsidRPr="004267BC">
        <w:rPr>
          <w:lang w:eastAsia="en-AU"/>
        </w:rPr>
        <w:t>16.04 g / mol for CH</w:t>
      </w:r>
      <w:r w:rsidRPr="00CF72C9">
        <w:rPr>
          <w:vertAlign w:val="subscript"/>
          <w:lang w:eastAsia="en-AU"/>
        </w:rPr>
        <w:t>4</w:t>
      </w:r>
      <w:r w:rsidRPr="004267BC">
        <w:rPr>
          <w:lang w:eastAsia="en-AU"/>
        </w:rPr>
        <w:t>, and</w:t>
      </w:r>
    </w:p>
    <w:p w14:paraId="1203753E" w14:textId="77777777" w:rsidR="008E4A1A" w:rsidRPr="004267BC" w:rsidRDefault="008E4A1A" w:rsidP="0060281F">
      <w:pPr>
        <w:rPr>
          <w:lang w:eastAsia="en-AU"/>
        </w:rPr>
      </w:pPr>
      <w:r w:rsidRPr="004267BC">
        <w:rPr>
          <w:lang w:eastAsia="en-AU"/>
        </w:rPr>
        <w:t>44.01 g / mol for CO</w:t>
      </w:r>
      <w:r w:rsidRPr="00CF72C9">
        <w:rPr>
          <w:vertAlign w:val="subscript"/>
          <w:lang w:eastAsia="en-AU"/>
        </w:rPr>
        <w:t>2</w:t>
      </w:r>
      <w:r w:rsidRPr="004267BC">
        <w:rPr>
          <w:lang w:eastAsia="en-AU"/>
        </w:rPr>
        <w:t>.</w:t>
      </w:r>
    </w:p>
    <w:p w14:paraId="29B57689" w14:textId="77777777" w:rsidR="008E4A1A" w:rsidRPr="004267BC" w:rsidRDefault="008E4A1A" w:rsidP="0060281F">
      <w:pPr>
        <w:rPr>
          <w:lang w:eastAsia="en-AU"/>
        </w:rPr>
      </w:pPr>
      <w:r w:rsidRPr="004267BC">
        <w:rPr>
          <w:lang w:eastAsia="en-AU"/>
        </w:rPr>
        <w:t>The ratio of CO</w:t>
      </w:r>
      <w:r w:rsidRPr="00CF72C9">
        <w:rPr>
          <w:vertAlign w:val="subscript"/>
          <w:lang w:eastAsia="en-AU"/>
        </w:rPr>
        <w:t>2</w:t>
      </w:r>
      <w:r w:rsidRPr="004267BC">
        <w:rPr>
          <w:lang w:eastAsia="en-AU"/>
        </w:rPr>
        <w:t xml:space="preserve"> per CH</w:t>
      </w:r>
      <w:r w:rsidRPr="00CF72C9">
        <w:rPr>
          <w:vertAlign w:val="subscript"/>
          <w:lang w:eastAsia="en-AU"/>
        </w:rPr>
        <w:t>4</w:t>
      </w:r>
      <w:r w:rsidRPr="004267BC">
        <w:rPr>
          <w:lang w:eastAsia="en-AU"/>
        </w:rPr>
        <w:t xml:space="preserve"> on a mass basis is 44.01 / 16.04 = 2.74.</w:t>
      </w:r>
    </w:p>
    <w:p w14:paraId="31912349" w14:textId="77777777" w:rsidR="008E4A1A" w:rsidRPr="004267BC" w:rsidRDefault="008E4A1A" w:rsidP="0060281F">
      <w:pPr>
        <w:rPr>
          <w:lang w:eastAsia="en-AU"/>
        </w:rPr>
      </w:pPr>
      <w:r w:rsidRPr="004267BC">
        <w:rPr>
          <w:lang w:eastAsia="en-AU"/>
        </w:rPr>
        <w:t>Therefore, 2.74 times more CO</w:t>
      </w:r>
      <w:r w:rsidRPr="00CF72C9">
        <w:rPr>
          <w:vertAlign w:val="subscript"/>
          <w:lang w:eastAsia="en-AU"/>
        </w:rPr>
        <w:t>2</w:t>
      </w:r>
      <w:r w:rsidRPr="004267BC">
        <w:rPr>
          <w:lang w:eastAsia="en-AU"/>
        </w:rPr>
        <w:t xml:space="preserve"> by mass is produced when CH</w:t>
      </w:r>
      <w:r w:rsidRPr="00CF72C9">
        <w:rPr>
          <w:vertAlign w:val="subscript"/>
          <w:lang w:eastAsia="en-AU"/>
        </w:rPr>
        <w:t>4</w:t>
      </w:r>
      <w:r w:rsidRPr="004267BC">
        <w:rPr>
          <w:lang w:eastAsia="en-AU"/>
        </w:rPr>
        <w:t xml:space="preserve"> undergoes complete combustion.</w:t>
      </w:r>
    </w:p>
    <w:p w14:paraId="2803863B" w14:textId="74488D26" w:rsidR="008E4A1A" w:rsidRPr="004267BC" w:rsidRDefault="00E3589E" w:rsidP="0060281F">
      <w:pPr>
        <w:rPr>
          <w:lang w:eastAsia="en-AU"/>
        </w:rPr>
      </w:pPr>
      <w:r w:rsidRPr="004267BC">
        <w:rPr>
          <w:lang w:eastAsia="en-AU"/>
        </w:rPr>
        <w:t>When</w:t>
      </w:r>
      <w:r w:rsidRPr="00530281">
        <w:rPr>
          <w:lang w:eastAsia="en-AU"/>
        </w:rPr>
        <w:t xml:space="preserve"> natural</w:t>
      </w:r>
      <w:r w:rsidRPr="004267BC">
        <w:rPr>
          <w:lang w:eastAsia="en-AU"/>
        </w:rPr>
        <w:t xml:space="preserve"> gas is </w:t>
      </w:r>
      <w:r w:rsidRPr="00530281">
        <w:rPr>
          <w:lang w:eastAsia="en-AU"/>
        </w:rPr>
        <w:t>flared</w:t>
      </w:r>
      <w:r w:rsidRPr="004267BC">
        <w:rPr>
          <w:lang w:eastAsia="en-AU"/>
        </w:rPr>
        <w:t xml:space="preserve"> under real world conditions, it is rare that </w:t>
      </w:r>
      <w:r w:rsidRPr="00530281">
        <w:rPr>
          <w:lang w:eastAsia="en-AU"/>
        </w:rPr>
        <w:t xml:space="preserve">all the </w:t>
      </w:r>
      <w:r w:rsidRPr="00B2299C">
        <w:rPr>
          <w:lang w:eastAsia="en-AU"/>
        </w:rPr>
        <w:t>CH4</w:t>
      </w:r>
      <w:r>
        <w:rPr>
          <w:lang w:eastAsia="en-AU"/>
        </w:rPr>
        <w:t xml:space="preserve"> </w:t>
      </w:r>
      <w:r w:rsidRPr="00B2299C">
        <w:rPr>
          <w:lang w:eastAsia="en-AU"/>
        </w:rPr>
        <w:t>is</w:t>
      </w:r>
      <w:r w:rsidRPr="00530281">
        <w:rPr>
          <w:lang w:eastAsia="en-AU"/>
        </w:rPr>
        <w:t xml:space="preserve"> combusted</w:t>
      </w:r>
      <w:r w:rsidRPr="004267BC">
        <w:rPr>
          <w:lang w:eastAsia="en-AU"/>
        </w:rPr>
        <w:t xml:space="preserve">. </w:t>
      </w:r>
      <w:r>
        <w:rPr>
          <w:lang w:eastAsia="en-AU"/>
        </w:rPr>
        <w:t xml:space="preserve">The IPCC 2006 provides a </w:t>
      </w:r>
      <w:r w:rsidRPr="004267BC">
        <w:rPr>
          <w:lang w:eastAsia="en-AU"/>
        </w:rPr>
        <w:t>default oxidation factor (i.e. ‘destruction efficiency’) of 0.98</w:t>
      </w:r>
      <w:r w:rsidRPr="00836516">
        <w:rPr>
          <w:vertAlign w:val="superscript"/>
          <w:lang w:eastAsia="en-AU"/>
        </w:rPr>
        <w:footnoteReference w:id="17"/>
      </w:r>
      <w:r w:rsidRPr="004267BC">
        <w:rPr>
          <w:lang w:eastAsia="en-AU"/>
        </w:rPr>
        <w:t xml:space="preserve"> to estimate </w:t>
      </w:r>
      <w:r w:rsidRPr="00530281">
        <w:rPr>
          <w:lang w:eastAsia="en-AU"/>
        </w:rPr>
        <w:t>that 2%</w:t>
      </w:r>
      <w:r w:rsidRPr="004267BC">
        <w:rPr>
          <w:lang w:eastAsia="en-AU"/>
        </w:rPr>
        <w:t xml:space="preserve"> </w:t>
      </w:r>
      <w:r w:rsidRPr="00530281">
        <w:rPr>
          <w:lang w:eastAsia="en-AU"/>
        </w:rPr>
        <w:t xml:space="preserve">of the gas does not combust during </w:t>
      </w:r>
      <w:r>
        <w:rPr>
          <w:lang w:eastAsia="en-AU"/>
        </w:rPr>
        <w:t xml:space="preserve">gas </w:t>
      </w:r>
      <w:r w:rsidRPr="00530281">
        <w:rPr>
          <w:lang w:eastAsia="en-AU"/>
        </w:rPr>
        <w:t>flaring</w:t>
      </w:r>
      <w:r w:rsidRPr="004267BC">
        <w:rPr>
          <w:lang w:eastAsia="en-AU"/>
        </w:rPr>
        <w:t xml:space="preserve"> </w:t>
      </w:r>
      <w:r>
        <w:rPr>
          <w:lang w:eastAsia="en-AU"/>
        </w:rPr>
        <w:t xml:space="preserve">from oil and gas operations excluding oil refining </w:t>
      </w:r>
      <w:r w:rsidRPr="004267BC">
        <w:rPr>
          <w:lang w:eastAsia="en-AU"/>
        </w:rPr>
        <w:t>(i.e. this assumes that 98% of the quantity of gas flared is combusted)</w:t>
      </w:r>
      <w:r>
        <w:rPr>
          <w:lang w:eastAsia="en-AU"/>
        </w:rPr>
        <w:t>. The IPCC 2006 further provides a default oxidation factor of 0.995 to estimate that 0.5% of gas does not combust during gas flaring from oil refining (i.e. this assumes that 99.5% of the quantity of gas flared at an oil refinery is combusted)</w:t>
      </w:r>
      <w:r w:rsidRPr="004267BC">
        <w:rPr>
          <w:lang w:eastAsia="en-AU"/>
        </w:rPr>
        <w:t>.</w:t>
      </w:r>
      <w:r>
        <w:rPr>
          <w:lang w:eastAsia="en-AU"/>
        </w:rPr>
        <w:t xml:space="preserve"> As a Party to the UNFCCC and Paris Agreement, Australia is required to estimate emission consistent with the IPCC 2006 guidelines, including by using IPCC default oxidation factors where there are no Australian-specific factors. As the NGER scheme is a primary data source for Australia’s annual National Inventory Report to the UNFCCC and Paris Agreement, alignment between NGER scheme methods and Australia’s international emissions reporting requirements is important. On this basis, the </w:t>
      </w:r>
      <w:r w:rsidR="00D553A0">
        <w:rPr>
          <w:lang w:eastAsia="en-AU"/>
        </w:rPr>
        <w:t>d</w:t>
      </w:r>
      <w:r>
        <w:rPr>
          <w:lang w:eastAsia="en-AU"/>
        </w:rPr>
        <w:t>epartment’s proposed revised factors apply the IPCC 2006 default oxidation factors.</w:t>
      </w:r>
    </w:p>
    <w:p w14:paraId="1DC5726F" w14:textId="77777777" w:rsidR="00E3589E" w:rsidRDefault="00E3589E" w:rsidP="00E3589E">
      <w:pPr>
        <w:rPr>
          <w:lang w:eastAsia="en-AU"/>
        </w:rPr>
      </w:pPr>
      <w:r w:rsidRPr="004267BC">
        <w:rPr>
          <w:lang w:eastAsia="en-AU"/>
        </w:rPr>
        <w:t>Th</w:t>
      </w:r>
      <w:r>
        <w:rPr>
          <w:lang w:eastAsia="en-AU"/>
        </w:rPr>
        <w:t>e IPCC 2006</w:t>
      </w:r>
      <w:r w:rsidRPr="004267BC">
        <w:rPr>
          <w:lang w:eastAsia="en-AU"/>
        </w:rPr>
        <w:t xml:space="preserve"> oxidation factor is applied to the rate of CO</w:t>
      </w:r>
      <w:r w:rsidRPr="00AD7560">
        <w:rPr>
          <w:vertAlign w:val="subscript"/>
          <w:lang w:eastAsia="en-AU"/>
        </w:rPr>
        <w:t>2</w:t>
      </w:r>
      <w:r w:rsidRPr="00530281">
        <w:rPr>
          <w:lang w:eastAsia="en-AU"/>
        </w:rPr>
        <w:t xml:space="preserve"> to remove the unburnt quantity of CH</w:t>
      </w:r>
      <w:r w:rsidRPr="00AD7560">
        <w:rPr>
          <w:vertAlign w:val="subscript"/>
          <w:lang w:eastAsia="en-AU"/>
        </w:rPr>
        <w:t>4</w:t>
      </w:r>
      <w:r w:rsidRPr="00530281">
        <w:rPr>
          <w:lang w:eastAsia="en-AU"/>
        </w:rPr>
        <w:t>:</w:t>
      </w:r>
    </w:p>
    <w:p w14:paraId="3AC3D7B4" w14:textId="77777777" w:rsidR="00E3589E" w:rsidRDefault="00E3589E" w:rsidP="00E3589E">
      <w:pPr>
        <w:pStyle w:val="ListParagraph"/>
        <w:numPr>
          <w:ilvl w:val="0"/>
          <w:numId w:val="21"/>
        </w:numPr>
        <w:spacing w:after="160" w:line="259" w:lineRule="auto"/>
        <w:ind w:left="360"/>
        <w:contextualSpacing/>
        <w:rPr>
          <w:lang w:eastAsia="en-AU"/>
        </w:rPr>
      </w:pPr>
      <w:r w:rsidRPr="004267BC">
        <w:rPr>
          <w:lang w:eastAsia="en-AU"/>
        </w:rPr>
        <w:t>0.98 x 2.74 = 2.69.</w:t>
      </w:r>
      <w:r w:rsidRPr="00530281">
        <w:rPr>
          <w:lang w:eastAsia="en-AU"/>
        </w:rPr>
        <w:t xml:space="preserve"> This means that, for every tonne of gas flared, 98% of the gas is combusted resulting in 2.69 tonnes of CO</w:t>
      </w:r>
      <w:r w:rsidRPr="00B40050">
        <w:rPr>
          <w:vertAlign w:val="subscript"/>
          <w:lang w:eastAsia="en-AU"/>
        </w:rPr>
        <w:t>2</w:t>
      </w:r>
      <w:r w:rsidRPr="00530281">
        <w:rPr>
          <w:lang w:eastAsia="en-AU"/>
        </w:rPr>
        <w:t xml:space="preserve"> emitted.</w:t>
      </w:r>
    </w:p>
    <w:p w14:paraId="0636E3E5" w14:textId="77777777" w:rsidR="00E3589E" w:rsidRPr="004267BC" w:rsidRDefault="00E3589E" w:rsidP="00E3589E">
      <w:pPr>
        <w:pStyle w:val="ListParagraph"/>
        <w:numPr>
          <w:ilvl w:val="0"/>
          <w:numId w:val="21"/>
        </w:numPr>
        <w:spacing w:after="160" w:line="259" w:lineRule="auto"/>
        <w:ind w:left="360"/>
        <w:contextualSpacing/>
        <w:rPr>
          <w:lang w:eastAsia="en-AU"/>
        </w:rPr>
      </w:pPr>
      <w:r>
        <w:rPr>
          <w:lang w:eastAsia="en-AU"/>
        </w:rPr>
        <w:t xml:space="preserve">0.995 x 2.74 = 2.73. </w:t>
      </w:r>
      <w:r w:rsidRPr="00530281">
        <w:rPr>
          <w:lang w:eastAsia="en-AU"/>
        </w:rPr>
        <w:t>This means that, for every tonne of gas flared</w:t>
      </w:r>
      <w:r>
        <w:rPr>
          <w:lang w:eastAsia="en-AU"/>
        </w:rPr>
        <w:t xml:space="preserve"> at an oil refinery</w:t>
      </w:r>
      <w:r w:rsidRPr="00530281">
        <w:rPr>
          <w:lang w:eastAsia="en-AU"/>
        </w:rPr>
        <w:t>, 9</w:t>
      </w:r>
      <w:r>
        <w:rPr>
          <w:lang w:eastAsia="en-AU"/>
        </w:rPr>
        <w:t>9.5</w:t>
      </w:r>
      <w:r w:rsidRPr="00530281">
        <w:rPr>
          <w:lang w:eastAsia="en-AU"/>
        </w:rPr>
        <w:t>% of the gas is combusted resulting in 2.</w:t>
      </w:r>
      <w:r>
        <w:rPr>
          <w:lang w:eastAsia="en-AU"/>
        </w:rPr>
        <w:t>73</w:t>
      </w:r>
      <w:r w:rsidRPr="00530281">
        <w:rPr>
          <w:lang w:eastAsia="en-AU"/>
        </w:rPr>
        <w:t xml:space="preserve"> tonnes of CO</w:t>
      </w:r>
      <w:r w:rsidRPr="00B40050">
        <w:rPr>
          <w:vertAlign w:val="subscript"/>
          <w:lang w:eastAsia="en-AU"/>
        </w:rPr>
        <w:t>2</w:t>
      </w:r>
      <w:r w:rsidRPr="00530281">
        <w:rPr>
          <w:lang w:eastAsia="en-AU"/>
        </w:rPr>
        <w:t xml:space="preserve"> emitted.</w:t>
      </w:r>
    </w:p>
    <w:p w14:paraId="5C939DCA" w14:textId="02D170F5" w:rsidR="008E4A1A" w:rsidRPr="004267BC" w:rsidRDefault="00E3589E" w:rsidP="00E3589E">
      <w:pPr>
        <w:rPr>
          <w:lang w:eastAsia="en-AU"/>
        </w:rPr>
      </w:pPr>
      <w:r w:rsidRPr="004267BC">
        <w:rPr>
          <w:lang w:eastAsia="en-AU"/>
        </w:rPr>
        <w:t xml:space="preserve">Whilst the composition of flare gas is highly variable, Australia’s inventory conservatively assumes that flare gas is 100% </w:t>
      </w:r>
      <w:r w:rsidRPr="00530281">
        <w:rPr>
          <w:lang w:eastAsia="en-AU"/>
        </w:rPr>
        <w:t>CH</w:t>
      </w:r>
      <w:r w:rsidRPr="00AD7560">
        <w:rPr>
          <w:vertAlign w:val="subscript"/>
          <w:lang w:eastAsia="en-AU"/>
        </w:rPr>
        <w:t>4</w:t>
      </w:r>
      <w:r>
        <w:rPr>
          <w:vertAlign w:val="subscript"/>
          <w:lang w:eastAsia="en-AU"/>
        </w:rPr>
        <w:t xml:space="preserve"> </w:t>
      </w:r>
      <w:r>
        <w:rPr>
          <w:lang w:eastAsia="en-AU"/>
        </w:rPr>
        <w:t>and this assumption has been applied to the revised NGER scheme emission factors</w:t>
      </w:r>
      <w:r w:rsidRPr="004267BC">
        <w:rPr>
          <w:lang w:eastAsia="en-AU"/>
        </w:rPr>
        <w:t xml:space="preserve">. </w:t>
      </w:r>
      <w:r>
        <w:rPr>
          <w:lang w:eastAsia="en-AU"/>
        </w:rPr>
        <w:t xml:space="preserve">Emission estimates are maximised when flare gas is assumed to be 100% methane because </w:t>
      </w:r>
      <w:r w:rsidRPr="004267BC">
        <w:rPr>
          <w:lang w:eastAsia="en-AU"/>
        </w:rPr>
        <w:t>more CO</w:t>
      </w:r>
      <w:r w:rsidRPr="00AD7560">
        <w:rPr>
          <w:vertAlign w:val="subscript"/>
          <w:lang w:eastAsia="en-AU"/>
        </w:rPr>
        <w:t>2</w:t>
      </w:r>
      <w:r w:rsidRPr="004267BC">
        <w:rPr>
          <w:lang w:eastAsia="en-AU"/>
        </w:rPr>
        <w:t xml:space="preserve"> on a mass basis is emitted </w:t>
      </w:r>
      <w:r w:rsidRPr="00530281">
        <w:rPr>
          <w:lang w:eastAsia="en-AU"/>
        </w:rPr>
        <w:t>when</w:t>
      </w:r>
      <w:r w:rsidRPr="004267BC">
        <w:rPr>
          <w:lang w:eastAsia="en-AU"/>
        </w:rPr>
        <w:t xml:space="preserve"> methane </w:t>
      </w:r>
      <w:r w:rsidRPr="00530281">
        <w:rPr>
          <w:lang w:eastAsia="en-AU"/>
        </w:rPr>
        <w:t xml:space="preserve">is </w:t>
      </w:r>
      <w:r w:rsidRPr="004267BC">
        <w:rPr>
          <w:lang w:eastAsia="en-AU"/>
        </w:rPr>
        <w:t>combusted</w:t>
      </w:r>
      <w:r>
        <w:rPr>
          <w:lang w:eastAsia="en-AU"/>
        </w:rPr>
        <w:t>,</w:t>
      </w:r>
      <w:r w:rsidRPr="00530281">
        <w:rPr>
          <w:lang w:eastAsia="en-AU"/>
        </w:rPr>
        <w:t xml:space="preserve"> compared with other gases </w:t>
      </w:r>
      <w:r>
        <w:rPr>
          <w:lang w:eastAsia="en-AU"/>
        </w:rPr>
        <w:t>released from</w:t>
      </w:r>
      <w:r w:rsidRPr="00530281">
        <w:rPr>
          <w:lang w:eastAsia="en-AU"/>
        </w:rPr>
        <w:t xml:space="preserve"> a natural gas stream </w:t>
      </w:r>
      <w:r>
        <w:rPr>
          <w:lang w:eastAsia="en-AU"/>
        </w:rPr>
        <w:t>through a flare</w:t>
      </w:r>
      <w:r w:rsidRPr="00530281">
        <w:rPr>
          <w:lang w:eastAsia="en-AU"/>
        </w:rPr>
        <w:t xml:space="preserve"> (e.g. various non-hydrocarbons</w:t>
      </w:r>
      <w:r>
        <w:rPr>
          <w:lang w:eastAsia="en-AU"/>
        </w:rPr>
        <w:t>, some of which do not combust and are not reportable greenhouse gases</w:t>
      </w:r>
      <w:r w:rsidRPr="00530281">
        <w:rPr>
          <w:lang w:eastAsia="en-AU"/>
        </w:rPr>
        <w:t>).</w:t>
      </w:r>
    </w:p>
    <w:p w14:paraId="26194419" w14:textId="6C2FCBC1" w:rsidR="008E4A1A" w:rsidRPr="00AD7560" w:rsidRDefault="00A56D88" w:rsidP="001E5D65">
      <w:pPr>
        <w:rPr>
          <w:u w:val="single"/>
          <w:lang w:eastAsia="en-AU"/>
        </w:rPr>
      </w:pPr>
      <w:r>
        <w:rPr>
          <w:u w:val="single"/>
          <w:lang w:eastAsia="en-AU"/>
        </w:rPr>
        <w:t xml:space="preserve">Proposed revised </w:t>
      </w:r>
      <w:r w:rsidR="007516BE" w:rsidRPr="00E155A5">
        <w:rPr>
          <w:u w:val="single"/>
          <w:lang w:eastAsia="en-AU"/>
        </w:rPr>
        <w:t>CH</w:t>
      </w:r>
      <w:r w:rsidR="007516BE" w:rsidRPr="00E155A5">
        <w:rPr>
          <w:u w:val="single"/>
          <w:vertAlign w:val="subscript"/>
          <w:lang w:eastAsia="en-AU"/>
        </w:rPr>
        <w:t>4</w:t>
      </w:r>
      <w:r w:rsidR="008E4A1A" w:rsidRPr="00AD7560" w:rsidDel="007516BE">
        <w:rPr>
          <w:u w:val="single"/>
          <w:lang w:eastAsia="en-AU"/>
        </w:rPr>
        <w:t xml:space="preserve"> </w:t>
      </w:r>
      <w:r w:rsidR="008E4A1A" w:rsidRPr="00AD7560">
        <w:rPr>
          <w:u w:val="single"/>
          <w:lang w:eastAsia="en-AU"/>
        </w:rPr>
        <w:t>emissions factor</w:t>
      </w:r>
    </w:p>
    <w:p w14:paraId="7EB42C01" w14:textId="0B7DB58D" w:rsidR="00AB2F18" w:rsidRDefault="00E3589E" w:rsidP="001E5D65">
      <w:pPr>
        <w:rPr>
          <w:lang w:eastAsia="en-AU"/>
        </w:rPr>
      </w:pPr>
      <w:r w:rsidRPr="004267BC">
        <w:rPr>
          <w:lang w:eastAsia="en-AU"/>
        </w:rPr>
        <w:t>The CH</w:t>
      </w:r>
      <w:r w:rsidRPr="00AD7560">
        <w:rPr>
          <w:vertAlign w:val="subscript"/>
          <w:lang w:eastAsia="en-AU"/>
        </w:rPr>
        <w:t>4</w:t>
      </w:r>
      <w:r w:rsidRPr="004267BC">
        <w:rPr>
          <w:lang w:eastAsia="en-AU"/>
        </w:rPr>
        <w:t xml:space="preserve"> emission factor exists to account for the CH</w:t>
      </w:r>
      <w:r w:rsidRPr="00AD7560">
        <w:rPr>
          <w:vertAlign w:val="subscript"/>
          <w:lang w:eastAsia="en-AU"/>
        </w:rPr>
        <w:t>4</w:t>
      </w:r>
      <w:r w:rsidRPr="00530281">
        <w:rPr>
          <w:lang w:eastAsia="en-AU"/>
        </w:rPr>
        <w:t xml:space="preserve"> that does not combust when </w:t>
      </w:r>
      <w:r w:rsidRPr="004267BC">
        <w:rPr>
          <w:lang w:eastAsia="en-AU"/>
        </w:rPr>
        <w:t>gas</w:t>
      </w:r>
      <w:r w:rsidRPr="00530281">
        <w:rPr>
          <w:lang w:eastAsia="en-AU"/>
        </w:rPr>
        <w:t xml:space="preserve"> is</w:t>
      </w:r>
      <w:r w:rsidRPr="004267BC">
        <w:rPr>
          <w:lang w:eastAsia="en-AU"/>
        </w:rPr>
        <w:t xml:space="preserve"> flared</w:t>
      </w:r>
      <w:r w:rsidRPr="00530281">
        <w:rPr>
          <w:lang w:eastAsia="en-AU"/>
        </w:rPr>
        <w:t xml:space="preserve"> (i.e. incomplete combustion)</w:t>
      </w:r>
      <w:r w:rsidRPr="004267BC">
        <w:rPr>
          <w:lang w:eastAsia="en-AU"/>
        </w:rPr>
        <w:t xml:space="preserve">. As mentioned above in the derivation of the </w:t>
      </w:r>
      <w:r>
        <w:rPr>
          <w:lang w:eastAsia="en-AU"/>
        </w:rPr>
        <w:t xml:space="preserve">revised </w:t>
      </w:r>
      <w:r w:rsidRPr="004267BC">
        <w:rPr>
          <w:lang w:eastAsia="en-AU"/>
        </w:rPr>
        <w:t>CO</w:t>
      </w:r>
      <w:r w:rsidRPr="00AD7560">
        <w:rPr>
          <w:vertAlign w:val="subscript"/>
          <w:lang w:eastAsia="en-AU"/>
        </w:rPr>
        <w:t>2</w:t>
      </w:r>
      <w:r w:rsidRPr="004267BC">
        <w:rPr>
          <w:lang w:eastAsia="en-AU"/>
        </w:rPr>
        <w:t xml:space="preserve"> emissions factor, </w:t>
      </w:r>
      <w:r>
        <w:rPr>
          <w:lang w:eastAsia="en-AU"/>
        </w:rPr>
        <w:t xml:space="preserve">the IPCC 2006 provides a </w:t>
      </w:r>
      <w:r w:rsidRPr="004267BC">
        <w:rPr>
          <w:lang w:eastAsia="en-AU"/>
        </w:rPr>
        <w:t>default oxidation factor (i.e. ‘destruction efficiency’) of 0.98</w:t>
      </w:r>
      <w:r w:rsidRPr="00836516">
        <w:rPr>
          <w:vertAlign w:val="superscript"/>
          <w:lang w:eastAsia="en-AU"/>
        </w:rPr>
        <w:footnoteReference w:id="18"/>
      </w:r>
      <w:r w:rsidRPr="004267BC">
        <w:rPr>
          <w:lang w:eastAsia="en-AU"/>
        </w:rPr>
        <w:t xml:space="preserve"> to estimate </w:t>
      </w:r>
      <w:r w:rsidRPr="00530281">
        <w:rPr>
          <w:lang w:eastAsia="en-AU"/>
        </w:rPr>
        <w:t>that 2%</w:t>
      </w:r>
      <w:r w:rsidRPr="004267BC">
        <w:rPr>
          <w:lang w:eastAsia="en-AU"/>
        </w:rPr>
        <w:t xml:space="preserve"> </w:t>
      </w:r>
      <w:r w:rsidRPr="00530281">
        <w:rPr>
          <w:lang w:eastAsia="en-AU"/>
        </w:rPr>
        <w:t xml:space="preserve">of the gas does not combust during </w:t>
      </w:r>
      <w:r>
        <w:rPr>
          <w:lang w:eastAsia="en-AU"/>
        </w:rPr>
        <w:t xml:space="preserve">gas </w:t>
      </w:r>
      <w:r w:rsidRPr="00530281">
        <w:rPr>
          <w:lang w:eastAsia="en-AU"/>
        </w:rPr>
        <w:t>flaring</w:t>
      </w:r>
      <w:r w:rsidRPr="004267BC">
        <w:rPr>
          <w:lang w:eastAsia="en-AU"/>
        </w:rPr>
        <w:t xml:space="preserve"> </w:t>
      </w:r>
      <w:r>
        <w:rPr>
          <w:lang w:eastAsia="en-AU"/>
        </w:rPr>
        <w:t xml:space="preserve">from oil and gas operations excluding oil refining </w:t>
      </w:r>
      <w:r w:rsidRPr="004267BC">
        <w:rPr>
          <w:lang w:eastAsia="en-AU"/>
        </w:rPr>
        <w:t>(i.e. this assumes that 98% of the quantity of gas flared is combusted)</w:t>
      </w:r>
      <w:r>
        <w:rPr>
          <w:lang w:eastAsia="en-AU"/>
        </w:rPr>
        <w:t>. The IPCC 2006 further provides a default oxidation factor of 0.995 to estimate that 0.5% of gas does not combust during gas flaring from oil refining (i.e. this assumes that 99.5% of the quantity of gas flared at an oil refinery is combusted)</w:t>
      </w:r>
      <w:r w:rsidRPr="004267BC">
        <w:rPr>
          <w:lang w:eastAsia="en-AU"/>
        </w:rPr>
        <w:t>.</w:t>
      </w:r>
      <w:r w:rsidR="0070189F">
        <w:rPr>
          <w:lang w:eastAsia="en-AU"/>
        </w:rPr>
        <w:t xml:space="preserve"> </w:t>
      </w:r>
    </w:p>
    <w:p w14:paraId="7AFDFBFE" w14:textId="77777777" w:rsidR="00E3589E" w:rsidRPr="004267BC" w:rsidRDefault="00E3589E" w:rsidP="00E3589E">
      <w:pPr>
        <w:rPr>
          <w:lang w:eastAsia="en-AU"/>
        </w:rPr>
      </w:pPr>
      <w:r w:rsidRPr="004267BC">
        <w:rPr>
          <w:lang w:eastAsia="en-AU"/>
        </w:rPr>
        <w:t>This means that</w:t>
      </w:r>
      <w:r>
        <w:rPr>
          <w:lang w:eastAsia="en-AU"/>
        </w:rPr>
        <w:t>, for gas flared at oil and gas operations excluding refineries,</w:t>
      </w:r>
      <w:r w:rsidRPr="004267BC">
        <w:rPr>
          <w:lang w:eastAsia="en-AU"/>
        </w:rPr>
        <w:t xml:space="preserve"> the default proportion of CH</w:t>
      </w:r>
      <w:r w:rsidRPr="003946A0">
        <w:rPr>
          <w:vertAlign w:val="subscript"/>
          <w:lang w:eastAsia="en-AU"/>
        </w:rPr>
        <w:t>4</w:t>
      </w:r>
      <w:r w:rsidRPr="004267BC">
        <w:rPr>
          <w:lang w:eastAsia="en-AU"/>
        </w:rPr>
        <w:t xml:space="preserve"> that is not combusted can be calculated by 1 minus the oxidation factor = 1 – 0.98 = 0.02.</w:t>
      </w:r>
    </w:p>
    <w:p w14:paraId="7CB941CC" w14:textId="77777777" w:rsidR="00E3589E" w:rsidRPr="004267BC" w:rsidRDefault="00E3589E" w:rsidP="00E3589E">
      <w:pPr>
        <w:rPr>
          <w:lang w:eastAsia="en-AU"/>
        </w:rPr>
      </w:pPr>
      <w:r w:rsidRPr="004267BC">
        <w:rPr>
          <w:lang w:eastAsia="en-AU"/>
        </w:rPr>
        <w:t>Therefore, the raw emission factor of CH</w:t>
      </w:r>
      <w:r w:rsidRPr="003946A0">
        <w:rPr>
          <w:vertAlign w:val="subscript"/>
          <w:lang w:eastAsia="en-AU"/>
        </w:rPr>
        <w:t>4</w:t>
      </w:r>
      <w:r w:rsidRPr="004267BC">
        <w:rPr>
          <w:lang w:eastAsia="en-AU"/>
        </w:rPr>
        <w:t xml:space="preserve"> would be 0.02 tonnes per tonne of gas flared.</w:t>
      </w:r>
    </w:p>
    <w:p w14:paraId="6A1E1921" w14:textId="77777777" w:rsidR="00E3589E" w:rsidRPr="004267BC" w:rsidRDefault="00E3589E" w:rsidP="00E3589E">
      <w:pPr>
        <w:rPr>
          <w:lang w:eastAsia="en-AU"/>
        </w:rPr>
      </w:pPr>
      <w:r w:rsidRPr="004267BC">
        <w:rPr>
          <w:lang w:eastAsia="en-AU"/>
        </w:rPr>
        <w:t xml:space="preserve">Paris Agreement reporting requires the use of the IPCC’s </w:t>
      </w:r>
      <w:r>
        <w:rPr>
          <w:lang w:eastAsia="en-AU"/>
        </w:rPr>
        <w:t>Fifth</w:t>
      </w:r>
      <w:r w:rsidRPr="004267BC">
        <w:rPr>
          <w:lang w:eastAsia="en-AU"/>
        </w:rPr>
        <w:t xml:space="preserve"> Assessment </w:t>
      </w:r>
      <w:r>
        <w:rPr>
          <w:lang w:eastAsia="en-AU"/>
        </w:rPr>
        <w:t>R</w:t>
      </w:r>
      <w:r w:rsidRPr="004267BC">
        <w:rPr>
          <w:lang w:eastAsia="en-AU"/>
        </w:rPr>
        <w:t>eport G</w:t>
      </w:r>
      <w:r>
        <w:rPr>
          <w:lang w:eastAsia="en-AU"/>
        </w:rPr>
        <w:t xml:space="preserve">lobal </w:t>
      </w:r>
      <w:r w:rsidRPr="004267BC">
        <w:rPr>
          <w:lang w:eastAsia="en-AU"/>
        </w:rPr>
        <w:t>W</w:t>
      </w:r>
      <w:r>
        <w:rPr>
          <w:lang w:eastAsia="en-AU"/>
        </w:rPr>
        <w:t xml:space="preserve">arming </w:t>
      </w:r>
      <w:r w:rsidRPr="004267BC">
        <w:rPr>
          <w:lang w:eastAsia="en-AU"/>
        </w:rPr>
        <w:t>P</w:t>
      </w:r>
      <w:r>
        <w:rPr>
          <w:lang w:eastAsia="en-AU"/>
        </w:rPr>
        <w:t>otential value</w:t>
      </w:r>
      <w:r w:rsidRPr="004267BC">
        <w:rPr>
          <w:lang w:eastAsia="en-AU"/>
        </w:rPr>
        <w:t xml:space="preserve"> </w:t>
      </w:r>
      <w:r>
        <w:rPr>
          <w:lang w:eastAsia="en-AU"/>
        </w:rPr>
        <w:t>(</w:t>
      </w:r>
      <w:r w:rsidRPr="004267BC">
        <w:rPr>
          <w:lang w:eastAsia="en-AU"/>
        </w:rPr>
        <w:t>GWP</w:t>
      </w:r>
      <w:r>
        <w:rPr>
          <w:lang w:eastAsia="en-AU"/>
        </w:rPr>
        <w:t>)</w:t>
      </w:r>
      <w:r w:rsidRPr="004267BC">
        <w:rPr>
          <w:lang w:eastAsia="en-AU"/>
        </w:rPr>
        <w:t xml:space="preserve"> of 28 to convert CH</w:t>
      </w:r>
      <w:r w:rsidRPr="003946A0">
        <w:rPr>
          <w:vertAlign w:val="subscript"/>
          <w:lang w:eastAsia="en-AU"/>
        </w:rPr>
        <w:t>4</w:t>
      </w:r>
      <w:r w:rsidRPr="004267BC">
        <w:rPr>
          <w:lang w:eastAsia="en-AU"/>
        </w:rPr>
        <w:t xml:space="preserve"> into carbon dioxide equivalent (CO</w:t>
      </w:r>
      <w:r w:rsidRPr="003946A0">
        <w:rPr>
          <w:vertAlign w:val="subscript"/>
          <w:lang w:eastAsia="en-AU"/>
        </w:rPr>
        <w:t>2</w:t>
      </w:r>
      <w:r w:rsidRPr="004267BC">
        <w:rPr>
          <w:lang w:eastAsia="en-AU"/>
        </w:rPr>
        <w:t xml:space="preserve">-e) on a 100-year </w:t>
      </w:r>
      <w:r>
        <w:rPr>
          <w:lang w:eastAsia="en-AU"/>
        </w:rPr>
        <w:t xml:space="preserve">time </w:t>
      </w:r>
      <w:r w:rsidRPr="004267BC">
        <w:rPr>
          <w:lang w:eastAsia="en-AU"/>
        </w:rPr>
        <w:t>horizon.</w:t>
      </w:r>
      <w:r w:rsidRPr="00530281">
        <w:rPr>
          <w:lang w:eastAsia="en-AU"/>
        </w:rPr>
        <w:t xml:space="preserve"> </w:t>
      </w:r>
      <w:r w:rsidRPr="004267BC">
        <w:rPr>
          <w:lang w:eastAsia="en-AU"/>
        </w:rPr>
        <w:t>To convert the raw emissions factor to CO</w:t>
      </w:r>
      <w:r w:rsidRPr="003946A0">
        <w:rPr>
          <w:vertAlign w:val="subscript"/>
          <w:lang w:eastAsia="en-AU"/>
        </w:rPr>
        <w:t>2</w:t>
      </w:r>
      <w:r w:rsidRPr="004267BC">
        <w:rPr>
          <w:lang w:eastAsia="en-AU"/>
        </w:rPr>
        <w:t>-e, the raw emissions factor is multiplied by the GWP for that gas</w:t>
      </w:r>
      <w:r w:rsidRPr="00530281">
        <w:rPr>
          <w:lang w:eastAsia="en-AU"/>
        </w:rPr>
        <w:t>,</w:t>
      </w:r>
      <w:r w:rsidRPr="004267BC">
        <w:rPr>
          <w:lang w:eastAsia="en-AU"/>
        </w:rPr>
        <w:t xml:space="preserve"> 0.02 x 28 = 0.56.</w:t>
      </w:r>
    </w:p>
    <w:p w14:paraId="7766097F" w14:textId="1FB70818" w:rsidR="008E4A1A" w:rsidRDefault="00E3589E" w:rsidP="00E3589E">
      <w:pPr>
        <w:rPr>
          <w:lang w:eastAsia="en-AU"/>
        </w:rPr>
      </w:pPr>
      <w:r w:rsidRPr="004267BC">
        <w:rPr>
          <w:lang w:eastAsia="en-AU"/>
        </w:rPr>
        <w:t xml:space="preserve">Therefore, the emission factor for methane from gas flared </w:t>
      </w:r>
      <w:r>
        <w:rPr>
          <w:lang w:eastAsia="en-AU"/>
        </w:rPr>
        <w:t>becomes</w:t>
      </w:r>
      <w:r w:rsidRPr="004267BC">
        <w:rPr>
          <w:lang w:eastAsia="en-AU"/>
        </w:rPr>
        <w:t xml:space="preserve"> 0.56 tonnes of CH</w:t>
      </w:r>
      <w:r w:rsidRPr="00B50994">
        <w:rPr>
          <w:vertAlign w:val="subscript"/>
          <w:lang w:eastAsia="en-AU"/>
        </w:rPr>
        <w:t>4</w:t>
      </w:r>
      <w:r w:rsidRPr="004267BC">
        <w:rPr>
          <w:lang w:eastAsia="en-AU"/>
        </w:rPr>
        <w:t xml:space="preserve"> in CO</w:t>
      </w:r>
      <w:r w:rsidRPr="00B50994">
        <w:rPr>
          <w:vertAlign w:val="subscript"/>
          <w:lang w:eastAsia="en-AU"/>
        </w:rPr>
        <w:t>2</w:t>
      </w:r>
      <w:r w:rsidRPr="004267BC">
        <w:rPr>
          <w:lang w:eastAsia="en-AU"/>
        </w:rPr>
        <w:t xml:space="preserve">-e per tonne of gas </w:t>
      </w:r>
      <w:r w:rsidRPr="00530281">
        <w:rPr>
          <w:lang w:eastAsia="en-AU"/>
        </w:rPr>
        <w:t>flared</w:t>
      </w:r>
      <w:r w:rsidRPr="004267BC">
        <w:rPr>
          <w:lang w:eastAsia="en-AU"/>
        </w:rPr>
        <w:t>.</w:t>
      </w:r>
    </w:p>
    <w:p w14:paraId="09995B74" w14:textId="77777777" w:rsidR="00E3589E" w:rsidRDefault="00E3589E" w:rsidP="00E3589E">
      <w:pPr>
        <w:rPr>
          <w:lang w:eastAsia="en-AU"/>
        </w:rPr>
      </w:pPr>
      <w:r>
        <w:rPr>
          <w:lang w:eastAsia="en-AU"/>
        </w:rPr>
        <w:t xml:space="preserve">For gas flared at oil refineries, </w:t>
      </w:r>
      <w:r w:rsidRPr="004267BC">
        <w:rPr>
          <w:lang w:eastAsia="en-AU"/>
        </w:rPr>
        <w:t>the default proportion of CH</w:t>
      </w:r>
      <w:r w:rsidRPr="003946A0">
        <w:rPr>
          <w:vertAlign w:val="subscript"/>
          <w:lang w:eastAsia="en-AU"/>
        </w:rPr>
        <w:t>4</w:t>
      </w:r>
      <w:r w:rsidRPr="004267BC">
        <w:rPr>
          <w:lang w:eastAsia="en-AU"/>
        </w:rPr>
        <w:t xml:space="preserve"> that is not combusted can be calculated by 1 minus the oxidation factor = 1 – 0.9</w:t>
      </w:r>
      <w:r>
        <w:rPr>
          <w:lang w:eastAsia="en-AU"/>
        </w:rPr>
        <w:t>95</w:t>
      </w:r>
      <w:r w:rsidRPr="004267BC">
        <w:rPr>
          <w:lang w:eastAsia="en-AU"/>
        </w:rPr>
        <w:t xml:space="preserve"> = 0.0</w:t>
      </w:r>
      <w:r>
        <w:rPr>
          <w:lang w:eastAsia="en-AU"/>
        </w:rPr>
        <w:t>05</w:t>
      </w:r>
      <w:r w:rsidRPr="004267BC">
        <w:rPr>
          <w:lang w:eastAsia="en-AU"/>
        </w:rPr>
        <w:t>.</w:t>
      </w:r>
      <w:r>
        <w:rPr>
          <w:lang w:eastAsia="en-AU"/>
        </w:rPr>
        <w:t xml:space="preserve"> When </w:t>
      </w:r>
      <w:r w:rsidRPr="004267BC">
        <w:rPr>
          <w:lang w:eastAsia="en-AU"/>
        </w:rPr>
        <w:t>the raw emissions factor is multiplied by the GWP for that gas</w:t>
      </w:r>
      <w:r w:rsidRPr="00530281">
        <w:rPr>
          <w:lang w:eastAsia="en-AU"/>
        </w:rPr>
        <w:t>,</w:t>
      </w:r>
      <w:r w:rsidRPr="004267BC">
        <w:rPr>
          <w:lang w:eastAsia="en-AU"/>
        </w:rPr>
        <w:t xml:space="preserve"> 0.0</w:t>
      </w:r>
      <w:r>
        <w:rPr>
          <w:lang w:eastAsia="en-AU"/>
        </w:rPr>
        <w:t>05</w:t>
      </w:r>
      <w:r w:rsidRPr="004267BC">
        <w:rPr>
          <w:lang w:eastAsia="en-AU"/>
        </w:rPr>
        <w:t xml:space="preserve"> x 28 = 0.</w:t>
      </w:r>
      <w:r>
        <w:rPr>
          <w:lang w:eastAsia="en-AU"/>
        </w:rPr>
        <w:t>14</w:t>
      </w:r>
      <w:r w:rsidRPr="004267BC">
        <w:rPr>
          <w:lang w:eastAsia="en-AU"/>
        </w:rPr>
        <w:t>.</w:t>
      </w:r>
    </w:p>
    <w:p w14:paraId="00BA7F6D" w14:textId="5B562CDB" w:rsidR="008E4A1A" w:rsidRDefault="00E3589E" w:rsidP="00E3589E">
      <w:pPr>
        <w:rPr>
          <w:lang w:eastAsia="en-AU"/>
        </w:rPr>
      </w:pPr>
      <w:r w:rsidRPr="004267BC">
        <w:rPr>
          <w:lang w:eastAsia="en-AU"/>
        </w:rPr>
        <w:t xml:space="preserve">Therefore, the emission factor for </w:t>
      </w:r>
      <w:r w:rsidRPr="00530281">
        <w:rPr>
          <w:lang w:eastAsia="en-AU"/>
        </w:rPr>
        <w:t>CH</w:t>
      </w:r>
      <w:r w:rsidRPr="00AD7560">
        <w:rPr>
          <w:vertAlign w:val="subscript"/>
          <w:lang w:eastAsia="en-AU"/>
        </w:rPr>
        <w:t>4</w:t>
      </w:r>
      <w:r>
        <w:rPr>
          <w:lang w:eastAsia="en-AU"/>
        </w:rPr>
        <w:t xml:space="preserve"> </w:t>
      </w:r>
      <w:r w:rsidRPr="004267BC">
        <w:rPr>
          <w:lang w:eastAsia="en-AU"/>
        </w:rPr>
        <w:t xml:space="preserve">from gas flared </w:t>
      </w:r>
      <w:r>
        <w:rPr>
          <w:lang w:eastAsia="en-AU"/>
        </w:rPr>
        <w:t>at oil refineries becomes</w:t>
      </w:r>
      <w:r w:rsidRPr="004267BC">
        <w:rPr>
          <w:lang w:eastAsia="en-AU"/>
        </w:rPr>
        <w:t xml:space="preserve"> 0.</w:t>
      </w:r>
      <w:r>
        <w:rPr>
          <w:lang w:eastAsia="en-AU"/>
        </w:rPr>
        <w:t>14</w:t>
      </w:r>
      <w:r w:rsidRPr="004267BC">
        <w:rPr>
          <w:lang w:eastAsia="en-AU"/>
        </w:rPr>
        <w:t xml:space="preserve"> tonnes of CH</w:t>
      </w:r>
      <w:r w:rsidRPr="00B50994">
        <w:rPr>
          <w:vertAlign w:val="subscript"/>
          <w:lang w:eastAsia="en-AU"/>
        </w:rPr>
        <w:t>4</w:t>
      </w:r>
      <w:r w:rsidRPr="004267BC">
        <w:rPr>
          <w:lang w:eastAsia="en-AU"/>
        </w:rPr>
        <w:t xml:space="preserve"> in CO</w:t>
      </w:r>
      <w:r w:rsidRPr="00B50994">
        <w:rPr>
          <w:vertAlign w:val="subscript"/>
          <w:lang w:eastAsia="en-AU"/>
        </w:rPr>
        <w:t>2</w:t>
      </w:r>
      <w:r w:rsidRPr="004267BC">
        <w:rPr>
          <w:lang w:eastAsia="en-AU"/>
        </w:rPr>
        <w:t xml:space="preserve">-e per tonne of gas </w:t>
      </w:r>
      <w:r w:rsidRPr="00530281">
        <w:rPr>
          <w:lang w:eastAsia="en-AU"/>
        </w:rPr>
        <w:t>flared</w:t>
      </w:r>
      <w:r w:rsidRPr="004267BC">
        <w:rPr>
          <w:lang w:eastAsia="en-AU"/>
        </w:rPr>
        <w:t>.</w:t>
      </w:r>
    </w:p>
    <w:p w14:paraId="0DB71839" w14:textId="3EC5BB44" w:rsidR="008E4A1A" w:rsidRPr="00B50994" w:rsidRDefault="00E30BD8" w:rsidP="001E5D65">
      <w:pPr>
        <w:rPr>
          <w:u w:val="single"/>
          <w:lang w:eastAsia="en-AU"/>
        </w:rPr>
      </w:pPr>
      <w:r>
        <w:rPr>
          <w:u w:val="single"/>
          <w:lang w:eastAsia="en-AU"/>
        </w:rPr>
        <w:t>Proposed revise</w:t>
      </w:r>
      <w:r w:rsidRPr="00E30BD8">
        <w:rPr>
          <w:u w:val="single"/>
          <w:lang w:eastAsia="en-AU"/>
        </w:rPr>
        <w:t xml:space="preserve"> N</w:t>
      </w:r>
      <w:r w:rsidRPr="00E30BD8">
        <w:rPr>
          <w:u w:val="single"/>
          <w:vertAlign w:val="subscript"/>
          <w:lang w:eastAsia="en-AU"/>
        </w:rPr>
        <w:t>2</w:t>
      </w:r>
      <w:r w:rsidRPr="00E30BD8">
        <w:rPr>
          <w:u w:val="single"/>
          <w:lang w:eastAsia="en-AU"/>
        </w:rPr>
        <w:t>O</w:t>
      </w:r>
      <w:r w:rsidRPr="004267BC">
        <w:rPr>
          <w:lang w:eastAsia="en-AU"/>
        </w:rPr>
        <w:t xml:space="preserve"> </w:t>
      </w:r>
      <w:r w:rsidR="008E4A1A" w:rsidRPr="00B50994">
        <w:rPr>
          <w:u w:val="single"/>
          <w:lang w:eastAsia="en-AU"/>
        </w:rPr>
        <w:t>emissions factor</w:t>
      </w:r>
    </w:p>
    <w:p w14:paraId="5913C0F3" w14:textId="77777777" w:rsidR="00E3589E" w:rsidRPr="004267BC" w:rsidRDefault="00E3589E" w:rsidP="00E3589E">
      <w:pPr>
        <w:rPr>
          <w:lang w:eastAsia="en-AU"/>
        </w:rPr>
      </w:pPr>
      <w:r w:rsidRPr="004267BC">
        <w:rPr>
          <w:lang w:eastAsia="en-AU"/>
        </w:rPr>
        <w:t>The source of the N</w:t>
      </w:r>
      <w:r w:rsidRPr="00E174D3">
        <w:rPr>
          <w:vertAlign w:val="subscript"/>
          <w:lang w:eastAsia="en-AU"/>
        </w:rPr>
        <w:t>2</w:t>
      </w:r>
      <w:r w:rsidRPr="004267BC">
        <w:rPr>
          <w:lang w:eastAsia="en-AU"/>
        </w:rPr>
        <w:t>O factor is Table 4.6 of the E&amp;P Forum 1994 report: 0.000081 t N</w:t>
      </w:r>
      <w:r w:rsidRPr="00B50994">
        <w:rPr>
          <w:vertAlign w:val="subscript"/>
          <w:lang w:eastAsia="en-AU"/>
        </w:rPr>
        <w:t>2</w:t>
      </w:r>
      <w:r w:rsidRPr="004267BC">
        <w:rPr>
          <w:lang w:eastAsia="en-AU"/>
        </w:rPr>
        <w:t xml:space="preserve">O / t gas flared. </w:t>
      </w:r>
    </w:p>
    <w:p w14:paraId="65DE04B7" w14:textId="77777777" w:rsidR="00E3589E" w:rsidRPr="004267BC" w:rsidRDefault="00E3589E" w:rsidP="00E3589E">
      <w:pPr>
        <w:rPr>
          <w:lang w:eastAsia="en-AU"/>
        </w:rPr>
      </w:pPr>
      <w:r w:rsidRPr="004267BC">
        <w:rPr>
          <w:lang w:eastAsia="en-AU"/>
        </w:rPr>
        <w:t xml:space="preserve">The footnote in this table </w:t>
      </w:r>
      <w:r>
        <w:rPr>
          <w:lang w:eastAsia="en-AU"/>
        </w:rPr>
        <w:t>indicates</w:t>
      </w:r>
      <w:r w:rsidRPr="004267BC">
        <w:rPr>
          <w:lang w:eastAsia="en-AU"/>
        </w:rPr>
        <w:t xml:space="preserve"> </w:t>
      </w:r>
      <w:r>
        <w:rPr>
          <w:lang w:eastAsia="en-AU"/>
        </w:rPr>
        <w:t>the</w:t>
      </w:r>
      <w:r w:rsidRPr="004267BC">
        <w:rPr>
          <w:lang w:eastAsia="en-AU"/>
        </w:rPr>
        <w:t xml:space="preserve"> use </w:t>
      </w:r>
      <w:r>
        <w:rPr>
          <w:lang w:eastAsia="en-AU"/>
        </w:rPr>
        <w:t xml:space="preserve">of </w:t>
      </w:r>
      <w:r w:rsidRPr="004267BC">
        <w:rPr>
          <w:lang w:eastAsia="en-AU"/>
        </w:rPr>
        <w:t>an oxidation factor of 95%, however, Australia’s inventory uses the IPCC 2006 default oxidation factor of 98%</w:t>
      </w:r>
      <w:r>
        <w:rPr>
          <w:lang w:eastAsia="en-AU"/>
        </w:rPr>
        <w:t xml:space="preserve"> in relation to </w:t>
      </w:r>
      <w:r w:rsidRPr="004267BC">
        <w:rPr>
          <w:lang w:eastAsia="en-AU"/>
        </w:rPr>
        <w:t>N</w:t>
      </w:r>
      <w:r w:rsidRPr="00E174D3">
        <w:rPr>
          <w:vertAlign w:val="subscript"/>
          <w:lang w:eastAsia="en-AU"/>
        </w:rPr>
        <w:t>2</w:t>
      </w:r>
      <w:r w:rsidRPr="004267BC">
        <w:rPr>
          <w:lang w:eastAsia="en-AU"/>
        </w:rPr>
        <w:t>O.</w:t>
      </w:r>
    </w:p>
    <w:p w14:paraId="1167C38A" w14:textId="77777777" w:rsidR="00E3589E" w:rsidRPr="004267BC" w:rsidRDefault="00E3589E" w:rsidP="00E3589E">
      <w:pPr>
        <w:rPr>
          <w:lang w:eastAsia="en-AU"/>
        </w:rPr>
      </w:pPr>
      <w:r w:rsidRPr="00530281">
        <w:rPr>
          <w:lang w:eastAsia="en-AU"/>
        </w:rPr>
        <w:t>Applying the</w:t>
      </w:r>
      <w:r w:rsidRPr="004267BC">
        <w:rPr>
          <w:lang w:eastAsia="en-AU"/>
        </w:rPr>
        <w:t xml:space="preserve"> adjusted oxidation factor </w:t>
      </w:r>
      <w:r w:rsidRPr="00530281">
        <w:rPr>
          <w:lang w:eastAsia="en-AU"/>
        </w:rPr>
        <w:t>gives</w:t>
      </w:r>
      <w:r w:rsidRPr="004267BC">
        <w:rPr>
          <w:lang w:eastAsia="en-AU"/>
        </w:rPr>
        <w:t xml:space="preserve"> (0.000081 / 95) x 98 = 0.000084 t N</w:t>
      </w:r>
      <w:r w:rsidRPr="00B50994">
        <w:rPr>
          <w:vertAlign w:val="subscript"/>
          <w:lang w:eastAsia="en-AU"/>
        </w:rPr>
        <w:t>2</w:t>
      </w:r>
      <w:r w:rsidRPr="004267BC">
        <w:rPr>
          <w:lang w:eastAsia="en-AU"/>
        </w:rPr>
        <w:t>O / t gas flared.</w:t>
      </w:r>
    </w:p>
    <w:p w14:paraId="54C53D8E" w14:textId="77777777" w:rsidR="00E3589E" w:rsidRPr="004267BC" w:rsidRDefault="00E3589E" w:rsidP="00E3589E">
      <w:pPr>
        <w:rPr>
          <w:lang w:eastAsia="en-AU"/>
        </w:rPr>
      </w:pPr>
      <w:r w:rsidRPr="004267BC">
        <w:rPr>
          <w:lang w:eastAsia="en-AU"/>
        </w:rPr>
        <w:t xml:space="preserve">Paris Agreement reporting requires the use of the IPCC’s </w:t>
      </w:r>
      <w:r>
        <w:rPr>
          <w:lang w:eastAsia="en-AU"/>
        </w:rPr>
        <w:t>Fifth</w:t>
      </w:r>
      <w:r w:rsidRPr="004267BC">
        <w:rPr>
          <w:lang w:eastAsia="en-AU"/>
        </w:rPr>
        <w:t xml:space="preserve"> Assessment </w:t>
      </w:r>
      <w:r>
        <w:rPr>
          <w:lang w:eastAsia="en-AU"/>
        </w:rPr>
        <w:t>R</w:t>
      </w:r>
      <w:r w:rsidRPr="004267BC">
        <w:rPr>
          <w:lang w:eastAsia="en-AU"/>
        </w:rPr>
        <w:t>eport GWP of 265 to convert N</w:t>
      </w:r>
      <w:r w:rsidRPr="00B50994">
        <w:rPr>
          <w:vertAlign w:val="subscript"/>
          <w:lang w:eastAsia="en-AU"/>
        </w:rPr>
        <w:t>2</w:t>
      </w:r>
      <w:r w:rsidRPr="004267BC">
        <w:rPr>
          <w:lang w:eastAsia="en-AU"/>
        </w:rPr>
        <w:t>O into carbon dioxide equivalent (CO</w:t>
      </w:r>
      <w:r w:rsidRPr="00B50994">
        <w:rPr>
          <w:vertAlign w:val="subscript"/>
          <w:lang w:eastAsia="en-AU"/>
        </w:rPr>
        <w:t>2</w:t>
      </w:r>
      <w:r w:rsidRPr="004267BC">
        <w:rPr>
          <w:lang w:eastAsia="en-AU"/>
        </w:rPr>
        <w:t xml:space="preserve">-e) on a 100-year </w:t>
      </w:r>
      <w:r>
        <w:rPr>
          <w:lang w:eastAsia="en-AU"/>
        </w:rPr>
        <w:t xml:space="preserve">time </w:t>
      </w:r>
      <w:r w:rsidRPr="004267BC">
        <w:rPr>
          <w:lang w:eastAsia="en-AU"/>
        </w:rPr>
        <w:t>horizon.</w:t>
      </w:r>
    </w:p>
    <w:p w14:paraId="2DD741CF" w14:textId="77777777" w:rsidR="00E3589E" w:rsidRDefault="00E3589E" w:rsidP="00E3589E">
      <w:pPr>
        <w:rPr>
          <w:lang w:eastAsia="en-AU"/>
        </w:rPr>
      </w:pPr>
      <w:r w:rsidRPr="004267BC">
        <w:rPr>
          <w:lang w:eastAsia="en-AU"/>
        </w:rPr>
        <w:t>Therefore, the emission factor for N</w:t>
      </w:r>
      <w:r w:rsidRPr="00E174D3">
        <w:rPr>
          <w:vertAlign w:val="subscript"/>
          <w:lang w:eastAsia="en-AU"/>
        </w:rPr>
        <w:t>2</w:t>
      </w:r>
      <w:r w:rsidRPr="004267BC">
        <w:rPr>
          <w:lang w:eastAsia="en-AU"/>
        </w:rPr>
        <w:t>O</w:t>
      </w:r>
      <w:r w:rsidRPr="00530281" w:rsidDel="00170648">
        <w:rPr>
          <w:lang w:eastAsia="en-AU"/>
        </w:rPr>
        <w:t xml:space="preserve"> </w:t>
      </w:r>
      <w:r w:rsidRPr="004267BC">
        <w:rPr>
          <w:lang w:eastAsia="en-AU"/>
        </w:rPr>
        <w:t xml:space="preserve">from gas flared </w:t>
      </w:r>
      <w:r>
        <w:rPr>
          <w:lang w:eastAsia="en-AU"/>
        </w:rPr>
        <w:t>becomes</w:t>
      </w:r>
      <w:r w:rsidRPr="004267BC">
        <w:rPr>
          <w:lang w:eastAsia="en-AU"/>
        </w:rPr>
        <w:t xml:space="preserve"> 0.022 tonnes of N</w:t>
      </w:r>
      <w:r w:rsidRPr="00B50994">
        <w:rPr>
          <w:vertAlign w:val="subscript"/>
          <w:lang w:eastAsia="en-AU"/>
        </w:rPr>
        <w:t>2</w:t>
      </w:r>
      <w:r w:rsidRPr="004267BC">
        <w:rPr>
          <w:lang w:eastAsia="en-AU"/>
        </w:rPr>
        <w:t>O in CO</w:t>
      </w:r>
      <w:r w:rsidRPr="00B50994">
        <w:rPr>
          <w:vertAlign w:val="subscript"/>
          <w:lang w:eastAsia="en-AU"/>
        </w:rPr>
        <w:t>2</w:t>
      </w:r>
      <w:r w:rsidRPr="004267BC">
        <w:rPr>
          <w:lang w:eastAsia="en-AU"/>
        </w:rPr>
        <w:t>-e per tonne of gas combusted.</w:t>
      </w:r>
    </w:p>
    <w:p w14:paraId="36047825" w14:textId="77777777" w:rsidR="00E3589E" w:rsidRDefault="00E3589E" w:rsidP="00E3589E">
      <w:pPr>
        <w:rPr>
          <w:lang w:eastAsia="en-AU"/>
        </w:rPr>
      </w:pPr>
      <w:r w:rsidRPr="00530281">
        <w:rPr>
          <w:lang w:eastAsia="en-AU"/>
        </w:rPr>
        <w:t>Applying the</w:t>
      </w:r>
      <w:r w:rsidRPr="004267BC">
        <w:rPr>
          <w:lang w:eastAsia="en-AU"/>
        </w:rPr>
        <w:t xml:space="preserve"> adjusted oxidation factor</w:t>
      </w:r>
      <w:r>
        <w:rPr>
          <w:lang w:eastAsia="en-AU"/>
        </w:rPr>
        <w:t xml:space="preserve"> for gas flared at oil refineries</w:t>
      </w:r>
      <w:r w:rsidRPr="004267BC">
        <w:rPr>
          <w:lang w:eastAsia="en-AU"/>
        </w:rPr>
        <w:t xml:space="preserve"> </w:t>
      </w:r>
      <w:r w:rsidRPr="00530281">
        <w:rPr>
          <w:lang w:eastAsia="en-AU"/>
        </w:rPr>
        <w:t>gives</w:t>
      </w:r>
      <w:r w:rsidRPr="004267BC">
        <w:rPr>
          <w:lang w:eastAsia="en-AU"/>
        </w:rPr>
        <w:t xml:space="preserve"> (0.000081 / 95) x 9</w:t>
      </w:r>
      <w:r>
        <w:rPr>
          <w:lang w:eastAsia="en-AU"/>
        </w:rPr>
        <w:t>9.5</w:t>
      </w:r>
      <w:r w:rsidRPr="004267BC">
        <w:rPr>
          <w:lang w:eastAsia="en-AU"/>
        </w:rPr>
        <w:t xml:space="preserve"> = 0.00008</w:t>
      </w:r>
      <w:r>
        <w:rPr>
          <w:lang w:eastAsia="en-AU"/>
        </w:rPr>
        <w:t>5</w:t>
      </w:r>
      <w:r w:rsidRPr="004267BC">
        <w:rPr>
          <w:lang w:eastAsia="en-AU"/>
        </w:rPr>
        <w:t xml:space="preserve"> t N</w:t>
      </w:r>
      <w:r w:rsidRPr="00B50994">
        <w:rPr>
          <w:vertAlign w:val="subscript"/>
          <w:lang w:eastAsia="en-AU"/>
        </w:rPr>
        <w:t>2</w:t>
      </w:r>
      <w:r w:rsidRPr="004267BC">
        <w:rPr>
          <w:lang w:eastAsia="en-AU"/>
        </w:rPr>
        <w:t>O / t gas flared.</w:t>
      </w:r>
      <w:r>
        <w:rPr>
          <w:lang w:eastAsia="en-AU"/>
        </w:rPr>
        <w:t xml:space="preserve"> </w:t>
      </w:r>
      <w:r w:rsidRPr="004267BC">
        <w:rPr>
          <w:lang w:eastAsia="en-AU"/>
        </w:rPr>
        <w:t xml:space="preserve">Therefore, the emission factor for </w:t>
      </w:r>
      <w:r w:rsidRPr="00530281">
        <w:rPr>
          <w:lang w:eastAsia="en-AU"/>
        </w:rPr>
        <w:t>nitrous oxide</w:t>
      </w:r>
      <w:r w:rsidRPr="004267BC">
        <w:rPr>
          <w:lang w:eastAsia="en-AU"/>
        </w:rPr>
        <w:t xml:space="preserve"> from gas flared </w:t>
      </w:r>
      <w:r>
        <w:rPr>
          <w:lang w:eastAsia="en-AU"/>
        </w:rPr>
        <w:t>at an oil refinery also becomes</w:t>
      </w:r>
      <w:r w:rsidRPr="004267BC">
        <w:rPr>
          <w:lang w:eastAsia="en-AU"/>
        </w:rPr>
        <w:t xml:space="preserve"> 0.022 tonnes of N</w:t>
      </w:r>
      <w:r w:rsidRPr="00B50994">
        <w:rPr>
          <w:vertAlign w:val="subscript"/>
          <w:lang w:eastAsia="en-AU"/>
        </w:rPr>
        <w:t>2</w:t>
      </w:r>
      <w:r w:rsidRPr="004267BC">
        <w:rPr>
          <w:lang w:eastAsia="en-AU"/>
        </w:rPr>
        <w:t>O in CO</w:t>
      </w:r>
      <w:r w:rsidRPr="00B50994">
        <w:rPr>
          <w:vertAlign w:val="subscript"/>
          <w:lang w:eastAsia="en-AU"/>
        </w:rPr>
        <w:t>2</w:t>
      </w:r>
      <w:r w:rsidRPr="004267BC">
        <w:rPr>
          <w:lang w:eastAsia="en-AU"/>
        </w:rPr>
        <w:t>-e per tonne of gas combusted.</w:t>
      </w:r>
    </w:p>
    <w:p w14:paraId="6481E407" w14:textId="77777777" w:rsidR="00E3589E" w:rsidRPr="00EB6BF1" w:rsidRDefault="00E3589E" w:rsidP="00E3589E">
      <w:pPr>
        <w:jc w:val="both"/>
        <w:rPr>
          <w:rFonts w:ascii="Gilroy" w:hAnsi="Gilroy"/>
        </w:rPr>
      </w:pPr>
      <w:r w:rsidRPr="00EB6BF1">
        <w:rPr>
          <w:rFonts w:ascii="Gilroy" w:hAnsi="Gilroy"/>
        </w:rPr>
        <w:t>The proposed amendment</w:t>
      </w:r>
      <w:r>
        <w:rPr>
          <w:rFonts w:ascii="Gilroy" w:hAnsi="Gilroy"/>
        </w:rPr>
        <w:t>s</w:t>
      </w:r>
      <w:r w:rsidRPr="00EB6BF1">
        <w:rPr>
          <w:rFonts w:ascii="Gilroy" w:hAnsi="Gilroy"/>
        </w:rPr>
        <w:t xml:space="preserve"> would have the following benefits:</w:t>
      </w:r>
    </w:p>
    <w:p w14:paraId="6615D069" w14:textId="77777777" w:rsidR="00E3589E" w:rsidRDefault="00E3589E" w:rsidP="00E3589E">
      <w:pPr>
        <w:pStyle w:val="ListParagraph"/>
        <w:widowControl w:val="0"/>
        <w:numPr>
          <w:ilvl w:val="0"/>
          <w:numId w:val="22"/>
        </w:numPr>
        <w:spacing w:before="120" w:line="276" w:lineRule="auto"/>
        <w:ind w:left="711" w:hanging="357"/>
      </w:pPr>
      <w:r>
        <w:t>Improving consistency and accuracy of gas flaring emissions factors across the Measurement Determination, and</w:t>
      </w:r>
    </w:p>
    <w:p w14:paraId="71BB8C3A" w14:textId="6DE92D40" w:rsidR="003063D3" w:rsidRPr="00EB6BF1" w:rsidRDefault="00E3589E" w:rsidP="00E3589E">
      <w:pPr>
        <w:pStyle w:val="ListParagraph"/>
        <w:widowControl w:val="0"/>
        <w:numPr>
          <w:ilvl w:val="0"/>
          <w:numId w:val="22"/>
        </w:numPr>
        <w:spacing w:before="120" w:line="276" w:lineRule="auto"/>
        <w:ind w:left="711" w:hanging="357"/>
      </w:pPr>
      <w:r>
        <w:t>Aligning the NGER scheme with Paris Agreement emissions reporting requirements.</w:t>
      </w:r>
      <w:r w:rsidR="003063D3">
        <w:t xml:space="preserve"> </w:t>
      </w:r>
    </w:p>
    <w:p w14:paraId="3C25CF6D" w14:textId="2D27D7F9" w:rsidR="002A4118" w:rsidRDefault="005E6512" w:rsidP="00603766">
      <w:pPr>
        <w:pStyle w:val="Heading4"/>
      </w:pPr>
      <w:r>
        <w:t>Making</w:t>
      </w:r>
      <w:r w:rsidR="002A4118">
        <w:t xml:space="preserve"> Method 2B for gas flared during natural gas production </w:t>
      </w:r>
      <w:r w:rsidR="00F011E4">
        <w:t xml:space="preserve">available </w:t>
      </w:r>
      <w:r w:rsidR="002A4118">
        <w:t>to natural gas transmission and distribution facilities</w:t>
      </w:r>
    </w:p>
    <w:p w14:paraId="5EFDE989" w14:textId="77777777" w:rsidR="00E3589E" w:rsidRDefault="00E3589E" w:rsidP="00E3589E">
      <w:pPr>
        <w:spacing w:before="280" w:after="0"/>
        <w:rPr>
          <w:rFonts w:cs="Calibri"/>
        </w:rPr>
      </w:pPr>
      <w:r>
        <w:rPr>
          <w:lang w:eastAsia="en-AU"/>
        </w:rPr>
        <w:t>As part of the 2024 NGER scheme updates</w:t>
      </w:r>
      <w:r>
        <w:rPr>
          <w:rStyle w:val="FootnoteReference"/>
          <w:lang w:eastAsia="en-AU"/>
        </w:rPr>
        <w:footnoteReference w:id="19"/>
      </w:r>
      <w:r>
        <w:rPr>
          <w:lang w:eastAsia="en-AU"/>
        </w:rPr>
        <w:t xml:space="preserve">, a new method for estimating emissions from flaring of gas at some oil and gas facilities was introduced: section </w:t>
      </w:r>
      <w:r w:rsidRPr="00111AD6">
        <w:rPr>
          <w:lang w:eastAsia="en-AU"/>
        </w:rPr>
        <w:t>3.87B Method 2B—Natural gas production mass balance approach (flared methane and carbon dioxide emissions)</w:t>
      </w:r>
      <w:r>
        <w:rPr>
          <w:lang w:eastAsia="en-AU"/>
        </w:rPr>
        <w:t xml:space="preserve">. Method 2B was developed to </w:t>
      </w:r>
      <w:r>
        <w:rPr>
          <w:rFonts w:cs="Calibri"/>
        </w:rPr>
        <w:t xml:space="preserve">more accurately estimate emissions from a given facility’s </w:t>
      </w:r>
      <w:r w:rsidRPr="00603F59">
        <w:t>natural gas flaring activities</w:t>
      </w:r>
      <w:r>
        <w:t xml:space="preserve">, </w:t>
      </w:r>
      <w:r>
        <w:rPr>
          <w:lang w:eastAsia="en-AU"/>
        </w:rPr>
        <w:t>while minimising</w:t>
      </w:r>
      <w:r w:rsidRPr="00603F59">
        <w:t xml:space="preserve"> </w:t>
      </w:r>
      <w:r>
        <w:t xml:space="preserve">reported </w:t>
      </w:r>
      <w:r w:rsidRPr="00603F59">
        <w:t xml:space="preserve">barriers to </w:t>
      </w:r>
      <w:r>
        <w:t>uptake</w:t>
      </w:r>
      <w:r>
        <w:rPr>
          <w:rFonts w:cs="Calibri"/>
        </w:rPr>
        <w:t xml:space="preserve"> of higher order methods for this emissions source largely relating to </w:t>
      </w:r>
      <w:r w:rsidRPr="00F112B3">
        <w:rPr>
          <w:rFonts w:cs="Calibri"/>
        </w:rPr>
        <w:t>requirements</w:t>
      </w:r>
      <w:r>
        <w:rPr>
          <w:rFonts w:cs="Calibri"/>
        </w:rPr>
        <w:t xml:space="preserve"> to sample gas composition at the flare point and associated costs.</w:t>
      </w:r>
    </w:p>
    <w:p w14:paraId="4DF52208" w14:textId="77777777" w:rsidR="00E3589E" w:rsidRDefault="00E3589E" w:rsidP="00E3589E">
      <w:pPr>
        <w:spacing w:before="280" w:after="0"/>
        <w:rPr>
          <w:lang w:eastAsia="en-AU"/>
        </w:rPr>
      </w:pPr>
      <w:r>
        <w:rPr>
          <w:rFonts w:cs="Calibri"/>
        </w:rPr>
        <w:t xml:space="preserve">While the 2024 amendment applied to gas flaring during natural gas production, the mass balance approach is equally applicable to the estimation of fugitive emissions from gas flaring </w:t>
      </w:r>
      <w:r w:rsidRPr="00113767">
        <w:rPr>
          <w:lang w:eastAsia="en-AU"/>
        </w:rPr>
        <w:t xml:space="preserve">during transmission and distribution of natural gas. </w:t>
      </w:r>
      <w:r>
        <w:rPr>
          <w:lang w:eastAsia="en-AU"/>
        </w:rPr>
        <w:t>The existing Method 2A requires the use of gas chromatographs on the flare stack. It is not always possible to affix and maintain gas chromatographs to flare stacks for technical or safety reasons. Allowing for the use of Method 2B would leverage existing metres and gas composition collection processes to enable a robust engineering approach to estimate emissions from flaring.</w:t>
      </w:r>
    </w:p>
    <w:p w14:paraId="7AC60F3A" w14:textId="50277103" w:rsidR="00175E32" w:rsidRPr="00113767" w:rsidRDefault="00E3589E" w:rsidP="00E3589E">
      <w:pPr>
        <w:spacing w:before="280" w:after="0"/>
        <w:rPr>
          <w:lang w:eastAsia="en-AU"/>
        </w:rPr>
      </w:pPr>
      <w:r w:rsidRPr="00113767">
        <w:rPr>
          <w:lang w:eastAsia="en-AU"/>
        </w:rPr>
        <w:t>Divisions 3.3.9D and 3.3.9G of the Measurement Determination provide for the estimation of fugitive greenhouse gas emissions from flaring from natural gas transmission and distribution. Currently NGER reporters have the option of estimating these emissions in accordance with Methods 1, 2, 2A or 3.</w:t>
      </w:r>
    </w:p>
    <w:p w14:paraId="3FB1C46A" w14:textId="43E1051A" w:rsidR="007209A0" w:rsidRDefault="00E3589E" w:rsidP="00113767">
      <w:pPr>
        <w:spacing w:before="280" w:after="0"/>
        <w:rPr>
          <w:rFonts w:cs="Calibri"/>
        </w:rPr>
      </w:pPr>
      <w:r>
        <w:rPr>
          <w:lang w:eastAsia="en-AU"/>
        </w:rPr>
        <w:t xml:space="preserve">The department proposes to amend these Divisions of the Measurement Determination to allow the use of the above-mentioned Method 2B approach for estimating transmission and distribution flaring sources. </w:t>
      </w:r>
      <w:r w:rsidRPr="00113767">
        <w:rPr>
          <w:lang w:eastAsia="en-AU"/>
        </w:rPr>
        <w:t>The propos</w:t>
      </w:r>
      <w:r>
        <w:rPr>
          <w:lang w:eastAsia="en-AU"/>
        </w:rPr>
        <w:t xml:space="preserve">al would have the benefit of providing an additional option for reporters to </w:t>
      </w:r>
      <w:r>
        <w:rPr>
          <w:rFonts w:cs="Calibri"/>
        </w:rPr>
        <w:t xml:space="preserve">more accurately estimate emissions from a given facility’s </w:t>
      </w:r>
      <w:r w:rsidRPr="00603F59">
        <w:t>natural gas flaring activities</w:t>
      </w:r>
      <w:r>
        <w:rPr>
          <w:rFonts w:cs="Calibri"/>
        </w:rPr>
        <w:t xml:space="preserve">. The </w:t>
      </w:r>
      <w:r w:rsidR="00D553A0">
        <w:rPr>
          <w:rFonts w:cs="Calibri"/>
        </w:rPr>
        <w:t>d</w:t>
      </w:r>
      <w:r>
        <w:rPr>
          <w:rFonts w:cs="Calibri"/>
        </w:rPr>
        <w:t>epartment will continue to explore opportunities for new methods to better capture the impact on emissions of facility-specific flaring activities during natural gas transmission and distribution, including abatement activities.</w:t>
      </w:r>
      <w:r w:rsidR="00D269D8">
        <w:rPr>
          <w:rFonts w:cs="Calibri"/>
        </w:rPr>
        <w:t xml:space="preserve"> </w:t>
      </w:r>
      <w:r w:rsidR="002A5B23">
        <w:rPr>
          <w:rFonts w:cs="Calibri"/>
        </w:rPr>
        <w:t xml:space="preserve"> </w:t>
      </w:r>
    </w:p>
    <w:p w14:paraId="07D78F18" w14:textId="5DC24085" w:rsidR="00B10242" w:rsidRPr="00B10242" w:rsidRDefault="004924B6" w:rsidP="00603766">
      <w:pPr>
        <w:pStyle w:val="Heading4"/>
      </w:pPr>
      <w:r>
        <w:t>New</w:t>
      </w:r>
      <w:r w:rsidR="002A4118">
        <w:t xml:space="preserve"> matter to be identified (MTBI) for Methods 2, 2A, and 3 for flaring from</w:t>
      </w:r>
      <w:r w:rsidR="004A57EF">
        <w:t xml:space="preserve"> oil and gas operations</w:t>
      </w:r>
    </w:p>
    <w:p w14:paraId="2A3F0A2B" w14:textId="77777777" w:rsidR="001966D4" w:rsidRDefault="001966D4" w:rsidP="001966D4">
      <w:pPr>
        <w:rPr>
          <w:lang w:eastAsia="en-AU"/>
        </w:rPr>
      </w:pPr>
      <w:r>
        <w:rPr>
          <w:lang w:eastAsia="en-AU"/>
        </w:rPr>
        <w:t>In the context of developing the preceding two proposed amendments, the department also reviewed the additional, related data that facilities provide alongside emissions results calculated using Methods 2, 2A and 3 for flaring of gas from oil and gas operations. Under the NGER scheme, the requirements to report such data are called “matters to be identified” (MTBI) and are listed within Schedule 4 of the NGER Measurement Determination. T</w:t>
      </w:r>
      <w:r w:rsidRPr="00C45E03">
        <w:rPr>
          <w:lang w:eastAsia="en-AU"/>
        </w:rPr>
        <w:t>hese specific matters</w:t>
      </w:r>
      <w:r>
        <w:rPr>
          <w:lang w:eastAsia="en-AU"/>
        </w:rPr>
        <w:t xml:space="preserve"> may include inputs from methodological formulae or they may provide additional context around the emissions results and activities reported. MTBIs provide more context around</w:t>
      </w:r>
      <w:r w:rsidRPr="00C45E03">
        <w:rPr>
          <w:lang w:eastAsia="en-AU"/>
        </w:rPr>
        <w:t xml:space="preserve"> emissions sources and energy usage, allowing for better analysis and comparison</w:t>
      </w:r>
      <w:r>
        <w:rPr>
          <w:lang w:eastAsia="en-AU"/>
        </w:rPr>
        <w:t xml:space="preserve"> within and</w:t>
      </w:r>
      <w:r w:rsidRPr="00C45E03">
        <w:rPr>
          <w:lang w:eastAsia="en-AU"/>
        </w:rPr>
        <w:t xml:space="preserve"> across different entities</w:t>
      </w:r>
      <w:r>
        <w:rPr>
          <w:lang w:eastAsia="en-AU"/>
        </w:rPr>
        <w:t>.</w:t>
      </w:r>
    </w:p>
    <w:p w14:paraId="4F75D422" w14:textId="77777777" w:rsidR="001966D4" w:rsidRDefault="001966D4" w:rsidP="001966D4">
      <w:pPr>
        <w:rPr>
          <w:lang w:eastAsia="en-AU"/>
        </w:rPr>
      </w:pPr>
      <w:r>
        <w:rPr>
          <w:lang w:eastAsia="en-AU"/>
        </w:rPr>
        <w:t xml:space="preserve">MTBIs play an important role in the effective operation of the NGER scheme and by extension Australia’s compliance with its UNFCCC and Paris Agreement emission reporting requirements. </w:t>
      </w:r>
    </w:p>
    <w:p w14:paraId="76580540" w14:textId="13B43465" w:rsidR="001966D4" w:rsidRDefault="001966D4" w:rsidP="001966D4">
      <w:pPr>
        <w:rPr>
          <w:lang w:eastAsia="en-AU"/>
        </w:rPr>
      </w:pPr>
      <w:r>
        <w:rPr>
          <w:lang w:eastAsia="en-AU"/>
        </w:rPr>
        <w:t xml:space="preserve">Australia’s national greenhouse gas inventory uses data reported under the NGER scheme to estimate emissions from gas </w:t>
      </w:r>
      <w:r w:rsidRPr="00492F43">
        <w:rPr>
          <w:lang w:eastAsia="en-AU"/>
        </w:rPr>
        <w:t xml:space="preserve">flaring </w:t>
      </w:r>
      <w:r>
        <w:rPr>
          <w:lang w:eastAsia="en-AU"/>
        </w:rPr>
        <w:t>during</w:t>
      </w:r>
      <w:r w:rsidRPr="00492F43">
        <w:rPr>
          <w:lang w:eastAsia="en-AU"/>
        </w:rPr>
        <w:t xml:space="preserve"> oil and gas operations</w:t>
      </w:r>
      <w:r>
        <w:rPr>
          <w:lang w:eastAsia="en-AU"/>
        </w:rPr>
        <w:t xml:space="preserve">. In accordance with UNFCCC and Paris Agreement reporting rules, data and methods used in Australia’s national inventory must be time series consistent from 1989-90 to 2022-23. To incorporate NGER data from higher order methods (i.e. higher than Method 1), achieving time series consistency can require MTBIs from higher order methods </w:t>
      </w:r>
      <w:r w:rsidDel="00101324">
        <w:rPr>
          <w:lang w:eastAsia="en-AU"/>
        </w:rPr>
        <w:t xml:space="preserve">to </w:t>
      </w:r>
      <w:r>
        <w:rPr>
          <w:lang w:eastAsia="en-AU"/>
        </w:rPr>
        <w:t>estimate emissions using a Method 1 approach for any given data point</w:t>
      </w:r>
      <w:r w:rsidDel="00CA5807">
        <w:rPr>
          <w:lang w:eastAsia="en-AU"/>
        </w:rPr>
        <w:t>.</w:t>
      </w:r>
      <w:r>
        <w:rPr>
          <w:lang w:eastAsia="en-AU"/>
        </w:rPr>
        <w:t xml:space="preserve"> MTBIs also enable</w:t>
      </w:r>
      <w:r w:rsidDel="000744C3">
        <w:rPr>
          <w:lang w:eastAsia="en-AU"/>
        </w:rPr>
        <w:t xml:space="preserve"> </w:t>
      </w:r>
      <w:r>
        <w:rPr>
          <w:lang w:eastAsia="en-AU"/>
        </w:rPr>
        <w:t xml:space="preserve">the </w:t>
      </w:r>
      <w:r w:rsidR="00D553A0">
        <w:rPr>
          <w:lang w:eastAsia="en-AU"/>
        </w:rPr>
        <w:t>d</w:t>
      </w:r>
      <w:r>
        <w:rPr>
          <w:lang w:eastAsia="en-AU"/>
        </w:rPr>
        <w:t>epartment and the Clean Energy Regulator to assess the accuracy of reported emissions</w:t>
      </w:r>
      <w:r w:rsidDel="00A5706B">
        <w:rPr>
          <w:lang w:eastAsia="en-AU"/>
        </w:rPr>
        <w:t xml:space="preserve"> to</w:t>
      </w:r>
      <w:r>
        <w:rPr>
          <w:lang w:eastAsia="en-AU"/>
        </w:rPr>
        <w:t xml:space="preserve"> support compliance with the NGER scheme, including with the Safeguard Mechanism, and UNFCCC and Paris Agreement reporting requirements.</w:t>
      </w:r>
    </w:p>
    <w:p w14:paraId="790246ED" w14:textId="29CE4D7B" w:rsidR="00F61B70" w:rsidRDefault="001966D4" w:rsidP="001966D4">
      <w:pPr>
        <w:rPr>
          <w:lang w:eastAsia="en-AU"/>
        </w:rPr>
      </w:pPr>
      <w:r>
        <w:rPr>
          <w:lang w:eastAsia="en-AU"/>
        </w:rPr>
        <w:t>In this context, the department proposes to amend the Measurement Determination to introduce an additional MTBI for Methods 2, 2A and 3 for gas flaring. The additional MTBI would require facilities to report ‘the tonnes of flared gas’, which includes the total gas stream that moves through the flare stack (both hydrocarbons and inert gases).</w:t>
      </w:r>
    </w:p>
    <w:p w14:paraId="70E86CDD" w14:textId="60A14C85" w:rsidR="004A57EF" w:rsidRDefault="001966D4" w:rsidP="004A57EF">
      <w:pPr>
        <w:rPr>
          <w:lang w:eastAsia="en-AU"/>
        </w:rPr>
      </w:pPr>
      <w:r>
        <w:rPr>
          <w:lang w:eastAsia="en-AU"/>
        </w:rPr>
        <w:t>This would support national inventory time series consistency and NGER scheme compliance</w:t>
      </w:r>
      <w:r w:rsidRPr="00164840">
        <w:rPr>
          <w:lang w:eastAsia="en-AU"/>
        </w:rPr>
        <w:t>. For</w:t>
      </w:r>
      <w:r w:rsidRPr="00164840" w:rsidDel="001B31F6">
        <w:rPr>
          <w:lang w:eastAsia="en-AU"/>
        </w:rPr>
        <w:t xml:space="preserve"> </w:t>
      </w:r>
      <w:r w:rsidRPr="00164840">
        <w:rPr>
          <w:lang w:eastAsia="en-AU"/>
        </w:rPr>
        <w:t>example for</w:t>
      </w:r>
      <w:r w:rsidRPr="00164840" w:rsidDel="001B31F6">
        <w:rPr>
          <w:lang w:eastAsia="en-AU"/>
        </w:rPr>
        <w:t xml:space="preserve"> Method 2</w:t>
      </w:r>
      <w:r w:rsidRPr="00164840">
        <w:rPr>
          <w:lang w:eastAsia="en-AU"/>
        </w:rPr>
        <w:t xml:space="preserve"> in section 3.87 of th</w:t>
      </w:r>
      <w:r>
        <w:rPr>
          <w:lang w:eastAsia="en-AU"/>
        </w:rPr>
        <w:t>e Measurement Determination,</w:t>
      </w:r>
      <w:r w:rsidDel="004A6939">
        <w:rPr>
          <w:lang w:eastAsia="en-AU"/>
        </w:rPr>
        <w:t xml:space="preserve"> </w:t>
      </w:r>
      <w:r>
        <w:rPr>
          <w:lang w:eastAsia="en-AU"/>
        </w:rPr>
        <w:t xml:space="preserve">only the hydrocarbon component of the total tonnes of gas flared is currently reported as an MTBI (e.g. Schedule 4, Part 2, </w:t>
      </w:r>
      <w:r w:rsidRPr="002F0F55">
        <w:rPr>
          <w:lang w:eastAsia="en-AU"/>
        </w:rPr>
        <w:t>Source 2U—Offshore natural gas production—flaring</w:t>
      </w:r>
      <w:r>
        <w:rPr>
          <w:lang w:eastAsia="en-AU"/>
        </w:rPr>
        <w:t>, Item 1(a)).</w:t>
      </w:r>
      <w:r w:rsidDel="00226373">
        <w:rPr>
          <w:lang w:eastAsia="en-AU"/>
        </w:rPr>
        <w:t xml:space="preserve"> </w:t>
      </w:r>
      <w:r>
        <w:rPr>
          <w:lang w:eastAsia="en-AU"/>
        </w:rPr>
        <w:t>This MTBI is not directly comparable to the MTBI</w:t>
      </w:r>
      <w:r w:rsidDel="00C84E30">
        <w:rPr>
          <w:lang w:eastAsia="en-AU"/>
        </w:rPr>
        <w:t xml:space="preserve"> </w:t>
      </w:r>
      <w:r>
        <w:rPr>
          <w:lang w:eastAsia="en-AU"/>
        </w:rPr>
        <w:t>collected under</w:t>
      </w:r>
      <w:r w:rsidRPr="00E14B0B">
        <w:rPr>
          <w:lang w:eastAsia="en-AU"/>
        </w:rPr>
        <w:t xml:space="preserve"> </w:t>
      </w:r>
      <w:r>
        <w:rPr>
          <w:lang w:eastAsia="en-AU"/>
        </w:rPr>
        <w:t xml:space="preserve">Method 1 and Method 2B that report the tonnes of flared gas including all of the fuel type, not just hydrocarbons (e.g. Schedule 4, Part 2, </w:t>
      </w:r>
      <w:r w:rsidRPr="00E4000C">
        <w:rPr>
          <w:lang w:eastAsia="en-AU"/>
        </w:rPr>
        <w:t>Source 2U—Offshore natural gas production—flaring</w:t>
      </w:r>
      <w:r>
        <w:rPr>
          <w:lang w:eastAsia="en-AU"/>
        </w:rPr>
        <w:t xml:space="preserve">, Item 1(a) and Schedule 4, Part 2, </w:t>
      </w:r>
      <w:r w:rsidRPr="00E4000C">
        <w:rPr>
          <w:lang w:eastAsia="en-AU"/>
        </w:rPr>
        <w:t>Source 2U—Offshore natural gas production—flaring</w:t>
      </w:r>
      <w:r>
        <w:rPr>
          <w:lang w:eastAsia="en-AU"/>
        </w:rPr>
        <w:t>, Item 3(a)). The proposed amendment would create consistency in the methods’ MTBI, enabling the department to compare within or across facilities using Method 2, 2A, 2B, and 3 in a single year or across Australia’s national greenhouse gas inventory time series. It would also assist reporters in being able to analyse the difference between methods and across their own emissions time series for consistency and accuracy when changing methods.</w:t>
      </w:r>
    </w:p>
    <w:p w14:paraId="24F4E617" w14:textId="7BBA9721" w:rsidR="004A57EF" w:rsidRDefault="00312126" w:rsidP="004A57EF">
      <w:pPr>
        <w:rPr>
          <w:lang w:eastAsia="en-AU"/>
        </w:rPr>
      </w:pPr>
      <w:r>
        <w:rPr>
          <w:lang w:eastAsia="en-AU"/>
        </w:rPr>
        <w:t>The department understands</w:t>
      </w:r>
      <w:r w:rsidR="00CE4158">
        <w:rPr>
          <w:lang w:eastAsia="en-AU"/>
        </w:rPr>
        <w:t xml:space="preserve"> that </w:t>
      </w:r>
      <w:r w:rsidR="009F310E">
        <w:rPr>
          <w:lang w:eastAsia="en-AU"/>
        </w:rPr>
        <w:t xml:space="preserve">information required for this </w:t>
      </w:r>
      <w:r w:rsidR="005D49BF">
        <w:rPr>
          <w:lang w:eastAsia="en-AU"/>
        </w:rPr>
        <w:t xml:space="preserve">additional </w:t>
      </w:r>
      <w:r w:rsidR="009F310E">
        <w:rPr>
          <w:lang w:eastAsia="en-AU"/>
        </w:rPr>
        <w:t>proposed MTBI</w:t>
      </w:r>
      <w:r w:rsidR="00535194">
        <w:rPr>
          <w:lang w:eastAsia="en-AU"/>
        </w:rPr>
        <w:t xml:space="preserve"> </w:t>
      </w:r>
      <w:r w:rsidR="00832177">
        <w:rPr>
          <w:lang w:eastAsia="en-AU"/>
        </w:rPr>
        <w:t xml:space="preserve">would </w:t>
      </w:r>
      <w:r w:rsidR="00153259">
        <w:rPr>
          <w:lang w:eastAsia="en-AU"/>
        </w:rPr>
        <w:t xml:space="preserve">be readily </w:t>
      </w:r>
      <w:r w:rsidR="00556ACC">
        <w:rPr>
          <w:lang w:eastAsia="en-AU"/>
        </w:rPr>
        <w:t xml:space="preserve">available to reporters given </w:t>
      </w:r>
      <w:r w:rsidR="004A57EF">
        <w:rPr>
          <w:lang w:eastAsia="en-AU"/>
        </w:rPr>
        <w:t>the hydrocarbon and CO</w:t>
      </w:r>
      <w:r w:rsidR="004A57EF" w:rsidRPr="00AE27BB">
        <w:rPr>
          <w:vertAlign w:val="subscript"/>
          <w:lang w:eastAsia="en-AU"/>
        </w:rPr>
        <w:t>2</w:t>
      </w:r>
      <w:r w:rsidR="004A57EF">
        <w:rPr>
          <w:lang w:eastAsia="en-AU"/>
        </w:rPr>
        <w:t xml:space="preserve"> components </w:t>
      </w:r>
      <w:r w:rsidR="00556ACC">
        <w:rPr>
          <w:lang w:eastAsia="en-AU"/>
        </w:rPr>
        <w:t xml:space="preserve">of flared gas </w:t>
      </w:r>
      <w:r w:rsidR="004A57EF">
        <w:rPr>
          <w:lang w:eastAsia="en-AU"/>
        </w:rPr>
        <w:t xml:space="preserve">must be calculated as inputs to the </w:t>
      </w:r>
      <w:r w:rsidR="00456F41">
        <w:rPr>
          <w:lang w:eastAsia="en-AU"/>
        </w:rPr>
        <w:t>higher order methods</w:t>
      </w:r>
      <w:r w:rsidR="004A57EF">
        <w:rPr>
          <w:lang w:eastAsia="en-AU"/>
        </w:rPr>
        <w:t>.</w:t>
      </w:r>
    </w:p>
    <w:p w14:paraId="3EEA5C19" w14:textId="1252294F" w:rsidR="009202F6" w:rsidRDefault="008001F1" w:rsidP="005D5E70">
      <w:pPr>
        <w:pStyle w:val="Heading3"/>
      </w:pPr>
      <w:bookmarkStart w:id="14" w:name="_Toc191373892"/>
      <w:r w:rsidRPr="00940F64">
        <w:t xml:space="preserve">Scope 2 emissions </w:t>
      </w:r>
      <w:r w:rsidR="009202F6">
        <w:t>from consumption of electricity</w:t>
      </w:r>
      <w:bookmarkEnd w:id="14"/>
    </w:p>
    <w:p w14:paraId="6C3A84EE" w14:textId="099A45BA" w:rsidR="00B05E49" w:rsidRDefault="005D43CB" w:rsidP="00957458">
      <w:pPr>
        <w:pStyle w:val="Heading4"/>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department is proposing </w:t>
      </w:r>
      <w:r w:rsidR="00B20310">
        <w:rPr>
          <w:rFonts w:asciiTheme="minorHAnsi" w:eastAsiaTheme="minorHAnsi" w:hAnsiTheme="minorHAnsi" w:cstheme="minorBidi"/>
          <w:sz w:val="22"/>
          <w:szCs w:val="22"/>
          <w:lang w:eastAsia="en-US"/>
        </w:rPr>
        <w:t>amendments</w:t>
      </w:r>
      <w:r w:rsidR="008F748A">
        <w:rPr>
          <w:rFonts w:asciiTheme="minorHAnsi" w:eastAsiaTheme="minorHAnsi" w:hAnsiTheme="minorHAnsi" w:cstheme="minorBidi"/>
          <w:sz w:val="22"/>
          <w:szCs w:val="22"/>
          <w:lang w:eastAsia="en-US"/>
        </w:rPr>
        <w:t xml:space="preserve"> to the voluntary Market</w:t>
      </w:r>
      <w:r w:rsidR="00E43E84">
        <w:rPr>
          <w:rFonts w:asciiTheme="minorHAnsi" w:eastAsiaTheme="minorHAnsi" w:hAnsiTheme="minorHAnsi" w:cstheme="minorBidi"/>
          <w:sz w:val="22"/>
          <w:szCs w:val="22"/>
          <w:lang w:eastAsia="en-US"/>
        </w:rPr>
        <w:t>-</w:t>
      </w:r>
      <w:r w:rsidR="008F748A">
        <w:rPr>
          <w:rFonts w:asciiTheme="minorHAnsi" w:eastAsiaTheme="minorHAnsi" w:hAnsiTheme="minorHAnsi" w:cstheme="minorBidi"/>
          <w:sz w:val="22"/>
          <w:szCs w:val="22"/>
          <w:lang w:eastAsia="en-US"/>
        </w:rPr>
        <w:t>Based Method for reporting Scope 2 emissions from the consu</w:t>
      </w:r>
      <w:r w:rsidR="007F4F39">
        <w:rPr>
          <w:rFonts w:asciiTheme="minorHAnsi" w:eastAsiaTheme="minorHAnsi" w:hAnsiTheme="minorHAnsi" w:cstheme="minorBidi"/>
          <w:sz w:val="22"/>
          <w:szCs w:val="22"/>
          <w:lang w:eastAsia="en-US"/>
        </w:rPr>
        <w:t>mption of electricit</w:t>
      </w:r>
      <w:r w:rsidR="002F60E9">
        <w:rPr>
          <w:rFonts w:asciiTheme="minorHAnsi" w:eastAsiaTheme="minorHAnsi" w:hAnsiTheme="minorHAnsi" w:cstheme="minorBidi"/>
          <w:sz w:val="22"/>
          <w:szCs w:val="22"/>
          <w:lang w:eastAsia="en-US"/>
        </w:rPr>
        <w:t>y to improve clarity</w:t>
      </w:r>
      <w:r w:rsidR="004B2FF1">
        <w:rPr>
          <w:rFonts w:asciiTheme="minorHAnsi" w:eastAsiaTheme="minorHAnsi" w:hAnsiTheme="minorHAnsi" w:cstheme="minorBidi"/>
          <w:sz w:val="22"/>
          <w:szCs w:val="22"/>
          <w:lang w:eastAsia="en-US"/>
        </w:rPr>
        <w:t xml:space="preserve"> and transparency</w:t>
      </w:r>
      <w:r w:rsidR="009178D6">
        <w:rPr>
          <w:rFonts w:asciiTheme="minorHAnsi" w:eastAsiaTheme="minorHAnsi" w:hAnsiTheme="minorHAnsi" w:cstheme="minorBidi"/>
          <w:sz w:val="22"/>
          <w:szCs w:val="22"/>
          <w:lang w:eastAsia="en-US"/>
        </w:rPr>
        <w:t xml:space="preserve"> for surrender </w:t>
      </w:r>
      <w:r w:rsidR="00A04D2E">
        <w:rPr>
          <w:rFonts w:asciiTheme="minorHAnsi" w:eastAsiaTheme="minorHAnsi" w:hAnsiTheme="minorHAnsi" w:cstheme="minorBidi"/>
          <w:sz w:val="22"/>
          <w:szCs w:val="22"/>
          <w:lang w:eastAsia="en-US"/>
        </w:rPr>
        <w:t xml:space="preserve">and verification </w:t>
      </w:r>
      <w:r w:rsidR="009178D6">
        <w:rPr>
          <w:rFonts w:asciiTheme="minorHAnsi" w:eastAsiaTheme="minorHAnsi" w:hAnsiTheme="minorHAnsi" w:cstheme="minorBidi"/>
          <w:sz w:val="22"/>
          <w:szCs w:val="22"/>
          <w:lang w:eastAsia="en-US"/>
        </w:rPr>
        <w:t xml:space="preserve">of RECs </w:t>
      </w:r>
      <w:r w:rsidR="0026264E">
        <w:rPr>
          <w:rFonts w:asciiTheme="minorHAnsi" w:eastAsiaTheme="minorHAnsi" w:hAnsiTheme="minorHAnsi" w:cstheme="minorBidi"/>
          <w:sz w:val="22"/>
          <w:szCs w:val="22"/>
          <w:lang w:eastAsia="en-US"/>
        </w:rPr>
        <w:t xml:space="preserve">surrendered </w:t>
      </w:r>
      <w:r w:rsidR="009178D6">
        <w:rPr>
          <w:rFonts w:asciiTheme="minorHAnsi" w:eastAsiaTheme="minorHAnsi" w:hAnsiTheme="minorHAnsi" w:cstheme="minorBidi"/>
          <w:sz w:val="22"/>
          <w:szCs w:val="22"/>
          <w:lang w:eastAsia="en-US"/>
        </w:rPr>
        <w:t>against a reporting year</w:t>
      </w:r>
      <w:r w:rsidR="0026264E">
        <w:rPr>
          <w:rFonts w:asciiTheme="minorHAnsi" w:eastAsiaTheme="minorHAnsi" w:hAnsiTheme="minorHAnsi" w:cstheme="minorBidi"/>
          <w:sz w:val="22"/>
          <w:szCs w:val="22"/>
          <w:lang w:eastAsia="en-US"/>
        </w:rPr>
        <w:t>.</w:t>
      </w:r>
    </w:p>
    <w:p w14:paraId="141B8BC3" w14:textId="50FC1F48" w:rsidR="00CF62F6" w:rsidRPr="00F83785" w:rsidRDefault="00015092" w:rsidP="00957458">
      <w:pPr>
        <w:pStyle w:val="Heading4"/>
        <w:rPr>
          <w:rFonts w:cs="Calibri"/>
        </w:rPr>
      </w:pPr>
      <w:r w:rsidRPr="00A74CAE">
        <w:t>Pr</w:t>
      </w:r>
      <w:r>
        <w:t>oposed</w:t>
      </w:r>
      <w:r w:rsidRPr="00A74CAE">
        <w:t xml:space="preserve"> </w:t>
      </w:r>
      <w:r w:rsidR="00B17BF9">
        <w:t xml:space="preserve">Scope 2 </w:t>
      </w:r>
      <w:r w:rsidR="007D36A8">
        <w:t xml:space="preserve">emissions </w:t>
      </w:r>
      <w:r w:rsidR="00A74CAE" w:rsidRPr="00A74CAE">
        <w:t>factors for the 2024-25 NGER reporting year </w:t>
      </w:r>
    </w:p>
    <w:p w14:paraId="1FC1C079" w14:textId="2566DCC7" w:rsidR="00A74CAE" w:rsidRPr="00FF75EF" w:rsidRDefault="00B04AFE" w:rsidP="00FF75EF">
      <w:pPr>
        <w:rPr>
          <w:highlight w:val="magenta"/>
        </w:rPr>
      </w:pPr>
      <w:r>
        <w:t>The p</w:t>
      </w:r>
      <w:r w:rsidR="00015092" w:rsidRPr="00A74CAE">
        <w:t>r</w:t>
      </w:r>
      <w:r w:rsidR="00015092">
        <w:t>oposed</w:t>
      </w:r>
      <w:r w:rsidR="00015092" w:rsidRPr="00FF75EF">
        <w:t xml:space="preserve"> </w:t>
      </w:r>
      <w:r w:rsidR="00D7788E">
        <w:t>s</w:t>
      </w:r>
      <w:r w:rsidR="00C32EEB" w:rsidRPr="00FF75EF">
        <w:t xml:space="preserve">cope 2 </w:t>
      </w:r>
      <w:r w:rsidR="00A74CAE" w:rsidRPr="00FF75EF">
        <w:t xml:space="preserve">location and market-based </w:t>
      </w:r>
      <w:r w:rsidR="00337998" w:rsidRPr="00FF75EF">
        <w:t>emissions</w:t>
      </w:r>
      <w:r w:rsidR="00A74CAE" w:rsidRPr="00FF75EF">
        <w:t xml:space="preserve"> factors for the 202</w:t>
      </w:r>
      <w:r w:rsidR="002A4118">
        <w:t>5</w:t>
      </w:r>
      <w:r w:rsidR="00A74CAE" w:rsidRPr="00FF75EF">
        <w:t>-2</w:t>
      </w:r>
      <w:r w:rsidR="002A4118">
        <w:t>6</w:t>
      </w:r>
      <w:r w:rsidR="00A74CAE" w:rsidRPr="00FF75EF">
        <w:t xml:space="preserve"> reporting year are </w:t>
      </w:r>
      <w:r w:rsidR="00A74CAE" w:rsidRPr="00F926B6">
        <w:t>shown below. </w:t>
      </w:r>
      <w:r w:rsidR="00257DF0" w:rsidRPr="00F926B6">
        <w:t xml:space="preserve">These values are updated annually based on </w:t>
      </w:r>
      <w:r w:rsidR="001861AB" w:rsidRPr="00F926B6">
        <w:t>on-grid generation and</w:t>
      </w:r>
      <w:r w:rsidR="00257DF0" w:rsidRPr="00F926B6">
        <w:t xml:space="preserve"> </w:t>
      </w:r>
      <w:r w:rsidR="00C0357F" w:rsidRPr="00F926B6">
        <w:t>emissions</w:t>
      </w:r>
      <w:r w:rsidR="007F24A1" w:rsidRPr="00F926B6">
        <w:t xml:space="preserve"> in the </w:t>
      </w:r>
      <w:r w:rsidR="007F24A1" w:rsidRPr="00BF43E2">
        <w:t>preceding reporting year</w:t>
      </w:r>
      <w:r w:rsidR="00581898" w:rsidRPr="00BF43E2">
        <w:t xml:space="preserve"> as outlined in section </w:t>
      </w:r>
      <w:r w:rsidR="00542D3A" w:rsidRPr="00BF43E2">
        <w:t>vi</w:t>
      </w:r>
      <w:r w:rsidR="00B17BF9" w:rsidRPr="00BF43E2">
        <w:t xml:space="preserve"> above</w:t>
      </w:r>
      <w:r w:rsidR="00FD5E1C" w:rsidRPr="00BF43E2">
        <w:t>.</w:t>
      </w:r>
    </w:p>
    <w:p w14:paraId="11346960" w14:textId="77777777" w:rsidR="00714115" w:rsidRPr="00FF75EF" w:rsidRDefault="00714115" w:rsidP="00631774">
      <w:pPr>
        <w:pStyle w:val="Default"/>
        <w:rPr>
          <w:rFonts w:ascii="Segoe UI" w:hAnsi="Segoe UI" w:cs="Segoe UI"/>
          <w:sz w:val="18"/>
          <w:szCs w:val="18"/>
          <w:highlight w:val="magenta"/>
        </w:rPr>
      </w:pPr>
    </w:p>
    <w:p w14:paraId="6701968E" w14:textId="1835BA35" w:rsidR="00A74CAE" w:rsidRPr="00340E27" w:rsidRDefault="00A74CAE" w:rsidP="00153262">
      <w:pPr>
        <w:pStyle w:val="Default"/>
        <w:keepNext/>
        <w:rPr>
          <w:rFonts w:ascii="Segoe UI" w:hAnsi="Segoe UI" w:cs="Segoe UI"/>
          <w:sz w:val="18"/>
          <w:szCs w:val="18"/>
        </w:rPr>
      </w:pPr>
      <w:r w:rsidRPr="005D5E70">
        <w:rPr>
          <w:rFonts w:eastAsia="Times New Roman"/>
          <w:i/>
        </w:rPr>
        <w:t>Table 1</w:t>
      </w:r>
      <w:r w:rsidRPr="00340E27">
        <w:rPr>
          <w:rFonts w:eastAsia="Times New Roman"/>
          <w:i/>
        </w:rPr>
        <w:t xml:space="preserve"> – Pr</w:t>
      </w:r>
      <w:r w:rsidR="006F4348" w:rsidRPr="00340E27">
        <w:rPr>
          <w:rFonts w:eastAsia="Times New Roman"/>
          <w:i/>
        </w:rPr>
        <w:t xml:space="preserve">oposed </w:t>
      </w:r>
      <w:r w:rsidRPr="00340E27">
        <w:rPr>
          <w:rFonts w:eastAsia="Times New Roman"/>
          <w:i/>
        </w:rPr>
        <w:t>location</w:t>
      </w:r>
      <w:r w:rsidR="00F43D49" w:rsidRPr="00340E27">
        <w:rPr>
          <w:rFonts w:eastAsia="Times New Roman"/>
          <w:i/>
        </w:rPr>
        <w:t xml:space="preserve"> and market</w:t>
      </w:r>
      <w:r w:rsidRPr="00340E27">
        <w:rPr>
          <w:rFonts w:eastAsia="Times New Roman"/>
          <w:i/>
        </w:rPr>
        <w:t>-based emission factors</w:t>
      </w:r>
      <w:r w:rsidRPr="00340E27">
        <w:rPr>
          <w:rFonts w:eastAsia="Times New Roman"/>
        </w:rPr>
        <w:t> </w:t>
      </w:r>
    </w:p>
    <w:p w14:paraId="0ACE6012" w14:textId="3C642C5E" w:rsidR="00550466" w:rsidRDefault="00550466" w:rsidP="00B17BF9">
      <w:pPr>
        <w:pStyle w:val="Default"/>
      </w:pPr>
    </w:p>
    <w:tbl>
      <w:tblPr>
        <w:tblW w:w="4629" w:type="pct"/>
        <w:tblBorders>
          <w:top w:val="single" w:sz="4" w:space="0" w:color="auto"/>
          <w:bottom w:val="single" w:sz="2" w:space="0" w:color="auto"/>
          <w:insideH w:val="single" w:sz="4" w:space="0" w:color="auto"/>
        </w:tblBorders>
        <w:tblLook w:val="0000" w:firstRow="0" w:lastRow="0" w:firstColumn="0" w:lastColumn="0" w:noHBand="0" w:noVBand="0"/>
      </w:tblPr>
      <w:tblGrid>
        <w:gridCol w:w="5208"/>
        <w:gridCol w:w="1589"/>
        <w:gridCol w:w="1600"/>
      </w:tblGrid>
      <w:tr w:rsidR="008E3C0B" w:rsidRPr="00746E0E" w14:paraId="7C9E48F8" w14:textId="77777777" w:rsidTr="007B5FFF">
        <w:trPr>
          <w:tblHeader/>
        </w:trPr>
        <w:tc>
          <w:tcPr>
            <w:tcW w:w="3101" w:type="pct"/>
            <w:tcBorders>
              <w:top w:val="single" w:sz="6" w:space="0" w:color="auto"/>
              <w:bottom w:val="single" w:sz="12" w:space="0" w:color="auto"/>
            </w:tcBorders>
            <w:shd w:val="clear" w:color="auto" w:fill="auto"/>
          </w:tcPr>
          <w:p w14:paraId="11E6EBFF" w14:textId="77777777" w:rsidR="008E3C0B" w:rsidRPr="00746E0E" w:rsidRDefault="008E3C0B">
            <w:pPr>
              <w:pStyle w:val="TableHeading0"/>
              <w:ind w:left="-11" w:firstLine="11"/>
            </w:pPr>
            <w:r w:rsidRPr="00746E0E">
              <w:t>State, Territory or grid description</w:t>
            </w:r>
          </w:p>
        </w:tc>
        <w:tc>
          <w:tcPr>
            <w:tcW w:w="946" w:type="pct"/>
            <w:tcBorders>
              <w:top w:val="single" w:sz="6" w:space="0" w:color="auto"/>
              <w:bottom w:val="single" w:sz="12" w:space="0" w:color="auto"/>
            </w:tcBorders>
            <w:shd w:val="clear" w:color="auto" w:fill="auto"/>
          </w:tcPr>
          <w:p w14:paraId="6CD70FA6" w14:textId="77777777" w:rsidR="008E3C0B" w:rsidRDefault="008E3C0B">
            <w:pPr>
              <w:pStyle w:val="TableHeading0"/>
              <w:jc w:val="right"/>
            </w:pPr>
            <w:r w:rsidRPr="00746E0E">
              <w:t>Emission factor</w:t>
            </w:r>
          </w:p>
          <w:p w14:paraId="11804AF8" w14:textId="77777777" w:rsidR="008E3C0B" w:rsidRPr="00746E0E" w:rsidRDefault="008E3C0B">
            <w:pPr>
              <w:pStyle w:val="TableHeading0"/>
              <w:jc w:val="right"/>
            </w:pPr>
            <w:r>
              <w:t xml:space="preserve">kg </w:t>
            </w:r>
            <w:r w:rsidRPr="00746E0E">
              <w:t>CO</w:t>
            </w:r>
            <w:r w:rsidRPr="00746E0E">
              <w:rPr>
                <w:vertAlign w:val="subscript"/>
              </w:rPr>
              <w:t>2</w:t>
            </w:r>
            <w:r>
              <w:noBreakHyphen/>
            </w:r>
            <w:r w:rsidRPr="00746E0E">
              <w:t>e/kWh</w:t>
            </w:r>
          </w:p>
        </w:tc>
        <w:tc>
          <w:tcPr>
            <w:tcW w:w="954" w:type="pct"/>
            <w:tcBorders>
              <w:top w:val="single" w:sz="6" w:space="0" w:color="auto"/>
              <w:bottom w:val="single" w:sz="12" w:space="0" w:color="auto"/>
            </w:tcBorders>
          </w:tcPr>
          <w:p w14:paraId="0DE2D048" w14:textId="77777777" w:rsidR="008E3C0B" w:rsidRPr="00746E0E" w:rsidRDefault="008E3C0B">
            <w:pPr>
              <w:pStyle w:val="Tabletext0"/>
              <w:jc w:val="right"/>
              <w:rPr>
                <w:b/>
              </w:rPr>
            </w:pPr>
            <w:r w:rsidRPr="00746E0E">
              <w:rPr>
                <w:b/>
              </w:rPr>
              <w:t>Residual mix factor</w:t>
            </w:r>
          </w:p>
          <w:p w14:paraId="515D1FEB" w14:textId="77777777" w:rsidR="008E3C0B" w:rsidRPr="00746E0E" w:rsidRDefault="008E3C0B">
            <w:pPr>
              <w:pStyle w:val="Tabletext0"/>
              <w:jc w:val="right"/>
              <w:rPr>
                <w:b/>
              </w:rPr>
            </w:pPr>
            <w:r>
              <w:rPr>
                <w:b/>
              </w:rPr>
              <w:t>k</w:t>
            </w:r>
            <w:r w:rsidRPr="00746E0E">
              <w:rPr>
                <w:b/>
              </w:rPr>
              <w:t>g</w:t>
            </w:r>
            <w:r>
              <w:rPr>
                <w:b/>
              </w:rPr>
              <w:t xml:space="preserve"> </w:t>
            </w:r>
            <w:r w:rsidRPr="00746E0E">
              <w:rPr>
                <w:b/>
              </w:rPr>
              <w:t>CO</w:t>
            </w:r>
            <w:r w:rsidRPr="00746E0E">
              <w:rPr>
                <w:b/>
                <w:vertAlign w:val="subscript"/>
              </w:rPr>
              <w:t>2</w:t>
            </w:r>
            <w:r>
              <w:rPr>
                <w:b/>
              </w:rPr>
              <w:noBreakHyphen/>
            </w:r>
            <w:r w:rsidRPr="00746E0E">
              <w:rPr>
                <w:b/>
              </w:rPr>
              <w:t>e/kWh</w:t>
            </w:r>
          </w:p>
        </w:tc>
      </w:tr>
      <w:tr w:rsidR="008E3C0B" w:rsidRPr="00746E0E" w14:paraId="08905F1C" w14:textId="77777777" w:rsidTr="007B5FFF">
        <w:tc>
          <w:tcPr>
            <w:tcW w:w="3101" w:type="pct"/>
            <w:tcBorders>
              <w:top w:val="single" w:sz="12" w:space="0" w:color="auto"/>
            </w:tcBorders>
            <w:shd w:val="clear" w:color="auto" w:fill="auto"/>
          </w:tcPr>
          <w:p w14:paraId="57587DAC" w14:textId="77777777" w:rsidR="008E3C0B" w:rsidRPr="00746E0E" w:rsidRDefault="008E3C0B">
            <w:pPr>
              <w:pStyle w:val="Tabletext0"/>
            </w:pPr>
            <w:r w:rsidRPr="00746E0E">
              <w:t>New South Wales and Australian Capital Territory</w:t>
            </w:r>
          </w:p>
        </w:tc>
        <w:tc>
          <w:tcPr>
            <w:tcW w:w="946" w:type="pct"/>
            <w:tcBorders>
              <w:top w:val="single" w:sz="12" w:space="0" w:color="auto"/>
            </w:tcBorders>
            <w:shd w:val="clear" w:color="auto" w:fill="auto"/>
          </w:tcPr>
          <w:p w14:paraId="78DA123D" w14:textId="24657657" w:rsidR="008E3C0B" w:rsidRPr="00746E0E" w:rsidRDefault="008E3C0B">
            <w:pPr>
              <w:pStyle w:val="Tabletext0"/>
              <w:jc w:val="right"/>
            </w:pPr>
            <w:r w:rsidRPr="00746E0E">
              <w:t>0.6</w:t>
            </w:r>
            <w:r w:rsidR="008F5BCE">
              <w:t>4</w:t>
            </w:r>
          </w:p>
        </w:tc>
        <w:tc>
          <w:tcPr>
            <w:tcW w:w="954" w:type="pct"/>
            <w:tcBorders>
              <w:top w:val="single" w:sz="12" w:space="0" w:color="auto"/>
            </w:tcBorders>
          </w:tcPr>
          <w:p w14:paraId="60FA976F" w14:textId="77777777" w:rsidR="008E3C0B" w:rsidRPr="00746E0E" w:rsidRDefault="008E3C0B">
            <w:pPr>
              <w:pStyle w:val="Tabletext0"/>
              <w:jc w:val="right"/>
            </w:pPr>
            <w:r w:rsidRPr="00746E0E">
              <w:t>0.81</w:t>
            </w:r>
          </w:p>
        </w:tc>
      </w:tr>
      <w:tr w:rsidR="008E3C0B" w:rsidRPr="00746E0E" w14:paraId="2DE3330C" w14:textId="77777777" w:rsidTr="007B5FFF">
        <w:tc>
          <w:tcPr>
            <w:tcW w:w="3101" w:type="pct"/>
            <w:shd w:val="clear" w:color="auto" w:fill="auto"/>
          </w:tcPr>
          <w:p w14:paraId="2300D743" w14:textId="77777777" w:rsidR="008E3C0B" w:rsidRPr="00746E0E" w:rsidRDefault="008E3C0B">
            <w:pPr>
              <w:pStyle w:val="Tabletext0"/>
            </w:pPr>
            <w:r w:rsidRPr="00746E0E">
              <w:t>Victoria</w:t>
            </w:r>
          </w:p>
        </w:tc>
        <w:tc>
          <w:tcPr>
            <w:tcW w:w="946" w:type="pct"/>
            <w:shd w:val="clear" w:color="auto" w:fill="auto"/>
          </w:tcPr>
          <w:p w14:paraId="724EF4E9" w14:textId="46C6356B" w:rsidR="008E3C0B" w:rsidRPr="00746E0E" w:rsidRDefault="008E3C0B">
            <w:pPr>
              <w:pStyle w:val="Tabletext0"/>
              <w:jc w:val="right"/>
            </w:pPr>
            <w:r w:rsidRPr="00746E0E">
              <w:t>0.7</w:t>
            </w:r>
            <w:r w:rsidR="008F5BCE">
              <w:t>8</w:t>
            </w:r>
          </w:p>
        </w:tc>
        <w:tc>
          <w:tcPr>
            <w:tcW w:w="954" w:type="pct"/>
          </w:tcPr>
          <w:p w14:paraId="5A168B19" w14:textId="77777777" w:rsidR="008E3C0B" w:rsidRPr="00746E0E" w:rsidRDefault="008E3C0B">
            <w:pPr>
              <w:pStyle w:val="Tabletext0"/>
              <w:jc w:val="right"/>
            </w:pPr>
            <w:r w:rsidRPr="00746E0E">
              <w:t>0.81</w:t>
            </w:r>
          </w:p>
        </w:tc>
      </w:tr>
      <w:tr w:rsidR="008E3C0B" w:rsidRPr="00746E0E" w14:paraId="2F54EDCB" w14:textId="77777777" w:rsidTr="007B5FFF">
        <w:tc>
          <w:tcPr>
            <w:tcW w:w="3101" w:type="pct"/>
            <w:shd w:val="clear" w:color="auto" w:fill="auto"/>
          </w:tcPr>
          <w:p w14:paraId="6A714D97" w14:textId="77777777" w:rsidR="008E3C0B" w:rsidRPr="00746E0E" w:rsidRDefault="008E3C0B">
            <w:pPr>
              <w:pStyle w:val="Tabletext0"/>
            </w:pPr>
            <w:r w:rsidRPr="00746E0E">
              <w:t>Queensland</w:t>
            </w:r>
          </w:p>
        </w:tc>
        <w:tc>
          <w:tcPr>
            <w:tcW w:w="946" w:type="pct"/>
            <w:shd w:val="clear" w:color="auto" w:fill="auto"/>
          </w:tcPr>
          <w:p w14:paraId="17BA7C9D" w14:textId="57BDC17F" w:rsidR="008E3C0B" w:rsidRPr="00746E0E" w:rsidRDefault="008E3C0B">
            <w:pPr>
              <w:pStyle w:val="Tabletext0"/>
              <w:jc w:val="right"/>
            </w:pPr>
            <w:r w:rsidRPr="00746E0E">
              <w:t>0.</w:t>
            </w:r>
            <w:r w:rsidR="008F5BCE">
              <w:t>67</w:t>
            </w:r>
          </w:p>
        </w:tc>
        <w:tc>
          <w:tcPr>
            <w:tcW w:w="954" w:type="pct"/>
          </w:tcPr>
          <w:p w14:paraId="684B6455" w14:textId="77777777" w:rsidR="008E3C0B" w:rsidRPr="00746E0E" w:rsidRDefault="008E3C0B">
            <w:pPr>
              <w:pStyle w:val="Tabletext0"/>
              <w:jc w:val="right"/>
            </w:pPr>
            <w:r w:rsidRPr="00746E0E">
              <w:t>0.81</w:t>
            </w:r>
          </w:p>
        </w:tc>
      </w:tr>
      <w:tr w:rsidR="008E3C0B" w:rsidRPr="00746E0E" w14:paraId="64C91883" w14:textId="77777777" w:rsidTr="007B5FFF">
        <w:tc>
          <w:tcPr>
            <w:tcW w:w="3101" w:type="pct"/>
            <w:shd w:val="clear" w:color="auto" w:fill="auto"/>
          </w:tcPr>
          <w:p w14:paraId="1159A4DD" w14:textId="77777777" w:rsidR="008E3C0B" w:rsidRPr="00746E0E" w:rsidRDefault="008E3C0B">
            <w:pPr>
              <w:pStyle w:val="Tabletext0"/>
            </w:pPr>
            <w:r w:rsidRPr="00746E0E">
              <w:t>South Australia</w:t>
            </w:r>
          </w:p>
        </w:tc>
        <w:tc>
          <w:tcPr>
            <w:tcW w:w="946" w:type="pct"/>
            <w:shd w:val="clear" w:color="auto" w:fill="auto"/>
          </w:tcPr>
          <w:p w14:paraId="37166982" w14:textId="3ED5D94D" w:rsidR="008E3C0B" w:rsidRPr="00746E0E" w:rsidRDefault="008E3C0B">
            <w:pPr>
              <w:pStyle w:val="Tabletext0"/>
              <w:jc w:val="right"/>
            </w:pPr>
            <w:r w:rsidRPr="00746E0E">
              <w:t>0.2</w:t>
            </w:r>
            <w:r w:rsidR="008F5BCE">
              <w:t>2</w:t>
            </w:r>
          </w:p>
        </w:tc>
        <w:tc>
          <w:tcPr>
            <w:tcW w:w="954" w:type="pct"/>
          </w:tcPr>
          <w:p w14:paraId="71DA750B" w14:textId="77777777" w:rsidR="008E3C0B" w:rsidRPr="00746E0E" w:rsidRDefault="008E3C0B">
            <w:pPr>
              <w:pStyle w:val="Tabletext0"/>
              <w:jc w:val="right"/>
            </w:pPr>
            <w:r w:rsidRPr="00746E0E">
              <w:t>0.81</w:t>
            </w:r>
          </w:p>
        </w:tc>
      </w:tr>
      <w:tr w:rsidR="008E3C0B" w:rsidRPr="00746E0E" w14:paraId="145E50EE" w14:textId="77777777" w:rsidTr="007B5FFF">
        <w:tc>
          <w:tcPr>
            <w:tcW w:w="3101" w:type="pct"/>
            <w:shd w:val="clear" w:color="auto" w:fill="auto"/>
          </w:tcPr>
          <w:p w14:paraId="49DBC838" w14:textId="77777777" w:rsidR="008E3C0B" w:rsidRPr="00746E0E" w:rsidRDefault="008E3C0B">
            <w:pPr>
              <w:pStyle w:val="Tabletext0"/>
            </w:pPr>
            <w:r w:rsidRPr="00746E0E">
              <w:t>South West Interconnected System in Western Australia</w:t>
            </w:r>
          </w:p>
        </w:tc>
        <w:tc>
          <w:tcPr>
            <w:tcW w:w="946" w:type="pct"/>
            <w:shd w:val="clear" w:color="auto" w:fill="auto"/>
          </w:tcPr>
          <w:p w14:paraId="0F9CD9BF" w14:textId="04818BFB" w:rsidR="008E3C0B" w:rsidRPr="00746E0E" w:rsidRDefault="008E3C0B">
            <w:pPr>
              <w:pStyle w:val="Tabletext0"/>
              <w:jc w:val="right"/>
            </w:pPr>
            <w:r w:rsidRPr="00746E0E">
              <w:t>0.5</w:t>
            </w:r>
            <w:r w:rsidR="008F5BCE">
              <w:t>0</w:t>
            </w:r>
          </w:p>
        </w:tc>
        <w:tc>
          <w:tcPr>
            <w:tcW w:w="954" w:type="pct"/>
          </w:tcPr>
          <w:p w14:paraId="0F5A4038" w14:textId="77777777" w:rsidR="008E3C0B" w:rsidRPr="00746E0E" w:rsidRDefault="008E3C0B">
            <w:pPr>
              <w:pStyle w:val="Tabletext0"/>
              <w:jc w:val="right"/>
            </w:pPr>
            <w:r w:rsidRPr="00746E0E">
              <w:t>0.81</w:t>
            </w:r>
          </w:p>
        </w:tc>
      </w:tr>
      <w:tr w:rsidR="008E3C0B" w:rsidRPr="00746E0E" w14:paraId="00E81B30" w14:textId="77777777" w:rsidTr="007B5FFF">
        <w:tc>
          <w:tcPr>
            <w:tcW w:w="3101" w:type="pct"/>
            <w:tcBorders>
              <w:bottom w:val="single" w:sz="4" w:space="0" w:color="auto"/>
            </w:tcBorders>
            <w:shd w:val="clear" w:color="auto" w:fill="auto"/>
          </w:tcPr>
          <w:p w14:paraId="791D7CD0" w14:textId="77777777" w:rsidR="008E3C0B" w:rsidRPr="00746E0E" w:rsidRDefault="008E3C0B">
            <w:pPr>
              <w:pStyle w:val="Tabletext0"/>
            </w:pPr>
            <w:r w:rsidRPr="00746E0E">
              <w:t>Tasmania</w:t>
            </w:r>
          </w:p>
        </w:tc>
        <w:tc>
          <w:tcPr>
            <w:tcW w:w="946" w:type="pct"/>
            <w:tcBorders>
              <w:bottom w:val="single" w:sz="4" w:space="0" w:color="auto"/>
            </w:tcBorders>
            <w:shd w:val="clear" w:color="auto" w:fill="auto"/>
          </w:tcPr>
          <w:p w14:paraId="7B4A300C" w14:textId="5692FA47" w:rsidR="008E3C0B" w:rsidRPr="00746E0E" w:rsidRDefault="008E3C0B">
            <w:pPr>
              <w:pStyle w:val="Tabletext0"/>
              <w:jc w:val="right"/>
            </w:pPr>
            <w:r w:rsidRPr="00746E0E">
              <w:t>0.</w:t>
            </w:r>
            <w:r w:rsidR="008B5FB9">
              <w:t>20</w:t>
            </w:r>
          </w:p>
        </w:tc>
        <w:tc>
          <w:tcPr>
            <w:tcW w:w="954" w:type="pct"/>
            <w:tcBorders>
              <w:bottom w:val="single" w:sz="4" w:space="0" w:color="auto"/>
            </w:tcBorders>
          </w:tcPr>
          <w:p w14:paraId="682224BB" w14:textId="77777777" w:rsidR="008E3C0B" w:rsidRPr="00746E0E" w:rsidRDefault="008E3C0B">
            <w:pPr>
              <w:pStyle w:val="Tabletext0"/>
              <w:jc w:val="right"/>
            </w:pPr>
            <w:r w:rsidRPr="00746E0E">
              <w:t>0.81</w:t>
            </w:r>
          </w:p>
        </w:tc>
      </w:tr>
      <w:tr w:rsidR="008E3C0B" w:rsidRPr="00746E0E" w14:paraId="2BE4CD5F" w14:textId="77777777" w:rsidTr="007B5FFF">
        <w:tc>
          <w:tcPr>
            <w:tcW w:w="3101" w:type="pct"/>
            <w:tcBorders>
              <w:bottom w:val="single" w:sz="12" w:space="0" w:color="auto"/>
            </w:tcBorders>
            <w:shd w:val="clear" w:color="auto" w:fill="auto"/>
          </w:tcPr>
          <w:p w14:paraId="1E53B3D4" w14:textId="77777777" w:rsidR="008E3C0B" w:rsidRPr="00746E0E" w:rsidRDefault="008E3C0B">
            <w:pPr>
              <w:pStyle w:val="Tabletext0"/>
            </w:pPr>
            <w:r w:rsidRPr="00746E0E">
              <w:t>Northern Territory</w:t>
            </w:r>
          </w:p>
        </w:tc>
        <w:tc>
          <w:tcPr>
            <w:tcW w:w="946" w:type="pct"/>
            <w:tcBorders>
              <w:bottom w:val="single" w:sz="12" w:space="0" w:color="auto"/>
            </w:tcBorders>
            <w:shd w:val="clear" w:color="auto" w:fill="auto"/>
          </w:tcPr>
          <w:p w14:paraId="0C268497" w14:textId="77777777" w:rsidR="008E3C0B" w:rsidRPr="00746E0E" w:rsidRDefault="008E3C0B">
            <w:pPr>
              <w:pStyle w:val="Tabletext0"/>
              <w:jc w:val="right"/>
            </w:pPr>
            <w:r w:rsidRPr="00746E0E">
              <w:t>0.5</w:t>
            </w:r>
            <w:r>
              <w:t>6</w:t>
            </w:r>
          </w:p>
        </w:tc>
        <w:tc>
          <w:tcPr>
            <w:tcW w:w="954" w:type="pct"/>
            <w:tcBorders>
              <w:bottom w:val="single" w:sz="12" w:space="0" w:color="auto"/>
            </w:tcBorders>
          </w:tcPr>
          <w:p w14:paraId="3CB94DA7" w14:textId="77777777" w:rsidR="008E3C0B" w:rsidRPr="00746E0E" w:rsidRDefault="008E3C0B">
            <w:pPr>
              <w:pStyle w:val="Tabletext0"/>
              <w:jc w:val="right"/>
            </w:pPr>
            <w:r w:rsidRPr="00746E0E">
              <w:t>0.81</w:t>
            </w:r>
          </w:p>
        </w:tc>
      </w:tr>
    </w:tbl>
    <w:p w14:paraId="03E9EC6D" w14:textId="77777777" w:rsidR="007E30E0" w:rsidRDefault="001B3E96" w:rsidP="007E30E0">
      <w:pPr>
        <w:pStyle w:val="Heading4"/>
      </w:pPr>
      <w:r>
        <w:t>Update</w:t>
      </w:r>
      <w:r w:rsidR="00684CD7">
        <w:t>s</w:t>
      </w:r>
      <w:r>
        <w:t xml:space="preserve"> to market-based method</w:t>
      </w:r>
    </w:p>
    <w:p w14:paraId="401FCD2A" w14:textId="64CB422E" w:rsidR="007E30E0" w:rsidRDefault="00130C97" w:rsidP="007E30E0">
      <w:r>
        <w:t xml:space="preserve">The department proposes to </w:t>
      </w:r>
      <w:r w:rsidR="007E30E0">
        <w:t>update the market</w:t>
      </w:r>
      <w:r w:rsidR="003A6D07">
        <w:t>-</w:t>
      </w:r>
      <w:r w:rsidR="007E30E0">
        <w:t xml:space="preserve">based method </w:t>
      </w:r>
      <w:r w:rsidR="004030DE">
        <w:t xml:space="preserve">to </w:t>
      </w:r>
      <w:r w:rsidR="007E30E0">
        <w:t xml:space="preserve">provide clarity around the </w:t>
      </w:r>
      <w:r w:rsidR="009B217D">
        <w:t xml:space="preserve">application of the method within a </w:t>
      </w:r>
      <w:r w:rsidR="00B03F3A" w:rsidRPr="00B03F3A">
        <w:t>controlling corporation’s group</w:t>
      </w:r>
      <w:r w:rsidR="009B217D">
        <w:t xml:space="preserve"> </w:t>
      </w:r>
      <w:r w:rsidR="008B797D">
        <w:t>and</w:t>
      </w:r>
      <w:r w:rsidR="009B217D">
        <w:t xml:space="preserve"> </w:t>
      </w:r>
      <w:r w:rsidR="007E30E0">
        <w:t xml:space="preserve">surrender </w:t>
      </w:r>
      <w:r w:rsidR="006C57C5">
        <w:t xml:space="preserve">of </w:t>
      </w:r>
      <w:r w:rsidR="00DC6006">
        <w:t>renewable energy certificates</w:t>
      </w:r>
      <w:r w:rsidR="00ED59D4">
        <w:t>.</w:t>
      </w:r>
      <w:r w:rsidR="007E30E0">
        <w:t xml:space="preserve"> </w:t>
      </w:r>
    </w:p>
    <w:p w14:paraId="4D9AB2B3" w14:textId="1A1BB743" w:rsidR="00A84B9D" w:rsidRDefault="00A84B9D" w:rsidP="007E30E0">
      <w:r>
        <w:t xml:space="preserve">Where a </w:t>
      </w:r>
      <w:r w:rsidR="00DC4187">
        <w:t xml:space="preserve">reporting entity </w:t>
      </w:r>
      <w:r w:rsidR="00155D82">
        <w:t xml:space="preserve">uses the market-based method for a facility within a </w:t>
      </w:r>
      <w:r w:rsidR="00DC4187" w:rsidRPr="00DC4187">
        <w:t>controlling corporation’s group</w:t>
      </w:r>
      <w:r w:rsidR="00155D82">
        <w:t>, the department proposes to make it mandatory to use the market-based method for all fac</w:t>
      </w:r>
      <w:r w:rsidR="008B4368">
        <w:t xml:space="preserve">ilities within a </w:t>
      </w:r>
      <w:r w:rsidR="008B4368" w:rsidRPr="008B4368">
        <w:t>controlling corporation’s group</w:t>
      </w:r>
      <w:r w:rsidR="008B4368">
        <w:t xml:space="preserve"> </w:t>
      </w:r>
      <w:r w:rsidR="00ED59D4" w:rsidRPr="00A810AD">
        <w:t>that reported a location-based scope 2 emissions estimate from the purchase or acquisition of electricity</w:t>
      </w:r>
      <w:r w:rsidR="00ED59D4">
        <w:t>.</w:t>
      </w:r>
      <w:r w:rsidR="00B03967">
        <w:t xml:space="preserve"> This</w:t>
      </w:r>
      <w:r w:rsidR="00DB20A0">
        <w:t xml:space="preserve"> is</w:t>
      </w:r>
      <w:r w:rsidR="00B03967">
        <w:t xml:space="preserve"> intended to ensure completeness in corporate reporting and </w:t>
      </w:r>
      <w:r w:rsidR="008E137D">
        <w:t>avoid potentially misleading or unintended</w:t>
      </w:r>
      <w:r w:rsidR="00816C8B">
        <w:t xml:space="preserve"> </w:t>
      </w:r>
      <w:r w:rsidR="002F1017">
        <w:t xml:space="preserve">interpretations of </w:t>
      </w:r>
      <w:r w:rsidR="00BA1EBB">
        <w:t>corporate emissions data reporting by the Regulator.</w:t>
      </w:r>
    </w:p>
    <w:p w14:paraId="7F070BF7" w14:textId="71E0719E" w:rsidR="00E15C37" w:rsidRDefault="4ACA59CA" w:rsidP="1A4DC8F7">
      <w:pPr>
        <w:pStyle w:val="Heading4"/>
        <w:spacing w:line="259" w:lineRule="auto"/>
      </w:pPr>
      <w:r>
        <w:t>Surrender of renewable electricity certificates</w:t>
      </w:r>
      <w:r w:rsidR="00BA1EBB">
        <w:t xml:space="preserve">  </w:t>
      </w:r>
    </w:p>
    <w:p w14:paraId="7D265084" w14:textId="4678FD4D" w:rsidR="00471D21" w:rsidRDefault="00BA1EBB" w:rsidP="00471D21">
      <w:r>
        <w:t xml:space="preserve">The </w:t>
      </w:r>
      <w:r w:rsidR="00C71496">
        <w:t>d</w:t>
      </w:r>
      <w:r>
        <w:t xml:space="preserve">epartment proposes to </w:t>
      </w:r>
      <w:r w:rsidR="00532B4C">
        <w:t>update</w:t>
      </w:r>
      <w:r>
        <w:t xml:space="preserve"> the definitions of R</w:t>
      </w:r>
      <w:r w:rsidR="00F20C77">
        <w:t>EC</w:t>
      </w:r>
      <w:r w:rsidR="00F20C77">
        <w:rPr>
          <w:vertAlign w:val="subscript"/>
        </w:rPr>
        <w:t>su</w:t>
      </w:r>
      <w:r w:rsidRPr="005D5E70">
        <w:rPr>
          <w:vertAlign w:val="subscript"/>
        </w:rPr>
        <w:t>rr</w:t>
      </w:r>
      <w:r>
        <w:t xml:space="preserve"> and REC</w:t>
      </w:r>
      <w:r w:rsidRPr="005D5E70">
        <w:rPr>
          <w:vertAlign w:val="subscript"/>
        </w:rPr>
        <w:t>onsite</w:t>
      </w:r>
      <w:r w:rsidR="008F1ABE">
        <w:t xml:space="preserve"> </w:t>
      </w:r>
      <w:r w:rsidR="00532B4C">
        <w:t xml:space="preserve">to clarify </w:t>
      </w:r>
      <w:r w:rsidR="00E43BFF">
        <w:t>that th</w:t>
      </w:r>
      <w:r w:rsidR="00FD1565">
        <w:t>ese certificates may be surrender</w:t>
      </w:r>
      <w:r w:rsidR="004A3F27">
        <w:t xml:space="preserve">ed </w:t>
      </w:r>
      <w:r w:rsidR="004A3F27" w:rsidRPr="00BC3560">
        <w:rPr>
          <w:u w:val="single"/>
        </w:rPr>
        <w:t>for</w:t>
      </w:r>
      <w:r w:rsidR="004A3F27">
        <w:t xml:space="preserve"> the reporting year</w:t>
      </w:r>
      <w:r w:rsidR="00B6759A">
        <w:t xml:space="preserve">, </w:t>
      </w:r>
      <w:r w:rsidR="00CC2714">
        <w:t xml:space="preserve">prior to the submission of </w:t>
      </w:r>
      <w:r w:rsidR="00AB64A3">
        <w:t>the NGER report</w:t>
      </w:r>
      <w:r w:rsidR="00821F43">
        <w:t>,</w:t>
      </w:r>
      <w:r w:rsidR="00B6759A">
        <w:t xml:space="preserve"> </w:t>
      </w:r>
      <w:r w:rsidR="00160B85">
        <w:t xml:space="preserve">but do </w:t>
      </w:r>
      <w:r w:rsidR="00B6759A">
        <w:t xml:space="preserve">not necessarily </w:t>
      </w:r>
      <w:r w:rsidR="00160B85">
        <w:t>need to be surrendered</w:t>
      </w:r>
      <w:r w:rsidR="00B6759A">
        <w:t xml:space="preserve"> </w:t>
      </w:r>
      <w:r w:rsidR="00B6759A" w:rsidRPr="00BC3560">
        <w:rPr>
          <w:u w:val="single"/>
        </w:rPr>
        <w:t>in</w:t>
      </w:r>
      <w:r w:rsidR="00B6759A">
        <w:t xml:space="preserve"> the reporting year.</w:t>
      </w:r>
      <w:r w:rsidR="004A3F27">
        <w:t xml:space="preserve"> </w:t>
      </w:r>
    </w:p>
    <w:p w14:paraId="4378642F" w14:textId="7CB5A11C" w:rsidR="007E30E0" w:rsidRDefault="00A01B62" w:rsidP="007E30E0">
      <w:r>
        <w:t xml:space="preserve">This </w:t>
      </w:r>
      <w:r w:rsidR="007C70A8">
        <w:t>addresses</w:t>
      </w:r>
      <w:r>
        <w:t xml:space="preserve"> </w:t>
      </w:r>
      <w:r w:rsidRPr="00A01B62">
        <w:t>feedback from</w:t>
      </w:r>
      <w:r>
        <w:t xml:space="preserve"> NGERS</w:t>
      </w:r>
      <w:r w:rsidRPr="00A01B62">
        <w:t xml:space="preserve"> reporters on the surrender deadline</w:t>
      </w:r>
      <w:r w:rsidR="00490C50">
        <w:t xml:space="preserve"> </w:t>
      </w:r>
      <w:r w:rsidR="00617CEF">
        <w:t xml:space="preserve">suggesting that </w:t>
      </w:r>
      <w:r w:rsidR="00E06FA7">
        <w:t xml:space="preserve">that surrenders must occur within the reporting year. </w:t>
      </w:r>
      <w:r w:rsidR="008A7037">
        <w:t xml:space="preserve">The proposed amendment clarifies the intent of the method allowing for the </w:t>
      </w:r>
      <w:r w:rsidR="00894AD1">
        <w:t>practicalities</w:t>
      </w:r>
      <w:r w:rsidR="008A7037">
        <w:t xml:space="preserve"> of reporters not knowing during the reporting year </w:t>
      </w:r>
      <w:r w:rsidR="009D586D">
        <w:t>how many RECs they will</w:t>
      </w:r>
      <w:r w:rsidR="009D586D" w:rsidRPr="009D586D">
        <w:t xml:space="preserve"> need to surrender to fully offset</w:t>
      </w:r>
      <w:r w:rsidR="008A7037">
        <w:t xml:space="preserve"> their </w:t>
      </w:r>
      <w:r w:rsidR="009D586D" w:rsidRPr="009D586D">
        <w:t>electricity consumption</w:t>
      </w:r>
      <w:r w:rsidR="009D586D">
        <w:t>.</w:t>
      </w:r>
    </w:p>
    <w:p w14:paraId="4F345701" w14:textId="7E2B158B" w:rsidR="001B0884" w:rsidRDefault="001B0884" w:rsidP="007E30E0">
      <w:r>
        <w:t>Additionally</w:t>
      </w:r>
      <w:r w:rsidR="00F010E7">
        <w:t xml:space="preserve">, </w:t>
      </w:r>
      <w:r w:rsidR="000571A9">
        <w:t xml:space="preserve">new MTBIs </w:t>
      </w:r>
      <w:r w:rsidR="007C70A8">
        <w:t>are proposed</w:t>
      </w:r>
      <w:r w:rsidR="000571A9">
        <w:t xml:space="preserve"> to allow </w:t>
      </w:r>
      <w:r w:rsidR="004401F2">
        <w:t>for the verification of surrendered RECs</w:t>
      </w:r>
      <w:r w:rsidR="00927A80">
        <w:t xml:space="preserve"> with reporters required to report the surrender identification codes generated by the CER</w:t>
      </w:r>
      <w:r w:rsidR="00057D61">
        <w:t xml:space="preserve"> and accreditation codes for any accredited power stations within a facility</w:t>
      </w:r>
      <w:r w:rsidR="00927A80">
        <w:t xml:space="preserve">. </w:t>
      </w:r>
    </w:p>
    <w:p w14:paraId="4411577B" w14:textId="06BE86D7" w:rsidR="00810E0A" w:rsidRDefault="00810E0A" w:rsidP="005D5E70">
      <w:pPr>
        <w:pStyle w:val="Heading3"/>
      </w:pPr>
      <w:bookmarkStart w:id="15" w:name="_Toc190450535"/>
      <w:bookmarkStart w:id="16" w:name="_Toc163574967"/>
      <w:bookmarkStart w:id="17" w:name="_Toc190450536"/>
      <w:bookmarkStart w:id="18" w:name="_Toc190450537"/>
      <w:bookmarkStart w:id="19" w:name="_Toc190450538"/>
      <w:bookmarkStart w:id="20" w:name="_Toc191373893"/>
      <w:bookmarkEnd w:id="15"/>
      <w:bookmarkEnd w:id="16"/>
      <w:bookmarkEnd w:id="17"/>
      <w:bookmarkEnd w:id="18"/>
      <w:bookmarkEnd w:id="19"/>
      <w:r>
        <w:t>Waste</w:t>
      </w:r>
      <w:bookmarkEnd w:id="20"/>
    </w:p>
    <w:p w14:paraId="3746814F" w14:textId="73F12603" w:rsidR="004D457E" w:rsidRPr="004D457E" w:rsidRDefault="004D457E" w:rsidP="004D457E">
      <w:pPr>
        <w:rPr>
          <w:rFonts w:ascii="Calibri" w:eastAsia="Times New Roman" w:hAnsi="Calibri" w:cs="Times New Roman"/>
          <w:sz w:val="28"/>
          <w:szCs w:val="28"/>
          <w:lang w:eastAsia="en-AU"/>
        </w:rPr>
      </w:pPr>
      <w:r w:rsidRPr="0D35EEFB">
        <w:rPr>
          <w:rFonts w:ascii="Calibri" w:eastAsia="Times New Roman" w:hAnsi="Calibri" w:cs="Times New Roman"/>
          <w:sz w:val="28"/>
          <w:szCs w:val="28"/>
          <w:lang w:eastAsia="en-AU"/>
        </w:rPr>
        <w:t xml:space="preserve">Introduction of amendments to enable reporters to account for biosolids diverted to biochar production </w:t>
      </w:r>
    </w:p>
    <w:p w14:paraId="0A4E6AF3" w14:textId="10EFAE91" w:rsidR="00810E0A" w:rsidRPr="00831C7E" w:rsidRDefault="00203ED1" w:rsidP="00831C7E">
      <w:r w:rsidRPr="00831C7E">
        <w:t>The department pro</w:t>
      </w:r>
      <w:r w:rsidR="00731A0D" w:rsidRPr="00831C7E">
        <w:t>p</w:t>
      </w:r>
      <w:r w:rsidRPr="00831C7E">
        <w:t>oses to</w:t>
      </w:r>
      <w:r w:rsidRPr="00B16376">
        <w:rPr>
          <w:lang w:eastAsia="en-AU"/>
        </w:rPr>
        <w:t xml:space="preserve"> </w:t>
      </w:r>
      <w:r w:rsidR="00B16376">
        <w:rPr>
          <w:lang w:eastAsia="en-AU"/>
        </w:rPr>
        <w:t xml:space="preserve">amend the Measurement Determination to introduce an additional MTBI </w:t>
      </w:r>
      <w:r w:rsidR="64F9F3C4" w:rsidRPr="00831C7E">
        <w:t>item, requiring the reporting of the quantity of</w:t>
      </w:r>
      <w:r w:rsidR="004A6A95">
        <w:t xml:space="preserve"> </w:t>
      </w:r>
      <w:r w:rsidR="00E91F4C">
        <w:t>chemical oxygen demand</w:t>
      </w:r>
      <w:r w:rsidR="64F9F3C4" w:rsidRPr="00831C7E">
        <w:t xml:space="preserve"> </w:t>
      </w:r>
      <w:r w:rsidR="00DF10F7">
        <w:t>(</w:t>
      </w:r>
      <w:r w:rsidR="64F9F3C4" w:rsidRPr="00831C7E">
        <w:t>COD</w:t>
      </w:r>
      <w:r w:rsidR="00DF10F7">
        <w:t>)</w:t>
      </w:r>
      <w:r w:rsidR="64F9F3C4" w:rsidRPr="00831C7E">
        <w:t xml:space="preserve"> in sludge transferred to a biochar production facility ‘CODtrb’ in both Methods 1 and 2 of the wastewater handling (domestic and commercial) and wastewater handling (industrial). </w:t>
      </w:r>
    </w:p>
    <w:p w14:paraId="540C0F16" w14:textId="3E6895BF" w:rsidR="00810E0A" w:rsidRPr="00831C7E" w:rsidRDefault="64F9F3C4" w:rsidP="00673476">
      <w:r w:rsidRPr="00831C7E">
        <w:t>Th</w:t>
      </w:r>
      <w:r w:rsidR="55218574" w:rsidRPr="00831C7E">
        <w:t xml:space="preserve">e proposed amendment </w:t>
      </w:r>
      <w:r w:rsidR="00A05348" w:rsidRPr="00831C7E">
        <w:t>would enable</w:t>
      </w:r>
      <w:r w:rsidRPr="00831C7E">
        <w:t xml:space="preserve"> </w:t>
      </w:r>
      <w:r w:rsidR="00F6494D" w:rsidRPr="00831C7E">
        <w:t>reporters to account for</w:t>
      </w:r>
      <w:r w:rsidR="004C4388" w:rsidRPr="00831C7E">
        <w:t xml:space="preserve"> </w:t>
      </w:r>
      <w:r w:rsidRPr="00831C7E">
        <w:t xml:space="preserve">the emissions abatement impact of re-directing sewage sludge to be used as a feedstock at biochar production facilities. </w:t>
      </w:r>
      <w:r w:rsidR="00F6494D" w:rsidRPr="00831C7E">
        <w:t xml:space="preserve">The proposed amendment </w:t>
      </w:r>
      <w:r w:rsidR="00B33EF6" w:rsidRPr="00831C7E">
        <w:t>would</w:t>
      </w:r>
      <w:r w:rsidR="00F6494D" w:rsidRPr="00831C7E">
        <w:t xml:space="preserve"> also</w:t>
      </w:r>
      <w:r w:rsidRPr="00831C7E">
        <w:t xml:space="preserve"> enable biochar production to be accounted for within the national inventory (as a reduction in emissions from wastewater handling), creating opportunities for biochar abatement methods within the ACCU Scheme.</w:t>
      </w:r>
    </w:p>
    <w:p w14:paraId="01E510E0" w14:textId="2E46B2C2" w:rsidR="00810E0A" w:rsidRPr="00831C7E" w:rsidRDefault="64F9F3C4" w:rsidP="00831C7E">
      <w:r w:rsidRPr="00831C7E">
        <w:t>The proposed amendment</w:t>
      </w:r>
      <w:r w:rsidR="00C42F6F" w:rsidRPr="00831C7E">
        <w:t xml:space="preserve"> would</w:t>
      </w:r>
      <w:r w:rsidRPr="00831C7E">
        <w:t>:</w:t>
      </w:r>
    </w:p>
    <w:p w14:paraId="6CF0CE35" w14:textId="0C341E08" w:rsidR="00810E0A" w:rsidRPr="00831C7E" w:rsidRDefault="64F9F3C4" w:rsidP="00831C7E">
      <w:pPr>
        <w:pStyle w:val="ListParagraph"/>
        <w:widowControl w:val="0"/>
        <w:numPr>
          <w:ilvl w:val="0"/>
          <w:numId w:val="67"/>
        </w:numPr>
        <w:spacing w:after="120"/>
        <w:ind w:left="714" w:hanging="357"/>
      </w:pPr>
      <w:r w:rsidRPr="00831C7E">
        <w:t>add an additional item in the MTBI Tables in Schedule 4 Part 6 under Source 4B and 4C and 4B;</w:t>
      </w:r>
    </w:p>
    <w:p w14:paraId="392DA89E" w14:textId="4670E303" w:rsidR="00810E0A" w:rsidRPr="00831C7E" w:rsidRDefault="64F9F3C4" w:rsidP="00831C7E">
      <w:pPr>
        <w:pStyle w:val="ListParagraph"/>
        <w:widowControl w:val="0"/>
        <w:numPr>
          <w:ilvl w:val="0"/>
          <w:numId w:val="67"/>
        </w:numPr>
        <w:spacing w:after="120"/>
        <w:ind w:left="714" w:hanging="357"/>
      </w:pPr>
      <w:r w:rsidRPr="00831C7E">
        <w:t>amend relevant equations within Methods 1 and 2; and</w:t>
      </w:r>
    </w:p>
    <w:p w14:paraId="2B75EFF0" w14:textId="73C1B637" w:rsidR="00810E0A" w:rsidRPr="00831C7E" w:rsidRDefault="64F9F3C4" w:rsidP="00831C7E">
      <w:pPr>
        <w:pStyle w:val="ListParagraph"/>
        <w:widowControl w:val="0"/>
        <w:numPr>
          <w:ilvl w:val="0"/>
          <w:numId w:val="67"/>
        </w:numPr>
        <w:spacing w:after="120"/>
        <w:ind w:left="714" w:hanging="357"/>
      </w:pPr>
      <w:r w:rsidRPr="00831C7E">
        <w:t>add in-text definitions within Methods 1 and 2.</w:t>
      </w:r>
    </w:p>
    <w:p w14:paraId="709F9126" w14:textId="707FD148" w:rsidR="00810E0A" w:rsidRPr="00810E0A" w:rsidRDefault="00810E0A" w:rsidP="00760F4E">
      <w:pPr>
        <w:pStyle w:val="NoSpacing"/>
        <w:ind w:firstLine="60"/>
        <w:rPr>
          <w:rFonts w:ascii="Times New Roman" w:eastAsia="Times New Roman" w:hAnsi="Times New Roman"/>
        </w:rPr>
      </w:pPr>
    </w:p>
    <w:p w14:paraId="7A39FD14" w14:textId="7C29E29A" w:rsidR="004D457E" w:rsidRPr="00760F4E" w:rsidRDefault="64F9F3C4" w:rsidP="00284D0E">
      <w:pPr>
        <w:pStyle w:val="NoSpacing"/>
        <w:ind w:left="360"/>
        <w:rPr>
          <w:rFonts w:ascii="Times New Roman" w:eastAsia="Times New Roman" w:hAnsi="Times New Roman"/>
        </w:rPr>
      </w:pPr>
      <w:r w:rsidRPr="70E5E044">
        <w:rPr>
          <w:rFonts w:ascii="Times New Roman" w:eastAsia="Times New Roman" w:hAnsi="Times New Roman"/>
          <w:sz w:val="22"/>
          <w:szCs w:val="22"/>
        </w:rPr>
        <w:t xml:space="preserve"> </w:t>
      </w:r>
    </w:p>
    <w:p w14:paraId="2B8D9490" w14:textId="662756F9" w:rsidR="004D457E" w:rsidRPr="004D457E" w:rsidRDefault="004D457E" w:rsidP="004D457E">
      <w:pPr>
        <w:rPr>
          <w:rFonts w:eastAsia="Times New Roman" w:cs="Times New Roman"/>
          <w:sz w:val="28"/>
          <w:szCs w:val="24"/>
          <w:lang w:eastAsia="en-AU"/>
        </w:rPr>
      </w:pPr>
      <w:r>
        <w:rPr>
          <w:rFonts w:eastAsia="Times New Roman" w:cs="Times New Roman"/>
          <w:sz w:val="28"/>
          <w:szCs w:val="24"/>
          <w:lang w:eastAsia="en-AU"/>
        </w:rPr>
        <w:t>Up</w:t>
      </w:r>
      <w:r w:rsidRPr="004D457E">
        <w:rPr>
          <w:rFonts w:eastAsia="Times New Roman" w:cs="Times New Roman"/>
          <w:sz w:val="28"/>
          <w:szCs w:val="24"/>
          <w:lang w:eastAsia="en-AU"/>
        </w:rPr>
        <w:t>date to the N</w:t>
      </w:r>
      <w:r w:rsidRPr="004D457E">
        <w:rPr>
          <w:rFonts w:eastAsia="Times New Roman" w:cs="Times New Roman"/>
          <w:sz w:val="28"/>
          <w:szCs w:val="24"/>
          <w:vertAlign w:val="subscript"/>
          <w:lang w:eastAsia="en-AU"/>
        </w:rPr>
        <w:t>2</w:t>
      </w:r>
      <w:r w:rsidRPr="004D457E">
        <w:rPr>
          <w:rFonts w:eastAsia="Times New Roman" w:cs="Times New Roman"/>
          <w:sz w:val="28"/>
          <w:szCs w:val="24"/>
          <w:lang w:eastAsia="en-AU"/>
        </w:rPr>
        <w:t>O emission factor for effluent discharged to estuaries.</w:t>
      </w:r>
    </w:p>
    <w:p w14:paraId="2F34C28F" w14:textId="23C3556D" w:rsidR="00AD519D" w:rsidRDefault="001125ED" w:rsidP="00831C7E">
      <w:pPr>
        <w:spacing w:after="160" w:line="259" w:lineRule="auto"/>
        <w:contextualSpacing/>
        <w:rPr>
          <w:rStyle w:val="CharDivNo0"/>
        </w:rPr>
      </w:pPr>
      <w:r>
        <w:rPr>
          <w:rStyle w:val="CharDivNo0"/>
        </w:rPr>
        <w:t xml:space="preserve">The proposed amendment </w:t>
      </w:r>
      <w:r w:rsidR="00D53D07">
        <w:rPr>
          <w:rStyle w:val="CharDivNo0"/>
        </w:rPr>
        <w:t xml:space="preserve">would </w:t>
      </w:r>
      <w:r>
        <w:rPr>
          <w:rStyle w:val="CharDivNo0"/>
        </w:rPr>
        <w:t>correct a minor rounding error</w:t>
      </w:r>
      <w:r w:rsidR="00AD519D">
        <w:rPr>
          <w:rStyle w:val="CharDivNo0"/>
        </w:rPr>
        <w:t xml:space="preserve"> in the N</w:t>
      </w:r>
      <w:r w:rsidR="00AD519D" w:rsidRPr="00AD519D">
        <w:rPr>
          <w:rStyle w:val="CharDivNo0"/>
          <w:vertAlign w:val="subscript"/>
        </w:rPr>
        <w:t>2</w:t>
      </w:r>
      <w:r w:rsidR="00AD519D">
        <w:rPr>
          <w:rStyle w:val="CharDivNo0"/>
        </w:rPr>
        <w:t xml:space="preserve">O emissions factor </w:t>
      </w:r>
      <w:r w:rsidR="00AD519D" w:rsidRPr="00644DBC">
        <w:rPr>
          <w:rStyle w:val="CharDivNo0"/>
        </w:rPr>
        <w:t>for wastewater effluent discharged to estuaries (</w:t>
      </w:r>
      <w:r w:rsidR="00AD519D" w:rsidRPr="00AD519D">
        <w:rPr>
          <w:i/>
        </w:rPr>
        <w:t>EF</w:t>
      </w:r>
      <w:r w:rsidR="00AD519D" w:rsidRPr="00AD519D">
        <w:rPr>
          <w:i/>
          <w:vertAlign w:val="subscript"/>
        </w:rPr>
        <w:t>disij</w:t>
      </w:r>
      <w:r w:rsidR="00AD519D" w:rsidRPr="00644DBC">
        <w:rPr>
          <w:rStyle w:val="CharDivNo0"/>
        </w:rPr>
        <w:t>)</w:t>
      </w:r>
      <w:r w:rsidR="00AD519D">
        <w:rPr>
          <w:rStyle w:val="CharDivNo0"/>
        </w:rPr>
        <w:t xml:space="preserve">. </w:t>
      </w:r>
    </w:p>
    <w:p w14:paraId="6F2E48C2" w14:textId="77777777" w:rsidR="001125ED" w:rsidRDefault="001125ED" w:rsidP="00831C7E">
      <w:pPr>
        <w:jc w:val="both"/>
        <w:rPr>
          <w:rFonts w:ascii="Gilroy" w:hAnsi="Gilroy"/>
        </w:rPr>
      </w:pPr>
    </w:p>
    <w:p w14:paraId="3349AC7F" w14:textId="4A359AFB" w:rsidR="00264752" w:rsidRPr="00EB6BF1" w:rsidRDefault="00264752" w:rsidP="00831C7E">
      <w:pPr>
        <w:jc w:val="both"/>
      </w:pPr>
      <w:r w:rsidRPr="00EB6BF1">
        <w:rPr>
          <w:rFonts w:ascii="Gilroy" w:hAnsi="Gilroy"/>
        </w:rPr>
        <w:t>The proposed amendment would</w:t>
      </w:r>
      <w:r>
        <w:rPr>
          <w:rFonts w:ascii="Gilroy" w:hAnsi="Gilroy"/>
        </w:rPr>
        <w:t xml:space="preserve"> </w:t>
      </w:r>
      <w:r w:rsidR="00740959">
        <w:rPr>
          <w:rFonts w:ascii="Gilroy" w:hAnsi="Gilroy"/>
        </w:rPr>
        <w:t>improve</w:t>
      </w:r>
      <w:r>
        <w:t xml:space="preserve"> the accuracy of </w:t>
      </w:r>
      <w:r w:rsidR="00B11C52">
        <w:t>the</w:t>
      </w:r>
      <w:r>
        <w:t xml:space="preserve"> </w:t>
      </w:r>
      <w:r w:rsidR="00B11C52">
        <w:t>N</w:t>
      </w:r>
      <w:r w:rsidR="00B11C52" w:rsidRPr="00831C7E">
        <w:rPr>
          <w:vertAlign w:val="subscript"/>
        </w:rPr>
        <w:t>2</w:t>
      </w:r>
      <w:r w:rsidR="00B11C52">
        <w:t>O</w:t>
      </w:r>
      <w:r>
        <w:t xml:space="preserve"> emission </w:t>
      </w:r>
      <w:r w:rsidR="00B11C52">
        <w:t xml:space="preserve">factor </w:t>
      </w:r>
      <w:r w:rsidR="00814D07">
        <w:t>and</w:t>
      </w:r>
      <w:r w:rsidR="00B11C52">
        <w:t xml:space="preserve"> bring the Measurement Determination into alignment with </w:t>
      </w:r>
      <w:r>
        <w:t xml:space="preserve">the </w:t>
      </w:r>
      <w:r w:rsidR="00056821">
        <w:t>default IPCC emission factor</w:t>
      </w:r>
      <w:r w:rsidR="00F732A1">
        <w:t xml:space="preserve"> and </w:t>
      </w:r>
      <w:r w:rsidR="00910D70">
        <w:rPr>
          <w:lang w:eastAsia="en-AU"/>
        </w:rPr>
        <w:t>Australia’s</w:t>
      </w:r>
      <w:r>
        <w:rPr>
          <w:lang w:eastAsia="en-AU"/>
        </w:rPr>
        <w:t xml:space="preserve"> national </w:t>
      </w:r>
      <w:r w:rsidR="00910D70">
        <w:rPr>
          <w:lang w:eastAsia="en-AU"/>
        </w:rPr>
        <w:t xml:space="preserve">greenhouse gas </w:t>
      </w:r>
      <w:r>
        <w:rPr>
          <w:lang w:eastAsia="en-AU"/>
        </w:rPr>
        <w:t>inventory</w:t>
      </w:r>
      <w:r>
        <w:t xml:space="preserve">. </w:t>
      </w:r>
    </w:p>
    <w:p w14:paraId="7E7FD7B9" w14:textId="77777777" w:rsidR="00D342C3" w:rsidRDefault="00D342C3" w:rsidP="000953A1">
      <w:pPr>
        <w:rPr>
          <w:lang w:eastAsia="en-AU"/>
        </w:rPr>
      </w:pPr>
    </w:p>
    <w:p w14:paraId="0D19F3FF" w14:textId="77777777" w:rsidR="00ED5B4B" w:rsidRDefault="00ED5B4B" w:rsidP="000953A1">
      <w:pPr>
        <w:rPr>
          <w:lang w:eastAsia="en-AU"/>
        </w:rPr>
      </w:pPr>
    </w:p>
    <w:p w14:paraId="4A917184" w14:textId="77777777" w:rsidR="00ED5B4B" w:rsidRDefault="00ED5B4B" w:rsidP="000953A1">
      <w:pPr>
        <w:rPr>
          <w:lang w:eastAsia="en-AU"/>
        </w:rPr>
      </w:pPr>
    </w:p>
    <w:p w14:paraId="2BC36AE0" w14:textId="77777777" w:rsidR="00ED5B4B" w:rsidRPr="00507D65" w:rsidRDefault="00ED5B4B" w:rsidP="000953A1">
      <w:pPr>
        <w:rPr>
          <w:lang w:eastAsia="en-AU"/>
        </w:rPr>
      </w:pPr>
    </w:p>
    <w:p w14:paraId="6B15B017" w14:textId="55001363" w:rsidR="00BC1142" w:rsidRDefault="00BC1142" w:rsidP="00197231">
      <w:pPr>
        <w:pStyle w:val="Heading2"/>
        <w:numPr>
          <w:ilvl w:val="0"/>
          <w:numId w:val="58"/>
        </w:numPr>
      </w:pPr>
      <w:bookmarkStart w:id="21" w:name="_Toc191373894"/>
      <w:r>
        <w:t>NGER forward work program</w:t>
      </w:r>
      <w:bookmarkEnd w:id="21"/>
    </w:p>
    <w:p w14:paraId="548C67A9" w14:textId="77777777" w:rsidR="00ED5B4B" w:rsidRPr="008001F1" w:rsidRDefault="00ED5B4B" w:rsidP="005D5E70">
      <w:pPr>
        <w:pStyle w:val="Heading3"/>
        <w:numPr>
          <w:ilvl w:val="0"/>
          <w:numId w:val="72"/>
        </w:numPr>
      </w:pPr>
      <w:bookmarkStart w:id="22" w:name="_Toc191373895"/>
      <w:bookmarkStart w:id="23" w:name="_Toc190857832"/>
      <w:r>
        <w:t>Review of Method 2 for estimating fugitive emissions from open cut coal mines</w:t>
      </w:r>
      <w:bookmarkEnd w:id="22"/>
      <w:r>
        <w:t xml:space="preserve"> </w:t>
      </w:r>
      <w:bookmarkEnd w:id="23"/>
    </w:p>
    <w:p w14:paraId="2971A247" w14:textId="77777777" w:rsidR="00ED5B4B" w:rsidRPr="00316F45" w:rsidRDefault="00ED5B4B" w:rsidP="00ED5B4B">
      <w:pPr>
        <w:pStyle w:val="Heading4"/>
      </w:pPr>
      <w:r w:rsidRPr="00316F45">
        <w:t>Background</w:t>
      </w:r>
    </w:p>
    <w:p w14:paraId="076B3625" w14:textId="77777777" w:rsidR="00ED5B4B" w:rsidRDefault="00ED5B4B" w:rsidP="00ED5B4B">
      <w:r w:rsidRPr="00F55B52">
        <w:t>Division 3.2.3 of the Measurement Determination provides for the estimation of ‘fugitive’ greenhouse gas emissions, including methane, from the extraction of coal from open-cut mining.  Currently</w:t>
      </w:r>
      <w:r>
        <w:t>,</w:t>
      </w:r>
      <w:r w:rsidRPr="00F55B52">
        <w:t xml:space="preserve"> NGER reporters have the option of estimating fugitive methane emissions from open-cut mines in accordance with Method 1, 2 or 3. </w:t>
      </w:r>
      <w:r>
        <w:t>From 1 July 2025, open-cut mines covered by the Safeguard Mechanism that produced more than 10 million tonnes of coal in 2022-23 must use Method 2 or 3. From 1 July 2026, all open-cut mines covered by the Safeguard Mechanism</w:t>
      </w:r>
      <w:r w:rsidDel="00B0387A">
        <w:t xml:space="preserve"> </w:t>
      </w:r>
      <w:r>
        <w:t xml:space="preserve">must use Method 2 or 3. </w:t>
      </w:r>
    </w:p>
    <w:p w14:paraId="3708CD55" w14:textId="77777777" w:rsidR="00ED5B4B" w:rsidRDefault="00ED5B4B" w:rsidP="00ED5B4B">
      <w:r w:rsidRPr="004D15E5">
        <w:t>Method 2 estimate</w:t>
      </w:r>
      <w:r>
        <w:t>s</w:t>
      </w:r>
      <w:r w:rsidRPr="004D15E5">
        <w:t xml:space="preserve"> fugitive emissions based on the mine-specific methane content of the extracted coal. </w:t>
      </w:r>
      <w:r>
        <w:t>It</w:t>
      </w:r>
      <w:r w:rsidRPr="00307DA4">
        <w:t xml:space="preserve"> is equivalent to the highest (most sophisticated) IPCC method tier. Australia is currently the only country in the world to use methods of this tier to estimate fugitive methane and carbon dioxide emissions from open-cut coal mines</w:t>
      </w:r>
      <w:r>
        <w:t xml:space="preserve"> in its national inventory</w:t>
      </w:r>
      <w:r w:rsidRPr="00307DA4">
        <w:t>.</w:t>
      </w:r>
    </w:p>
    <w:p w14:paraId="67BA0FF1" w14:textId="77777777" w:rsidR="00ED5B4B" w:rsidRPr="004D15E5" w:rsidRDefault="00ED5B4B" w:rsidP="00ED5B4B">
      <w:r>
        <w:t>Method 2</w:t>
      </w:r>
      <w:r w:rsidRPr="004D15E5">
        <w:t xml:space="preserve"> require</w:t>
      </w:r>
      <w:r>
        <w:t>s</w:t>
      </w:r>
      <w:r w:rsidRPr="004D15E5">
        <w:t xml:space="preserve"> the development of a mine-specific model for the in-situ methane in place prior to extraction. This model is used to estimate the fugitive emissions of methane each year when extracting coal from the open-cut mine. Modelling, sampling and analysis must be conducted in accordance with the Australian Coal Industry’s Research Program (ACARP) guidelines and relevant Australian Standards. Key components of these methods are set out below, and in further detail in the Clean Energy Regulator’s </w:t>
      </w:r>
      <w:hyperlink r:id="rId24" w:tgtFrame="_blank" w:history="1">
        <w:r w:rsidRPr="004D15E5">
          <w:rPr>
            <w:rStyle w:val="Hyperlink"/>
            <w:i/>
            <w:iCs/>
          </w:rPr>
          <w:t>Estimating emissions and energy coal mining guideline</w:t>
        </w:r>
        <w:r w:rsidRPr="004D15E5">
          <w:rPr>
            <w:rStyle w:val="Hyperlink"/>
          </w:rPr>
          <w:t xml:space="preserve"> (cer.gov.au)</w:t>
        </w:r>
      </w:hyperlink>
      <w:r w:rsidRPr="004D15E5">
        <w:t>.  </w:t>
      </w:r>
    </w:p>
    <w:p w14:paraId="68027720" w14:textId="77777777" w:rsidR="00ED5B4B" w:rsidRPr="004D15E5" w:rsidRDefault="00ED5B4B" w:rsidP="00ED5B4B">
      <w:pPr>
        <w:numPr>
          <w:ilvl w:val="0"/>
          <w:numId w:val="23"/>
        </w:numPr>
      </w:pPr>
      <w:r w:rsidRPr="004D15E5">
        <w:t>A framework for data collection, including borehole sampling and gas testing of coal and gas bearing strata, which ensures representative and unbiased sampling. Third parties are often used for gas sampling and testing. The “Estimator” (see below) must also be satisfied that the competence and approach taken by those performing the required sampling and testing meets appropriate standards, and that finding documented.  </w:t>
      </w:r>
    </w:p>
    <w:p w14:paraId="41A0FA04" w14:textId="77777777" w:rsidR="00ED5B4B" w:rsidRPr="004D15E5" w:rsidRDefault="00ED5B4B" w:rsidP="00ED5B4B">
      <w:pPr>
        <w:numPr>
          <w:ilvl w:val="0"/>
          <w:numId w:val="24"/>
        </w:numPr>
      </w:pPr>
      <w:r w:rsidRPr="004D15E5">
        <w:t>Guidelines and standards for data analysis and interpretation</w:t>
      </w:r>
      <w:r>
        <w:t>.</w:t>
      </w:r>
    </w:p>
    <w:p w14:paraId="57A43ACD" w14:textId="77777777" w:rsidR="00ED5B4B" w:rsidRPr="004D15E5" w:rsidRDefault="00ED5B4B" w:rsidP="00ED5B4B">
      <w:pPr>
        <w:numPr>
          <w:ilvl w:val="0"/>
          <w:numId w:val="25"/>
        </w:numPr>
      </w:pPr>
      <w:r w:rsidRPr="004D15E5">
        <w:t>An approach for estimating gas in near-surface zones characterised by very low gas contents</w:t>
      </w:r>
      <w:r>
        <w:t>.</w:t>
      </w:r>
    </w:p>
    <w:p w14:paraId="5270B206" w14:textId="77777777" w:rsidR="00ED5B4B" w:rsidRPr="004D15E5" w:rsidRDefault="00ED5B4B" w:rsidP="00ED5B4B">
      <w:pPr>
        <w:numPr>
          <w:ilvl w:val="0"/>
          <w:numId w:val="26"/>
        </w:numPr>
      </w:pPr>
      <w:r w:rsidRPr="004D15E5">
        <w:t>Guidelines on utilising the collected data to produce a model of gas distribution describing the gas content and composition with a defined three-dimensional volume. The process and supporting data for the modelling must also undergo a documented independent peer review by an appropriate professional and demonstrate due diligence.  </w:t>
      </w:r>
    </w:p>
    <w:p w14:paraId="486A6B11" w14:textId="68ABD498" w:rsidR="00ED5B4B" w:rsidRPr="004D15E5" w:rsidRDefault="00ED5B4B" w:rsidP="00ED5B4B">
      <w:pPr>
        <w:numPr>
          <w:ilvl w:val="0"/>
          <w:numId w:val="27"/>
        </w:numPr>
      </w:pPr>
      <w:r w:rsidRPr="004D15E5">
        <w:t>Guidelines on estimating the emissions released from the in</w:t>
      </w:r>
      <w:r w:rsidR="00CB777E">
        <w:t>-</w:t>
      </w:r>
      <w:r w:rsidRPr="004D15E5">
        <w:t>situ gas stock as blocks of strata within the mine are extracted for coal production  </w:t>
      </w:r>
    </w:p>
    <w:p w14:paraId="359A51AE" w14:textId="77777777" w:rsidR="00ED5B4B" w:rsidRPr="004D15E5" w:rsidRDefault="00ED5B4B" w:rsidP="00ED5B4B">
      <w:pPr>
        <w:numPr>
          <w:ilvl w:val="0"/>
          <w:numId w:val="28"/>
        </w:numPr>
      </w:pPr>
      <w:r w:rsidRPr="004D15E5">
        <w:t>Minimum qualifications of persons (“Estimator”) who are permitted to estimate emissions from an open</w:t>
      </w:r>
      <w:r>
        <w:t>-</w:t>
      </w:r>
      <w:r w:rsidRPr="004D15E5">
        <w:t>cut mine using the higher order method. It should be evidenced, through the creation and storage of appropriate documentation, that the Estimator (either an individual or a team) used meets the professional and qualification requirements set out in the ACARP guidelines.  </w:t>
      </w:r>
    </w:p>
    <w:p w14:paraId="7C3C4644" w14:textId="77777777" w:rsidR="00ED5B4B" w:rsidRPr="004D15E5" w:rsidRDefault="00ED5B4B" w:rsidP="00ED5B4B">
      <w:pPr>
        <w:numPr>
          <w:ilvl w:val="0"/>
          <w:numId w:val="29"/>
        </w:numPr>
      </w:pPr>
      <w:r w:rsidRPr="004D15E5">
        <w:t xml:space="preserve">NGER scheme reports are subject to rigorous monitoring and compliance measures administered by the Clean Energy Regulator, including desktop reviews, Greenhouse and energy audits, site visits and data analysis to identify anomalies and reporting errors. Further information on the Regulator’s approach to monitoring and compliance is available at </w:t>
      </w:r>
      <w:hyperlink r:id="rId25" w:tgtFrame="_blank" w:history="1">
        <w:r w:rsidRPr="004D15E5">
          <w:rPr>
            <w:rStyle w:val="Hyperlink"/>
            <w:i/>
            <w:iCs/>
          </w:rPr>
          <w:t>Our compliance approach | Clean Energy Regulator (cer.gov.au)</w:t>
        </w:r>
      </w:hyperlink>
      <w:r w:rsidRPr="004D15E5">
        <w:rPr>
          <w:u w:val="single"/>
        </w:rPr>
        <w:t>.</w:t>
      </w:r>
      <w:r w:rsidRPr="004D15E5">
        <w:t> </w:t>
      </w:r>
    </w:p>
    <w:p w14:paraId="2F60988A" w14:textId="77777777" w:rsidR="00ED5B4B" w:rsidRPr="00B02483" w:rsidRDefault="00ED5B4B" w:rsidP="00ED5B4B">
      <w:pPr>
        <w:pStyle w:val="Heading4"/>
      </w:pPr>
      <w:r w:rsidRPr="00507B23">
        <w:rPr>
          <w:rFonts w:asciiTheme="minorHAnsi" w:eastAsiaTheme="minorEastAsia" w:hAnsiTheme="minorHAnsi" w:cstheme="minorBidi"/>
          <w:sz w:val="22"/>
          <w:szCs w:val="22"/>
          <w:lang w:eastAsia="en-US"/>
        </w:rPr>
        <w:t xml:space="preserve">Method 2 also provides that the mine-specific model for the in-situ methane can be adjusted to account for methane captured for combustion, flared, vented </w:t>
      </w:r>
      <w:r w:rsidRPr="00B02483">
        <w:rPr>
          <w:rFonts w:asciiTheme="minorHAnsi" w:eastAsiaTheme="minorEastAsia" w:hAnsiTheme="minorHAnsi" w:cstheme="minorBidi"/>
          <w:sz w:val="22"/>
          <w:szCs w:val="22"/>
          <w:lang w:eastAsia="en-US"/>
        </w:rPr>
        <w:t xml:space="preserve">or transferred off site. </w:t>
      </w:r>
    </w:p>
    <w:p w14:paraId="27C8A719" w14:textId="77777777" w:rsidR="00ED5B4B" w:rsidRPr="00316F45" w:rsidRDefault="00ED5B4B" w:rsidP="00ED5B4B">
      <w:pPr>
        <w:pStyle w:val="Heading4"/>
      </w:pPr>
      <w:r>
        <w:t>Review of Method 2</w:t>
      </w:r>
    </w:p>
    <w:p w14:paraId="57BF3010" w14:textId="122F975C" w:rsidR="00ED5B4B" w:rsidRDefault="00ED5B4B" w:rsidP="00ED5B4B">
      <w:r w:rsidRPr="00307DA4">
        <w:t xml:space="preserve">The </w:t>
      </w:r>
      <w:hyperlink r:id="rId26" w:tgtFrame="_blank" w:history="1">
        <w:r w:rsidRPr="00307DA4">
          <w:rPr>
            <w:rStyle w:val="Hyperlink"/>
          </w:rPr>
          <w:t>Climate Change Authority’s (CCA) review of the NGER sche</w:t>
        </w:r>
        <w:bookmarkStart w:id="24" w:name="_Hlt190076507"/>
        <w:bookmarkStart w:id="25" w:name="_Hlt190076508"/>
        <w:r w:rsidRPr="00307DA4">
          <w:rPr>
            <w:rStyle w:val="Hyperlink"/>
          </w:rPr>
          <w:t>m</w:t>
        </w:r>
        <w:bookmarkEnd w:id="24"/>
        <w:bookmarkEnd w:id="25"/>
        <w:r w:rsidRPr="00307DA4">
          <w:rPr>
            <w:rStyle w:val="Hyperlink"/>
          </w:rPr>
          <w:t>e</w:t>
        </w:r>
      </w:hyperlink>
      <w:r w:rsidRPr="00307DA4">
        <w:rPr>
          <w:u w:val="single"/>
        </w:rPr>
        <w:t xml:space="preserve"> </w:t>
      </w:r>
      <w:r w:rsidRPr="00307DA4">
        <w:t>(CCA review), published in December 2023, recommend</w:t>
      </w:r>
      <w:r>
        <w:t>ed</w:t>
      </w:r>
      <w:r w:rsidRPr="004D15E5">
        <w:t xml:space="preserve"> Method 2 sampling requirements and standards </w:t>
      </w:r>
      <w:r>
        <w:t>be reviewed</w:t>
      </w:r>
      <w:r w:rsidRPr="004D15E5">
        <w:t xml:space="preserve"> (Recommendation 17). </w:t>
      </w:r>
      <w:r>
        <w:t xml:space="preserve">The government’s </w:t>
      </w:r>
      <w:r w:rsidRPr="00307DA4">
        <w:t xml:space="preserve"> </w:t>
      </w:r>
      <w:hyperlink r:id="rId27" w:history="1">
        <w:r w:rsidRPr="00307DA4">
          <w:rPr>
            <w:rStyle w:val="Hyperlink"/>
          </w:rPr>
          <w:t>response</w:t>
        </w:r>
      </w:hyperlink>
      <w:r>
        <w:t xml:space="preserve"> committed to </w:t>
      </w:r>
      <w:r w:rsidRPr="00307DA4">
        <w:t>review Method 2</w:t>
      </w:r>
      <w:r>
        <w:t xml:space="preserve"> t</w:t>
      </w:r>
      <w:r w:rsidRPr="00307DA4">
        <w:t>o ensure the method remains fit for purpose and based on the best available science, technologies and practices</w:t>
      </w:r>
      <w:r>
        <w:t xml:space="preserve">. Noting the complexity of the method, the </w:t>
      </w:r>
      <w:r w:rsidR="00D553A0">
        <w:t>d</w:t>
      </w:r>
      <w:r>
        <w:t xml:space="preserve">epartment seeks views on areas of concern and opportunities for improvement that could be considered in the scope </w:t>
      </w:r>
      <w:r w:rsidRPr="001600C4">
        <w:t>of the review.</w:t>
      </w:r>
      <w:r>
        <w:t xml:space="preserve"> To date, s</w:t>
      </w:r>
      <w:r w:rsidRPr="001600C4">
        <w:t>takeholder</w:t>
      </w:r>
      <w:r>
        <w:t>s</w:t>
      </w:r>
      <w:r w:rsidRPr="001600C4">
        <w:t xml:space="preserve"> </w:t>
      </w:r>
      <w:r>
        <w:t xml:space="preserve">have proposed the following </w:t>
      </w:r>
      <w:r w:rsidRPr="001600C4">
        <w:t xml:space="preserve">potential </w:t>
      </w:r>
      <w:r>
        <w:t>areas for consideration:</w:t>
      </w:r>
      <w:r w:rsidRPr="001600C4">
        <w:t xml:space="preserve"> </w:t>
      </w:r>
    </w:p>
    <w:p w14:paraId="5CA3C8AD" w14:textId="77777777" w:rsidR="00ED5B4B" w:rsidRDefault="00ED5B4B" w:rsidP="00ED5B4B">
      <w:pPr>
        <w:numPr>
          <w:ilvl w:val="0"/>
          <w:numId w:val="36"/>
        </w:numPr>
      </w:pPr>
      <w:r w:rsidRPr="0941F878">
        <w:rPr>
          <w:lang w:val="en-US"/>
        </w:rPr>
        <w:t>Whether the</w:t>
      </w:r>
      <w:r w:rsidRPr="00B10C9F">
        <w:rPr>
          <w:lang w:val="en-US"/>
        </w:rPr>
        <w:t xml:space="preserve"> </w:t>
      </w:r>
      <w:r>
        <w:rPr>
          <w:lang w:val="en-US"/>
        </w:rPr>
        <w:t xml:space="preserve">requirement for a </w:t>
      </w:r>
      <w:r w:rsidRPr="00B10C9F">
        <w:t>minimum</w:t>
      </w:r>
      <w:r w:rsidRPr="00B10C9F">
        <w:rPr>
          <w:lang w:val="en-US"/>
        </w:rPr>
        <w:t xml:space="preserve"> of 3 boreholes in each gas domain </w:t>
      </w:r>
      <w:r w:rsidRPr="7A3FF0B7">
        <w:rPr>
          <w:lang w:val="en-US"/>
        </w:rPr>
        <w:t>i</w:t>
      </w:r>
      <w:r>
        <w:rPr>
          <w:lang w:val="en-US"/>
        </w:rPr>
        <w:t>n</w:t>
      </w:r>
      <w:r w:rsidRPr="7A3FF0B7">
        <w:rPr>
          <w:lang w:val="en-US"/>
        </w:rPr>
        <w:t>s</w:t>
      </w:r>
      <w:r w:rsidRPr="00B10C9F">
        <w:rPr>
          <w:lang w:val="en-US"/>
        </w:rPr>
        <w:t>ufficient for quantifying the spatial continuity of properties in two or three dimensions.</w:t>
      </w:r>
      <w:r w:rsidRPr="00B10C9F">
        <w:t> </w:t>
      </w:r>
    </w:p>
    <w:p w14:paraId="12568026" w14:textId="77777777" w:rsidR="00ED5B4B" w:rsidRPr="00B10C9F" w:rsidRDefault="00ED5B4B" w:rsidP="00ED5B4B">
      <w:pPr>
        <w:numPr>
          <w:ilvl w:val="0"/>
          <w:numId w:val="36"/>
        </w:numPr>
      </w:pPr>
      <w:r w:rsidRPr="47D70E94">
        <w:rPr>
          <w:lang w:val="en-US"/>
        </w:rPr>
        <w:t xml:space="preserve">Whether </w:t>
      </w:r>
      <w:r w:rsidRPr="25BB5DF7">
        <w:rPr>
          <w:lang w:val="en-US"/>
        </w:rPr>
        <w:t>the</w:t>
      </w:r>
      <w:r w:rsidRPr="00B10C9F">
        <w:rPr>
          <w:lang w:val="en-US"/>
        </w:rPr>
        <w:t xml:space="preserve"> requirement for the gas distribution model to extend to 20m below the final pit floor </w:t>
      </w:r>
      <w:r w:rsidRPr="5BF91BD0">
        <w:rPr>
          <w:lang w:val="en-US"/>
        </w:rPr>
        <w:t>is sufficient.</w:t>
      </w:r>
      <w:r w:rsidRPr="00B10C9F">
        <w:rPr>
          <w:lang w:val="en-US"/>
        </w:rPr>
        <w:t xml:space="preserve"> Gas may migrate from depths extending far beyond 20 m below the pit floor due to natural faults and fractures, or as a result of blasting and/or unloading due to extensive removal of overburden.</w:t>
      </w:r>
      <w:r w:rsidRPr="00B10C9F">
        <w:t> </w:t>
      </w:r>
    </w:p>
    <w:p w14:paraId="1B7EE97B" w14:textId="77777777" w:rsidR="00ED5B4B" w:rsidRPr="00B10C9F" w:rsidRDefault="00ED5B4B" w:rsidP="00ED5B4B">
      <w:pPr>
        <w:numPr>
          <w:ilvl w:val="0"/>
          <w:numId w:val="36"/>
        </w:numPr>
      </w:pPr>
      <w:r w:rsidRPr="0E6ABD21">
        <w:rPr>
          <w:lang w:val="en-US"/>
        </w:rPr>
        <w:t>Whether</w:t>
      </w:r>
      <w:r w:rsidRPr="5B408CE9">
        <w:rPr>
          <w:lang w:val="en-US"/>
        </w:rPr>
        <w:t xml:space="preserve"> </w:t>
      </w:r>
      <w:r w:rsidRPr="4E0D84D1">
        <w:rPr>
          <w:lang w:val="en-US"/>
        </w:rPr>
        <w:t>procedures</w:t>
      </w:r>
      <w:r w:rsidRPr="00B10C9F">
        <w:rPr>
          <w:lang w:val="en-US"/>
        </w:rPr>
        <w:t xml:space="preserve"> for ensuring that sampling is unbiased and representative</w:t>
      </w:r>
      <w:r w:rsidRPr="00DF1A24">
        <w:rPr>
          <w:lang w:val="en-US"/>
        </w:rPr>
        <w:t xml:space="preserve"> </w:t>
      </w:r>
      <w:r>
        <w:rPr>
          <w:lang w:val="en-US"/>
        </w:rPr>
        <w:t>c</w:t>
      </w:r>
      <w:r w:rsidRPr="00DF1A24">
        <w:rPr>
          <w:lang w:val="en-US"/>
        </w:rPr>
        <w:t>ould be improved</w:t>
      </w:r>
      <w:r w:rsidRPr="45EFBC42">
        <w:rPr>
          <w:lang w:val="en-US"/>
        </w:rPr>
        <w:t>:</w:t>
      </w:r>
      <w:r w:rsidRPr="00B10C9F">
        <w:t> </w:t>
      </w:r>
    </w:p>
    <w:p w14:paraId="6ECFC595" w14:textId="77777777" w:rsidR="00ED5B4B" w:rsidRPr="00B10C9F" w:rsidRDefault="00ED5B4B" w:rsidP="00ED5B4B">
      <w:pPr>
        <w:numPr>
          <w:ilvl w:val="0"/>
          <w:numId w:val="37"/>
        </w:numPr>
        <w:tabs>
          <w:tab w:val="num" w:pos="720"/>
        </w:tabs>
      </w:pPr>
      <w:r w:rsidRPr="0B146664">
        <w:rPr>
          <w:lang w:val="en-US"/>
        </w:rPr>
        <w:t>Whether sample</w:t>
      </w:r>
      <w:r w:rsidRPr="00B10C9F">
        <w:rPr>
          <w:lang w:val="en-US"/>
        </w:rPr>
        <w:t xml:space="preserve"> bias analysis should be conducted using statistical methods (the </w:t>
      </w:r>
      <w:r>
        <w:rPr>
          <w:lang w:val="en-US"/>
        </w:rPr>
        <w:t>ACARP g</w:t>
      </w:r>
      <w:r w:rsidRPr="00B10C9F">
        <w:rPr>
          <w:lang w:val="en-US"/>
        </w:rPr>
        <w:t>uidelines state using “expert judgement”).</w:t>
      </w:r>
      <w:r w:rsidRPr="00B10C9F">
        <w:t> </w:t>
      </w:r>
    </w:p>
    <w:p w14:paraId="33DBE449" w14:textId="77777777" w:rsidR="00ED5B4B" w:rsidRPr="00DF1A24" w:rsidRDefault="00ED5B4B" w:rsidP="00ED5B4B">
      <w:pPr>
        <w:numPr>
          <w:ilvl w:val="0"/>
          <w:numId w:val="38"/>
        </w:numPr>
        <w:tabs>
          <w:tab w:val="num" w:pos="720"/>
        </w:tabs>
      </w:pPr>
      <w:r w:rsidRPr="00B10C9F">
        <w:rPr>
          <w:lang w:val="en-US"/>
        </w:rPr>
        <w:t xml:space="preserve">Potential bias </w:t>
      </w:r>
      <w:r w:rsidRPr="67D57822">
        <w:rPr>
          <w:lang w:val="en-US"/>
        </w:rPr>
        <w:t xml:space="preserve">may be </w:t>
      </w:r>
      <w:r w:rsidRPr="00B10C9F">
        <w:rPr>
          <w:lang w:val="en-US"/>
        </w:rPr>
        <w:t>introduced when the required peer review can be undertaken by an employee of the same company.</w:t>
      </w:r>
      <w:r w:rsidRPr="00B10C9F">
        <w:t> </w:t>
      </w:r>
    </w:p>
    <w:p w14:paraId="15D18170" w14:textId="77777777" w:rsidR="00ED5B4B" w:rsidRPr="00B10C9F" w:rsidRDefault="00ED5B4B" w:rsidP="00ED5B4B">
      <w:pPr>
        <w:numPr>
          <w:ilvl w:val="0"/>
          <w:numId w:val="38"/>
        </w:numPr>
        <w:tabs>
          <w:tab w:val="num" w:pos="720"/>
        </w:tabs>
      </w:pPr>
      <w:r w:rsidRPr="00DF1A24">
        <w:rPr>
          <w:lang w:val="en-US"/>
        </w:rPr>
        <w:t>S</w:t>
      </w:r>
      <w:r w:rsidRPr="00B10C9F">
        <w:rPr>
          <w:lang w:val="en-US"/>
        </w:rPr>
        <w:t xml:space="preserve">ampling and model development </w:t>
      </w:r>
      <w:r w:rsidRPr="00DF1A24">
        <w:rPr>
          <w:lang w:val="en-US"/>
        </w:rPr>
        <w:t>could</w:t>
      </w:r>
      <w:r w:rsidRPr="00B10C9F">
        <w:rPr>
          <w:lang w:val="en-US"/>
        </w:rPr>
        <w:t xml:space="preserve"> be undertaken by an entity independent from the operator</w:t>
      </w:r>
      <w:r w:rsidRPr="00DF1A24">
        <w:rPr>
          <w:lang w:val="en-US"/>
        </w:rPr>
        <w:t xml:space="preserve"> to avoid bias</w:t>
      </w:r>
      <w:r>
        <w:rPr>
          <w:lang w:val="en-US"/>
        </w:rPr>
        <w:t>.</w:t>
      </w:r>
    </w:p>
    <w:p w14:paraId="215F7304" w14:textId="77777777" w:rsidR="00ED5B4B" w:rsidRPr="00B10C9F" w:rsidRDefault="00ED5B4B" w:rsidP="00ED5B4B">
      <w:pPr>
        <w:numPr>
          <w:ilvl w:val="0"/>
          <w:numId w:val="40"/>
        </w:numPr>
      </w:pPr>
      <w:r w:rsidRPr="4CFCD7EB">
        <w:rPr>
          <w:lang w:val="en-US"/>
        </w:rPr>
        <w:t>Whether the</w:t>
      </w:r>
      <w:r w:rsidRPr="00B10C9F">
        <w:rPr>
          <w:lang w:val="en-US"/>
        </w:rPr>
        <w:t xml:space="preserve"> </w:t>
      </w:r>
      <w:r>
        <w:rPr>
          <w:lang w:val="en-US"/>
        </w:rPr>
        <w:t>ACARP g</w:t>
      </w:r>
      <w:r w:rsidRPr="00B10C9F">
        <w:rPr>
          <w:lang w:val="en-US"/>
        </w:rPr>
        <w:t xml:space="preserve">uidelines </w:t>
      </w:r>
      <w:r w:rsidRPr="4CFCD7EB">
        <w:rPr>
          <w:lang w:val="en-US"/>
        </w:rPr>
        <w:t xml:space="preserve">should </w:t>
      </w:r>
      <w:r w:rsidRPr="00B10C9F">
        <w:rPr>
          <w:lang w:val="en-US"/>
        </w:rPr>
        <w:t>address the following potential contributions of gas:</w:t>
      </w:r>
      <w:r w:rsidRPr="00B10C9F">
        <w:t> </w:t>
      </w:r>
    </w:p>
    <w:p w14:paraId="65CC254F" w14:textId="77777777" w:rsidR="00ED5B4B" w:rsidRPr="00B10C9F" w:rsidRDefault="00ED5B4B" w:rsidP="00ED5B4B">
      <w:pPr>
        <w:numPr>
          <w:ilvl w:val="0"/>
          <w:numId w:val="41"/>
        </w:numPr>
        <w:tabs>
          <w:tab w:val="clear" w:pos="720"/>
          <w:tab w:val="num" w:pos="1080"/>
        </w:tabs>
        <w:ind w:left="1080"/>
      </w:pPr>
      <w:r w:rsidRPr="00B10C9F">
        <w:rPr>
          <w:lang w:val="en-US"/>
        </w:rPr>
        <w:t>Methane production in the water management ponds and mine water outflows.</w:t>
      </w:r>
      <w:r w:rsidRPr="00B10C9F">
        <w:t> </w:t>
      </w:r>
    </w:p>
    <w:p w14:paraId="63C04521" w14:textId="77777777" w:rsidR="00ED5B4B" w:rsidRPr="00B10C9F" w:rsidRDefault="00ED5B4B" w:rsidP="00ED5B4B">
      <w:pPr>
        <w:numPr>
          <w:ilvl w:val="0"/>
          <w:numId w:val="42"/>
        </w:numPr>
        <w:tabs>
          <w:tab w:val="clear" w:pos="720"/>
          <w:tab w:val="num" w:pos="1080"/>
        </w:tabs>
        <w:ind w:left="1080"/>
      </w:pPr>
      <w:r w:rsidRPr="00B10C9F">
        <w:rPr>
          <w:lang w:val="en-US"/>
        </w:rPr>
        <w:t>Methane production or spontaneous combustion from coal waste and other sediments. </w:t>
      </w:r>
      <w:r w:rsidRPr="00B10C9F">
        <w:t> </w:t>
      </w:r>
    </w:p>
    <w:p w14:paraId="6228DF60" w14:textId="77777777" w:rsidR="00ED5B4B" w:rsidRPr="00B10C9F" w:rsidRDefault="00ED5B4B" w:rsidP="00ED5B4B">
      <w:pPr>
        <w:numPr>
          <w:ilvl w:val="0"/>
          <w:numId w:val="43"/>
        </w:numPr>
        <w:tabs>
          <w:tab w:val="clear" w:pos="720"/>
          <w:tab w:val="num" w:pos="1080"/>
        </w:tabs>
        <w:ind w:left="1080"/>
      </w:pPr>
      <w:r w:rsidRPr="00B10C9F">
        <w:rPr>
          <w:lang w:val="en-US"/>
        </w:rPr>
        <w:t>Emissions from non-coal strata.</w:t>
      </w:r>
      <w:r w:rsidRPr="00B10C9F">
        <w:t> </w:t>
      </w:r>
    </w:p>
    <w:p w14:paraId="550E3E4A" w14:textId="77777777" w:rsidR="00ED5B4B" w:rsidRPr="00B10C9F" w:rsidRDefault="00ED5B4B" w:rsidP="00ED5B4B">
      <w:pPr>
        <w:numPr>
          <w:ilvl w:val="0"/>
          <w:numId w:val="44"/>
        </w:numPr>
        <w:tabs>
          <w:tab w:val="clear" w:pos="720"/>
          <w:tab w:val="num" w:pos="1080"/>
        </w:tabs>
        <w:ind w:left="1080"/>
      </w:pPr>
      <w:r w:rsidRPr="00B10C9F">
        <w:rPr>
          <w:lang w:val="en-US"/>
        </w:rPr>
        <w:t>Lateral gas movement into the pit from the horizontal extension of the coal seams outside the mined area and potentially beyond the mine boundary.</w:t>
      </w:r>
      <w:r w:rsidRPr="00B10C9F">
        <w:t> </w:t>
      </w:r>
    </w:p>
    <w:p w14:paraId="1E78839D" w14:textId="77777777" w:rsidR="00ED5B4B" w:rsidRPr="00B10C9F" w:rsidRDefault="00ED5B4B" w:rsidP="00ED5B4B">
      <w:pPr>
        <w:numPr>
          <w:ilvl w:val="0"/>
          <w:numId w:val="36"/>
        </w:numPr>
        <w:rPr>
          <w:lang w:val="en-US"/>
        </w:rPr>
      </w:pPr>
      <w:r w:rsidRPr="005B57FE">
        <w:rPr>
          <w:lang w:val="en-US"/>
        </w:rPr>
        <w:t>The p</w:t>
      </w:r>
      <w:r w:rsidRPr="00B10C9F">
        <w:rPr>
          <w:lang w:val="en-US"/>
        </w:rPr>
        <w:t xml:space="preserve">otential </w:t>
      </w:r>
      <w:r w:rsidRPr="2560E6B0">
        <w:rPr>
          <w:lang w:val="en-US"/>
        </w:rPr>
        <w:t xml:space="preserve">for </w:t>
      </w:r>
      <w:r w:rsidRPr="00B10C9F">
        <w:rPr>
          <w:lang w:val="en-US"/>
        </w:rPr>
        <w:t xml:space="preserve">leakage during gas sampling </w:t>
      </w:r>
      <w:r w:rsidRPr="00DF1A24">
        <w:rPr>
          <w:lang w:val="en-US"/>
        </w:rPr>
        <w:t xml:space="preserve">and </w:t>
      </w:r>
      <w:r>
        <w:rPr>
          <w:lang w:val="en-US"/>
        </w:rPr>
        <w:t>the difficulty of</w:t>
      </w:r>
      <w:r w:rsidRPr="00DF1A24">
        <w:rPr>
          <w:lang w:val="en-US"/>
        </w:rPr>
        <w:t xml:space="preserve"> minimising</w:t>
      </w:r>
      <w:r w:rsidRPr="00B10C9F">
        <w:rPr>
          <w:lang w:val="en-US"/>
        </w:rPr>
        <w:t xml:space="preserve"> air contamination of the samples. </w:t>
      </w:r>
    </w:p>
    <w:p w14:paraId="105DD2A3" w14:textId="77777777" w:rsidR="00ED5B4B" w:rsidRPr="00B10C9F" w:rsidRDefault="00ED5B4B" w:rsidP="00ED5B4B">
      <w:pPr>
        <w:numPr>
          <w:ilvl w:val="0"/>
          <w:numId w:val="34"/>
        </w:numPr>
      </w:pPr>
      <w:r w:rsidRPr="00B10C9F">
        <w:rPr>
          <w:lang w:val="en-US"/>
        </w:rPr>
        <w:t xml:space="preserve">The </w:t>
      </w:r>
      <w:r w:rsidRPr="2560E6B0">
        <w:rPr>
          <w:lang w:val="en-US"/>
        </w:rPr>
        <w:t>extent to which the</w:t>
      </w:r>
      <w:r w:rsidRPr="00B10C9F">
        <w:rPr>
          <w:lang w:val="en-US"/>
        </w:rPr>
        <w:t xml:space="preserve"> </w:t>
      </w:r>
      <w:r>
        <w:rPr>
          <w:lang w:val="en-US"/>
        </w:rPr>
        <w:t>ACARP</w:t>
      </w:r>
      <w:r w:rsidRPr="00B10C9F">
        <w:rPr>
          <w:lang w:val="en-US"/>
        </w:rPr>
        <w:t xml:space="preserve"> </w:t>
      </w:r>
      <w:r>
        <w:rPr>
          <w:lang w:val="en-US"/>
        </w:rPr>
        <w:t>g</w:t>
      </w:r>
      <w:r w:rsidRPr="00B10C9F">
        <w:rPr>
          <w:lang w:val="en-US"/>
        </w:rPr>
        <w:t xml:space="preserve">uidelines </w:t>
      </w:r>
      <w:r w:rsidRPr="5AA04913">
        <w:rPr>
          <w:lang w:val="en-US"/>
        </w:rPr>
        <w:t xml:space="preserve">appropriately </w:t>
      </w:r>
      <w:r w:rsidRPr="00B10C9F">
        <w:rPr>
          <w:lang w:val="en-US"/>
        </w:rPr>
        <w:t>reflect the documented complexity of Hunter Coalfield, where there can be small- and large-scale faulting, dykes, deeply weathered zones and high gas zones.</w:t>
      </w:r>
      <w:r w:rsidRPr="00B10C9F">
        <w:t> </w:t>
      </w:r>
    </w:p>
    <w:p w14:paraId="7A667E52" w14:textId="77777777" w:rsidR="00ED5B4B" w:rsidRDefault="00ED5B4B" w:rsidP="00ED5B4B">
      <w:pPr>
        <w:numPr>
          <w:ilvl w:val="0"/>
          <w:numId w:val="34"/>
        </w:numPr>
      </w:pPr>
      <w:r>
        <w:t xml:space="preserve">Whether additional guidance is required on Method 2 provisions </w:t>
      </w:r>
      <w:r w:rsidRPr="004D15E5">
        <w:t xml:space="preserve">to account for methane captured </w:t>
      </w:r>
      <w:r>
        <w:t xml:space="preserve">on-site, prior to extraction of coal, </w:t>
      </w:r>
      <w:r w:rsidRPr="004D15E5">
        <w:t>for combustion, flar</w:t>
      </w:r>
      <w:r>
        <w:t>ing</w:t>
      </w:r>
      <w:r w:rsidRPr="004D15E5">
        <w:t>, vent</w:t>
      </w:r>
      <w:r>
        <w:t>ing</w:t>
      </w:r>
      <w:r w:rsidRPr="004D15E5">
        <w:t xml:space="preserve"> or transfer off site</w:t>
      </w:r>
      <w:r>
        <w:t>.</w:t>
      </w:r>
    </w:p>
    <w:p w14:paraId="78225E32" w14:textId="34CA0BAA" w:rsidR="00ED5B4B" w:rsidRDefault="00ED5B4B" w:rsidP="00ED5B4B">
      <w:r w:rsidRPr="001600C4">
        <w:t xml:space="preserve">Submissions may include commentary on these </w:t>
      </w:r>
      <w:r>
        <w:t>areas</w:t>
      </w:r>
      <w:r w:rsidRPr="001600C4">
        <w:t xml:space="preserve"> as well as </w:t>
      </w:r>
      <w:r>
        <w:t>any other areas stakeholders would like to raise regarding Method 2</w:t>
      </w:r>
      <w:r w:rsidRPr="001600C4">
        <w:t>.</w:t>
      </w:r>
      <w:r>
        <w:t xml:space="preserve"> The insights gained from this preliminary consultation will inform the scope and timing of the review. </w:t>
      </w:r>
    </w:p>
    <w:p w14:paraId="5984AE2E" w14:textId="77777777" w:rsidR="00ED5B4B" w:rsidRDefault="00ED5B4B" w:rsidP="005D5E70">
      <w:pPr>
        <w:pStyle w:val="Heading3"/>
      </w:pPr>
      <w:bookmarkStart w:id="26" w:name="_Toc190857833"/>
      <w:bookmarkStart w:id="27" w:name="_Toc191373896"/>
      <w:r>
        <w:t>Co-processed liquid fuels</w:t>
      </w:r>
      <w:bookmarkEnd w:id="26"/>
      <w:bookmarkEnd w:id="27"/>
    </w:p>
    <w:p w14:paraId="521B0B07" w14:textId="77777777" w:rsidR="00ED5B4B" w:rsidRPr="00507D65" w:rsidRDefault="00ED5B4B" w:rsidP="00ED5B4B">
      <w:pPr>
        <w:rPr>
          <w:lang w:eastAsia="en-AU"/>
        </w:rPr>
      </w:pPr>
      <w:r>
        <w:rPr>
          <w:lang w:eastAsia="en-AU"/>
        </w:rPr>
        <w:t>In July 2024, the government introduced market-based arrangements for reporting scope 1 emissions from the combustion of renewable liquid fuels</w:t>
      </w:r>
      <w:r>
        <w:rPr>
          <w:rStyle w:val="FootnoteReference"/>
          <w:lang w:eastAsia="en-AU"/>
        </w:rPr>
        <w:footnoteReference w:id="20"/>
      </w:r>
      <w:r>
        <w:rPr>
          <w:lang w:eastAsia="en-AU"/>
        </w:rPr>
        <w:t xml:space="preserve"> after they have been co-mingled with their fossil fuel equivalents and supplied through shared infrastructure.</w:t>
      </w:r>
    </w:p>
    <w:p w14:paraId="7282F018" w14:textId="77777777" w:rsidR="00ED5B4B" w:rsidRDefault="00ED5B4B" w:rsidP="00ED5B4B">
      <w:pPr>
        <w:rPr>
          <w:lang w:eastAsia="en-AU"/>
        </w:rPr>
      </w:pPr>
      <w:r>
        <w:rPr>
          <w:lang w:eastAsia="en-AU"/>
        </w:rPr>
        <w:t xml:space="preserve">During consultation on the 2024 amendments, some stakeholders advocated for additional amendments to enable reporters to better reflect the lower emissions benefits of consuming co-processed liquid fuels in their NGER scheme reports. </w:t>
      </w:r>
    </w:p>
    <w:p w14:paraId="2441BFC8" w14:textId="77777777" w:rsidR="00ED5B4B" w:rsidRDefault="00ED5B4B" w:rsidP="00ED5B4B">
      <w:pPr>
        <w:rPr>
          <w:lang w:eastAsia="en-AU"/>
        </w:rPr>
      </w:pPr>
      <w:r>
        <w:rPr>
          <w:lang w:eastAsia="en-AU"/>
        </w:rPr>
        <w:t>Co-processed fuels are distinct from blended fuels. Blended fuels are typically produced by blending or mixing two or more neat, separately produced fuels to a desired ratio. Co-processed fuels are produced by simultaneously processing fossil and biomass-derived feedstocks in the same refinery to produce a single finished fuel product</w:t>
      </w:r>
      <w:r>
        <w:rPr>
          <w:rStyle w:val="FootnoteReference"/>
          <w:lang w:eastAsia="en-AU"/>
        </w:rPr>
        <w:footnoteReference w:id="21"/>
      </w:r>
      <w:r>
        <w:rPr>
          <w:lang w:eastAsia="en-AU"/>
        </w:rPr>
        <w:t xml:space="preserve">. A potential advantage of co-processing is that it can leverage existing refinery infrastructure, instead of requiring new, dedicated infrastructure to produce 100% renewable fuel. Typically, only minor or moderate modifications are required to introduce alternative feedstocks into existing refinery infrastructure.  </w:t>
      </w:r>
    </w:p>
    <w:p w14:paraId="09672743" w14:textId="77777777" w:rsidR="00ED5B4B" w:rsidRDefault="00ED5B4B" w:rsidP="00ED5B4B">
      <w:pPr>
        <w:rPr>
          <w:lang w:eastAsia="en-AU"/>
        </w:rPr>
      </w:pPr>
      <w:r>
        <w:rPr>
          <w:lang w:eastAsia="en-AU"/>
        </w:rPr>
        <w:t xml:space="preserve">The department is considering what amendments are required to better enable the reporting of scope 1 emissions from combustion of co-processed fuels in the NGER scheme. This may include consideration of potential opportunities to link the NGER scheme with low carbon liquid fuel certifications prioritised for development under the GO scheme. </w:t>
      </w:r>
    </w:p>
    <w:p w14:paraId="5559F361" w14:textId="77777777" w:rsidR="00ED5B4B" w:rsidRDefault="00ED5B4B" w:rsidP="00ED5B4B">
      <w:pPr>
        <w:rPr>
          <w:lang w:eastAsia="en-AU"/>
        </w:rPr>
      </w:pPr>
      <w:r>
        <w:rPr>
          <w:lang w:eastAsia="en-AU"/>
        </w:rPr>
        <w:t xml:space="preserve">The department </w:t>
      </w:r>
      <w:r>
        <w:t>invites submissions on issues to be considered in this work.</w:t>
      </w:r>
    </w:p>
    <w:p w14:paraId="4AA3F91A" w14:textId="76DAB95C" w:rsidR="00B63A93" w:rsidRDefault="00ED5B4B" w:rsidP="005D5E70">
      <w:pPr>
        <w:pStyle w:val="Heading3"/>
      </w:pPr>
      <w:bookmarkStart w:id="28" w:name="_Toc190857834"/>
      <w:bookmarkStart w:id="29" w:name="_Toc191373897"/>
      <w:r>
        <w:t>Scope 2 emissions</w:t>
      </w:r>
      <w:bookmarkEnd w:id="28"/>
      <w:bookmarkEnd w:id="29"/>
    </w:p>
    <w:p w14:paraId="56518BC5" w14:textId="77777777" w:rsidR="000C32BC" w:rsidRDefault="000C32BC" w:rsidP="000C32BC">
      <w:pPr>
        <w:pStyle w:val="Heading4"/>
      </w:pPr>
      <w:r>
        <w:t xml:space="preserve">Potential future updates to the Market Based method to incorporate the </w:t>
      </w:r>
      <w:r w:rsidRPr="00FF6196">
        <w:t>Renewable Electricity Guarantee of Origin (REGO)</w:t>
      </w:r>
    </w:p>
    <w:p w14:paraId="116BEC1F" w14:textId="45C86D87" w:rsidR="000C32BC" w:rsidRDefault="000C32BC" w:rsidP="000C32BC">
      <w:pPr>
        <w:rPr>
          <w:lang w:eastAsia="en-AU"/>
        </w:rPr>
      </w:pPr>
      <w:r>
        <w:rPr>
          <w:lang w:eastAsia="en-AU"/>
        </w:rPr>
        <w:t xml:space="preserve">The department is considering how to recognise </w:t>
      </w:r>
      <w:r w:rsidRPr="00C03C6B">
        <w:rPr>
          <w:lang w:eastAsia="en-AU"/>
        </w:rPr>
        <w:t>Renewable Electricity Guarantee of Origin (REGO)</w:t>
      </w:r>
      <w:r>
        <w:rPr>
          <w:lang w:eastAsia="en-AU"/>
        </w:rPr>
        <w:t xml:space="preserve"> under the NGER </w:t>
      </w:r>
      <w:r w:rsidR="00A023BA">
        <w:rPr>
          <w:lang w:eastAsia="en-AU"/>
        </w:rPr>
        <w:t>s</w:t>
      </w:r>
      <w:r>
        <w:rPr>
          <w:lang w:eastAsia="en-AU"/>
        </w:rPr>
        <w:t>cheme and would welcome views on incorporating REGO into the voluntary market</w:t>
      </w:r>
      <w:r w:rsidR="00ED5B4B">
        <w:rPr>
          <w:lang w:eastAsia="en-AU"/>
        </w:rPr>
        <w:t>-</w:t>
      </w:r>
      <w:r>
        <w:rPr>
          <w:lang w:eastAsia="en-AU"/>
        </w:rPr>
        <w:t>based method for a future NGERS update.</w:t>
      </w:r>
    </w:p>
    <w:p w14:paraId="744E15C9" w14:textId="1B3A70C8" w:rsidR="000C32BC" w:rsidRDefault="000C32BC" w:rsidP="000C32BC">
      <w:pPr>
        <w:rPr>
          <w:lang w:eastAsia="en-AU"/>
        </w:rPr>
      </w:pPr>
      <w:r>
        <w:rPr>
          <w:lang w:eastAsia="en-AU"/>
        </w:rPr>
        <w:t>The market</w:t>
      </w:r>
      <w:r w:rsidR="006E4E3A">
        <w:rPr>
          <w:lang w:eastAsia="en-AU"/>
        </w:rPr>
        <w:t>-</w:t>
      </w:r>
      <w:r>
        <w:rPr>
          <w:lang w:eastAsia="en-AU"/>
        </w:rPr>
        <w:t xml:space="preserve">based method for Scope 2 electricity consumption currently </w:t>
      </w:r>
      <w:r w:rsidR="009C7DA8">
        <w:rPr>
          <w:lang w:eastAsia="en-AU"/>
        </w:rPr>
        <w:t>recognises</w:t>
      </w:r>
      <w:r w:rsidR="00940570">
        <w:rPr>
          <w:lang w:eastAsia="en-AU"/>
        </w:rPr>
        <w:t xml:space="preserve"> </w:t>
      </w:r>
      <w:r>
        <w:rPr>
          <w:lang w:eastAsia="en-AU"/>
        </w:rPr>
        <w:t xml:space="preserve">Large Scale Certificates issued under the Renewable Energy Target legislation, it being the primary certification representative of renewable energy production. </w:t>
      </w:r>
    </w:p>
    <w:p w14:paraId="72A6A685" w14:textId="77777777" w:rsidR="000C32BC" w:rsidRDefault="000C32BC" w:rsidP="000C32BC">
      <w:pPr>
        <w:rPr>
          <w:lang w:eastAsia="en-AU"/>
        </w:rPr>
      </w:pPr>
      <w:r>
        <w:rPr>
          <w:lang w:eastAsia="en-AU"/>
        </w:rPr>
        <w:t xml:space="preserve">However, with the introduction of the </w:t>
      </w:r>
      <w:r w:rsidRPr="00FF6196">
        <w:rPr>
          <w:lang w:eastAsia="en-AU"/>
        </w:rPr>
        <w:t>REGO</w:t>
      </w:r>
      <w:r>
        <w:rPr>
          <w:lang w:eastAsia="en-AU"/>
        </w:rPr>
        <w:t xml:space="preserve"> it is expected that both REGO and LGC units will be available concurrently until 2030, at which point REGO will take over from LGCs as the primary market means of reflecting the production and consumption of renewable electricity.</w:t>
      </w:r>
    </w:p>
    <w:p w14:paraId="305B53A8" w14:textId="7A82EFB8" w:rsidR="006E4D74" w:rsidRPr="00507D65" w:rsidRDefault="006E4D74" w:rsidP="006E4D74">
      <w:pPr>
        <w:rPr>
          <w:lang w:eastAsia="en-AU"/>
        </w:rPr>
      </w:pPr>
      <w:r>
        <w:rPr>
          <w:lang w:eastAsia="en-AU"/>
        </w:rPr>
        <w:t xml:space="preserve">The department invites submissions on issues that should be considered </w:t>
      </w:r>
      <w:r w:rsidR="009D443A">
        <w:rPr>
          <w:lang w:eastAsia="en-AU"/>
        </w:rPr>
        <w:t>in this work</w:t>
      </w:r>
      <w:r>
        <w:rPr>
          <w:lang w:eastAsia="en-AU"/>
        </w:rPr>
        <w:t>.</w:t>
      </w:r>
    </w:p>
    <w:p w14:paraId="6D6F5EA3" w14:textId="1D71E307" w:rsidR="000C32BC" w:rsidRDefault="00E24DF4" w:rsidP="00606F2A">
      <w:pPr>
        <w:pStyle w:val="Heading4"/>
      </w:pPr>
      <w:r>
        <w:t>Measures to address the potential for claiming emissions benefits of LGCs</w:t>
      </w:r>
      <w:r w:rsidR="00CB0E2F">
        <w:t xml:space="preserve"> that have been sold to another reporting entity.</w:t>
      </w:r>
    </w:p>
    <w:p w14:paraId="49383573" w14:textId="675EF2FC" w:rsidR="00E24DF4" w:rsidRDefault="00312E9F" w:rsidP="00E24DF4">
      <w:pPr>
        <w:rPr>
          <w:lang w:eastAsia="en-AU"/>
        </w:rPr>
      </w:pPr>
      <w:r>
        <w:rPr>
          <w:lang w:eastAsia="en-AU"/>
        </w:rPr>
        <w:t>T</w:t>
      </w:r>
      <w:r w:rsidR="00A54E5F">
        <w:rPr>
          <w:lang w:eastAsia="en-AU"/>
        </w:rPr>
        <w:t>he location and market</w:t>
      </w:r>
      <w:r w:rsidR="00E32613">
        <w:rPr>
          <w:lang w:eastAsia="en-AU"/>
        </w:rPr>
        <w:t>-based</w:t>
      </w:r>
      <w:r w:rsidR="00A54E5F">
        <w:rPr>
          <w:lang w:eastAsia="en-AU"/>
        </w:rPr>
        <w:t xml:space="preserve"> methods </w:t>
      </w:r>
      <w:r>
        <w:rPr>
          <w:lang w:eastAsia="en-AU"/>
        </w:rPr>
        <w:t xml:space="preserve">for reporting scope 2 emissions </w:t>
      </w:r>
      <w:r w:rsidR="00421F02">
        <w:rPr>
          <w:lang w:eastAsia="en-AU"/>
        </w:rPr>
        <w:t xml:space="preserve">each provide important information for understanding Australia’s </w:t>
      </w:r>
      <w:r>
        <w:rPr>
          <w:lang w:eastAsia="en-AU"/>
        </w:rPr>
        <w:t>emissions</w:t>
      </w:r>
      <w:r w:rsidR="00421F02">
        <w:rPr>
          <w:lang w:eastAsia="en-AU"/>
        </w:rPr>
        <w:t xml:space="preserve"> and incentivising</w:t>
      </w:r>
      <w:r w:rsidR="00A54E5F">
        <w:rPr>
          <w:lang w:eastAsia="en-AU"/>
        </w:rPr>
        <w:t xml:space="preserve"> </w:t>
      </w:r>
      <w:r w:rsidR="00926222">
        <w:rPr>
          <w:lang w:eastAsia="en-AU"/>
        </w:rPr>
        <w:t xml:space="preserve">investment in renewable energy. </w:t>
      </w:r>
      <w:r w:rsidR="004B00B5">
        <w:rPr>
          <w:lang w:eastAsia="en-AU"/>
        </w:rPr>
        <w:t>All reporters are required to report using</w:t>
      </w:r>
      <w:r w:rsidR="00926222">
        <w:rPr>
          <w:lang w:eastAsia="en-AU"/>
        </w:rPr>
        <w:t xml:space="preserve"> the </w:t>
      </w:r>
      <w:r w:rsidR="004B00B5">
        <w:rPr>
          <w:lang w:eastAsia="en-AU"/>
        </w:rPr>
        <w:t>location</w:t>
      </w:r>
      <w:r w:rsidR="004706E7">
        <w:rPr>
          <w:lang w:eastAsia="en-AU"/>
        </w:rPr>
        <w:t>-</w:t>
      </w:r>
      <w:r w:rsidR="004B00B5">
        <w:rPr>
          <w:lang w:eastAsia="en-AU"/>
        </w:rPr>
        <w:t>based method, while the market</w:t>
      </w:r>
      <w:r w:rsidR="004706E7">
        <w:rPr>
          <w:lang w:eastAsia="en-AU"/>
        </w:rPr>
        <w:t>-</w:t>
      </w:r>
      <w:r w:rsidR="004B00B5">
        <w:rPr>
          <w:lang w:eastAsia="en-AU"/>
        </w:rPr>
        <w:t>based method is optional. In the context of the NGER scheme and Australia’s National Greenhouse Accounts, t</w:t>
      </w:r>
      <w:r w:rsidR="00926222">
        <w:rPr>
          <w:lang w:eastAsia="en-AU"/>
        </w:rPr>
        <w:t xml:space="preserve">he two methods </w:t>
      </w:r>
      <w:r w:rsidR="007B0AB8">
        <w:rPr>
          <w:lang w:eastAsia="en-AU"/>
        </w:rPr>
        <w:t xml:space="preserve">are distinct and </w:t>
      </w:r>
      <w:r w:rsidR="004B00B5">
        <w:rPr>
          <w:lang w:eastAsia="en-AU"/>
        </w:rPr>
        <w:t>are not</w:t>
      </w:r>
      <w:r w:rsidR="00E24DF4">
        <w:rPr>
          <w:lang w:eastAsia="en-AU"/>
        </w:rPr>
        <w:t xml:space="preserve"> compared</w:t>
      </w:r>
      <w:r w:rsidR="004B00B5">
        <w:rPr>
          <w:lang w:eastAsia="en-AU"/>
        </w:rPr>
        <w:t xml:space="preserve"> or aggregated. However</w:t>
      </w:r>
      <w:r w:rsidR="00E24DF4">
        <w:rPr>
          <w:lang w:eastAsia="en-AU"/>
        </w:rPr>
        <w:t xml:space="preserve">, the department </w:t>
      </w:r>
      <w:r w:rsidR="007C75FB">
        <w:rPr>
          <w:lang w:eastAsia="en-AU"/>
        </w:rPr>
        <w:t>recognises</w:t>
      </w:r>
      <w:r w:rsidR="00E24DF4">
        <w:rPr>
          <w:lang w:eastAsia="en-AU"/>
        </w:rPr>
        <w:t xml:space="preserve"> </w:t>
      </w:r>
      <w:r w:rsidR="00ED7858">
        <w:rPr>
          <w:lang w:eastAsia="en-AU"/>
        </w:rPr>
        <w:t>that</w:t>
      </w:r>
      <w:r w:rsidR="00E24DF4">
        <w:rPr>
          <w:lang w:eastAsia="en-AU"/>
        </w:rPr>
        <w:t xml:space="preserve"> </w:t>
      </w:r>
      <w:r w:rsidR="002345E7">
        <w:rPr>
          <w:lang w:eastAsia="en-AU"/>
        </w:rPr>
        <w:t>the</w:t>
      </w:r>
      <w:r w:rsidR="00926222">
        <w:rPr>
          <w:lang w:eastAsia="en-AU"/>
        </w:rPr>
        <w:t>re is</w:t>
      </w:r>
      <w:r w:rsidR="002345E7">
        <w:rPr>
          <w:lang w:eastAsia="en-AU"/>
        </w:rPr>
        <w:t xml:space="preserve"> potential for</w:t>
      </w:r>
      <w:r w:rsidR="00E24DF4">
        <w:rPr>
          <w:lang w:eastAsia="en-AU"/>
        </w:rPr>
        <w:t xml:space="preserve"> </w:t>
      </w:r>
      <w:r w:rsidR="007B0AB8">
        <w:rPr>
          <w:lang w:eastAsia="en-AU"/>
        </w:rPr>
        <w:t>confusi</w:t>
      </w:r>
      <w:r w:rsidR="001F1A6C">
        <w:rPr>
          <w:lang w:eastAsia="en-AU"/>
        </w:rPr>
        <w:t>on</w:t>
      </w:r>
      <w:r w:rsidR="007B0AB8">
        <w:rPr>
          <w:lang w:eastAsia="en-AU"/>
        </w:rPr>
        <w:t xml:space="preserve"> or misleading claims </w:t>
      </w:r>
      <w:r w:rsidR="00926222">
        <w:rPr>
          <w:lang w:eastAsia="en-AU"/>
        </w:rPr>
        <w:t xml:space="preserve">if </w:t>
      </w:r>
      <w:r w:rsidR="00462B3C">
        <w:rPr>
          <w:lang w:eastAsia="en-AU"/>
        </w:rPr>
        <w:t xml:space="preserve">the </w:t>
      </w:r>
      <w:r w:rsidR="007C1892">
        <w:rPr>
          <w:lang w:eastAsia="en-AU"/>
        </w:rPr>
        <w:t xml:space="preserve">two methods </w:t>
      </w:r>
      <w:r w:rsidR="00792C24">
        <w:rPr>
          <w:lang w:eastAsia="en-AU"/>
        </w:rPr>
        <w:t xml:space="preserve">are inappropriately </w:t>
      </w:r>
      <w:r w:rsidR="00786F5F">
        <w:rPr>
          <w:lang w:eastAsia="en-AU"/>
        </w:rPr>
        <w:t>combined or presented together</w:t>
      </w:r>
      <w:r w:rsidR="004B00B5">
        <w:rPr>
          <w:lang w:eastAsia="en-AU"/>
        </w:rPr>
        <w:t xml:space="preserve"> in contexts outside the NGER scheme</w:t>
      </w:r>
      <w:r w:rsidR="00786F5F">
        <w:rPr>
          <w:lang w:eastAsia="en-AU"/>
        </w:rPr>
        <w:t xml:space="preserve">, including a risk of </w:t>
      </w:r>
      <w:r w:rsidR="00E24DF4">
        <w:rPr>
          <w:lang w:eastAsia="en-AU"/>
        </w:rPr>
        <w:t xml:space="preserve">double </w:t>
      </w:r>
      <w:r w:rsidR="002345E7">
        <w:rPr>
          <w:lang w:eastAsia="en-AU"/>
        </w:rPr>
        <w:t>claiming</w:t>
      </w:r>
      <w:r w:rsidR="00E24DF4">
        <w:rPr>
          <w:lang w:eastAsia="en-AU"/>
        </w:rPr>
        <w:t>.</w:t>
      </w:r>
    </w:p>
    <w:p w14:paraId="451106C5" w14:textId="299CFB6A" w:rsidR="00E24DF4" w:rsidRPr="00507D65" w:rsidRDefault="003D291C" w:rsidP="00E24DF4">
      <w:pPr>
        <w:rPr>
          <w:lang w:eastAsia="en-AU"/>
        </w:rPr>
      </w:pPr>
      <w:r>
        <w:rPr>
          <w:lang w:eastAsia="en-AU"/>
        </w:rPr>
        <w:t>For example</w:t>
      </w:r>
      <w:r w:rsidR="006C0831">
        <w:rPr>
          <w:lang w:eastAsia="en-AU"/>
        </w:rPr>
        <w:t>,</w:t>
      </w:r>
      <w:r w:rsidR="00E24DF4" w:rsidDel="00786F5F">
        <w:rPr>
          <w:lang w:eastAsia="en-AU"/>
        </w:rPr>
        <w:t xml:space="preserve"> </w:t>
      </w:r>
      <w:r w:rsidR="00746084">
        <w:rPr>
          <w:lang w:eastAsia="en-AU"/>
        </w:rPr>
        <w:t>it is theoretically possible that</w:t>
      </w:r>
      <w:r w:rsidR="00E24DF4">
        <w:rPr>
          <w:lang w:eastAsia="en-AU"/>
        </w:rPr>
        <w:t xml:space="preserve"> </w:t>
      </w:r>
      <w:r w:rsidR="00746084">
        <w:rPr>
          <w:lang w:eastAsia="en-AU"/>
        </w:rPr>
        <w:t>a facility could</w:t>
      </w:r>
      <w:r w:rsidR="00E24DF4">
        <w:rPr>
          <w:lang w:eastAsia="en-AU"/>
        </w:rPr>
        <w:t xml:space="preserve"> claim the benefits of onsite renewable generation production and consumption </w:t>
      </w:r>
      <w:r w:rsidR="00023474">
        <w:rPr>
          <w:lang w:eastAsia="en-AU"/>
        </w:rPr>
        <w:t>using the location</w:t>
      </w:r>
      <w:r w:rsidR="00746084">
        <w:rPr>
          <w:lang w:eastAsia="en-AU"/>
        </w:rPr>
        <w:t>-</w:t>
      </w:r>
      <w:r w:rsidR="00023474">
        <w:rPr>
          <w:lang w:eastAsia="en-AU"/>
        </w:rPr>
        <w:t xml:space="preserve">based </w:t>
      </w:r>
      <w:r w:rsidR="00746084">
        <w:rPr>
          <w:lang w:eastAsia="en-AU"/>
        </w:rPr>
        <w:t xml:space="preserve">scope 2 </w:t>
      </w:r>
      <w:r w:rsidR="00023474">
        <w:rPr>
          <w:lang w:eastAsia="en-AU"/>
        </w:rPr>
        <w:t xml:space="preserve">method, </w:t>
      </w:r>
      <w:r w:rsidR="00E24DF4">
        <w:rPr>
          <w:lang w:eastAsia="en-AU"/>
        </w:rPr>
        <w:t>while also selling the LGCs</w:t>
      </w:r>
      <w:r w:rsidR="00746084">
        <w:rPr>
          <w:lang w:eastAsia="en-AU"/>
        </w:rPr>
        <w:t xml:space="preserve"> associated with the onsite generation</w:t>
      </w:r>
      <w:r w:rsidR="00E24DF4">
        <w:rPr>
          <w:lang w:eastAsia="en-AU"/>
        </w:rPr>
        <w:t xml:space="preserve"> to other entities</w:t>
      </w:r>
      <w:r w:rsidR="00746084">
        <w:rPr>
          <w:lang w:eastAsia="en-AU"/>
        </w:rPr>
        <w:t xml:space="preserve">. Those other entities </w:t>
      </w:r>
      <w:r w:rsidR="0094168E">
        <w:rPr>
          <w:lang w:eastAsia="en-AU"/>
        </w:rPr>
        <w:t>may claim the reduced emissions through the</w:t>
      </w:r>
      <w:r w:rsidR="00746084">
        <w:rPr>
          <w:lang w:eastAsia="en-AU"/>
        </w:rPr>
        <w:t>ir</w:t>
      </w:r>
      <w:r w:rsidR="0094168E">
        <w:rPr>
          <w:lang w:eastAsia="en-AU"/>
        </w:rPr>
        <w:t xml:space="preserve"> </w:t>
      </w:r>
      <w:r w:rsidR="00746084">
        <w:rPr>
          <w:lang w:eastAsia="en-AU"/>
        </w:rPr>
        <w:t xml:space="preserve">scope 2 </w:t>
      </w:r>
      <w:r w:rsidR="0094168E">
        <w:rPr>
          <w:lang w:eastAsia="en-AU"/>
        </w:rPr>
        <w:t>market</w:t>
      </w:r>
      <w:r w:rsidR="00746084">
        <w:rPr>
          <w:lang w:eastAsia="en-AU"/>
        </w:rPr>
        <w:t>-</w:t>
      </w:r>
      <w:r w:rsidR="0094168E">
        <w:rPr>
          <w:lang w:eastAsia="en-AU"/>
        </w:rPr>
        <w:t xml:space="preserve">based </w:t>
      </w:r>
      <w:r w:rsidR="00746084">
        <w:rPr>
          <w:lang w:eastAsia="en-AU"/>
        </w:rPr>
        <w:t>estimates</w:t>
      </w:r>
      <w:r w:rsidR="0094168E">
        <w:rPr>
          <w:lang w:eastAsia="en-AU"/>
        </w:rPr>
        <w:t>.</w:t>
      </w:r>
      <w:r w:rsidR="00BC2ECF">
        <w:rPr>
          <w:lang w:eastAsia="en-AU"/>
        </w:rPr>
        <w:t xml:space="preserve"> </w:t>
      </w:r>
      <w:r w:rsidR="00E24DF4" w:rsidRPr="4034FF03">
        <w:rPr>
          <w:lang w:eastAsia="en-AU"/>
        </w:rPr>
        <w:t xml:space="preserve"> </w:t>
      </w:r>
      <w:r w:rsidR="0094168E" w:rsidRPr="4034FF03">
        <w:rPr>
          <w:lang w:eastAsia="en-AU"/>
        </w:rPr>
        <w:t>T</w:t>
      </w:r>
      <w:r w:rsidR="00E24DF4" w:rsidRPr="4034FF03">
        <w:rPr>
          <w:lang w:eastAsia="en-AU"/>
        </w:rPr>
        <w:t>he</w:t>
      </w:r>
      <w:r w:rsidR="00E24DF4">
        <w:rPr>
          <w:lang w:eastAsia="en-AU"/>
        </w:rPr>
        <w:t xml:space="preserve"> department is considering amendments </w:t>
      </w:r>
      <w:r w:rsidR="003D1E6E">
        <w:rPr>
          <w:lang w:eastAsia="en-AU"/>
        </w:rPr>
        <w:t xml:space="preserve">to minimise </w:t>
      </w:r>
      <w:r w:rsidR="00746084">
        <w:rPr>
          <w:lang w:eastAsia="en-AU"/>
        </w:rPr>
        <w:t>this</w:t>
      </w:r>
      <w:r w:rsidR="003D1E6E">
        <w:rPr>
          <w:lang w:eastAsia="en-AU"/>
        </w:rPr>
        <w:t xml:space="preserve"> risk of </w:t>
      </w:r>
      <w:r w:rsidR="00746084">
        <w:rPr>
          <w:lang w:eastAsia="en-AU"/>
        </w:rPr>
        <w:t>‘</w:t>
      </w:r>
      <w:r w:rsidR="003D1E6E">
        <w:rPr>
          <w:lang w:eastAsia="en-AU"/>
        </w:rPr>
        <w:t>double claiming</w:t>
      </w:r>
      <w:r w:rsidR="00746084">
        <w:rPr>
          <w:lang w:eastAsia="en-AU"/>
        </w:rPr>
        <w:t>’</w:t>
      </w:r>
      <w:r w:rsidR="003D1E6E">
        <w:rPr>
          <w:lang w:eastAsia="en-AU"/>
        </w:rPr>
        <w:t xml:space="preserve"> between schemes, for example by </w:t>
      </w:r>
      <w:r w:rsidR="00E24DF4" w:rsidRPr="4034FF03">
        <w:rPr>
          <w:lang w:eastAsia="en-AU"/>
        </w:rPr>
        <w:t>requir</w:t>
      </w:r>
      <w:r w:rsidR="003D1E6E" w:rsidRPr="4034FF03">
        <w:rPr>
          <w:lang w:eastAsia="en-AU"/>
        </w:rPr>
        <w:t>ing</w:t>
      </w:r>
      <w:r w:rsidR="00E24DF4">
        <w:rPr>
          <w:lang w:eastAsia="en-AU"/>
        </w:rPr>
        <w:t xml:space="preserve"> facilit</w:t>
      </w:r>
      <w:r w:rsidR="003D1E6E">
        <w:rPr>
          <w:lang w:eastAsia="en-AU"/>
        </w:rPr>
        <w:t xml:space="preserve">ies that sell LGCs </w:t>
      </w:r>
      <w:r w:rsidR="00746084">
        <w:rPr>
          <w:lang w:eastAsia="en-AU"/>
        </w:rPr>
        <w:t>from</w:t>
      </w:r>
      <w:r w:rsidR="003D1E6E">
        <w:rPr>
          <w:lang w:eastAsia="en-AU"/>
        </w:rPr>
        <w:t xml:space="preserve"> </w:t>
      </w:r>
      <w:r w:rsidR="00A66F7E">
        <w:rPr>
          <w:lang w:eastAsia="en-AU"/>
        </w:rPr>
        <w:t>onsite</w:t>
      </w:r>
      <w:r w:rsidR="00206877">
        <w:rPr>
          <w:lang w:eastAsia="en-AU"/>
        </w:rPr>
        <w:t xml:space="preserve"> renewable generation </w:t>
      </w:r>
      <w:r w:rsidR="00D41C0B">
        <w:rPr>
          <w:lang w:eastAsia="en-AU"/>
        </w:rPr>
        <w:t xml:space="preserve">production and </w:t>
      </w:r>
      <w:r w:rsidR="00D41C0B" w:rsidRPr="4034FF03">
        <w:rPr>
          <w:lang w:eastAsia="en-AU"/>
        </w:rPr>
        <w:t>consumption</w:t>
      </w:r>
      <w:r w:rsidR="00E24DF4">
        <w:rPr>
          <w:lang w:eastAsia="en-AU"/>
        </w:rPr>
        <w:t xml:space="preserve"> to apply the market-based method in addition to the mandatory location-based method</w:t>
      </w:r>
      <w:r w:rsidR="0077271D">
        <w:rPr>
          <w:lang w:eastAsia="en-AU"/>
        </w:rPr>
        <w:t xml:space="preserve"> so that they cannot also </w:t>
      </w:r>
      <w:r w:rsidR="00E24DF4">
        <w:rPr>
          <w:lang w:eastAsia="en-AU"/>
        </w:rPr>
        <w:t>claim the emissions benefit of LGCs they have on</w:t>
      </w:r>
      <w:r w:rsidR="00DA7175">
        <w:rPr>
          <w:lang w:eastAsia="en-AU"/>
        </w:rPr>
        <w:t>-</w:t>
      </w:r>
      <w:r w:rsidR="00E24DF4">
        <w:rPr>
          <w:lang w:eastAsia="en-AU"/>
        </w:rPr>
        <w:t>sold.</w:t>
      </w:r>
    </w:p>
    <w:p w14:paraId="584FA29A" w14:textId="44E12B35" w:rsidR="0077271D" w:rsidRPr="00507D65" w:rsidRDefault="0077271D" w:rsidP="00E24DF4">
      <w:pPr>
        <w:rPr>
          <w:lang w:eastAsia="en-AU"/>
        </w:rPr>
      </w:pPr>
      <w:r>
        <w:rPr>
          <w:lang w:eastAsia="en-AU"/>
        </w:rPr>
        <w:t xml:space="preserve">The department invites submissions </w:t>
      </w:r>
      <w:r w:rsidR="00882DF5">
        <w:rPr>
          <w:lang w:eastAsia="en-AU"/>
        </w:rPr>
        <w:t>to inform this work.</w:t>
      </w:r>
    </w:p>
    <w:p w14:paraId="4E648F67" w14:textId="08AEC251" w:rsidR="00FD7EB9" w:rsidRDefault="00FD7EB9">
      <w:pPr>
        <w:spacing w:after="0" w:line="240" w:lineRule="auto"/>
      </w:pPr>
      <w:r>
        <w:br w:type="page"/>
      </w:r>
    </w:p>
    <w:p w14:paraId="2D3E9991" w14:textId="5D0B2741" w:rsidR="00FD7EB9" w:rsidRDefault="00646B53" w:rsidP="005D5E70">
      <w:pPr>
        <w:pStyle w:val="Heading2"/>
      </w:pPr>
      <w:bookmarkStart w:id="30" w:name="_Toc191373898"/>
      <w:r>
        <w:t>A</w:t>
      </w:r>
      <w:r w:rsidR="00260F2A">
        <w:t>nnex</w:t>
      </w:r>
      <w:r>
        <w:t xml:space="preserve">: </w:t>
      </w:r>
      <w:r w:rsidR="00FD7EB9">
        <w:t xml:space="preserve">Notes on </w:t>
      </w:r>
      <w:r w:rsidR="0087249F">
        <w:t>e</w:t>
      </w:r>
      <w:r w:rsidR="00FD7EB9">
        <w:t xml:space="preserve">xposure </w:t>
      </w:r>
      <w:r w:rsidR="0087249F">
        <w:t>d</w:t>
      </w:r>
      <w:r w:rsidR="00FD7EB9">
        <w:t>raft clauses</w:t>
      </w:r>
      <w:bookmarkEnd w:id="30"/>
    </w:p>
    <w:tbl>
      <w:tblPr>
        <w:tblStyle w:val="TableGrid"/>
        <w:tblW w:w="0" w:type="auto"/>
        <w:tblLook w:val="04A0" w:firstRow="1" w:lastRow="0" w:firstColumn="1" w:lastColumn="0" w:noHBand="0" w:noVBand="1"/>
      </w:tblPr>
      <w:tblGrid>
        <w:gridCol w:w="939"/>
        <w:gridCol w:w="2033"/>
        <w:gridCol w:w="6088"/>
      </w:tblGrid>
      <w:tr w:rsidR="00FD7EB9" w:rsidRPr="00E14E18" w14:paraId="7D2AF9F7" w14:textId="77777777" w:rsidTr="007D214E">
        <w:tc>
          <w:tcPr>
            <w:tcW w:w="9060" w:type="dxa"/>
            <w:gridSpan w:val="3"/>
            <w:shd w:val="clear" w:color="auto" w:fill="A6A6A6" w:themeFill="accent6" w:themeFillShade="A6"/>
          </w:tcPr>
          <w:p w14:paraId="55962C36" w14:textId="77777777" w:rsidR="00FD7EB9" w:rsidRPr="00874DC4" w:rsidRDefault="00FD7EB9" w:rsidP="007D214E">
            <w:pPr>
              <w:rPr>
                <w:b/>
              </w:rPr>
            </w:pPr>
            <w:r w:rsidRPr="00CF7350">
              <w:rPr>
                <w:b/>
              </w:rPr>
              <w:t>National Greenhouse and Energy Reporting (Measurement) Amendment (</w:t>
            </w:r>
            <w:r w:rsidRPr="7EE7B1F9">
              <w:rPr>
                <w:b/>
                <w:bCs/>
              </w:rPr>
              <w:t>2025</w:t>
            </w:r>
            <w:r w:rsidRPr="00CF7350">
              <w:rPr>
                <w:b/>
              </w:rPr>
              <w:t xml:space="preserve"> Update) Determination </w:t>
            </w:r>
            <w:r w:rsidRPr="7EE7B1F9">
              <w:rPr>
                <w:b/>
                <w:bCs/>
              </w:rPr>
              <w:t>2025</w:t>
            </w:r>
          </w:p>
        </w:tc>
      </w:tr>
      <w:tr w:rsidR="00FD7EB9" w14:paraId="3840069A" w14:textId="77777777" w:rsidTr="007D214E">
        <w:tc>
          <w:tcPr>
            <w:tcW w:w="939" w:type="dxa"/>
            <w:shd w:val="clear" w:color="auto" w:fill="D9D9D9" w:themeFill="accent6" w:themeFillShade="D9"/>
          </w:tcPr>
          <w:p w14:paraId="74C47D93" w14:textId="77777777" w:rsidR="00FD7EB9" w:rsidRPr="00495E0F" w:rsidRDefault="00FD7EB9" w:rsidP="007D214E">
            <w:pPr>
              <w:rPr>
                <w:b/>
              </w:rPr>
            </w:pPr>
            <w:r w:rsidRPr="00495E0F">
              <w:rPr>
                <w:b/>
              </w:rPr>
              <w:t>Section</w:t>
            </w:r>
            <w:r>
              <w:rPr>
                <w:b/>
              </w:rPr>
              <w:t xml:space="preserve"> number</w:t>
            </w:r>
          </w:p>
        </w:tc>
        <w:tc>
          <w:tcPr>
            <w:tcW w:w="2033" w:type="dxa"/>
            <w:shd w:val="clear" w:color="auto" w:fill="D9D9D9" w:themeFill="accent6" w:themeFillShade="D9"/>
          </w:tcPr>
          <w:p w14:paraId="3112728E" w14:textId="77777777" w:rsidR="00FD7EB9" w:rsidRPr="00495E0F" w:rsidRDefault="00FD7EB9" w:rsidP="007D214E">
            <w:pPr>
              <w:rPr>
                <w:b/>
              </w:rPr>
            </w:pPr>
            <w:r w:rsidRPr="00495E0F">
              <w:rPr>
                <w:b/>
              </w:rPr>
              <w:t xml:space="preserve">Section </w:t>
            </w:r>
            <w:r>
              <w:rPr>
                <w:b/>
              </w:rPr>
              <w:t>name</w:t>
            </w:r>
          </w:p>
        </w:tc>
        <w:tc>
          <w:tcPr>
            <w:tcW w:w="6088" w:type="dxa"/>
            <w:shd w:val="clear" w:color="auto" w:fill="D9D9D9" w:themeFill="accent6" w:themeFillShade="D9"/>
          </w:tcPr>
          <w:p w14:paraId="2BC178B2" w14:textId="77777777" w:rsidR="00FD7EB9" w:rsidRPr="00495E0F" w:rsidRDefault="00FD7EB9" w:rsidP="007D214E">
            <w:pPr>
              <w:rPr>
                <w:b/>
              </w:rPr>
            </w:pPr>
            <w:r w:rsidRPr="00495E0F">
              <w:rPr>
                <w:b/>
              </w:rPr>
              <w:t>Description</w:t>
            </w:r>
          </w:p>
        </w:tc>
      </w:tr>
      <w:tr w:rsidR="00FD7EB9" w14:paraId="3F26BE4E" w14:textId="77777777" w:rsidTr="007D214E">
        <w:tc>
          <w:tcPr>
            <w:tcW w:w="939" w:type="dxa"/>
          </w:tcPr>
          <w:p w14:paraId="0B4A15CB" w14:textId="77777777" w:rsidR="00FD7EB9" w:rsidRDefault="00FD7EB9" w:rsidP="00FD7EB9">
            <w:pPr>
              <w:pStyle w:val="ListParagraph"/>
              <w:numPr>
                <w:ilvl w:val="0"/>
                <w:numId w:val="12"/>
              </w:numPr>
            </w:pPr>
          </w:p>
        </w:tc>
        <w:tc>
          <w:tcPr>
            <w:tcW w:w="2033" w:type="dxa"/>
          </w:tcPr>
          <w:p w14:paraId="3432CA0A" w14:textId="77777777" w:rsidR="00FD7EB9" w:rsidRDefault="00FD7EB9" w:rsidP="007D214E">
            <w:r w:rsidRPr="002A0313">
              <w:t>Name</w:t>
            </w:r>
          </w:p>
        </w:tc>
        <w:tc>
          <w:tcPr>
            <w:tcW w:w="6088" w:type="dxa"/>
          </w:tcPr>
          <w:p w14:paraId="1B7DAB71" w14:textId="77777777" w:rsidR="00FD7EB9" w:rsidRDefault="00FD7EB9" w:rsidP="007D214E">
            <w:r>
              <w:t>States the name of the 2025 Measurement Determination update instrument.</w:t>
            </w:r>
          </w:p>
        </w:tc>
      </w:tr>
      <w:tr w:rsidR="00FD7EB9" w14:paraId="4631720C" w14:textId="77777777" w:rsidTr="007D214E">
        <w:tc>
          <w:tcPr>
            <w:tcW w:w="939" w:type="dxa"/>
          </w:tcPr>
          <w:p w14:paraId="4C5F8F47" w14:textId="77777777" w:rsidR="00FD7EB9" w:rsidRDefault="00FD7EB9" w:rsidP="00FD7EB9">
            <w:pPr>
              <w:pStyle w:val="ListParagraph"/>
              <w:numPr>
                <w:ilvl w:val="0"/>
                <w:numId w:val="12"/>
              </w:numPr>
            </w:pPr>
          </w:p>
        </w:tc>
        <w:tc>
          <w:tcPr>
            <w:tcW w:w="2033" w:type="dxa"/>
          </w:tcPr>
          <w:p w14:paraId="09086193" w14:textId="77777777" w:rsidR="00FD7EB9" w:rsidRPr="005E709B" w:rsidRDefault="00FD7EB9" w:rsidP="007D214E">
            <w:r w:rsidRPr="005E709B">
              <w:t>Commencement</w:t>
            </w:r>
          </w:p>
        </w:tc>
        <w:tc>
          <w:tcPr>
            <w:tcW w:w="6088" w:type="dxa"/>
          </w:tcPr>
          <w:p w14:paraId="21940285" w14:textId="77777777" w:rsidR="00FD7EB9" w:rsidRPr="005E709B" w:rsidRDefault="00FD7EB9" w:rsidP="007D214E">
            <w:r w:rsidRPr="005E709B">
              <w:t>Provides that amendments would commence on 1 July 202</w:t>
            </w:r>
            <w:r>
              <w:t>5</w:t>
            </w:r>
            <w:r w:rsidRPr="005E709B">
              <w:t xml:space="preserve">. </w:t>
            </w:r>
          </w:p>
        </w:tc>
      </w:tr>
      <w:tr w:rsidR="00FD7EB9" w14:paraId="620E88C2" w14:textId="77777777" w:rsidTr="007D214E">
        <w:tc>
          <w:tcPr>
            <w:tcW w:w="939" w:type="dxa"/>
          </w:tcPr>
          <w:p w14:paraId="71F10601" w14:textId="77777777" w:rsidR="00FD7EB9" w:rsidRDefault="00FD7EB9" w:rsidP="00FD7EB9">
            <w:pPr>
              <w:pStyle w:val="ListParagraph"/>
              <w:numPr>
                <w:ilvl w:val="0"/>
                <w:numId w:val="12"/>
              </w:numPr>
            </w:pPr>
          </w:p>
        </w:tc>
        <w:tc>
          <w:tcPr>
            <w:tcW w:w="2033" w:type="dxa"/>
          </w:tcPr>
          <w:p w14:paraId="468057CA" w14:textId="77777777" w:rsidR="00FD7EB9" w:rsidRDefault="00FD7EB9" w:rsidP="007D214E">
            <w:r>
              <w:t>Authority</w:t>
            </w:r>
          </w:p>
        </w:tc>
        <w:tc>
          <w:tcPr>
            <w:tcW w:w="6088" w:type="dxa"/>
          </w:tcPr>
          <w:p w14:paraId="44B4AAF0" w14:textId="77777777" w:rsidR="00FD7EB9" w:rsidRDefault="00FD7EB9" w:rsidP="007D214E">
            <w:r>
              <w:t>States that the instrument is made under section 10(3) of the NGER Act.</w:t>
            </w:r>
          </w:p>
        </w:tc>
      </w:tr>
      <w:tr w:rsidR="00FD7EB9" w14:paraId="0BAEE6DD" w14:textId="77777777" w:rsidTr="007D214E">
        <w:tc>
          <w:tcPr>
            <w:tcW w:w="939" w:type="dxa"/>
          </w:tcPr>
          <w:p w14:paraId="62A176EE" w14:textId="77777777" w:rsidR="00FD7EB9" w:rsidRDefault="00FD7EB9" w:rsidP="00FD7EB9">
            <w:pPr>
              <w:pStyle w:val="ListParagraph"/>
              <w:numPr>
                <w:ilvl w:val="0"/>
                <w:numId w:val="12"/>
              </w:numPr>
            </w:pPr>
          </w:p>
        </w:tc>
        <w:tc>
          <w:tcPr>
            <w:tcW w:w="2033" w:type="dxa"/>
          </w:tcPr>
          <w:p w14:paraId="675C7D59" w14:textId="77777777" w:rsidR="00FD7EB9" w:rsidRDefault="00FD7EB9" w:rsidP="007D214E">
            <w:r>
              <w:t>Schedules</w:t>
            </w:r>
          </w:p>
        </w:tc>
        <w:tc>
          <w:tcPr>
            <w:tcW w:w="6088" w:type="dxa"/>
          </w:tcPr>
          <w:p w14:paraId="6241A6F5" w14:textId="77777777" w:rsidR="00FD7EB9" w:rsidRDefault="00FD7EB9" w:rsidP="007D214E">
            <w:r>
              <w:t>A formal clause which allows the Schedule to amend the Measurement Determination.</w:t>
            </w:r>
          </w:p>
        </w:tc>
      </w:tr>
    </w:tbl>
    <w:p w14:paraId="4FDB684D" w14:textId="77777777" w:rsidR="00FD7EB9" w:rsidRDefault="00FD7EB9" w:rsidP="00FD7EB9"/>
    <w:tbl>
      <w:tblPr>
        <w:tblStyle w:val="TableGrid"/>
        <w:tblW w:w="0" w:type="auto"/>
        <w:tblLayout w:type="fixed"/>
        <w:tblLook w:val="04A0" w:firstRow="1" w:lastRow="0" w:firstColumn="1" w:lastColumn="0" w:noHBand="0" w:noVBand="1"/>
      </w:tblPr>
      <w:tblGrid>
        <w:gridCol w:w="972"/>
        <w:gridCol w:w="2000"/>
        <w:gridCol w:w="6088"/>
      </w:tblGrid>
      <w:tr w:rsidR="00FD7EB9" w14:paraId="5B9DDB83" w14:textId="77777777" w:rsidTr="007D214E">
        <w:trPr>
          <w:tblHeader/>
        </w:trPr>
        <w:tc>
          <w:tcPr>
            <w:tcW w:w="9060" w:type="dxa"/>
            <w:gridSpan w:val="3"/>
            <w:shd w:val="clear" w:color="auto" w:fill="BFBFBF" w:themeFill="accent6" w:themeFillShade="BF"/>
          </w:tcPr>
          <w:p w14:paraId="2F3D3EC5" w14:textId="77777777" w:rsidR="00FD7EB9" w:rsidRDefault="00FD7EB9" w:rsidP="007D214E">
            <w:pPr>
              <w:keepLines/>
            </w:pPr>
            <w:r w:rsidRPr="000258C4" w:rsidDel="003615F3">
              <w:rPr>
                <w:b/>
              </w:rPr>
              <w:t>Schedule 1 - Amendments</w:t>
            </w:r>
          </w:p>
        </w:tc>
      </w:tr>
      <w:tr w:rsidR="00FD7EB9" w:rsidRPr="00394C07" w14:paraId="299A63E6" w14:textId="77777777" w:rsidTr="007D214E">
        <w:trPr>
          <w:tblHeader/>
        </w:trPr>
        <w:tc>
          <w:tcPr>
            <w:tcW w:w="972" w:type="dxa"/>
            <w:shd w:val="clear" w:color="auto" w:fill="D9D9D9" w:themeFill="accent6" w:themeFillShade="D9"/>
          </w:tcPr>
          <w:p w14:paraId="51FB2986" w14:textId="77777777" w:rsidR="00FD7EB9" w:rsidRPr="00330BBC" w:rsidRDefault="00FD7EB9" w:rsidP="007D214E">
            <w:pPr>
              <w:keepLines/>
              <w:rPr>
                <w:b/>
              </w:rPr>
            </w:pPr>
            <w:r w:rsidRPr="00330BBC">
              <w:rPr>
                <w:b/>
              </w:rPr>
              <w:t>Item number</w:t>
            </w:r>
          </w:p>
        </w:tc>
        <w:tc>
          <w:tcPr>
            <w:tcW w:w="2000" w:type="dxa"/>
            <w:shd w:val="clear" w:color="auto" w:fill="D9D9D9" w:themeFill="accent6" w:themeFillShade="D9"/>
          </w:tcPr>
          <w:p w14:paraId="2B74D9F7" w14:textId="77777777" w:rsidR="00FD7EB9" w:rsidRPr="00330BBC" w:rsidRDefault="00FD7EB9" w:rsidP="007D214E">
            <w:pPr>
              <w:keepLines/>
              <w:rPr>
                <w:b/>
              </w:rPr>
            </w:pPr>
            <w:r w:rsidRPr="00330BBC">
              <w:rPr>
                <w:b/>
              </w:rPr>
              <w:t>Item name</w:t>
            </w:r>
          </w:p>
        </w:tc>
        <w:tc>
          <w:tcPr>
            <w:tcW w:w="6088" w:type="dxa"/>
            <w:shd w:val="clear" w:color="auto" w:fill="D9D9D9" w:themeFill="accent6" w:themeFillShade="D9"/>
          </w:tcPr>
          <w:p w14:paraId="3CDA9BDE" w14:textId="77777777" w:rsidR="00FD7EB9" w:rsidRPr="00330BBC" w:rsidRDefault="00FD7EB9" w:rsidP="007D214E">
            <w:pPr>
              <w:keepLines/>
              <w:rPr>
                <w:b/>
              </w:rPr>
            </w:pPr>
            <w:r w:rsidRPr="00330BBC">
              <w:rPr>
                <w:b/>
              </w:rPr>
              <w:t>Description</w:t>
            </w:r>
          </w:p>
        </w:tc>
      </w:tr>
      <w:tr w:rsidR="00FD7EB9" w14:paraId="0F294D86" w14:textId="77777777" w:rsidTr="007D214E">
        <w:tc>
          <w:tcPr>
            <w:tcW w:w="972" w:type="dxa"/>
          </w:tcPr>
          <w:p w14:paraId="22F736A3" w14:textId="77777777" w:rsidR="00FD7EB9" w:rsidRDefault="00FD7EB9" w:rsidP="00FD7EB9">
            <w:pPr>
              <w:pStyle w:val="ListParagraph"/>
              <w:keepLines/>
              <w:numPr>
                <w:ilvl w:val="0"/>
                <w:numId w:val="13"/>
              </w:numPr>
            </w:pPr>
          </w:p>
        </w:tc>
        <w:tc>
          <w:tcPr>
            <w:tcW w:w="2000" w:type="dxa"/>
          </w:tcPr>
          <w:p w14:paraId="00F7DB05" w14:textId="77777777" w:rsidR="00FD7EB9" w:rsidRPr="00C46E72" w:rsidRDefault="00FD7EB9" w:rsidP="007D214E">
            <w:r w:rsidRPr="00C46E72">
              <w:t>Section 1.8</w:t>
            </w:r>
          </w:p>
        </w:tc>
        <w:tc>
          <w:tcPr>
            <w:tcW w:w="6088" w:type="dxa"/>
          </w:tcPr>
          <w:p w14:paraId="3F99ED16" w14:textId="77777777" w:rsidR="00FD7EB9" w:rsidRPr="00A5375B" w:rsidRDefault="00FD7EB9" w:rsidP="007D214E">
            <w:pPr>
              <w:pStyle w:val="TableText"/>
              <w:keepLines/>
              <w:rPr>
                <w:sz w:val="22"/>
              </w:rPr>
            </w:pPr>
            <w:r>
              <w:rPr>
                <w:sz w:val="22"/>
              </w:rPr>
              <w:t xml:space="preserve">Amends the definition of a blended fuel to cover blended gaseous fuels containing hydrogen. A blended gaseous fuel must contain fossil fuel and either or both of biogenic carbon fuel and hydrogen. </w:t>
            </w:r>
          </w:p>
        </w:tc>
      </w:tr>
      <w:tr w:rsidR="00FD7EB9" w14:paraId="622920F0" w14:textId="77777777" w:rsidTr="007D214E">
        <w:tc>
          <w:tcPr>
            <w:tcW w:w="972" w:type="dxa"/>
          </w:tcPr>
          <w:p w14:paraId="3E8FB52B" w14:textId="77777777" w:rsidR="00FD7EB9" w:rsidRDefault="00FD7EB9" w:rsidP="00FD7EB9">
            <w:pPr>
              <w:pStyle w:val="ListParagraph"/>
              <w:keepLines/>
              <w:numPr>
                <w:ilvl w:val="0"/>
                <w:numId w:val="13"/>
              </w:numPr>
            </w:pPr>
          </w:p>
        </w:tc>
        <w:tc>
          <w:tcPr>
            <w:tcW w:w="2000" w:type="dxa"/>
          </w:tcPr>
          <w:p w14:paraId="2A2601E6" w14:textId="77777777" w:rsidR="00FD7EB9" w:rsidRPr="00C46E72" w:rsidRDefault="00FD7EB9" w:rsidP="007D214E">
            <w:r>
              <w:t>Section 1.10 (table Item 4B,  column headed “Source of emissions”)</w:t>
            </w:r>
          </w:p>
        </w:tc>
        <w:tc>
          <w:tcPr>
            <w:tcW w:w="6088" w:type="dxa"/>
          </w:tcPr>
          <w:p w14:paraId="0F238EC7" w14:textId="32512055" w:rsidR="00FD7EB9" w:rsidRDefault="00A8540F" w:rsidP="007D214E">
            <w:pPr>
              <w:pStyle w:val="TableText"/>
              <w:keepLines/>
              <w:rPr>
                <w:sz w:val="22"/>
              </w:rPr>
            </w:pPr>
            <w:r>
              <w:rPr>
                <w:sz w:val="22"/>
              </w:rPr>
              <w:t>Amend</w:t>
            </w:r>
            <w:r w:rsidR="004D0553">
              <w:rPr>
                <w:sz w:val="22"/>
              </w:rPr>
              <w:t xml:space="preserve">s </w:t>
            </w:r>
            <w:r w:rsidR="007806D9">
              <w:rPr>
                <w:sz w:val="22"/>
              </w:rPr>
              <w:t xml:space="preserve">the order of </w:t>
            </w:r>
            <w:r w:rsidR="00AF286C">
              <w:rPr>
                <w:sz w:val="22"/>
              </w:rPr>
              <w:t xml:space="preserve">wastewater sources in </w:t>
            </w:r>
            <w:r w:rsidR="000D6752">
              <w:rPr>
                <w:sz w:val="22"/>
              </w:rPr>
              <w:t xml:space="preserve">the table </w:t>
            </w:r>
            <w:r w:rsidR="002F59DB">
              <w:rPr>
                <w:sz w:val="22"/>
              </w:rPr>
              <w:t>in section 1.10</w:t>
            </w:r>
            <w:r w:rsidR="00983E1D">
              <w:rPr>
                <w:sz w:val="22"/>
              </w:rPr>
              <w:t xml:space="preserve"> to </w:t>
            </w:r>
            <w:r w:rsidR="00F45987">
              <w:rPr>
                <w:sz w:val="22"/>
              </w:rPr>
              <w:t>be consistent with</w:t>
            </w:r>
            <w:r w:rsidR="0027782E">
              <w:rPr>
                <w:sz w:val="22"/>
              </w:rPr>
              <w:t xml:space="preserve"> the order of wastewater methods in </w:t>
            </w:r>
            <w:r w:rsidR="004D1710">
              <w:rPr>
                <w:sz w:val="22"/>
              </w:rPr>
              <w:t>Part 5.3</w:t>
            </w:r>
            <w:r w:rsidR="00983E1D">
              <w:rPr>
                <w:sz w:val="22"/>
              </w:rPr>
              <w:t>.</w:t>
            </w:r>
          </w:p>
        </w:tc>
      </w:tr>
      <w:tr w:rsidR="00FD7EB9" w14:paraId="6A8A49FD" w14:textId="77777777" w:rsidTr="007D214E">
        <w:tc>
          <w:tcPr>
            <w:tcW w:w="972" w:type="dxa"/>
          </w:tcPr>
          <w:p w14:paraId="5EE17D50" w14:textId="77777777" w:rsidR="00FD7EB9" w:rsidRDefault="00FD7EB9" w:rsidP="00FD7EB9">
            <w:pPr>
              <w:pStyle w:val="ListParagraph"/>
              <w:keepLines/>
              <w:numPr>
                <w:ilvl w:val="0"/>
                <w:numId w:val="13"/>
              </w:numPr>
            </w:pPr>
          </w:p>
        </w:tc>
        <w:tc>
          <w:tcPr>
            <w:tcW w:w="2000" w:type="dxa"/>
          </w:tcPr>
          <w:p w14:paraId="0B915602" w14:textId="77777777" w:rsidR="00FD7EB9" w:rsidRPr="00C46E72" w:rsidRDefault="00FD7EB9" w:rsidP="007D214E">
            <w:r>
              <w:t>Section 1.10 (table Item 4C,  column headed “Source of emissions”)</w:t>
            </w:r>
          </w:p>
        </w:tc>
        <w:tc>
          <w:tcPr>
            <w:tcW w:w="6088" w:type="dxa"/>
          </w:tcPr>
          <w:p w14:paraId="619D4C70" w14:textId="5BE286C4" w:rsidR="00FD7EB9" w:rsidRDefault="004D1710" w:rsidP="007D214E">
            <w:pPr>
              <w:pStyle w:val="TableText"/>
              <w:keepLines/>
              <w:rPr>
                <w:sz w:val="22"/>
              </w:rPr>
            </w:pPr>
            <w:r>
              <w:rPr>
                <w:sz w:val="22"/>
              </w:rPr>
              <w:t>Amends the order of wastewater sources in the table in section 1.10 to be consistent with the order of wastewater methods in Part 5.3.</w:t>
            </w:r>
          </w:p>
        </w:tc>
      </w:tr>
      <w:tr w:rsidR="00FD7EB9" w14:paraId="6CDA635E" w14:textId="77777777" w:rsidTr="007D214E">
        <w:tc>
          <w:tcPr>
            <w:tcW w:w="972" w:type="dxa"/>
          </w:tcPr>
          <w:p w14:paraId="56455EED" w14:textId="77777777" w:rsidR="00FD7EB9" w:rsidRDefault="00FD7EB9" w:rsidP="00FD7EB9">
            <w:pPr>
              <w:pStyle w:val="ListParagraph"/>
              <w:keepLines/>
              <w:numPr>
                <w:ilvl w:val="0"/>
                <w:numId w:val="13"/>
              </w:numPr>
            </w:pPr>
          </w:p>
        </w:tc>
        <w:tc>
          <w:tcPr>
            <w:tcW w:w="2000" w:type="dxa"/>
          </w:tcPr>
          <w:p w14:paraId="3E579924" w14:textId="77777777" w:rsidR="00FD7EB9" w:rsidRDefault="00FD7EB9" w:rsidP="007D214E">
            <w:r w:rsidRPr="00C46E72">
              <w:t>At the end of section 2.67A</w:t>
            </w:r>
          </w:p>
        </w:tc>
        <w:tc>
          <w:tcPr>
            <w:tcW w:w="6088" w:type="dxa"/>
          </w:tcPr>
          <w:p w14:paraId="419ADB43" w14:textId="77777777" w:rsidR="00FD7EB9" w:rsidRPr="00A5375B" w:rsidRDefault="00FD7EB9" w:rsidP="007D214E">
            <w:pPr>
              <w:pStyle w:val="TableText"/>
              <w:keepLines/>
              <w:rPr>
                <w:sz w:val="22"/>
              </w:rPr>
            </w:pPr>
            <w:r>
              <w:rPr>
                <w:sz w:val="22"/>
              </w:rPr>
              <w:t xml:space="preserve">Inserts a note to section 2.67A clarifying that the application of section 2.67A is subject to section 2.67C. </w:t>
            </w:r>
          </w:p>
        </w:tc>
      </w:tr>
      <w:tr w:rsidR="00FD7EB9" w14:paraId="2778C049" w14:textId="77777777" w:rsidTr="007D214E">
        <w:tc>
          <w:tcPr>
            <w:tcW w:w="972" w:type="dxa"/>
          </w:tcPr>
          <w:p w14:paraId="1122F8AC" w14:textId="77777777" w:rsidR="00FD7EB9" w:rsidRDefault="00FD7EB9" w:rsidP="00FD7EB9">
            <w:pPr>
              <w:pStyle w:val="ListParagraph"/>
              <w:keepLines/>
              <w:numPr>
                <w:ilvl w:val="0"/>
                <w:numId w:val="13"/>
              </w:numPr>
            </w:pPr>
          </w:p>
        </w:tc>
        <w:tc>
          <w:tcPr>
            <w:tcW w:w="2000" w:type="dxa"/>
          </w:tcPr>
          <w:p w14:paraId="05AAAB24" w14:textId="77777777" w:rsidR="00FD7EB9" w:rsidRDefault="00FD7EB9" w:rsidP="007D214E">
            <w:r w:rsidRPr="00C46E72">
              <w:t>After section 2.67B</w:t>
            </w:r>
          </w:p>
        </w:tc>
        <w:tc>
          <w:tcPr>
            <w:tcW w:w="6088" w:type="dxa"/>
          </w:tcPr>
          <w:p w14:paraId="7F743095" w14:textId="77777777" w:rsidR="00FD7EB9" w:rsidRPr="00A5375B" w:rsidRDefault="00FD7EB9" w:rsidP="007D214E">
            <w:pPr>
              <w:pStyle w:val="TableText"/>
              <w:keepLines/>
              <w:rPr>
                <w:sz w:val="22"/>
              </w:rPr>
            </w:pPr>
            <w:r>
              <w:rPr>
                <w:sz w:val="22"/>
              </w:rPr>
              <w:t xml:space="preserve">Inserts a new section 2.67C providing a market-based approach for determining the amount of renewable gas in a blended fuel received from a natural gas network. </w:t>
            </w:r>
          </w:p>
        </w:tc>
      </w:tr>
      <w:tr w:rsidR="00FD7EB9" w14:paraId="3B69AD5F" w14:textId="77777777" w:rsidTr="007D214E">
        <w:tc>
          <w:tcPr>
            <w:tcW w:w="972" w:type="dxa"/>
          </w:tcPr>
          <w:p w14:paraId="5E75899C" w14:textId="77777777" w:rsidR="00FD7EB9" w:rsidRDefault="00FD7EB9" w:rsidP="00FD7EB9">
            <w:pPr>
              <w:pStyle w:val="ListParagraph"/>
              <w:keepLines/>
              <w:numPr>
                <w:ilvl w:val="0"/>
                <w:numId w:val="13"/>
              </w:numPr>
            </w:pPr>
          </w:p>
        </w:tc>
        <w:tc>
          <w:tcPr>
            <w:tcW w:w="2000" w:type="dxa"/>
          </w:tcPr>
          <w:p w14:paraId="5E2CFE63" w14:textId="77777777" w:rsidR="00FD7EB9" w:rsidRPr="00C46E72" w:rsidRDefault="00FD7EB9" w:rsidP="007D214E">
            <w:pPr>
              <w:pStyle w:val="TableText"/>
            </w:pPr>
            <w:r w:rsidRPr="3F49DD5F">
              <w:rPr>
                <w:sz w:val="22"/>
              </w:rPr>
              <w:t>Subsection 3.44(2) (table item 1)</w:t>
            </w:r>
          </w:p>
        </w:tc>
        <w:tc>
          <w:tcPr>
            <w:tcW w:w="6088" w:type="dxa"/>
          </w:tcPr>
          <w:p w14:paraId="7F27F833" w14:textId="44AFD516" w:rsidR="00FD7EB9" w:rsidRPr="00645E7E" w:rsidRDefault="00FD7EB9" w:rsidP="007D214E">
            <w:pPr>
              <w:pStyle w:val="TableText"/>
              <w:keepLines/>
            </w:pPr>
            <w:r>
              <w:rPr>
                <w:sz w:val="22"/>
              </w:rPr>
              <w:t>Updates</w:t>
            </w:r>
            <w:r w:rsidRPr="007D214E">
              <w:rPr>
                <w:sz w:val="22"/>
              </w:rPr>
              <w:t xml:space="preserve"> existing </w:t>
            </w:r>
            <w:r w:rsidR="000C092D">
              <w:rPr>
                <w:sz w:val="22"/>
              </w:rPr>
              <w:t>CO</w:t>
            </w:r>
            <w:r w:rsidR="000C092D" w:rsidRPr="003548D9">
              <w:rPr>
                <w:sz w:val="22"/>
                <w:vertAlign w:val="subscript"/>
              </w:rPr>
              <w:t>2</w:t>
            </w:r>
            <w:r w:rsidR="000C092D">
              <w:rPr>
                <w:sz w:val="22"/>
              </w:rPr>
              <w:t>, CH</w:t>
            </w:r>
            <w:r w:rsidR="000C092D" w:rsidRPr="003548D9">
              <w:rPr>
                <w:sz w:val="22"/>
                <w:vertAlign w:val="subscript"/>
              </w:rPr>
              <w:t>4</w:t>
            </w:r>
            <w:r w:rsidR="000C092D">
              <w:rPr>
                <w:sz w:val="22"/>
              </w:rPr>
              <w:t xml:space="preserve"> and N</w:t>
            </w:r>
            <w:r w:rsidR="000C092D" w:rsidRPr="003548D9">
              <w:rPr>
                <w:sz w:val="22"/>
                <w:vertAlign w:val="subscript"/>
              </w:rPr>
              <w:t>2</w:t>
            </w:r>
            <w:r w:rsidR="000C092D">
              <w:rPr>
                <w:sz w:val="22"/>
              </w:rPr>
              <w:t xml:space="preserve">O </w:t>
            </w:r>
            <w:r w:rsidRPr="007D214E">
              <w:rPr>
                <w:sz w:val="22"/>
              </w:rPr>
              <w:t xml:space="preserve">emissions factors </w:t>
            </w:r>
            <w:r w:rsidRPr="3F49DD5F">
              <w:rPr>
                <w:sz w:val="22"/>
              </w:rPr>
              <w:t xml:space="preserve">for gas flared from </w:t>
            </w:r>
            <w:r w:rsidRPr="3F49DD5F">
              <w:rPr>
                <w:rFonts w:ascii="Calibri" w:eastAsia="Calibri" w:hAnsi="Calibri" w:cs="Calibri"/>
                <w:sz w:val="22"/>
              </w:rPr>
              <w:t>oil or gas exploration and development.</w:t>
            </w:r>
          </w:p>
        </w:tc>
      </w:tr>
      <w:tr w:rsidR="00FD7EB9" w14:paraId="6142CA20" w14:textId="77777777" w:rsidTr="007D214E">
        <w:tc>
          <w:tcPr>
            <w:tcW w:w="972" w:type="dxa"/>
          </w:tcPr>
          <w:p w14:paraId="602CDE44" w14:textId="77777777" w:rsidR="00FD7EB9" w:rsidRDefault="00FD7EB9" w:rsidP="00FD7EB9">
            <w:pPr>
              <w:pStyle w:val="ListParagraph"/>
              <w:keepLines/>
              <w:numPr>
                <w:ilvl w:val="0"/>
                <w:numId w:val="13"/>
              </w:numPr>
            </w:pPr>
          </w:p>
        </w:tc>
        <w:tc>
          <w:tcPr>
            <w:tcW w:w="2000" w:type="dxa"/>
          </w:tcPr>
          <w:p w14:paraId="3457BEDB" w14:textId="77777777" w:rsidR="00FD7EB9" w:rsidRPr="00C46E72" w:rsidRDefault="00FD7EB9" w:rsidP="007D214E">
            <w:r w:rsidRPr="00C46E72">
              <w:t>Subsection 3.53(2) (table item 1)</w:t>
            </w:r>
          </w:p>
        </w:tc>
        <w:tc>
          <w:tcPr>
            <w:tcW w:w="6088" w:type="dxa"/>
          </w:tcPr>
          <w:p w14:paraId="25419D78" w14:textId="1800842D" w:rsidR="00FD7EB9" w:rsidRPr="00A5375B" w:rsidRDefault="00FD7EB9" w:rsidP="007D214E">
            <w:pPr>
              <w:pStyle w:val="TableText"/>
              <w:keepLines/>
              <w:rPr>
                <w:rFonts w:ascii="Calibri" w:eastAsia="Calibri" w:hAnsi="Calibri" w:cs="Calibri"/>
                <w:sz w:val="22"/>
              </w:rPr>
            </w:pPr>
            <w:r>
              <w:rPr>
                <w:sz w:val="22"/>
              </w:rPr>
              <w:t>Updates</w:t>
            </w:r>
            <w:r w:rsidRPr="3F49DD5F">
              <w:rPr>
                <w:sz w:val="22"/>
              </w:rPr>
              <w:t xml:space="preserve"> existing </w:t>
            </w:r>
            <w:r w:rsidR="000C092D">
              <w:rPr>
                <w:sz w:val="22"/>
              </w:rPr>
              <w:t>CO</w:t>
            </w:r>
            <w:r w:rsidR="000C092D" w:rsidRPr="004C453F">
              <w:rPr>
                <w:sz w:val="22"/>
                <w:vertAlign w:val="subscript"/>
              </w:rPr>
              <w:t>2</w:t>
            </w:r>
            <w:r w:rsidR="000C092D">
              <w:rPr>
                <w:sz w:val="22"/>
              </w:rPr>
              <w:t>, CH</w:t>
            </w:r>
            <w:r w:rsidR="000C092D" w:rsidRPr="004C453F">
              <w:rPr>
                <w:sz w:val="22"/>
                <w:vertAlign w:val="subscript"/>
              </w:rPr>
              <w:t>4</w:t>
            </w:r>
            <w:r w:rsidR="000C092D">
              <w:rPr>
                <w:sz w:val="22"/>
              </w:rPr>
              <w:t xml:space="preserve"> and N</w:t>
            </w:r>
            <w:r w:rsidR="000C092D" w:rsidRPr="004C453F">
              <w:rPr>
                <w:sz w:val="22"/>
                <w:vertAlign w:val="subscript"/>
              </w:rPr>
              <w:t>2</w:t>
            </w:r>
            <w:r w:rsidR="000C092D">
              <w:rPr>
                <w:sz w:val="22"/>
              </w:rPr>
              <w:t xml:space="preserve">O </w:t>
            </w:r>
            <w:r w:rsidRPr="3F49DD5F">
              <w:rPr>
                <w:sz w:val="22"/>
              </w:rPr>
              <w:t xml:space="preserve">emissions factors for gas flared from </w:t>
            </w:r>
            <w:r w:rsidRPr="3F49DD5F">
              <w:rPr>
                <w:rFonts w:ascii="Calibri" w:eastAsia="Calibri" w:hAnsi="Calibri" w:cs="Calibri"/>
                <w:sz w:val="22"/>
              </w:rPr>
              <w:t>crude oil production</w:t>
            </w:r>
            <w:r>
              <w:rPr>
                <w:rFonts w:ascii="Calibri" w:eastAsia="Calibri" w:hAnsi="Calibri" w:cs="Calibri"/>
                <w:sz w:val="22"/>
              </w:rPr>
              <w:t>.</w:t>
            </w:r>
          </w:p>
        </w:tc>
      </w:tr>
      <w:tr w:rsidR="00FD7EB9" w14:paraId="58869365" w14:textId="77777777" w:rsidTr="007D214E">
        <w:tc>
          <w:tcPr>
            <w:tcW w:w="972" w:type="dxa"/>
          </w:tcPr>
          <w:p w14:paraId="5A511D0B" w14:textId="77777777" w:rsidR="00FD7EB9" w:rsidRDefault="00FD7EB9" w:rsidP="00FD7EB9">
            <w:pPr>
              <w:pStyle w:val="ListParagraph"/>
              <w:keepLines/>
              <w:numPr>
                <w:ilvl w:val="0"/>
                <w:numId w:val="13"/>
              </w:numPr>
            </w:pPr>
          </w:p>
        </w:tc>
        <w:tc>
          <w:tcPr>
            <w:tcW w:w="2000" w:type="dxa"/>
          </w:tcPr>
          <w:p w14:paraId="74D40CA7" w14:textId="77777777" w:rsidR="00FD7EB9" w:rsidRPr="00C46E72" w:rsidRDefault="00FD7EB9" w:rsidP="007D214E">
            <w:r w:rsidRPr="00C46E72">
              <w:t>Subsection 3.69(2) (table item 1</w:t>
            </w:r>
          </w:p>
        </w:tc>
        <w:tc>
          <w:tcPr>
            <w:tcW w:w="6088" w:type="dxa"/>
          </w:tcPr>
          <w:p w14:paraId="05F664D3" w14:textId="43D339B6" w:rsidR="00FD7EB9" w:rsidRPr="00A5375B" w:rsidRDefault="00FD7EB9" w:rsidP="007D214E">
            <w:pPr>
              <w:pStyle w:val="TableText"/>
              <w:keepLines/>
            </w:pPr>
            <w:r>
              <w:rPr>
                <w:sz w:val="22"/>
              </w:rPr>
              <w:t>Updates</w:t>
            </w:r>
            <w:r w:rsidRPr="3F49DD5F">
              <w:rPr>
                <w:sz w:val="22"/>
              </w:rPr>
              <w:t xml:space="preserve"> existing </w:t>
            </w:r>
            <w:r w:rsidR="000C092D">
              <w:rPr>
                <w:sz w:val="22"/>
              </w:rPr>
              <w:t>CO</w:t>
            </w:r>
            <w:r w:rsidR="000C092D" w:rsidRPr="004C453F">
              <w:rPr>
                <w:sz w:val="22"/>
                <w:vertAlign w:val="subscript"/>
              </w:rPr>
              <w:t>2</w:t>
            </w:r>
            <w:r w:rsidR="000C092D">
              <w:rPr>
                <w:sz w:val="22"/>
              </w:rPr>
              <w:t>, CH</w:t>
            </w:r>
            <w:r w:rsidR="000C092D" w:rsidRPr="004C453F">
              <w:rPr>
                <w:sz w:val="22"/>
                <w:vertAlign w:val="subscript"/>
              </w:rPr>
              <w:t>4</w:t>
            </w:r>
            <w:r w:rsidR="000C092D">
              <w:rPr>
                <w:sz w:val="22"/>
              </w:rPr>
              <w:t xml:space="preserve"> and N</w:t>
            </w:r>
            <w:r w:rsidR="000C092D" w:rsidRPr="004C453F">
              <w:rPr>
                <w:sz w:val="22"/>
                <w:vertAlign w:val="subscript"/>
              </w:rPr>
              <w:t>2</w:t>
            </w:r>
            <w:r w:rsidR="000C092D">
              <w:rPr>
                <w:sz w:val="22"/>
              </w:rPr>
              <w:t xml:space="preserve">O </w:t>
            </w:r>
            <w:r w:rsidRPr="3F49DD5F">
              <w:rPr>
                <w:sz w:val="22"/>
              </w:rPr>
              <w:t xml:space="preserve">emissions factors for </w:t>
            </w:r>
            <w:r w:rsidRPr="3F49DD5F">
              <w:rPr>
                <w:rFonts w:ascii="Calibri" w:eastAsia="Calibri" w:hAnsi="Calibri" w:cs="Calibri"/>
                <w:sz w:val="22"/>
              </w:rPr>
              <w:t>gas flared from crude oil refining</w:t>
            </w:r>
            <w:r>
              <w:rPr>
                <w:rFonts w:ascii="Calibri" w:eastAsia="Calibri" w:hAnsi="Calibri" w:cs="Calibri"/>
                <w:sz w:val="22"/>
              </w:rPr>
              <w:t>.</w:t>
            </w:r>
          </w:p>
        </w:tc>
      </w:tr>
      <w:tr w:rsidR="00FD7EB9" w14:paraId="06A6E465" w14:textId="77777777" w:rsidTr="007D214E">
        <w:tc>
          <w:tcPr>
            <w:tcW w:w="972" w:type="dxa"/>
          </w:tcPr>
          <w:p w14:paraId="3DD171FE" w14:textId="77777777" w:rsidR="00FD7EB9" w:rsidRDefault="00FD7EB9" w:rsidP="00FD7EB9">
            <w:pPr>
              <w:pStyle w:val="ListParagraph"/>
              <w:keepLines/>
              <w:numPr>
                <w:ilvl w:val="0"/>
                <w:numId w:val="13"/>
              </w:numPr>
            </w:pPr>
          </w:p>
        </w:tc>
        <w:tc>
          <w:tcPr>
            <w:tcW w:w="2000" w:type="dxa"/>
          </w:tcPr>
          <w:p w14:paraId="270EF11F" w14:textId="77777777" w:rsidR="00FD7EB9" w:rsidRPr="00C46E72" w:rsidRDefault="00FD7EB9" w:rsidP="007D214E">
            <w:r>
              <w:t>Subsection 3.86(2) (table item 1)</w:t>
            </w:r>
          </w:p>
        </w:tc>
        <w:tc>
          <w:tcPr>
            <w:tcW w:w="6088" w:type="dxa"/>
          </w:tcPr>
          <w:p w14:paraId="0344EF8F" w14:textId="324DC2C1" w:rsidR="00FD7EB9" w:rsidRPr="00A713B5" w:rsidRDefault="00FD7EB9" w:rsidP="007D214E">
            <w:pPr>
              <w:pStyle w:val="TableText"/>
              <w:keepLines/>
              <w:rPr>
                <w:rFonts w:ascii="Calibri" w:eastAsia="Calibri" w:hAnsi="Calibri" w:cs="Calibri"/>
                <w:sz w:val="22"/>
              </w:rPr>
            </w:pPr>
            <w:r>
              <w:rPr>
                <w:sz w:val="22"/>
              </w:rPr>
              <w:t>Updates</w:t>
            </w:r>
            <w:r w:rsidRPr="3F49DD5F">
              <w:rPr>
                <w:sz w:val="22"/>
              </w:rPr>
              <w:t xml:space="preserve"> existing </w:t>
            </w:r>
            <w:r w:rsidR="000C092D">
              <w:rPr>
                <w:sz w:val="22"/>
              </w:rPr>
              <w:t>CO</w:t>
            </w:r>
            <w:r w:rsidR="000C092D" w:rsidRPr="004C453F">
              <w:rPr>
                <w:sz w:val="22"/>
                <w:vertAlign w:val="subscript"/>
              </w:rPr>
              <w:t>2</w:t>
            </w:r>
            <w:r w:rsidR="000C092D">
              <w:rPr>
                <w:sz w:val="22"/>
              </w:rPr>
              <w:t>, CH</w:t>
            </w:r>
            <w:r w:rsidR="000C092D" w:rsidRPr="004C453F">
              <w:rPr>
                <w:sz w:val="22"/>
                <w:vertAlign w:val="subscript"/>
              </w:rPr>
              <w:t>4</w:t>
            </w:r>
            <w:r w:rsidR="000C092D">
              <w:rPr>
                <w:sz w:val="22"/>
              </w:rPr>
              <w:t xml:space="preserve"> and N</w:t>
            </w:r>
            <w:r w:rsidR="000C092D" w:rsidRPr="004C453F">
              <w:rPr>
                <w:sz w:val="22"/>
                <w:vertAlign w:val="subscript"/>
              </w:rPr>
              <w:t>2</w:t>
            </w:r>
            <w:r w:rsidR="000C092D">
              <w:rPr>
                <w:sz w:val="22"/>
              </w:rPr>
              <w:t xml:space="preserve">O </w:t>
            </w:r>
            <w:r w:rsidRPr="3F49DD5F">
              <w:rPr>
                <w:sz w:val="22"/>
              </w:rPr>
              <w:t xml:space="preserve">emissions factors for </w:t>
            </w:r>
            <w:r w:rsidRPr="3F49DD5F">
              <w:rPr>
                <w:rFonts w:ascii="Calibri" w:eastAsia="Calibri" w:hAnsi="Calibri" w:cs="Calibri"/>
                <w:sz w:val="22"/>
              </w:rPr>
              <w:t>gas flared from natural gas production</w:t>
            </w:r>
            <w:r>
              <w:t>.</w:t>
            </w:r>
          </w:p>
        </w:tc>
      </w:tr>
      <w:tr w:rsidR="00FD7EB9" w14:paraId="65C69873" w14:textId="77777777" w:rsidTr="007D214E">
        <w:tc>
          <w:tcPr>
            <w:tcW w:w="972" w:type="dxa"/>
          </w:tcPr>
          <w:p w14:paraId="4B94A6F2" w14:textId="77777777" w:rsidR="00FD7EB9" w:rsidRDefault="00FD7EB9" w:rsidP="00FD7EB9">
            <w:pPr>
              <w:pStyle w:val="ListParagraph"/>
              <w:keepLines/>
              <w:numPr>
                <w:ilvl w:val="0"/>
                <w:numId w:val="13"/>
              </w:numPr>
            </w:pPr>
          </w:p>
        </w:tc>
        <w:tc>
          <w:tcPr>
            <w:tcW w:w="2000" w:type="dxa"/>
          </w:tcPr>
          <w:p w14:paraId="20D581DA" w14:textId="77777777" w:rsidR="00FD7EB9" w:rsidRPr="00C46E72" w:rsidRDefault="00FD7EB9" w:rsidP="007D214E">
            <w:pPr>
              <w:pStyle w:val="TableText"/>
              <w:rPr>
                <w:rFonts w:ascii="Calibri" w:eastAsia="Calibri" w:hAnsi="Calibri" w:cs="Calibri"/>
              </w:rPr>
            </w:pPr>
            <w:r w:rsidRPr="007D214E">
              <w:rPr>
                <w:rFonts w:ascii="Calibri" w:eastAsia="Calibri" w:hAnsi="Calibri" w:cs="Calibri"/>
                <w:sz w:val="22"/>
              </w:rPr>
              <w:t>After subparagraph 3.88J(1)(a)(ii)</w:t>
            </w:r>
          </w:p>
        </w:tc>
        <w:tc>
          <w:tcPr>
            <w:tcW w:w="6088" w:type="dxa"/>
          </w:tcPr>
          <w:p w14:paraId="5D4CC8F7" w14:textId="67D5FFFF" w:rsidR="000E1E4B" w:rsidRPr="007D214E" w:rsidRDefault="00FD7EB9" w:rsidP="0056145B">
            <w:pPr>
              <w:rPr>
                <w:rFonts w:ascii="Calibri" w:eastAsia="Calibri" w:hAnsi="Calibri" w:cs="Calibri"/>
              </w:rPr>
            </w:pPr>
            <w:r w:rsidRPr="3F49DD5F">
              <w:rPr>
                <w:rFonts w:ascii="Calibri" w:eastAsia="Calibri" w:hAnsi="Calibri" w:cs="Calibri"/>
              </w:rPr>
              <w:t>Insert</w:t>
            </w:r>
            <w:r w:rsidR="000859BA">
              <w:rPr>
                <w:rFonts w:ascii="Calibri" w:eastAsia="Calibri" w:hAnsi="Calibri" w:cs="Calibri"/>
              </w:rPr>
              <w:t>s</w:t>
            </w:r>
            <w:r w:rsidRPr="3F49DD5F">
              <w:rPr>
                <w:rFonts w:ascii="Calibri" w:eastAsia="Calibri" w:hAnsi="Calibri" w:cs="Calibri"/>
              </w:rPr>
              <w:t xml:space="preserve"> a new subsection (iia) to include </w:t>
            </w:r>
            <w:r w:rsidRPr="007D214E">
              <w:rPr>
                <w:rFonts w:ascii="Calibri" w:eastAsia="Calibri" w:hAnsi="Calibri" w:cs="Calibri"/>
              </w:rPr>
              <w:t xml:space="preserve">Method 2B </w:t>
            </w:r>
            <w:r w:rsidR="001A4509">
              <w:rPr>
                <w:rFonts w:ascii="Calibri" w:eastAsia="Calibri" w:hAnsi="Calibri" w:cs="Calibri"/>
              </w:rPr>
              <w:t xml:space="preserve">from existing section </w:t>
            </w:r>
            <w:r w:rsidR="001A4509" w:rsidRPr="004D2DBE">
              <w:rPr>
                <w:rFonts w:ascii="Calibri" w:eastAsia="Calibri" w:hAnsi="Calibri" w:cs="Calibri"/>
              </w:rPr>
              <w:t>3.87B</w:t>
            </w:r>
            <w:r w:rsidR="001A4509" w:rsidRPr="1C0B0DC0">
              <w:rPr>
                <w:rFonts w:ascii="Calibri" w:eastAsia="Calibri" w:hAnsi="Calibri" w:cs="Calibri"/>
              </w:rPr>
              <w:t xml:space="preserve"> </w:t>
            </w:r>
            <w:r w:rsidRPr="007D214E">
              <w:rPr>
                <w:rFonts w:ascii="Calibri" w:eastAsia="Calibri" w:hAnsi="Calibri" w:cs="Calibri"/>
              </w:rPr>
              <w:t xml:space="preserve">as an </w:t>
            </w:r>
            <w:r w:rsidR="00286325">
              <w:rPr>
                <w:rFonts w:ascii="Calibri" w:eastAsia="Calibri" w:hAnsi="Calibri" w:cs="Calibri"/>
              </w:rPr>
              <w:t xml:space="preserve">additional </w:t>
            </w:r>
            <w:r w:rsidRPr="007D214E">
              <w:rPr>
                <w:rFonts w:ascii="Calibri" w:eastAsia="Calibri" w:hAnsi="Calibri" w:cs="Calibri"/>
              </w:rPr>
              <w:t>available method for estimating fugitive CO</w:t>
            </w:r>
            <w:r w:rsidRPr="3F49DD5F">
              <w:rPr>
                <w:rFonts w:ascii="Calibri" w:eastAsia="Calibri" w:hAnsi="Calibri" w:cs="Calibri"/>
                <w:vertAlign w:val="subscript"/>
              </w:rPr>
              <w:t>2</w:t>
            </w:r>
            <w:r w:rsidRPr="007D214E">
              <w:rPr>
                <w:rFonts w:ascii="Calibri" w:eastAsia="Calibri" w:hAnsi="Calibri" w:cs="Calibri"/>
              </w:rPr>
              <w:t xml:space="preserve"> emissions from </w:t>
            </w:r>
            <w:r w:rsidRPr="3F49DD5F">
              <w:rPr>
                <w:rFonts w:ascii="Calibri" w:eastAsia="Calibri" w:hAnsi="Calibri" w:cs="Calibri"/>
              </w:rPr>
              <w:t xml:space="preserve">natural gas </w:t>
            </w:r>
            <w:r w:rsidRPr="007D214E">
              <w:rPr>
                <w:rFonts w:ascii="Calibri" w:eastAsia="Calibri" w:hAnsi="Calibri" w:cs="Calibri"/>
              </w:rPr>
              <w:t>transmission</w:t>
            </w:r>
            <w:r w:rsidRPr="3F49DD5F">
              <w:rPr>
                <w:rFonts w:ascii="Calibri" w:eastAsia="Calibri" w:hAnsi="Calibri" w:cs="Calibri"/>
              </w:rPr>
              <w:t>.</w:t>
            </w:r>
          </w:p>
        </w:tc>
      </w:tr>
      <w:tr w:rsidR="00FD7EB9" w14:paraId="0022B199" w14:textId="77777777" w:rsidTr="007D214E">
        <w:tc>
          <w:tcPr>
            <w:tcW w:w="972" w:type="dxa"/>
          </w:tcPr>
          <w:p w14:paraId="0ED36320" w14:textId="77777777" w:rsidR="00FD7EB9" w:rsidRDefault="00FD7EB9" w:rsidP="00FD7EB9">
            <w:pPr>
              <w:pStyle w:val="ListParagraph"/>
              <w:keepLines/>
              <w:numPr>
                <w:ilvl w:val="0"/>
                <w:numId w:val="13"/>
              </w:numPr>
            </w:pPr>
          </w:p>
        </w:tc>
        <w:tc>
          <w:tcPr>
            <w:tcW w:w="2000" w:type="dxa"/>
          </w:tcPr>
          <w:p w14:paraId="5E8E72F4" w14:textId="77777777" w:rsidR="00FD7EB9" w:rsidRPr="00C46E72" w:rsidRDefault="00FD7EB9" w:rsidP="007D214E">
            <w:r>
              <w:t>Subparagraph 3.88J(1)(b)(ii)</w:t>
            </w:r>
          </w:p>
        </w:tc>
        <w:tc>
          <w:tcPr>
            <w:tcW w:w="6088" w:type="dxa"/>
          </w:tcPr>
          <w:p w14:paraId="19DCDA8D" w14:textId="004E8C01" w:rsidR="00FD7EB9" w:rsidRPr="007D214E" w:rsidRDefault="00FD7EB9" w:rsidP="007D214E">
            <w:pPr>
              <w:pStyle w:val="TableText"/>
              <w:keepLines/>
              <w:rPr>
                <w:sz w:val="22"/>
              </w:rPr>
            </w:pPr>
            <w:r w:rsidRPr="3F49DD5F">
              <w:rPr>
                <w:sz w:val="22"/>
              </w:rPr>
              <w:t>Omit</w:t>
            </w:r>
            <w:r w:rsidR="000859BA">
              <w:rPr>
                <w:sz w:val="22"/>
              </w:rPr>
              <w:t>s</w:t>
            </w:r>
            <w:r w:rsidRPr="3F49DD5F">
              <w:rPr>
                <w:sz w:val="22"/>
              </w:rPr>
              <w:t xml:space="preserve"> “and” </w:t>
            </w:r>
            <w:r>
              <w:rPr>
                <w:sz w:val="22"/>
              </w:rPr>
              <w:t xml:space="preserve">as an </w:t>
            </w:r>
            <w:r>
              <w:rPr>
                <w:rFonts w:eastAsiaTheme="minorEastAsia"/>
                <w:sz w:val="22"/>
              </w:rPr>
              <w:t>e</w:t>
            </w:r>
            <w:r w:rsidRPr="007D214E">
              <w:rPr>
                <w:rFonts w:eastAsiaTheme="minorEastAsia"/>
                <w:sz w:val="22"/>
              </w:rPr>
              <w:t xml:space="preserve">ditorial correction.  </w:t>
            </w:r>
          </w:p>
          <w:p w14:paraId="48B919E1" w14:textId="77777777" w:rsidR="00FD7EB9" w:rsidRPr="00A5375B" w:rsidRDefault="00FD7EB9" w:rsidP="007D214E">
            <w:pPr>
              <w:pStyle w:val="TableText"/>
              <w:keepLines/>
              <w:rPr>
                <w:sz w:val="22"/>
              </w:rPr>
            </w:pPr>
          </w:p>
        </w:tc>
      </w:tr>
      <w:tr w:rsidR="00FD7EB9" w14:paraId="7AA76BEF" w14:textId="77777777" w:rsidTr="007D214E">
        <w:tc>
          <w:tcPr>
            <w:tcW w:w="972" w:type="dxa"/>
          </w:tcPr>
          <w:p w14:paraId="4E03DA6D" w14:textId="77777777" w:rsidR="00FD7EB9" w:rsidRDefault="00FD7EB9" w:rsidP="00FD7EB9">
            <w:pPr>
              <w:pStyle w:val="ListParagraph"/>
              <w:keepLines/>
              <w:numPr>
                <w:ilvl w:val="0"/>
                <w:numId w:val="13"/>
              </w:numPr>
            </w:pPr>
            <w:r>
              <w:t xml:space="preserve"> </w:t>
            </w:r>
          </w:p>
        </w:tc>
        <w:tc>
          <w:tcPr>
            <w:tcW w:w="2000" w:type="dxa"/>
          </w:tcPr>
          <w:p w14:paraId="04DF6903" w14:textId="77777777" w:rsidR="00FD7EB9" w:rsidRPr="00C46E72" w:rsidRDefault="00FD7EB9" w:rsidP="007D214E">
            <w:r>
              <w:t>At the end of paragraph 3.88J(1)(b)</w:t>
            </w:r>
          </w:p>
        </w:tc>
        <w:tc>
          <w:tcPr>
            <w:tcW w:w="6088" w:type="dxa"/>
          </w:tcPr>
          <w:p w14:paraId="09CC38B0" w14:textId="2D9B3853" w:rsidR="00FD7EB9" w:rsidRPr="00A5375B" w:rsidRDefault="00FD7EB9" w:rsidP="007D214E">
            <w:pPr>
              <w:pStyle w:val="TableText"/>
              <w:rPr>
                <w:rFonts w:ascii="Calibri" w:eastAsia="Calibri" w:hAnsi="Calibri" w:cs="Calibri"/>
                <w:sz w:val="22"/>
              </w:rPr>
            </w:pPr>
            <w:r w:rsidRPr="3F49DD5F">
              <w:rPr>
                <w:rFonts w:ascii="Calibri" w:eastAsia="Calibri" w:hAnsi="Calibri" w:cs="Calibri"/>
                <w:sz w:val="22"/>
              </w:rPr>
              <w:t>Insert</w:t>
            </w:r>
            <w:r w:rsidR="000859BA">
              <w:rPr>
                <w:rFonts w:ascii="Calibri" w:eastAsia="Calibri" w:hAnsi="Calibri" w:cs="Calibri"/>
                <w:sz w:val="22"/>
              </w:rPr>
              <w:t>s</w:t>
            </w:r>
            <w:r w:rsidRPr="3F49DD5F">
              <w:rPr>
                <w:rFonts w:ascii="Calibri" w:eastAsia="Calibri" w:hAnsi="Calibri" w:cs="Calibri"/>
                <w:sz w:val="22"/>
              </w:rPr>
              <w:t xml:space="preserve"> a new subsection (iii) to include Method 2B </w:t>
            </w:r>
            <w:r>
              <w:rPr>
                <w:rFonts w:ascii="Calibri" w:eastAsia="Calibri" w:hAnsi="Calibri" w:cs="Calibri"/>
                <w:sz w:val="22"/>
              </w:rPr>
              <w:t xml:space="preserve">from existing section </w:t>
            </w:r>
            <w:r w:rsidRPr="004D2DBE">
              <w:rPr>
                <w:rFonts w:ascii="Calibri" w:eastAsia="Calibri" w:hAnsi="Calibri" w:cs="Calibri"/>
                <w:sz w:val="22"/>
              </w:rPr>
              <w:t>3.87B</w:t>
            </w:r>
            <w:r w:rsidRPr="1C0B0DC0">
              <w:rPr>
                <w:rFonts w:ascii="Calibri" w:eastAsia="Calibri" w:hAnsi="Calibri" w:cs="Calibri"/>
                <w:sz w:val="22"/>
              </w:rPr>
              <w:t xml:space="preserve"> </w:t>
            </w:r>
            <w:r w:rsidRPr="3F49DD5F">
              <w:rPr>
                <w:rFonts w:ascii="Calibri" w:eastAsia="Calibri" w:hAnsi="Calibri" w:cs="Calibri"/>
                <w:sz w:val="22"/>
              </w:rPr>
              <w:t xml:space="preserve">as an </w:t>
            </w:r>
            <w:r w:rsidR="00286325">
              <w:rPr>
                <w:rFonts w:ascii="Calibri" w:eastAsia="Calibri" w:hAnsi="Calibri" w:cs="Calibri"/>
                <w:sz w:val="22"/>
              </w:rPr>
              <w:t xml:space="preserve">additional </w:t>
            </w:r>
            <w:r w:rsidRPr="3F49DD5F">
              <w:rPr>
                <w:rFonts w:ascii="Calibri" w:eastAsia="Calibri" w:hAnsi="Calibri" w:cs="Calibri"/>
                <w:sz w:val="22"/>
              </w:rPr>
              <w:t>available method for estimating fugitive CH</w:t>
            </w:r>
            <w:r w:rsidRPr="3F49DD5F">
              <w:rPr>
                <w:rFonts w:ascii="Calibri" w:eastAsia="Calibri" w:hAnsi="Calibri" w:cs="Calibri"/>
                <w:sz w:val="22"/>
                <w:vertAlign w:val="subscript"/>
              </w:rPr>
              <w:t>4</w:t>
            </w:r>
            <w:r w:rsidRPr="3F49DD5F">
              <w:rPr>
                <w:rFonts w:ascii="Calibri" w:eastAsia="Calibri" w:hAnsi="Calibri" w:cs="Calibri"/>
                <w:sz w:val="22"/>
              </w:rPr>
              <w:t xml:space="preserve"> emissions from natural gas transmission.</w:t>
            </w:r>
          </w:p>
        </w:tc>
      </w:tr>
      <w:tr w:rsidR="00915D2E" w14:paraId="50632C55" w14:textId="77777777" w:rsidTr="007D214E">
        <w:tc>
          <w:tcPr>
            <w:tcW w:w="972" w:type="dxa"/>
          </w:tcPr>
          <w:p w14:paraId="5184A451" w14:textId="77777777" w:rsidR="00915D2E" w:rsidRDefault="00915D2E" w:rsidP="00FD7EB9">
            <w:pPr>
              <w:pStyle w:val="ListParagraph"/>
              <w:keepLines/>
              <w:numPr>
                <w:ilvl w:val="0"/>
                <w:numId w:val="13"/>
              </w:numPr>
            </w:pPr>
          </w:p>
        </w:tc>
        <w:tc>
          <w:tcPr>
            <w:tcW w:w="2000" w:type="dxa"/>
          </w:tcPr>
          <w:p w14:paraId="68A098C1" w14:textId="62C0FBE2" w:rsidR="00915D2E" w:rsidRDefault="00622C0A" w:rsidP="007D214E">
            <w:r>
              <w:t>Subsection 3.88J(2)</w:t>
            </w:r>
          </w:p>
        </w:tc>
        <w:tc>
          <w:tcPr>
            <w:tcW w:w="6088" w:type="dxa"/>
          </w:tcPr>
          <w:p w14:paraId="74112271" w14:textId="0D578FFF" w:rsidR="00915D2E" w:rsidRPr="3F49DD5F" w:rsidRDefault="00FB758E" w:rsidP="007D214E">
            <w:pPr>
              <w:pStyle w:val="TableText"/>
              <w:rPr>
                <w:rFonts w:ascii="Calibri" w:eastAsia="Calibri" w:hAnsi="Calibri" w:cs="Calibri"/>
                <w:sz w:val="22"/>
              </w:rPr>
            </w:pPr>
            <w:r>
              <w:rPr>
                <w:rFonts w:ascii="Calibri" w:eastAsia="Calibri" w:hAnsi="Calibri" w:cs="Calibri"/>
                <w:sz w:val="22"/>
              </w:rPr>
              <w:t xml:space="preserve">Renumbers </w:t>
            </w:r>
            <w:r w:rsidR="00B23713">
              <w:rPr>
                <w:rFonts w:ascii="Calibri" w:eastAsia="Calibri" w:hAnsi="Calibri" w:cs="Calibri"/>
                <w:sz w:val="22"/>
              </w:rPr>
              <w:t xml:space="preserve">subsection to reflect changes made by item </w:t>
            </w:r>
            <w:r w:rsidR="00B23713" w:rsidRPr="00B31329">
              <w:rPr>
                <w:rFonts w:ascii="Calibri" w:eastAsia="Calibri" w:hAnsi="Calibri" w:cs="Calibri"/>
                <w:sz w:val="22"/>
              </w:rPr>
              <w:t>1</w:t>
            </w:r>
            <w:r w:rsidR="00876112" w:rsidRPr="00B31329">
              <w:rPr>
                <w:rFonts w:ascii="Calibri" w:eastAsia="Calibri" w:hAnsi="Calibri" w:cs="Calibri"/>
                <w:sz w:val="22"/>
              </w:rPr>
              <w:t>4.</w:t>
            </w:r>
          </w:p>
        </w:tc>
      </w:tr>
      <w:tr w:rsidR="00FD7EB9" w14:paraId="476062AF" w14:textId="77777777" w:rsidTr="007D214E">
        <w:tc>
          <w:tcPr>
            <w:tcW w:w="972" w:type="dxa"/>
          </w:tcPr>
          <w:p w14:paraId="03E4B247" w14:textId="77777777" w:rsidR="00FD7EB9" w:rsidRDefault="00FD7EB9" w:rsidP="00FD7EB9">
            <w:pPr>
              <w:pStyle w:val="ListParagraph"/>
              <w:keepLines/>
              <w:numPr>
                <w:ilvl w:val="0"/>
                <w:numId w:val="13"/>
              </w:numPr>
            </w:pPr>
          </w:p>
        </w:tc>
        <w:tc>
          <w:tcPr>
            <w:tcW w:w="2000" w:type="dxa"/>
          </w:tcPr>
          <w:p w14:paraId="77980A68" w14:textId="3FE88F83" w:rsidR="00FD7EB9" w:rsidRPr="00E9080B" w:rsidRDefault="006371F2" w:rsidP="007D214E">
            <w:pPr>
              <w:keepLines/>
            </w:pPr>
            <w:r>
              <w:t>After</w:t>
            </w:r>
            <w:r w:rsidR="00FD7EB9">
              <w:t xml:space="preserve"> </w:t>
            </w:r>
            <w:r w:rsidR="00763643">
              <w:t>sub</w:t>
            </w:r>
            <w:r w:rsidR="00FD7EB9">
              <w:t>section 3.88J</w:t>
            </w:r>
            <w:r w:rsidR="00763643">
              <w:t>(1)</w:t>
            </w:r>
          </w:p>
          <w:p w14:paraId="1ED435F6" w14:textId="77777777" w:rsidR="00FD7EB9" w:rsidRPr="00A713B5" w:rsidRDefault="00FD7EB9" w:rsidP="007D214E">
            <w:pPr>
              <w:keepLines/>
            </w:pPr>
          </w:p>
        </w:tc>
        <w:tc>
          <w:tcPr>
            <w:tcW w:w="6088" w:type="dxa"/>
          </w:tcPr>
          <w:p w14:paraId="4E26F3B6" w14:textId="7BACDCA9" w:rsidR="00FD7EB9" w:rsidRPr="00A5375B" w:rsidRDefault="00FD7EB9" w:rsidP="007D214E">
            <w:pPr>
              <w:pStyle w:val="TableText"/>
              <w:rPr>
                <w:rFonts w:ascii="Calibri" w:eastAsia="Calibri" w:hAnsi="Calibri" w:cs="Calibri"/>
              </w:rPr>
            </w:pPr>
            <w:r w:rsidRPr="3F49DD5F">
              <w:rPr>
                <w:rFonts w:ascii="Calibri" w:eastAsia="Calibri" w:hAnsi="Calibri" w:cs="Calibri"/>
                <w:sz w:val="22"/>
              </w:rPr>
              <w:t>Add</w:t>
            </w:r>
            <w:r w:rsidR="000859BA">
              <w:rPr>
                <w:rFonts w:ascii="Calibri" w:eastAsia="Calibri" w:hAnsi="Calibri" w:cs="Calibri"/>
                <w:sz w:val="22"/>
              </w:rPr>
              <w:t>s</w:t>
            </w:r>
            <w:r w:rsidRPr="3F49DD5F">
              <w:rPr>
                <w:rFonts w:ascii="Calibri" w:eastAsia="Calibri" w:hAnsi="Calibri" w:cs="Calibri"/>
                <w:sz w:val="22"/>
              </w:rPr>
              <w:t xml:space="preserve"> a subsection to </w:t>
            </w:r>
            <w:r w:rsidR="00AC1C37">
              <w:rPr>
                <w:rFonts w:ascii="Calibri" w:eastAsia="Calibri" w:hAnsi="Calibri" w:cs="Calibri"/>
                <w:sz w:val="22"/>
              </w:rPr>
              <w:t>require</w:t>
            </w:r>
            <w:r w:rsidR="00310E7E" w:rsidRPr="3F49DD5F">
              <w:rPr>
                <w:rFonts w:ascii="Calibri" w:eastAsia="Calibri" w:hAnsi="Calibri" w:cs="Calibri"/>
                <w:sz w:val="22"/>
              </w:rPr>
              <w:t xml:space="preserve"> </w:t>
            </w:r>
            <w:r w:rsidRPr="3F49DD5F">
              <w:rPr>
                <w:rFonts w:ascii="Calibri" w:eastAsia="Calibri" w:hAnsi="Calibri" w:cs="Calibri"/>
                <w:sz w:val="22"/>
              </w:rPr>
              <w:t>that</w:t>
            </w:r>
            <w:r w:rsidR="00AC1C37">
              <w:rPr>
                <w:rFonts w:ascii="Calibri" w:eastAsia="Calibri" w:hAnsi="Calibri" w:cs="Calibri"/>
                <w:sz w:val="22"/>
              </w:rPr>
              <w:t>,</w:t>
            </w:r>
            <w:r w:rsidRPr="3F49DD5F">
              <w:rPr>
                <w:rFonts w:ascii="Calibri" w:eastAsia="Calibri" w:hAnsi="Calibri" w:cs="Calibri"/>
                <w:sz w:val="22"/>
              </w:rPr>
              <w:t xml:space="preserve"> i</w:t>
            </w:r>
            <w:r w:rsidRPr="007D214E">
              <w:rPr>
                <w:rFonts w:ascii="Calibri" w:eastAsia="Calibri" w:hAnsi="Calibri" w:cs="Calibri"/>
                <w:sz w:val="22"/>
              </w:rPr>
              <w:t xml:space="preserve">f </w:t>
            </w:r>
            <w:r>
              <w:rPr>
                <w:rFonts w:ascii="Calibri" w:eastAsia="Calibri" w:hAnsi="Calibri" w:cs="Calibri"/>
                <w:sz w:val="22"/>
              </w:rPr>
              <w:t>M</w:t>
            </w:r>
            <w:r w:rsidRPr="007D214E">
              <w:rPr>
                <w:rFonts w:ascii="Calibri" w:eastAsia="Calibri" w:hAnsi="Calibri" w:cs="Calibri"/>
                <w:sz w:val="22"/>
              </w:rPr>
              <w:t xml:space="preserve">ethod 2B has been used to estimate emissions of either </w:t>
            </w:r>
            <w:r w:rsidR="0022444A" w:rsidRPr="3F49DD5F">
              <w:rPr>
                <w:rFonts w:ascii="Calibri" w:eastAsia="Calibri" w:hAnsi="Calibri" w:cs="Calibri"/>
                <w:sz w:val="22"/>
              </w:rPr>
              <w:t>CH</w:t>
            </w:r>
            <w:r w:rsidR="0022444A" w:rsidRPr="3F49DD5F">
              <w:rPr>
                <w:rFonts w:ascii="Calibri" w:eastAsia="Calibri" w:hAnsi="Calibri" w:cs="Calibri"/>
                <w:sz w:val="22"/>
                <w:vertAlign w:val="subscript"/>
              </w:rPr>
              <w:t>4</w:t>
            </w:r>
            <w:r w:rsidRPr="007D214E">
              <w:rPr>
                <w:rFonts w:ascii="Calibri" w:eastAsia="Calibri" w:hAnsi="Calibri" w:cs="Calibri"/>
                <w:sz w:val="22"/>
              </w:rPr>
              <w:t xml:space="preserve">or </w:t>
            </w:r>
            <w:r w:rsidR="0022444A" w:rsidRPr="007D214E">
              <w:rPr>
                <w:rFonts w:ascii="Calibri" w:eastAsia="Calibri" w:hAnsi="Calibri" w:cs="Calibri"/>
                <w:sz w:val="22"/>
              </w:rPr>
              <w:t>CO</w:t>
            </w:r>
            <w:r w:rsidR="0022444A" w:rsidRPr="3F49DD5F">
              <w:rPr>
                <w:rFonts w:ascii="Calibri" w:eastAsia="Calibri" w:hAnsi="Calibri" w:cs="Calibri"/>
                <w:sz w:val="22"/>
                <w:vertAlign w:val="subscript"/>
              </w:rPr>
              <w:t>2</w:t>
            </w:r>
            <w:r w:rsidRPr="007D214E">
              <w:rPr>
                <w:rFonts w:ascii="Calibri" w:eastAsia="Calibri" w:hAnsi="Calibri" w:cs="Calibri"/>
                <w:sz w:val="22"/>
              </w:rPr>
              <w:t>released</w:t>
            </w:r>
            <w:r>
              <w:rPr>
                <w:rFonts w:ascii="Calibri" w:eastAsia="Calibri" w:hAnsi="Calibri" w:cs="Calibri"/>
                <w:sz w:val="22"/>
              </w:rPr>
              <w:t xml:space="preserve"> from gas flared during natural gas transmission</w:t>
            </w:r>
            <w:r w:rsidRPr="007D214E">
              <w:rPr>
                <w:rFonts w:ascii="Calibri" w:eastAsia="Calibri" w:hAnsi="Calibri" w:cs="Calibri"/>
                <w:sz w:val="22"/>
              </w:rPr>
              <w:t xml:space="preserve">, </w:t>
            </w:r>
            <w:r w:rsidR="00642032">
              <w:rPr>
                <w:rFonts w:ascii="Calibri" w:eastAsia="Calibri" w:hAnsi="Calibri" w:cs="Calibri"/>
                <w:sz w:val="22"/>
              </w:rPr>
              <w:t xml:space="preserve">Method 2B must </w:t>
            </w:r>
            <w:r w:rsidRPr="007D214E">
              <w:rPr>
                <w:rFonts w:ascii="Calibri" w:eastAsia="Calibri" w:hAnsi="Calibri" w:cs="Calibri"/>
                <w:sz w:val="22"/>
              </w:rPr>
              <w:t xml:space="preserve">be used to estimate emissions of </w:t>
            </w:r>
            <w:r w:rsidR="004D049D">
              <w:rPr>
                <w:rFonts w:ascii="Calibri" w:eastAsia="Calibri" w:hAnsi="Calibri" w:cs="Calibri"/>
                <w:sz w:val="22"/>
              </w:rPr>
              <w:t>both gases</w:t>
            </w:r>
            <w:r w:rsidRPr="007D214E">
              <w:rPr>
                <w:rFonts w:ascii="Calibri" w:eastAsia="Calibri" w:hAnsi="Calibri" w:cs="Calibri"/>
                <w:sz w:val="22"/>
              </w:rPr>
              <w:t>.</w:t>
            </w:r>
          </w:p>
        </w:tc>
      </w:tr>
      <w:tr w:rsidR="00FD7EB9" w14:paraId="498E5D5E" w14:textId="77777777" w:rsidTr="007D214E">
        <w:tc>
          <w:tcPr>
            <w:tcW w:w="972" w:type="dxa"/>
          </w:tcPr>
          <w:p w14:paraId="57B6BE0C" w14:textId="77777777" w:rsidR="00FD7EB9" w:rsidRDefault="00FD7EB9" w:rsidP="00FD7EB9">
            <w:pPr>
              <w:pStyle w:val="ListParagraph"/>
              <w:keepLines/>
              <w:numPr>
                <w:ilvl w:val="0"/>
                <w:numId w:val="13"/>
              </w:numPr>
            </w:pPr>
          </w:p>
        </w:tc>
        <w:tc>
          <w:tcPr>
            <w:tcW w:w="2000" w:type="dxa"/>
          </w:tcPr>
          <w:p w14:paraId="18A5B079" w14:textId="77777777" w:rsidR="00FD7EB9" w:rsidRPr="00E9080B" w:rsidRDefault="00FD7EB9" w:rsidP="007D214E">
            <w:pPr>
              <w:keepLines/>
            </w:pPr>
            <w:r>
              <w:t>After subparagraph 3.88T(1)(a)(ii)</w:t>
            </w:r>
          </w:p>
          <w:p w14:paraId="276FCAD4" w14:textId="77777777" w:rsidR="00FD7EB9" w:rsidRPr="00A713B5" w:rsidRDefault="00FD7EB9" w:rsidP="007D214E">
            <w:pPr>
              <w:keepLines/>
            </w:pPr>
          </w:p>
        </w:tc>
        <w:tc>
          <w:tcPr>
            <w:tcW w:w="6088" w:type="dxa"/>
          </w:tcPr>
          <w:p w14:paraId="06C4FBB0" w14:textId="0019F7EE" w:rsidR="00FD7EB9" w:rsidRDefault="00FD7EB9" w:rsidP="007D214E">
            <w:pPr>
              <w:pStyle w:val="TableText"/>
              <w:keepLines/>
              <w:rPr>
                <w:rFonts w:ascii="Calibri" w:eastAsia="Calibri" w:hAnsi="Calibri" w:cs="Calibri"/>
                <w:sz w:val="22"/>
              </w:rPr>
            </w:pPr>
            <w:r w:rsidRPr="3F49DD5F">
              <w:rPr>
                <w:rFonts w:ascii="Calibri" w:eastAsia="Calibri" w:hAnsi="Calibri" w:cs="Calibri"/>
                <w:sz w:val="22"/>
              </w:rPr>
              <w:t>Insert</w:t>
            </w:r>
            <w:r w:rsidR="000859BA">
              <w:rPr>
                <w:rFonts w:ascii="Calibri" w:eastAsia="Calibri" w:hAnsi="Calibri" w:cs="Calibri"/>
                <w:sz w:val="22"/>
              </w:rPr>
              <w:t>s</w:t>
            </w:r>
            <w:r w:rsidRPr="3F49DD5F">
              <w:rPr>
                <w:rFonts w:ascii="Calibri" w:eastAsia="Calibri" w:hAnsi="Calibri" w:cs="Calibri"/>
                <w:sz w:val="22"/>
              </w:rPr>
              <w:t xml:space="preserve"> a new subsection (iia) to include Method 2B </w:t>
            </w:r>
            <w:r>
              <w:rPr>
                <w:rFonts w:ascii="Calibri" w:eastAsia="Calibri" w:hAnsi="Calibri" w:cs="Calibri"/>
                <w:sz w:val="22"/>
              </w:rPr>
              <w:t xml:space="preserve">from existing section </w:t>
            </w:r>
            <w:r w:rsidRPr="004D2DBE">
              <w:rPr>
                <w:rFonts w:ascii="Calibri" w:eastAsia="Calibri" w:hAnsi="Calibri" w:cs="Calibri"/>
                <w:sz w:val="22"/>
              </w:rPr>
              <w:t>3.87B</w:t>
            </w:r>
            <w:r w:rsidRPr="1C0B0DC0">
              <w:rPr>
                <w:rFonts w:ascii="Calibri" w:eastAsia="Calibri" w:hAnsi="Calibri" w:cs="Calibri"/>
                <w:sz w:val="22"/>
              </w:rPr>
              <w:t xml:space="preserve"> </w:t>
            </w:r>
            <w:r w:rsidRPr="3F49DD5F">
              <w:rPr>
                <w:rFonts w:ascii="Calibri" w:eastAsia="Calibri" w:hAnsi="Calibri" w:cs="Calibri"/>
                <w:sz w:val="22"/>
              </w:rPr>
              <w:t xml:space="preserve">as an </w:t>
            </w:r>
            <w:r w:rsidR="001A4509">
              <w:rPr>
                <w:rFonts w:ascii="Calibri" w:eastAsia="Calibri" w:hAnsi="Calibri" w:cs="Calibri"/>
                <w:sz w:val="22"/>
              </w:rPr>
              <w:t xml:space="preserve">additional </w:t>
            </w:r>
            <w:r w:rsidRPr="3F49DD5F">
              <w:rPr>
                <w:rFonts w:ascii="Calibri" w:eastAsia="Calibri" w:hAnsi="Calibri" w:cs="Calibri"/>
                <w:sz w:val="22"/>
              </w:rPr>
              <w:t>available method for estimating fugitive CO</w:t>
            </w:r>
            <w:r w:rsidRPr="3F49DD5F">
              <w:rPr>
                <w:rFonts w:ascii="Calibri" w:eastAsia="Calibri" w:hAnsi="Calibri" w:cs="Calibri"/>
                <w:sz w:val="22"/>
                <w:vertAlign w:val="subscript"/>
              </w:rPr>
              <w:t>2</w:t>
            </w:r>
            <w:r w:rsidRPr="3F49DD5F">
              <w:rPr>
                <w:rFonts w:ascii="Calibri" w:eastAsia="Calibri" w:hAnsi="Calibri" w:cs="Calibri"/>
                <w:sz w:val="22"/>
              </w:rPr>
              <w:t xml:space="preserve"> emissions from natural gas distribution.</w:t>
            </w:r>
          </w:p>
          <w:p w14:paraId="4DF84C27" w14:textId="77777777" w:rsidR="00FD7EB9" w:rsidRDefault="00FD7EB9" w:rsidP="007D214E">
            <w:pPr>
              <w:pStyle w:val="TableText"/>
              <w:keepLines/>
              <w:rPr>
                <w:rFonts w:ascii="Calibri" w:eastAsia="Calibri" w:hAnsi="Calibri" w:cs="Calibri"/>
                <w:sz w:val="22"/>
              </w:rPr>
            </w:pPr>
          </w:p>
        </w:tc>
      </w:tr>
      <w:tr w:rsidR="00FD7EB9" w14:paraId="2EF702B8" w14:textId="77777777" w:rsidTr="007D214E">
        <w:tc>
          <w:tcPr>
            <w:tcW w:w="972" w:type="dxa"/>
          </w:tcPr>
          <w:p w14:paraId="75A0B9E2" w14:textId="77777777" w:rsidR="00FD7EB9" w:rsidRDefault="00FD7EB9" w:rsidP="00FD7EB9">
            <w:pPr>
              <w:pStyle w:val="ListParagraph"/>
              <w:keepLines/>
              <w:numPr>
                <w:ilvl w:val="0"/>
                <w:numId w:val="13"/>
              </w:numPr>
            </w:pPr>
          </w:p>
        </w:tc>
        <w:tc>
          <w:tcPr>
            <w:tcW w:w="2000" w:type="dxa"/>
          </w:tcPr>
          <w:p w14:paraId="32081208" w14:textId="77777777" w:rsidR="00FD7EB9" w:rsidRPr="7EE7B1F9" w:rsidRDefault="00FD7EB9" w:rsidP="007D214E">
            <w:pPr>
              <w:keepLines/>
              <w:rPr>
                <w:rFonts w:ascii="Times New Roman" w:eastAsia="Times New Roman" w:hAnsi="Times New Roman" w:cs="Times New Roman"/>
              </w:rPr>
            </w:pPr>
            <w:r>
              <w:t>Subparagraph 3.88T(1)(b)(ii)</w:t>
            </w:r>
          </w:p>
        </w:tc>
        <w:tc>
          <w:tcPr>
            <w:tcW w:w="6088" w:type="dxa"/>
          </w:tcPr>
          <w:p w14:paraId="7AA88B5A" w14:textId="60880A66" w:rsidR="00FD7EB9" w:rsidRDefault="00FD7EB9" w:rsidP="007D214E">
            <w:pPr>
              <w:pStyle w:val="TableText"/>
              <w:keepLines/>
              <w:rPr>
                <w:sz w:val="22"/>
              </w:rPr>
            </w:pPr>
            <w:r w:rsidRPr="3F49DD5F">
              <w:rPr>
                <w:sz w:val="22"/>
              </w:rPr>
              <w:t>Omit</w:t>
            </w:r>
            <w:r w:rsidR="000859BA">
              <w:rPr>
                <w:sz w:val="22"/>
              </w:rPr>
              <w:t>s</w:t>
            </w:r>
            <w:r w:rsidRPr="3F49DD5F">
              <w:rPr>
                <w:sz w:val="22"/>
              </w:rPr>
              <w:t xml:space="preserve"> “and” </w:t>
            </w:r>
            <w:r>
              <w:rPr>
                <w:sz w:val="22"/>
              </w:rPr>
              <w:t>as an e</w:t>
            </w:r>
            <w:r w:rsidRPr="1C0B0DC0">
              <w:rPr>
                <w:sz w:val="22"/>
              </w:rPr>
              <w:t>ditorial</w:t>
            </w:r>
            <w:r w:rsidRPr="3F49DD5F">
              <w:rPr>
                <w:sz w:val="22"/>
              </w:rPr>
              <w:t xml:space="preserve"> correction.</w:t>
            </w:r>
          </w:p>
        </w:tc>
      </w:tr>
      <w:tr w:rsidR="00FD7EB9" w14:paraId="38D6AE75" w14:textId="77777777" w:rsidTr="007D214E">
        <w:trPr>
          <w:trHeight w:val="1365"/>
        </w:trPr>
        <w:tc>
          <w:tcPr>
            <w:tcW w:w="972" w:type="dxa"/>
          </w:tcPr>
          <w:p w14:paraId="55300C9B" w14:textId="77777777" w:rsidR="00FD7EB9" w:rsidRDefault="00FD7EB9" w:rsidP="00FD7EB9">
            <w:pPr>
              <w:pStyle w:val="ListParagraph"/>
              <w:keepLines/>
              <w:numPr>
                <w:ilvl w:val="0"/>
                <w:numId w:val="13"/>
              </w:numPr>
            </w:pPr>
          </w:p>
        </w:tc>
        <w:tc>
          <w:tcPr>
            <w:tcW w:w="2000" w:type="dxa"/>
          </w:tcPr>
          <w:p w14:paraId="2F608641" w14:textId="77777777" w:rsidR="00FD7EB9" w:rsidRPr="00A713B5" w:rsidRDefault="00FD7EB9" w:rsidP="007D214E">
            <w:pPr>
              <w:keepLines/>
            </w:pPr>
            <w:r>
              <w:t>At the end of paragraph 3.88T(1)(b)</w:t>
            </w:r>
          </w:p>
        </w:tc>
        <w:tc>
          <w:tcPr>
            <w:tcW w:w="6088" w:type="dxa"/>
          </w:tcPr>
          <w:p w14:paraId="250B2D54" w14:textId="3445C938" w:rsidR="00FD7EB9" w:rsidRDefault="00FD7EB9" w:rsidP="007D214E">
            <w:pPr>
              <w:pStyle w:val="TableText"/>
              <w:rPr>
                <w:rFonts w:ascii="Calibri" w:eastAsia="Calibri" w:hAnsi="Calibri" w:cs="Calibri"/>
                <w:sz w:val="22"/>
              </w:rPr>
            </w:pPr>
            <w:r w:rsidRPr="3F49DD5F">
              <w:rPr>
                <w:rFonts w:ascii="Calibri" w:eastAsia="Calibri" w:hAnsi="Calibri" w:cs="Calibri"/>
                <w:sz w:val="22"/>
              </w:rPr>
              <w:t xml:space="preserve">Insert a new subsection (iii) to include Method 2B </w:t>
            </w:r>
            <w:r w:rsidR="001A4509">
              <w:rPr>
                <w:rFonts w:ascii="Calibri" w:eastAsia="Calibri" w:hAnsi="Calibri" w:cs="Calibri"/>
                <w:sz w:val="22"/>
              </w:rPr>
              <w:t xml:space="preserve">from existing section </w:t>
            </w:r>
            <w:r w:rsidR="001A4509" w:rsidRPr="004D2DBE">
              <w:rPr>
                <w:rFonts w:ascii="Calibri" w:eastAsia="Calibri" w:hAnsi="Calibri" w:cs="Calibri"/>
                <w:sz w:val="22"/>
              </w:rPr>
              <w:t>3.87B</w:t>
            </w:r>
            <w:r w:rsidR="001A4509" w:rsidRPr="1C0B0DC0">
              <w:rPr>
                <w:rFonts w:ascii="Calibri" w:eastAsia="Calibri" w:hAnsi="Calibri" w:cs="Calibri"/>
                <w:sz w:val="22"/>
              </w:rPr>
              <w:t xml:space="preserve"> </w:t>
            </w:r>
            <w:r w:rsidRPr="3F49DD5F">
              <w:rPr>
                <w:rFonts w:ascii="Calibri" w:eastAsia="Calibri" w:hAnsi="Calibri" w:cs="Calibri"/>
                <w:sz w:val="22"/>
              </w:rPr>
              <w:t xml:space="preserve">as an </w:t>
            </w:r>
            <w:r w:rsidR="001A4509">
              <w:rPr>
                <w:rFonts w:ascii="Calibri" w:eastAsia="Calibri" w:hAnsi="Calibri" w:cs="Calibri"/>
                <w:sz w:val="22"/>
              </w:rPr>
              <w:t xml:space="preserve">additional </w:t>
            </w:r>
            <w:r w:rsidRPr="3F49DD5F">
              <w:rPr>
                <w:rFonts w:ascii="Calibri" w:eastAsia="Calibri" w:hAnsi="Calibri" w:cs="Calibri"/>
                <w:sz w:val="22"/>
              </w:rPr>
              <w:t>available method for estimating fugitive CH</w:t>
            </w:r>
            <w:r w:rsidRPr="3F49DD5F">
              <w:rPr>
                <w:rFonts w:ascii="Calibri" w:eastAsia="Calibri" w:hAnsi="Calibri" w:cs="Calibri"/>
                <w:sz w:val="22"/>
                <w:vertAlign w:val="subscript"/>
              </w:rPr>
              <w:t>4</w:t>
            </w:r>
            <w:r w:rsidRPr="3F49DD5F">
              <w:rPr>
                <w:rFonts w:ascii="Calibri" w:eastAsia="Calibri" w:hAnsi="Calibri" w:cs="Calibri"/>
                <w:sz w:val="22"/>
              </w:rPr>
              <w:t xml:space="preserve"> emissions from natural gas distribution.</w:t>
            </w:r>
          </w:p>
        </w:tc>
      </w:tr>
      <w:tr w:rsidR="008F0792" w14:paraId="1531AE4E" w14:textId="77777777" w:rsidTr="007D214E">
        <w:trPr>
          <w:trHeight w:val="1365"/>
        </w:trPr>
        <w:tc>
          <w:tcPr>
            <w:tcW w:w="972" w:type="dxa"/>
          </w:tcPr>
          <w:p w14:paraId="674856EF" w14:textId="77777777" w:rsidR="008F0792" w:rsidRDefault="008F0792" w:rsidP="00FD7EB9">
            <w:pPr>
              <w:pStyle w:val="ListParagraph"/>
              <w:keepLines/>
              <w:numPr>
                <w:ilvl w:val="0"/>
                <w:numId w:val="13"/>
              </w:numPr>
            </w:pPr>
          </w:p>
        </w:tc>
        <w:tc>
          <w:tcPr>
            <w:tcW w:w="2000" w:type="dxa"/>
          </w:tcPr>
          <w:p w14:paraId="5D3C02BD" w14:textId="5B93A9F1" w:rsidR="008F0792" w:rsidRDefault="008F0792" w:rsidP="007D214E">
            <w:pPr>
              <w:keepLines/>
            </w:pPr>
            <w:r>
              <w:t>Subsection 3.88T(2)</w:t>
            </w:r>
          </w:p>
        </w:tc>
        <w:tc>
          <w:tcPr>
            <w:tcW w:w="6088" w:type="dxa"/>
          </w:tcPr>
          <w:p w14:paraId="6241E66C" w14:textId="38A1100C" w:rsidR="008F0792" w:rsidRPr="3F49DD5F" w:rsidRDefault="00B23713" w:rsidP="007D214E">
            <w:pPr>
              <w:pStyle w:val="TableText"/>
              <w:rPr>
                <w:rFonts w:ascii="Calibri" w:eastAsia="Calibri" w:hAnsi="Calibri" w:cs="Calibri"/>
                <w:sz w:val="22"/>
              </w:rPr>
            </w:pPr>
            <w:r>
              <w:rPr>
                <w:rFonts w:ascii="Calibri" w:eastAsia="Calibri" w:hAnsi="Calibri" w:cs="Calibri"/>
                <w:sz w:val="22"/>
              </w:rPr>
              <w:t xml:space="preserve">Renumbers subsection to reflect changes made by item </w:t>
            </w:r>
            <w:r w:rsidRPr="00B31329">
              <w:rPr>
                <w:rFonts w:ascii="Calibri" w:eastAsia="Calibri" w:hAnsi="Calibri" w:cs="Calibri"/>
                <w:sz w:val="22"/>
              </w:rPr>
              <w:t>19.</w:t>
            </w:r>
          </w:p>
        </w:tc>
      </w:tr>
      <w:tr w:rsidR="00FD7EB9" w14:paraId="08044986" w14:textId="77777777" w:rsidTr="007D214E">
        <w:tc>
          <w:tcPr>
            <w:tcW w:w="972" w:type="dxa"/>
          </w:tcPr>
          <w:p w14:paraId="1EEF8829" w14:textId="77777777" w:rsidR="00FD7EB9" w:rsidRDefault="00FD7EB9" w:rsidP="00FD7EB9">
            <w:pPr>
              <w:pStyle w:val="ListParagraph"/>
              <w:keepLines/>
              <w:numPr>
                <w:ilvl w:val="0"/>
                <w:numId w:val="13"/>
              </w:numPr>
            </w:pPr>
          </w:p>
        </w:tc>
        <w:tc>
          <w:tcPr>
            <w:tcW w:w="2000" w:type="dxa"/>
          </w:tcPr>
          <w:p w14:paraId="66475593" w14:textId="6FAFD573" w:rsidR="00FD7EB9" w:rsidRPr="00A713B5" w:rsidRDefault="00FF1D6E" w:rsidP="007D214E">
            <w:pPr>
              <w:keepLines/>
            </w:pPr>
            <w:r>
              <w:t>After subsection 3.88T(1)</w:t>
            </w:r>
          </w:p>
        </w:tc>
        <w:tc>
          <w:tcPr>
            <w:tcW w:w="6088" w:type="dxa"/>
          </w:tcPr>
          <w:p w14:paraId="59AAC995" w14:textId="7D8C386F" w:rsidR="00FD7EB9" w:rsidRDefault="00FD7EB9" w:rsidP="007D214E">
            <w:pPr>
              <w:pStyle w:val="TableText"/>
              <w:rPr>
                <w:rFonts w:ascii="Calibri" w:eastAsia="Calibri" w:hAnsi="Calibri" w:cs="Calibri"/>
                <w:sz w:val="22"/>
              </w:rPr>
            </w:pPr>
            <w:r w:rsidRPr="3F49DD5F">
              <w:rPr>
                <w:rFonts w:ascii="Calibri" w:eastAsia="Calibri" w:hAnsi="Calibri" w:cs="Calibri"/>
                <w:sz w:val="22"/>
              </w:rPr>
              <w:t>Add</w:t>
            </w:r>
            <w:r w:rsidR="00B23713">
              <w:rPr>
                <w:rFonts w:ascii="Calibri" w:eastAsia="Calibri" w:hAnsi="Calibri" w:cs="Calibri"/>
                <w:sz w:val="22"/>
              </w:rPr>
              <w:t>s</w:t>
            </w:r>
            <w:r w:rsidRPr="3F49DD5F">
              <w:rPr>
                <w:rFonts w:ascii="Calibri" w:eastAsia="Calibri" w:hAnsi="Calibri" w:cs="Calibri"/>
                <w:sz w:val="22"/>
              </w:rPr>
              <w:t xml:space="preserve"> a subsection to </w:t>
            </w:r>
            <w:r w:rsidR="0026649C">
              <w:rPr>
                <w:rFonts w:ascii="Calibri" w:eastAsia="Calibri" w:hAnsi="Calibri" w:cs="Calibri"/>
                <w:sz w:val="22"/>
              </w:rPr>
              <w:t>require</w:t>
            </w:r>
            <w:r w:rsidR="0026649C" w:rsidRPr="3F49DD5F">
              <w:rPr>
                <w:rFonts w:ascii="Calibri" w:eastAsia="Calibri" w:hAnsi="Calibri" w:cs="Calibri"/>
                <w:sz w:val="22"/>
              </w:rPr>
              <w:t xml:space="preserve"> </w:t>
            </w:r>
            <w:r w:rsidRPr="3F49DD5F">
              <w:rPr>
                <w:rFonts w:ascii="Calibri" w:eastAsia="Calibri" w:hAnsi="Calibri" w:cs="Calibri"/>
                <w:sz w:val="22"/>
              </w:rPr>
              <w:t>that</w:t>
            </w:r>
            <w:r w:rsidR="0026649C">
              <w:rPr>
                <w:rFonts w:ascii="Calibri" w:eastAsia="Calibri" w:hAnsi="Calibri" w:cs="Calibri"/>
                <w:sz w:val="22"/>
              </w:rPr>
              <w:t>,</w:t>
            </w:r>
            <w:r w:rsidRPr="3F49DD5F">
              <w:rPr>
                <w:rFonts w:ascii="Calibri" w:eastAsia="Calibri" w:hAnsi="Calibri" w:cs="Calibri"/>
                <w:sz w:val="22"/>
              </w:rPr>
              <w:t xml:space="preserve"> if </w:t>
            </w:r>
            <w:r>
              <w:rPr>
                <w:rFonts w:ascii="Calibri" w:eastAsia="Calibri" w:hAnsi="Calibri" w:cs="Calibri"/>
                <w:sz w:val="22"/>
              </w:rPr>
              <w:t>M</w:t>
            </w:r>
            <w:r w:rsidRPr="3F49DD5F">
              <w:rPr>
                <w:rFonts w:ascii="Calibri" w:eastAsia="Calibri" w:hAnsi="Calibri" w:cs="Calibri"/>
                <w:sz w:val="22"/>
              </w:rPr>
              <w:t xml:space="preserve">ethod 2B has been used to estimate emissions of either </w:t>
            </w:r>
            <w:r w:rsidR="0026649C" w:rsidRPr="3F49DD5F">
              <w:rPr>
                <w:rFonts w:ascii="Calibri" w:eastAsia="Calibri" w:hAnsi="Calibri" w:cs="Calibri"/>
                <w:sz w:val="22"/>
              </w:rPr>
              <w:t>CH</w:t>
            </w:r>
            <w:r w:rsidR="0026649C" w:rsidRPr="3F49DD5F">
              <w:rPr>
                <w:rFonts w:ascii="Calibri" w:eastAsia="Calibri" w:hAnsi="Calibri" w:cs="Calibri"/>
                <w:sz w:val="22"/>
                <w:vertAlign w:val="subscript"/>
              </w:rPr>
              <w:t>4</w:t>
            </w:r>
            <w:r w:rsidR="0026649C">
              <w:rPr>
                <w:rFonts w:ascii="Calibri" w:eastAsia="Calibri" w:hAnsi="Calibri" w:cs="Calibri"/>
                <w:sz w:val="22"/>
              </w:rPr>
              <w:t xml:space="preserve"> </w:t>
            </w:r>
            <w:r w:rsidRPr="3F49DD5F">
              <w:rPr>
                <w:rFonts w:ascii="Calibri" w:eastAsia="Calibri" w:hAnsi="Calibri" w:cs="Calibri"/>
                <w:sz w:val="22"/>
              </w:rPr>
              <w:t xml:space="preserve">or </w:t>
            </w:r>
            <w:r w:rsidR="0026649C" w:rsidRPr="3F49DD5F">
              <w:rPr>
                <w:rFonts w:ascii="Calibri" w:eastAsia="Calibri" w:hAnsi="Calibri" w:cs="Calibri"/>
                <w:sz w:val="22"/>
              </w:rPr>
              <w:t>CO</w:t>
            </w:r>
            <w:r w:rsidR="0026649C" w:rsidRPr="3F49DD5F">
              <w:rPr>
                <w:rFonts w:ascii="Calibri" w:eastAsia="Calibri" w:hAnsi="Calibri" w:cs="Calibri"/>
                <w:sz w:val="22"/>
                <w:vertAlign w:val="subscript"/>
              </w:rPr>
              <w:t>2</w:t>
            </w:r>
            <w:r w:rsidRPr="3F49DD5F">
              <w:rPr>
                <w:rFonts w:ascii="Calibri" w:eastAsia="Calibri" w:hAnsi="Calibri" w:cs="Calibri"/>
                <w:sz w:val="22"/>
              </w:rPr>
              <w:t xml:space="preserve"> released</w:t>
            </w:r>
            <w:r>
              <w:rPr>
                <w:rFonts w:ascii="Calibri" w:eastAsia="Calibri" w:hAnsi="Calibri" w:cs="Calibri"/>
                <w:sz w:val="22"/>
              </w:rPr>
              <w:t xml:space="preserve"> from gas flared during natural gas distribution</w:t>
            </w:r>
            <w:r w:rsidRPr="3F49DD5F">
              <w:rPr>
                <w:rFonts w:ascii="Calibri" w:eastAsia="Calibri" w:hAnsi="Calibri" w:cs="Calibri"/>
                <w:sz w:val="22"/>
              </w:rPr>
              <w:t xml:space="preserve">, </w:t>
            </w:r>
            <w:r w:rsidR="0026649C">
              <w:rPr>
                <w:rFonts w:ascii="Calibri" w:eastAsia="Calibri" w:hAnsi="Calibri" w:cs="Calibri"/>
                <w:sz w:val="22"/>
              </w:rPr>
              <w:t xml:space="preserve">Method 2B </w:t>
            </w:r>
            <w:r w:rsidR="00077355">
              <w:rPr>
                <w:rFonts w:ascii="Calibri" w:eastAsia="Calibri" w:hAnsi="Calibri" w:cs="Calibri"/>
                <w:sz w:val="22"/>
              </w:rPr>
              <w:t xml:space="preserve">must </w:t>
            </w:r>
            <w:r w:rsidR="00077355" w:rsidRPr="3F49DD5F">
              <w:rPr>
                <w:rFonts w:ascii="Calibri" w:eastAsia="Calibri" w:hAnsi="Calibri" w:cs="Calibri"/>
                <w:sz w:val="22"/>
              </w:rPr>
              <w:t>be</w:t>
            </w:r>
            <w:r w:rsidRPr="3F49DD5F">
              <w:rPr>
                <w:rFonts w:ascii="Calibri" w:eastAsia="Calibri" w:hAnsi="Calibri" w:cs="Calibri"/>
                <w:sz w:val="22"/>
              </w:rPr>
              <w:t xml:space="preserve"> used to estimate emissions of </w:t>
            </w:r>
            <w:r w:rsidR="0026649C">
              <w:rPr>
                <w:rFonts w:ascii="Calibri" w:eastAsia="Calibri" w:hAnsi="Calibri" w:cs="Calibri"/>
                <w:sz w:val="22"/>
              </w:rPr>
              <w:t>both gases</w:t>
            </w:r>
            <w:r w:rsidRPr="3F49DD5F">
              <w:rPr>
                <w:rFonts w:ascii="Calibri" w:eastAsia="Calibri" w:hAnsi="Calibri" w:cs="Calibri"/>
                <w:sz w:val="22"/>
              </w:rPr>
              <w:t>.</w:t>
            </w:r>
          </w:p>
        </w:tc>
      </w:tr>
      <w:tr w:rsidR="00FD7EB9" w14:paraId="4260ED3C" w14:textId="77777777" w:rsidTr="007D214E">
        <w:tc>
          <w:tcPr>
            <w:tcW w:w="972" w:type="dxa"/>
          </w:tcPr>
          <w:p w14:paraId="27855ED7" w14:textId="77777777" w:rsidR="00FD7EB9" w:rsidRDefault="00FD7EB9" w:rsidP="00FD7EB9">
            <w:pPr>
              <w:pStyle w:val="ListParagraph"/>
              <w:keepLines/>
              <w:numPr>
                <w:ilvl w:val="0"/>
                <w:numId w:val="13"/>
              </w:numPr>
            </w:pPr>
          </w:p>
        </w:tc>
        <w:tc>
          <w:tcPr>
            <w:tcW w:w="2000" w:type="dxa"/>
          </w:tcPr>
          <w:p w14:paraId="42942AAF" w14:textId="77777777" w:rsidR="00FD7EB9" w:rsidRDefault="00FD7EB9" w:rsidP="007D214E">
            <w:pPr>
              <w:keepLines/>
            </w:pPr>
            <w:r>
              <w:t>Subsection 5.25(5)</w:t>
            </w:r>
          </w:p>
        </w:tc>
        <w:tc>
          <w:tcPr>
            <w:tcW w:w="6088" w:type="dxa"/>
          </w:tcPr>
          <w:p w14:paraId="4936477A" w14:textId="623E719C" w:rsidR="00FD7EB9" w:rsidRPr="00A5375B" w:rsidRDefault="00DC3644" w:rsidP="007D214E">
            <w:pPr>
              <w:keepLines/>
            </w:pPr>
            <w:r>
              <w:t xml:space="preserve">Updates </w:t>
            </w:r>
            <w:r w:rsidR="001B7689">
              <w:t xml:space="preserve">the </w:t>
            </w:r>
            <w:r w:rsidR="00023201">
              <w:t xml:space="preserve">method 1 </w:t>
            </w:r>
            <w:r w:rsidR="001B7689">
              <w:t xml:space="preserve">equation for the estimation of </w:t>
            </w:r>
            <w:r w:rsidR="00655929">
              <w:t>C</w:t>
            </w:r>
            <w:r w:rsidR="00023201">
              <w:t>H</w:t>
            </w:r>
            <w:r w:rsidR="00655929" w:rsidRPr="00023201">
              <w:rPr>
                <w:vertAlign w:val="subscript"/>
              </w:rPr>
              <w:t>4</w:t>
            </w:r>
            <w:r w:rsidR="00655929">
              <w:t xml:space="preserve"> generated from domestic wastewater </w:t>
            </w:r>
            <w:r w:rsidR="00135D50">
              <w:t>handling</w:t>
            </w:r>
            <w:r w:rsidR="00655929">
              <w:t xml:space="preserve"> to include a term</w:t>
            </w:r>
            <w:r w:rsidR="00110B36">
              <w:t xml:space="preserve"> (</w:t>
            </w:r>
            <w:r w:rsidR="007F10F9" w:rsidRPr="002F051B">
              <w:rPr>
                <w:i/>
              </w:rPr>
              <w:t>COD</w:t>
            </w:r>
            <w:r w:rsidR="007F10F9" w:rsidRPr="002F051B">
              <w:rPr>
                <w:i/>
                <w:vertAlign w:val="subscript"/>
              </w:rPr>
              <w:t>trb</w:t>
            </w:r>
            <w:r w:rsidR="007F10F9">
              <w:t>)</w:t>
            </w:r>
            <w:r w:rsidR="00655929">
              <w:t xml:space="preserve"> for sludge diverted to biochar production</w:t>
            </w:r>
            <w:r w:rsidR="00151CB8">
              <w:t>.</w:t>
            </w:r>
          </w:p>
        </w:tc>
      </w:tr>
      <w:tr w:rsidR="00FD7EB9" w14:paraId="6922438A" w14:textId="77777777" w:rsidTr="007D214E">
        <w:tc>
          <w:tcPr>
            <w:tcW w:w="972" w:type="dxa"/>
          </w:tcPr>
          <w:p w14:paraId="1B79EF71" w14:textId="77777777" w:rsidR="00FD7EB9" w:rsidRDefault="00FD7EB9" w:rsidP="00FD7EB9">
            <w:pPr>
              <w:pStyle w:val="ListParagraph"/>
              <w:keepLines/>
              <w:numPr>
                <w:ilvl w:val="0"/>
                <w:numId w:val="13"/>
              </w:numPr>
            </w:pPr>
          </w:p>
        </w:tc>
        <w:tc>
          <w:tcPr>
            <w:tcW w:w="2000" w:type="dxa"/>
          </w:tcPr>
          <w:p w14:paraId="2FE370F5" w14:textId="7D464B08" w:rsidR="00FD7EB9" w:rsidRDefault="00FD7EB9" w:rsidP="007D214E">
            <w:pPr>
              <w:keepLines/>
            </w:pPr>
            <w:r w:rsidRPr="00AD7FB6">
              <w:t>Subsection 5.25(5)</w:t>
            </w:r>
            <w:r w:rsidR="00077355">
              <w:t xml:space="preserve"> (after the definition of </w:t>
            </w:r>
            <w:r w:rsidR="00077355" w:rsidRPr="002F15A8">
              <w:rPr>
                <w:i/>
              </w:rPr>
              <w:t>COD</w:t>
            </w:r>
            <w:r w:rsidR="00077355" w:rsidRPr="00D95E4D">
              <w:rPr>
                <w:rStyle w:val="charSubscript"/>
                <w:i/>
              </w:rPr>
              <w:t>trl</w:t>
            </w:r>
            <w:r w:rsidR="00077355">
              <w:rPr>
                <w:rStyle w:val="charSubscript"/>
                <w:iCs/>
                <w:sz w:val="24"/>
                <w:szCs w:val="24"/>
              </w:rPr>
              <w:t>)</w:t>
            </w:r>
          </w:p>
        </w:tc>
        <w:tc>
          <w:tcPr>
            <w:tcW w:w="6088" w:type="dxa"/>
          </w:tcPr>
          <w:p w14:paraId="4371359B" w14:textId="0FEDD63D" w:rsidR="00FD7EB9" w:rsidRPr="00A5375B" w:rsidRDefault="00EB74EB" w:rsidP="007D214E">
            <w:pPr>
              <w:keepLines/>
            </w:pPr>
            <w:r>
              <w:t xml:space="preserve">Defines the term </w:t>
            </w:r>
            <w:r w:rsidRPr="002F051B">
              <w:rPr>
                <w:i/>
              </w:rPr>
              <w:t>COD</w:t>
            </w:r>
            <w:r w:rsidRPr="002F051B">
              <w:rPr>
                <w:b/>
                <w:i/>
                <w:vertAlign w:val="subscript"/>
              </w:rPr>
              <w:t>trb</w:t>
            </w:r>
            <w:r w:rsidR="00151CB8">
              <w:rPr>
                <w:b/>
                <w:i/>
                <w:vertAlign w:val="subscript"/>
              </w:rPr>
              <w:t>.</w:t>
            </w:r>
          </w:p>
        </w:tc>
      </w:tr>
      <w:tr w:rsidR="00FD7EB9" w14:paraId="77B86901" w14:textId="77777777" w:rsidTr="007D214E">
        <w:tc>
          <w:tcPr>
            <w:tcW w:w="972" w:type="dxa"/>
          </w:tcPr>
          <w:p w14:paraId="6285E2DE" w14:textId="77777777" w:rsidR="00FD7EB9" w:rsidRDefault="00FD7EB9" w:rsidP="00FD7EB9">
            <w:pPr>
              <w:pStyle w:val="ListParagraph"/>
              <w:keepLines/>
              <w:numPr>
                <w:ilvl w:val="0"/>
                <w:numId w:val="13"/>
              </w:numPr>
            </w:pPr>
          </w:p>
        </w:tc>
        <w:tc>
          <w:tcPr>
            <w:tcW w:w="2000" w:type="dxa"/>
          </w:tcPr>
          <w:p w14:paraId="455D4167" w14:textId="77777777" w:rsidR="00FD7EB9" w:rsidRPr="00AD7FB6" w:rsidRDefault="00FD7EB9" w:rsidP="007D214E">
            <w:pPr>
              <w:keepLines/>
            </w:pPr>
            <w:r>
              <w:t xml:space="preserve">Subsection 5.25(5) (definition of </w:t>
            </w:r>
            <w:r w:rsidRPr="4BB75F65">
              <w:rPr>
                <w:i/>
                <w:iCs/>
              </w:rPr>
              <w:t>COD</w:t>
            </w:r>
            <w:r w:rsidRPr="4BB75F65">
              <w:rPr>
                <w:rStyle w:val="charSubscript"/>
                <w:i/>
                <w:iCs/>
                <w:sz w:val="24"/>
                <w:szCs w:val="24"/>
              </w:rPr>
              <w:t>tro)</w:t>
            </w:r>
          </w:p>
        </w:tc>
        <w:tc>
          <w:tcPr>
            <w:tcW w:w="6088" w:type="dxa"/>
          </w:tcPr>
          <w:p w14:paraId="25A2F5B2" w14:textId="79D3A746" w:rsidR="00FD7EB9" w:rsidRPr="00A5375B" w:rsidRDefault="00BE10FA" w:rsidP="007D214E">
            <w:pPr>
              <w:keepLines/>
            </w:pPr>
            <w:r>
              <w:t xml:space="preserve">Updates the definition of </w:t>
            </w:r>
            <w:r w:rsidRPr="006577B7">
              <w:rPr>
                <w:i/>
              </w:rPr>
              <w:t>COD</w:t>
            </w:r>
            <w:r w:rsidR="00734615" w:rsidRPr="006577B7">
              <w:rPr>
                <w:i/>
                <w:vertAlign w:val="subscript"/>
              </w:rPr>
              <w:t>tro</w:t>
            </w:r>
            <w:r w:rsidR="00151CB8">
              <w:rPr>
                <w:i/>
                <w:vertAlign w:val="subscript"/>
              </w:rPr>
              <w:t>.</w:t>
            </w:r>
          </w:p>
        </w:tc>
      </w:tr>
      <w:tr w:rsidR="00FD7EB9" w14:paraId="49B2B898" w14:textId="77777777" w:rsidTr="007D214E">
        <w:tc>
          <w:tcPr>
            <w:tcW w:w="972" w:type="dxa"/>
          </w:tcPr>
          <w:p w14:paraId="78A1462B" w14:textId="77777777" w:rsidR="00FD7EB9" w:rsidRDefault="00FD7EB9" w:rsidP="00FD7EB9">
            <w:pPr>
              <w:pStyle w:val="ListParagraph"/>
              <w:keepLines/>
              <w:numPr>
                <w:ilvl w:val="0"/>
                <w:numId w:val="13"/>
              </w:numPr>
            </w:pPr>
          </w:p>
        </w:tc>
        <w:tc>
          <w:tcPr>
            <w:tcW w:w="2000" w:type="dxa"/>
          </w:tcPr>
          <w:p w14:paraId="5E0DD4BC" w14:textId="77777777" w:rsidR="00FD7EB9" w:rsidRDefault="00FD7EB9" w:rsidP="007D214E">
            <w:pPr>
              <w:keepLines/>
            </w:pPr>
            <w:r>
              <w:t>Subsection 5.26(2), Step 1</w:t>
            </w:r>
          </w:p>
        </w:tc>
        <w:tc>
          <w:tcPr>
            <w:tcW w:w="6088" w:type="dxa"/>
          </w:tcPr>
          <w:p w14:paraId="53A7068A" w14:textId="22E809D5" w:rsidR="00FD7EB9" w:rsidRPr="00A5375B" w:rsidRDefault="00023201" w:rsidP="007D214E">
            <w:pPr>
              <w:keepLines/>
            </w:pPr>
            <w:r>
              <w:t>Updates the method 2 equation for the estimation of</w:t>
            </w:r>
            <w:r w:rsidR="00CE3A2D">
              <w:t xml:space="preserve"> the ratio</w:t>
            </w:r>
            <w:r>
              <w:t xml:space="preserve"> CH</w:t>
            </w:r>
            <w:r w:rsidRPr="00023201">
              <w:rPr>
                <w:vertAlign w:val="subscript"/>
              </w:rPr>
              <w:t>4</w:t>
            </w:r>
            <w:r>
              <w:t xml:space="preserve"> </w:t>
            </w:r>
            <w:r w:rsidR="008B3B0B">
              <w:t>capt</w:t>
            </w:r>
            <w:r w:rsidR="003C6F0D">
              <w:t>ured</w:t>
            </w:r>
            <w:r w:rsidR="00CE3A2D">
              <w:t xml:space="preserve"> to CH</w:t>
            </w:r>
            <w:r w:rsidR="00CE3A2D" w:rsidRPr="00CE3A2D">
              <w:rPr>
                <w:vertAlign w:val="subscript"/>
              </w:rPr>
              <w:t>4</w:t>
            </w:r>
            <w:r w:rsidR="00CE3A2D">
              <w:t xml:space="preserve"> generated</w:t>
            </w:r>
            <w:r>
              <w:t xml:space="preserve"> from </w:t>
            </w:r>
            <w:r w:rsidR="00BE7950">
              <w:t>sub</w:t>
            </w:r>
            <w:r w:rsidR="00F245C2">
              <w:t xml:space="preserve">-facilities at a </w:t>
            </w:r>
            <w:r>
              <w:t xml:space="preserve">domestic wastewater </w:t>
            </w:r>
            <w:r w:rsidR="00135D50">
              <w:t>handling</w:t>
            </w:r>
            <w:r>
              <w:t xml:space="preserve"> to include a term (</w:t>
            </w:r>
            <w:r w:rsidRPr="006577B7">
              <w:rPr>
                <w:i/>
              </w:rPr>
              <w:t>COD</w:t>
            </w:r>
            <w:r w:rsidRPr="006577B7">
              <w:rPr>
                <w:i/>
                <w:vertAlign w:val="subscript"/>
              </w:rPr>
              <w:t>trb</w:t>
            </w:r>
            <w:r w:rsidR="005214EB" w:rsidRPr="006577B7">
              <w:rPr>
                <w:i/>
                <w:vertAlign w:val="subscript"/>
              </w:rPr>
              <w:t>z</w:t>
            </w:r>
            <w:r>
              <w:t>) for sludge diverted to biochar production</w:t>
            </w:r>
            <w:r w:rsidR="00243021">
              <w:t>.</w:t>
            </w:r>
          </w:p>
        </w:tc>
      </w:tr>
      <w:tr w:rsidR="00FD7EB9" w14:paraId="2E0F7FE6" w14:textId="77777777" w:rsidTr="007D214E">
        <w:tc>
          <w:tcPr>
            <w:tcW w:w="972" w:type="dxa"/>
          </w:tcPr>
          <w:p w14:paraId="68607E9A" w14:textId="77777777" w:rsidR="00FD7EB9" w:rsidRDefault="00FD7EB9" w:rsidP="00FD7EB9">
            <w:pPr>
              <w:pStyle w:val="ListParagraph"/>
              <w:keepLines/>
              <w:numPr>
                <w:ilvl w:val="0"/>
                <w:numId w:val="13"/>
              </w:numPr>
            </w:pPr>
          </w:p>
        </w:tc>
        <w:tc>
          <w:tcPr>
            <w:tcW w:w="2000" w:type="dxa"/>
          </w:tcPr>
          <w:p w14:paraId="58E5BC8D" w14:textId="2E245255" w:rsidR="00FD7EB9" w:rsidRDefault="00FD7EB9" w:rsidP="007D214E">
            <w:pPr>
              <w:keepLines/>
            </w:pPr>
            <w:r>
              <w:t>Subsection 5.26(2), Step 1</w:t>
            </w:r>
            <w:r w:rsidR="00A12348">
              <w:t xml:space="preserve"> (after the definition of </w:t>
            </w:r>
            <w:r w:rsidR="00A12348" w:rsidRPr="002F15A8">
              <w:rPr>
                <w:i/>
              </w:rPr>
              <w:t>COD</w:t>
            </w:r>
            <w:r w:rsidR="00A12348" w:rsidRPr="00D95E4D">
              <w:rPr>
                <w:rStyle w:val="charSubscript"/>
                <w:i/>
              </w:rPr>
              <w:t>trlz</w:t>
            </w:r>
            <w:r w:rsidR="00A12348">
              <w:rPr>
                <w:rStyle w:val="charSubscript"/>
                <w:iCs/>
                <w:sz w:val="24"/>
                <w:szCs w:val="24"/>
              </w:rPr>
              <w:t>)</w:t>
            </w:r>
          </w:p>
        </w:tc>
        <w:tc>
          <w:tcPr>
            <w:tcW w:w="6088" w:type="dxa"/>
          </w:tcPr>
          <w:p w14:paraId="007F4890" w14:textId="765CC9AE" w:rsidR="00FD7EB9" w:rsidRPr="00A5375B" w:rsidRDefault="00023201" w:rsidP="007D214E">
            <w:pPr>
              <w:keepLines/>
            </w:pPr>
            <w:r>
              <w:t xml:space="preserve">Defines the term </w:t>
            </w:r>
            <w:r w:rsidRPr="006577B7">
              <w:rPr>
                <w:i/>
              </w:rPr>
              <w:t>COD</w:t>
            </w:r>
            <w:r w:rsidRPr="006577B7">
              <w:rPr>
                <w:i/>
                <w:vertAlign w:val="subscript"/>
              </w:rPr>
              <w:t>trbz</w:t>
            </w:r>
            <w:r w:rsidR="00243021">
              <w:t>.</w:t>
            </w:r>
          </w:p>
        </w:tc>
      </w:tr>
      <w:tr w:rsidR="00FD7EB9" w14:paraId="6F763733" w14:textId="77777777" w:rsidTr="007D214E">
        <w:tc>
          <w:tcPr>
            <w:tcW w:w="972" w:type="dxa"/>
          </w:tcPr>
          <w:p w14:paraId="23AA6E41" w14:textId="77777777" w:rsidR="00FD7EB9" w:rsidRDefault="00FD7EB9" w:rsidP="00FD7EB9">
            <w:pPr>
              <w:pStyle w:val="ListParagraph"/>
              <w:keepLines/>
              <w:numPr>
                <w:ilvl w:val="0"/>
                <w:numId w:val="13"/>
              </w:numPr>
            </w:pPr>
          </w:p>
        </w:tc>
        <w:tc>
          <w:tcPr>
            <w:tcW w:w="2000" w:type="dxa"/>
          </w:tcPr>
          <w:p w14:paraId="5C546E78" w14:textId="77777777" w:rsidR="00FD7EB9" w:rsidRDefault="00FD7EB9" w:rsidP="007D214E">
            <w:pPr>
              <w:keepLines/>
            </w:pPr>
            <w:r>
              <w:t xml:space="preserve">Subsection 5.26(2), Step 1, definition of </w:t>
            </w:r>
            <w:r>
              <w:rPr>
                <w:i/>
                <w:iCs/>
              </w:rPr>
              <w:t>COD</w:t>
            </w:r>
            <w:r w:rsidRPr="001B6362">
              <w:rPr>
                <w:i/>
                <w:iCs/>
                <w:vertAlign w:val="subscript"/>
              </w:rPr>
              <w:t>troz</w:t>
            </w:r>
          </w:p>
        </w:tc>
        <w:tc>
          <w:tcPr>
            <w:tcW w:w="6088" w:type="dxa"/>
          </w:tcPr>
          <w:p w14:paraId="2E1ED24A" w14:textId="62077B5A" w:rsidR="00FD7EB9" w:rsidRPr="00A5375B" w:rsidRDefault="00AF0FDE" w:rsidP="007D214E">
            <w:pPr>
              <w:keepLines/>
            </w:pPr>
            <w:r>
              <w:t xml:space="preserve">Updates the definition of </w:t>
            </w:r>
            <w:r w:rsidRPr="006577B7">
              <w:rPr>
                <w:i/>
              </w:rPr>
              <w:t>COD</w:t>
            </w:r>
            <w:r w:rsidRPr="006577B7">
              <w:rPr>
                <w:i/>
                <w:vertAlign w:val="subscript"/>
              </w:rPr>
              <w:t>troz</w:t>
            </w:r>
            <w:r w:rsidR="00243021">
              <w:t>.</w:t>
            </w:r>
          </w:p>
        </w:tc>
      </w:tr>
      <w:tr w:rsidR="00FD7EB9" w14:paraId="73D98E47" w14:textId="77777777" w:rsidTr="007D214E">
        <w:tc>
          <w:tcPr>
            <w:tcW w:w="972" w:type="dxa"/>
          </w:tcPr>
          <w:p w14:paraId="253082F6" w14:textId="77777777" w:rsidR="00FD7EB9" w:rsidRDefault="00FD7EB9" w:rsidP="00FD7EB9">
            <w:pPr>
              <w:pStyle w:val="ListParagraph"/>
              <w:keepLines/>
              <w:numPr>
                <w:ilvl w:val="0"/>
                <w:numId w:val="13"/>
              </w:numPr>
            </w:pPr>
          </w:p>
        </w:tc>
        <w:tc>
          <w:tcPr>
            <w:tcW w:w="2000" w:type="dxa"/>
          </w:tcPr>
          <w:p w14:paraId="511CCC57" w14:textId="77777777" w:rsidR="00FD7EB9" w:rsidRDefault="00FD7EB9" w:rsidP="007D214E">
            <w:pPr>
              <w:keepLines/>
            </w:pPr>
            <w:r>
              <w:t>Subsection 5.26(2), Step 2</w:t>
            </w:r>
          </w:p>
        </w:tc>
        <w:tc>
          <w:tcPr>
            <w:tcW w:w="6088" w:type="dxa"/>
          </w:tcPr>
          <w:p w14:paraId="58D80F8E" w14:textId="7EDE2902" w:rsidR="00FD7EB9" w:rsidRPr="00A5375B" w:rsidRDefault="00671B95" w:rsidP="007D214E">
            <w:pPr>
              <w:keepLines/>
            </w:pPr>
            <w:r>
              <w:t>Updates the method 2 equation for the estimation of CH</w:t>
            </w:r>
            <w:r w:rsidRPr="00023201">
              <w:rPr>
                <w:vertAlign w:val="subscript"/>
              </w:rPr>
              <w:t>4</w:t>
            </w:r>
            <w:r>
              <w:t xml:space="preserve"> </w:t>
            </w:r>
            <w:r w:rsidR="006F1C70">
              <w:t>generated</w:t>
            </w:r>
            <w:r>
              <w:t xml:space="preserve"> from sub-facilities at a domestic wastewater </w:t>
            </w:r>
            <w:r w:rsidR="00135D50">
              <w:t>handling</w:t>
            </w:r>
            <w:r w:rsidR="00285E0F">
              <w:t xml:space="preserve"> where the capture to generation ratio is less than or equal to 1.00</w:t>
            </w:r>
            <w:r>
              <w:t xml:space="preserve"> to include a term (</w:t>
            </w:r>
            <w:r w:rsidRPr="006577B7">
              <w:rPr>
                <w:i/>
              </w:rPr>
              <w:t>COD</w:t>
            </w:r>
            <w:r w:rsidRPr="006577B7">
              <w:rPr>
                <w:i/>
                <w:vertAlign w:val="subscript"/>
              </w:rPr>
              <w:t>trbz</w:t>
            </w:r>
            <w:r>
              <w:t>) for sludge diverted to biochar production</w:t>
            </w:r>
            <w:r w:rsidR="00151CB8">
              <w:t>.</w:t>
            </w:r>
          </w:p>
        </w:tc>
      </w:tr>
      <w:tr w:rsidR="00FD7EB9" w14:paraId="1C4C3A60" w14:textId="77777777" w:rsidTr="007D214E">
        <w:tc>
          <w:tcPr>
            <w:tcW w:w="972" w:type="dxa"/>
          </w:tcPr>
          <w:p w14:paraId="7C3435DF" w14:textId="77777777" w:rsidR="00FD7EB9" w:rsidRDefault="00FD7EB9" w:rsidP="00FD7EB9">
            <w:pPr>
              <w:pStyle w:val="ListParagraph"/>
              <w:keepLines/>
              <w:numPr>
                <w:ilvl w:val="0"/>
                <w:numId w:val="13"/>
              </w:numPr>
            </w:pPr>
          </w:p>
        </w:tc>
        <w:tc>
          <w:tcPr>
            <w:tcW w:w="2000" w:type="dxa"/>
          </w:tcPr>
          <w:p w14:paraId="7A03A46B" w14:textId="5F6AF0FD" w:rsidR="00FD7EB9" w:rsidRDefault="00FD7EB9" w:rsidP="007D214E">
            <w:pPr>
              <w:keepLines/>
            </w:pPr>
            <w:r>
              <w:t>Subsection 5.26(2), Step 2</w:t>
            </w:r>
            <w:r w:rsidR="00B94F47">
              <w:t xml:space="preserve"> (after the definition of </w:t>
            </w:r>
            <w:r w:rsidR="00B94F47" w:rsidRPr="002F15A8">
              <w:rPr>
                <w:i/>
              </w:rPr>
              <w:t>COD</w:t>
            </w:r>
            <w:r w:rsidR="00B94F47" w:rsidRPr="00D95E4D">
              <w:rPr>
                <w:rStyle w:val="charSubscript"/>
                <w:i/>
              </w:rPr>
              <w:t>trlz</w:t>
            </w:r>
            <w:r w:rsidR="00B94F47">
              <w:rPr>
                <w:rStyle w:val="charSubscript"/>
                <w:iCs/>
                <w:sz w:val="24"/>
                <w:szCs w:val="24"/>
              </w:rPr>
              <w:t>)</w:t>
            </w:r>
          </w:p>
        </w:tc>
        <w:tc>
          <w:tcPr>
            <w:tcW w:w="6088" w:type="dxa"/>
          </w:tcPr>
          <w:p w14:paraId="78C7992D" w14:textId="1A8613D4" w:rsidR="00FD7EB9" w:rsidRPr="00A5375B" w:rsidRDefault="004900DC" w:rsidP="007D214E">
            <w:pPr>
              <w:keepLines/>
            </w:pPr>
            <w:r>
              <w:t xml:space="preserve">Defines the term </w:t>
            </w:r>
            <w:r w:rsidRPr="006577B7">
              <w:rPr>
                <w:i/>
              </w:rPr>
              <w:t>COD</w:t>
            </w:r>
            <w:r w:rsidRPr="006577B7">
              <w:rPr>
                <w:i/>
                <w:vertAlign w:val="subscript"/>
              </w:rPr>
              <w:t>trbz</w:t>
            </w:r>
            <w:r>
              <w:t>.</w:t>
            </w:r>
          </w:p>
        </w:tc>
      </w:tr>
      <w:tr w:rsidR="006A1BD4" w14:paraId="52D703DD" w14:textId="77777777">
        <w:tc>
          <w:tcPr>
            <w:tcW w:w="972" w:type="dxa"/>
          </w:tcPr>
          <w:p w14:paraId="7C2F4E16" w14:textId="77777777" w:rsidR="006A1BD4" w:rsidRDefault="006A1BD4" w:rsidP="00FD7EB9">
            <w:pPr>
              <w:pStyle w:val="ListParagraph"/>
              <w:keepLines/>
              <w:numPr>
                <w:ilvl w:val="0"/>
                <w:numId w:val="13"/>
              </w:numPr>
            </w:pPr>
          </w:p>
        </w:tc>
        <w:tc>
          <w:tcPr>
            <w:tcW w:w="2000" w:type="dxa"/>
          </w:tcPr>
          <w:p w14:paraId="3DD3899E" w14:textId="3AC30FC5" w:rsidR="006A1BD4" w:rsidRDefault="00EF2EF9">
            <w:pPr>
              <w:keepLines/>
            </w:pPr>
            <w:r>
              <w:t>Subsection 5.31(7), (table item 2, column headed “</w:t>
            </w:r>
            <w:r w:rsidRPr="00AB68C6">
              <w:rPr>
                <w:i/>
                <w:iCs/>
              </w:rPr>
              <w:t>EF</w:t>
            </w:r>
            <w:r w:rsidRPr="00AB68C6">
              <w:rPr>
                <w:i/>
                <w:iCs/>
                <w:vertAlign w:val="subscript"/>
              </w:rPr>
              <w:t>disij</w:t>
            </w:r>
            <w:r>
              <w:t>”)</w:t>
            </w:r>
          </w:p>
        </w:tc>
        <w:tc>
          <w:tcPr>
            <w:tcW w:w="6088" w:type="dxa"/>
          </w:tcPr>
          <w:p w14:paraId="77535454" w14:textId="255578EF" w:rsidR="006A1BD4" w:rsidRDefault="004C5E91">
            <w:pPr>
              <w:keepLines/>
            </w:pPr>
            <w:r>
              <w:t>Updates the N</w:t>
            </w:r>
            <w:r w:rsidRPr="00270003">
              <w:rPr>
                <w:vertAlign w:val="subscript"/>
              </w:rPr>
              <w:t>2</w:t>
            </w:r>
            <w:r>
              <w:t>O emission factor for effluent discharged to estuaries from 1.026 to 1.041</w:t>
            </w:r>
            <w:r w:rsidR="009E09FE">
              <w:t>.</w:t>
            </w:r>
          </w:p>
        </w:tc>
      </w:tr>
      <w:tr w:rsidR="00FD7EB9" w14:paraId="3093E408" w14:textId="77777777" w:rsidTr="007D214E">
        <w:tc>
          <w:tcPr>
            <w:tcW w:w="972" w:type="dxa"/>
          </w:tcPr>
          <w:p w14:paraId="3368456D" w14:textId="77777777" w:rsidR="00FD7EB9" w:rsidRDefault="00FD7EB9" w:rsidP="00FD7EB9">
            <w:pPr>
              <w:pStyle w:val="ListParagraph"/>
              <w:keepLines/>
              <w:numPr>
                <w:ilvl w:val="0"/>
                <w:numId w:val="13"/>
              </w:numPr>
            </w:pPr>
          </w:p>
        </w:tc>
        <w:tc>
          <w:tcPr>
            <w:tcW w:w="2000" w:type="dxa"/>
          </w:tcPr>
          <w:p w14:paraId="423C2430" w14:textId="77777777" w:rsidR="00FD7EB9" w:rsidRDefault="00FD7EB9" w:rsidP="007D214E">
            <w:pPr>
              <w:keepLines/>
            </w:pPr>
            <w:r>
              <w:t>Subsection 5.42(5)</w:t>
            </w:r>
          </w:p>
        </w:tc>
        <w:tc>
          <w:tcPr>
            <w:tcW w:w="6088" w:type="dxa"/>
          </w:tcPr>
          <w:p w14:paraId="18452B1E" w14:textId="32408BAC" w:rsidR="00FD7EB9" w:rsidRPr="00A5375B" w:rsidRDefault="00A109A3" w:rsidP="007D214E">
            <w:pPr>
              <w:keepLines/>
            </w:pPr>
            <w:r>
              <w:t>Updates the method 1 equation for the estimation of CH</w:t>
            </w:r>
            <w:r w:rsidRPr="00023201">
              <w:rPr>
                <w:vertAlign w:val="subscript"/>
              </w:rPr>
              <w:t>4</w:t>
            </w:r>
            <w:r>
              <w:t xml:space="preserve"> generated from industrial wastewater handling to include a term (</w:t>
            </w:r>
            <w:r w:rsidRPr="002F14BD">
              <w:rPr>
                <w:i/>
                <w:iCs/>
              </w:rPr>
              <w:t>COD</w:t>
            </w:r>
            <w:r w:rsidRPr="002F14BD">
              <w:rPr>
                <w:i/>
                <w:iCs/>
                <w:vertAlign w:val="subscript"/>
              </w:rPr>
              <w:t>trb</w:t>
            </w:r>
            <w:r>
              <w:t>) for sludge diverted to biochar production</w:t>
            </w:r>
            <w:r w:rsidR="009E09FE">
              <w:t>.</w:t>
            </w:r>
          </w:p>
        </w:tc>
      </w:tr>
      <w:tr w:rsidR="00FD7EB9" w14:paraId="10B15908" w14:textId="77777777" w:rsidTr="007D214E">
        <w:tc>
          <w:tcPr>
            <w:tcW w:w="972" w:type="dxa"/>
          </w:tcPr>
          <w:p w14:paraId="349FE159" w14:textId="77777777" w:rsidR="00FD7EB9" w:rsidRDefault="00FD7EB9" w:rsidP="00FD7EB9">
            <w:pPr>
              <w:pStyle w:val="ListParagraph"/>
              <w:keepLines/>
              <w:numPr>
                <w:ilvl w:val="0"/>
                <w:numId w:val="13"/>
              </w:numPr>
            </w:pPr>
          </w:p>
        </w:tc>
        <w:tc>
          <w:tcPr>
            <w:tcW w:w="2000" w:type="dxa"/>
          </w:tcPr>
          <w:p w14:paraId="7494D005" w14:textId="06230C0E" w:rsidR="00FD7EB9" w:rsidRDefault="00FD7EB9" w:rsidP="007D214E">
            <w:pPr>
              <w:keepLines/>
            </w:pPr>
            <w:r>
              <w:t>Subsection 5.42(5)</w:t>
            </w:r>
            <w:r w:rsidR="00570817">
              <w:t xml:space="preserve"> (after the definition of </w:t>
            </w:r>
            <w:r w:rsidR="00570817" w:rsidRPr="002F15A8">
              <w:rPr>
                <w:i/>
              </w:rPr>
              <w:t>COD</w:t>
            </w:r>
            <w:r w:rsidR="00570817" w:rsidRPr="002F15A8">
              <w:rPr>
                <w:rStyle w:val="charSubscript"/>
                <w:i/>
              </w:rPr>
              <w:t>trl</w:t>
            </w:r>
            <w:r w:rsidR="00570817">
              <w:rPr>
                <w:rStyle w:val="charSubscript"/>
                <w:iCs/>
                <w:sz w:val="24"/>
                <w:szCs w:val="24"/>
              </w:rPr>
              <w:t>)</w:t>
            </w:r>
          </w:p>
        </w:tc>
        <w:tc>
          <w:tcPr>
            <w:tcW w:w="6088" w:type="dxa"/>
          </w:tcPr>
          <w:p w14:paraId="0BFD54F8" w14:textId="713B1116" w:rsidR="00FD7EB9" w:rsidRPr="00A5375B" w:rsidRDefault="00570817" w:rsidP="007D214E">
            <w:pPr>
              <w:keepLines/>
            </w:pPr>
            <w:r>
              <w:t xml:space="preserve">Defines the term </w:t>
            </w:r>
            <w:r w:rsidRPr="00EB3F7E">
              <w:rPr>
                <w:i/>
                <w:iCs/>
              </w:rPr>
              <w:t>COD</w:t>
            </w:r>
            <w:r w:rsidRPr="00EB3F7E">
              <w:rPr>
                <w:i/>
                <w:iCs/>
                <w:vertAlign w:val="subscript"/>
              </w:rPr>
              <w:t>trb</w:t>
            </w:r>
            <w:r w:rsidR="009E09FE">
              <w:rPr>
                <w:vertAlign w:val="subscript"/>
              </w:rPr>
              <w:t>.</w:t>
            </w:r>
          </w:p>
        </w:tc>
      </w:tr>
      <w:tr w:rsidR="00FD7EB9" w14:paraId="5709ACC6" w14:textId="77777777" w:rsidTr="007D214E">
        <w:tc>
          <w:tcPr>
            <w:tcW w:w="972" w:type="dxa"/>
          </w:tcPr>
          <w:p w14:paraId="7EB13E73" w14:textId="77777777" w:rsidR="00FD7EB9" w:rsidRDefault="00FD7EB9" w:rsidP="00FD7EB9">
            <w:pPr>
              <w:pStyle w:val="ListParagraph"/>
              <w:keepLines/>
              <w:numPr>
                <w:ilvl w:val="0"/>
                <w:numId w:val="13"/>
              </w:numPr>
            </w:pPr>
          </w:p>
        </w:tc>
        <w:tc>
          <w:tcPr>
            <w:tcW w:w="2000" w:type="dxa"/>
          </w:tcPr>
          <w:p w14:paraId="70B5CAF8" w14:textId="77777777" w:rsidR="00FD7EB9" w:rsidRDefault="00FD7EB9" w:rsidP="007D214E">
            <w:pPr>
              <w:keepLines/>
            </w:pPr>
            <w:r>
              <w:t xml:space="preserve">Subsection 5.42(5) (definition of </w:t>
            </w:r>
            <w:r w:rsidRPr="4BB75F65">
              <w:rPr>
                <w:i/>
                <w:iCs/>
              </w:rPr>
              <w:t>COD</w:t>
            </w:r>
            <w:r w:rsidRPr="4BB75F65">
              <w:rPr>
                <w:rStyle w:val="charSubscript"/>
                <w:i/>
                <w:iCs/>
                <w:sz w:val="24"/>
                <w:szCs w:val="24"/>
              </w:rPr>
              <w:t>tro)</w:t>
            </w:r>
          </w:p>
        </w:tc>
        <w:tc>
          <w:tcPr>
            <w:tcW w:w="6088" w:type="dxa"/>
          </w:tcPr>
          <w:p w14:paraId="09387C6A" w14:textId="020B5D66" w:rsidR="00FD7EB9" w:rsidRPr="00A5375B" w:rsidRDefault="00570817" w:rsidP="007D214E">
            <w:pPr>
              <w:keepLines/>
            </w:pPr>
            <w:r>
              <w:t xml:space="preserve">Updates the definition of </w:t>
            </w:r>
            <w:r w:rsidRPr="00EB3F7E">
              <w:rPr>
                <w:i/>
                <w:iCs/>
              </w:rPr>
              <w:t>COD</w:t>
            </w:r>
            <w:r w:rsidRPr="00EB3F7E">
              <w:rPr>
                <w:i/>
                <w:iCs/>
                <w:vertAlign w:val="subscript"/>
              </w:rPr>
              <w:t>tro</w:t>
            </w:r>
            <w:r w:rsidR="009E09FE">
              <w:t>.</w:t>
            </w:r>
          </w:p>
        </w:tc>
      </w:tr>
      <w:tr w:rsidR="00FD7EB9" w14:paraId="54A386CC" w14:textId="77777777" w:rsidTr="007D214E">
        <w:tc>
          <w:tcPr>
            <w:tcW w:w="972" w:type="dxa"/>
          </w:tcPr>
          <w:p w14:paraId="53099DD4" w14:textId="77777777" w:rsidR="00FD7EB9" w:rsidRDefault="00FD7EB9" w:rsidP="00FD7EB9">
            <w:pPr>
              <w:pStyle w:val="ListParagraph"/>
              <w:keepLines/>
              <w:numPr>
                <w:ilvl w:val="0"/>
                <w:numId w:val="13"/>
              </w:numPr>
            </w:pPr>
          </w:p>
        </w:tc>
        <w:tc>
          <w:tcPr>
            <w:tcW w:w="2000" w:type="dxa"/>
          </w:tcPr>
          <w:p w14:paraId="32F8B019" w14:textId="320C7744" w:rsidR="00FD7EB9" w:rsidRDefault="00922806" w:rsidP="007D214E">
            <w:pPr>
              <w:keepLines/>
            </w:pPr>
            <w:r w:rsidRPr="00922806">
              <w:t>After subsection 7.1(2)</w:t>
            </w:r>
          </w:p>
        </w:tc>
        <w:tc>
          <w:tcPr>
            <w:tcW w:w="6088" w:type="dxa"/>
          </w:tcPr>
          <w:p w14:paraId="09888002" w14:textId="00521511" w:rsidR="00FD7EB9" w:rsidRDefault="00FB0021" w:rsidP="007D214E">
            <w:pPr>
              <w:keepLines/>
            </w:pPr>
            <w:r>
              <w:t xml:space="preserve">Introduces a requirement </w:t>
            </w:r>
            <w:r w:rsidR="00274DAD">
              <w:t xml:space="preserve">that where an entity uses a market-based method for a facility in its </w:t>
            </w:r>
            <w:r w:rsidR="00C733F5" w:rsidRPr="00C733F5">
              <w:t>controlling corporation’s group</w:t>
            </w:r>
            <w:r w:rsidR="000F1848">
              <w:t xml:space="preserve">, </w:t>
            </w:r>
            <w:r w:rsidR="003A7BFA">
              <w:t xml:space="preserve">it must apply the market-method for all facilities in </w:t>
            </w:r>
            <w:r w:rsidR="00C86325">
              <w:t xml:space="preserve">its </w:t>
            </w:r>
            <w:r w:rsidR="00C86325" w:rsidRPr="00C733F5">
              <w:t>controlling corporation’s group</w:t>
            </w:r>
            <w:r w:rsidR="00151CB8">
              <w:t>.</w:t>
            </w:r>
          </w:p>
        </w:tc>
      </w:tr>
      <w:tr w:rsidR="00FD7EB9" w14:paraId="4A2EED9F" w14:textId="77777777" w:rsidTr="007D214E">
        <w:tc>
          <w:tcPr>
            <w:tcW w:w="972" w:type="dxa"/>
          </w:tcPr>
          <w:p w14:paraId="2077112F" w14:textId="77777777" w:rsidR="00FD7EB9" w:rsidRDefault="00FD7EB9" w:rsidP="00FD7EB9">
            <w:pPr>
              <w:pStyle w:val="ListParagraph"/>
              <w:keepLines/>
              <w:numPr>
                <w:ilvl w:val="0"/>
                <w:numId w:val="13"/>
              </w:numPr>
            </w:pPr>
          </w:p>
        </w:tc>
        <w:tc>
          <w:tcPr>
            <w:tcW w:w="2000" w:type="dxa"/>
          </w:tcPr>
          <w:p w14:paraId="12DB0015" w14:textId="613DDA2F" w:rsidR="00FD7EB9" w:rsidRDefault="00BD3919" w:rsidP="007D214E">
            <w:pPr>
              <w:keepLines/>
            </w:pPr>
            <w:r w:rsidRPr="00BD3919">
              <w:t xml:space="preserve">Subsection 7.4(1) (definition of </w:t>
            </w:r>
            <w:r w:rsidRPr="00F45C9F">
              <w:rPr>
                <w:i/>
              </w:rPr>
              <w:t>REC</w:t>
            </w:r>
            <w:r w:rsidRPr="00F45C9F">
              <w:rPr>
                <w:i/>
                <w:vertAlign w:val="subscript"/>
              </w:rPr>
              <w:t>surr</w:t>
            </w:r>
            <w:r w:rsidRPr="00BD3919">
              <w:t>)</w:t>
            </w:r>
          </w:p>
        </w:tc>
        <w:tc>
          <w:tcPr>
            <w:tcW w:w="6088" w:type="dxa"/>
          </w:tcPr>
          <w:p w14:paraId="769EEE75" w14:textId="28EDB247" w:rsidR="00FD7EB9" w:rsidRDefault="004830A9" w:rsidP="007D214E">
            <w:pPr>
              <w:keepLines/>
            </w:pPr>
            <w:r>
              <w:t xml:space="preserve">Updates the definition of </w:t>
            </w:r>
            <w:r w:rsidRPr="00F45C9F">
              <w:rPr>
                <w:i/>
              </w:rPr>
              <w:t>REC</w:t>
            </w:r>
            <w:r w:rsidRPr="00F45C9F">
              <w:rPr>
                <w:i/>
                <w:vertAlign w:val="subscript"/>
              </w:rPr>
              <w:t>surr</w:t>
            </w:r>
            <w:r w:rsidR="00423AC4">
              <w:t xml:space="preserve"> to clarify that REC surrenders </w:t>
            </w:r>
            <w:r w:rsidR="003E01D9">
              <w:t xml:space="preserve">are </w:t>
            </w:r>
            <w:r w:rsidR="00B177E5">
              <w:t>made for the reporting year, not necessarily in the reporting year</w:t>
            </w:r>
            <w:r w:rsidR="00151CB8">
              <w:t>.</w:t>
            </w:r>
          </w:p>
        </w:tc>
      </w:tr>
      <w:tr w:rsidR="00FD7EB9" w14:paraId="5E59938A" w14:textId="77777777" w:rsidTr="007D214E">
        <w:tc>
          <w:tcPr>
            <w:tcW w:w="972" w:type="dxa"/>
          </w:tcPr>
          <w:p w14:paraId="055ED4FE" w14:textId="77777777" w:rsidR="00FD7EB9" w:rsidRDefault="00FD7EB9" w:rsidP="00FD7EB9">
            <w:pPr>
              <w:pStyle w:val="ListParagraph"/>
              <w:keepLines/>
              <w:numPr>
                <w:ilvl w:val="0"/>
                <w:numId w:val="13"/>
              </w:numPr>
            </w:pPr>
          </w:p>
        </w:tc>
        <w:tc>
          <w:tcPr>
            <w:tcW w:w="2000" w:type="dxa"/>
          </w:tcPr>
          <w:p w14:paraId="221DBACA" w14:textId="251E1228" w:rsidR="00FD7EB9" w:rsidRDefault="00EE74C8" w:rsidP="007D214E">
            <w:pPr>
              <w:keepLines/>
            </w:pPr>
            <w:r w:rsidRPr="00EE74C8">
              <w:t>Subsection 7.4(3)</w:t>
            </w:r>
          </w:p>
        </w:tc>
        <w:tc>
          <w:tcPr>
            <w:tcW w:w="6088" w:type="dxa"/>
          </w:tcPr>
          <w:p w14:paraId="699398CB" w14:textId="58F1E08A" w:rsidR="00FD7EB9" w:rsidRDefault="00E46C20" w:rsidP="007D214E">
            <w:pPr>
              <w:keepLines/>
            </w:pPr>
            <w:r>
              <w:t xml:space="preserve">Clarifies the definition of </w:t>
            </w:r>
            <w:r w:rsidRPr="00F45C9F">
              <w:rPr>
                <w:i/>
              </w:rPr>
              <w:t>REC</w:t>
            </w:r>
            <w:r w:rsidRPr="00F45C9F">
              <w:rPr>
                <w:i/>
                <w:vertAlign w:val="subscript"/>
              </w:rPr>
              <w:t>surr</w:t>
            </w:r>
            <w:r w:rsidRPr="00F45C9F">
              <w:rPr>
                <w:vertAlign w:val="subscript"/>
              </w:rPr>
              <w:t xml:space="preserve"> </w:t>
            </w:r>
            <w:r w:rsidR="00213FAE">
              <w:t>to ensure t</w:t>
            </w:r>
            <w:r w:rsidR="000F1A2D">
              <w:t xml:space="preserve">hat RECs must be surrendered prior to the submission of </w:t>
            </w:r>
            <w:r w:rsidR="004036FC">
              <w:t>an entity’s</w:t>
            </w:r>
            <w:r w:rsidR="000F1A2D">
              <w:t xml:space="preserve"> NGER report</w:t>
            </w:r>
            <w:r w:rsidR="00151CB8">
              <w:t>.</w:t>
            </w:r>
          </w:p>
        </w:tc>
      </w:tr>
      <w:tr w:rsidR="00FD7EB9" w14:paraId="4CC1AF46" w14:textId="77777777" w:rsidTr="007D214E">
        <w:tc>
          <w:tcPr>
            <w:tcW w:w="972" w:type="dxa"/>
          </w:tcPr>
          <w:p w14:paraId="2D7DEF46" w14:textId="77777777" w:rsidR="00FD7EB9" w:rsidRDefault="00FD7EB9" w:rsidP="00FD7EB9">
            <w:pPr>
              <w:pStyle w:val="ListParagraph"/>
              <w:keepLines/>
              <w:numPr>
                <w:ilvl w:val="0"/>
                <w:numId w:val="13"/>
              </w:numPr>
            </w:pPr>
          </w:p>
        </w:tc>
        <w:tc>
          <w:tcPr>
            <w:tcW w:w="2000" w:type="dxa"/>
          </w:tcPr>
          <w:p w14:paraId="5351179C" w14:textId="267296F6" w:rsidR="00FD7EB9" w:rsidRDefault="00064B36" w:rsidP="007D214E">
            <w:pPr>
              <w:keepLines/>
            </w:pPr>
            <w:r w:rsidRPr="00064B36">
              <w:t>Subsection 7.4(4)</w:t>
            </w:r>
          </w:p>
        </w:tc>
        <w:tc>
          <w:tcPr>
            <w:tcW w:w="6088" w:type="dxa"/>
          </w:tcPr>
          <w:p w14:paraId="6903AAF0" w14:textId="1A87FF4E" w:rsidR="00FD7EB9" w:rsidRDefault="002A3F9D" w:rsidP="007D214E">
            <w:pPr>
              <w:keepLines/>
            </w:pPr>
            <w:r>
              <w:t>Clarifies the meaning of eligible certificates</w:t>
            </w:r>
            <w:r w:rsidR="00A06514">
              <w:t xml:space="preserve"> in respect of </w:t>
            </w:r>
            <w:r w:rsidR="00A06514" w:rsidRPr="00F45C9F">
              <w:rPr>
                <w:i/>
              </w:rPr>
              <w:t>REC</w:t>
            </w:r>
            <w:r w:rsidR="00A06514" w:rsidRPr="00F45C9F">
              <w:rPr>
                <w:i/>
                <w:vertAlign w:val="subscript"/>
              </w:rPr>
              <w:t>onsite</w:t>
            </w:r>
            <w:r w:rsidR="00A06514">
              <w:t xml:space="preserve"> and </w:t>
            </w:r>
            <w:r w:rsidR="00A06514" w:rsidRPr="00F45C9F">
              <w:rPr>
                <w:i/>
              </w:rPr>
              <w:t>JRPP</w:t>
            </w:r>
            <w:r w:rsidR="009E09FE">
              <w:rPr>
                <w:i/>
              </w:rPr>
              <w:t>.</w:t>
            </w:r>
          </w:p>
        </w:tc>
      </w:tr>
      <w:tr w:rsidR="009730C6" w14:paraId="341991D6" w14:textId="77777777">
        <w:tc>
          <w:tcPr>
            <w:tcW w:w="972" w:type="dxa"/>
          </w:tcPr>
          <w:p w14:paraId="0828348E" w14:textId="77777777" w:rsidR="009730C6" w:rsidRDefault="009730C6" w:rsidP="00FD7EB9">
            <w:pPr>
              <w:pStyle w:val="ListParagraph"/>
              <w:keepLines/>
              <w:numPr>
                <w:ilvl w:val="0"/>
                <w:numId w:val="13"/>
              </w:numPr>
            </w:pPr>
          </w:p>
        </w:tc>
        <w:tc>
          <w:tcPr>
            <w:tcW w:w="2000" w:type="dxa"/>
          </w:tcPr>
          <w:p w14:paraId="0974EFED" w14:textId="59585195" w:rsidR="009730C6" w:rsidRPr="00064B36" w:rsidRDefault="000E4DAB">
            <w:pPr>
              <w:keepLines/>
            </w:pPr>
            <w:r>
              <w:t>Subsection 8.6(1)</w:t>
            </w:r>
            <w:r w:rsidRPr="00696D79">
              <w:t xml:space="preserve"> (</w:t>
            </w:r>
            <w:r>
              <w:t>table item 28A</w:t>
            </w:r>
            <w:r w:rsidRPr="00696D79">
              <w:t>)</w:t>
            </w:r>
          </w:p>
        </w:tc>
        <w:tc>
          <w:tcPr>
            <w:tcW w:w="6088" w:type="dxa"/>
          </w:tcPr>
          <w:p w14:paraId="6624FD62" w14:textId="1D299712" w:rsidR="009730C6" w:rsidRDefault="000E4DAB">
            <w:pPr>
              <w:keepLines/>
            </w:pPr>
            <w:r>
              <w:t xml:space="preserve">Editorial correction.  </w:t>
            </w:r>
          </w:p>
        </w:tc>
      </w:tr>
      <w:tr w:rsidR="00FD7EB9" w14:paraId="7BC25285" w14:textId="77777777" w:rsidTr="007D214E">
        <w:tc>
          <w:tcPr>
            <w:tcW w:w="972" w:type="dxa"/>
          </w:tcPr>
          <w:p w14:paraId="3D6DF476" w14:textId="77777777" w:rsidR="00FD7EB9" w:rsidRDefault="00FD7EB9" w:rsidP="00FD7EB9">
            <w:pPr>
              <w:pStyle w:val="ListParagraph"/>
              <w:keepLines/>
              <w:numPr>
                <w:ilvl w:val="0"/>
                <w:numId w:val="13"/>
              </w:numPr>
            </w:pPr>
          </w:p>
        </w:tc>
        <w:tc>
          <w:tcPr>
            <w:tcW w:w="2000" w:type="dxa"/>
          </w:tcPr>
          <w:p w14:paraId="3E481926" w14:textId="77777777" w:rsidR="00FD7EB9" w:rsidRDefault="00FD7EB9" w:rsidP="007D214E">
            <w:pPr>
              <w:keepLines/>
            </w:pPr>
            <w:r>
              <w:t>Subsection 8.6(1)</w:t>
            </w:r>
            <w:r w:rsidRPr="00696D79">
              <w:t xml:space="preserve"> (</w:t>
            </w:r>
            <w:r>
              <w:t>table item 30, column headed “Fuel Combusted”</w:t>
            </w:r>
            <w:r w:rsidRPr="00696D79">
              <w:t>)</w:t>
            </w:r>
          </w:p>
        </w:tc>
        <w:tc>
          <w:tcPr>
            <w:tcW w:w="6088" w:type="dxa"/>
          </w:tcPr>
          <w:p w14:paraId="6EF9AF2D" w14:textId="77777777" w:rsidR="00FD7EB9" w:rsidRPr="00A5375B" w:rsidRDefault="00FD7EB9" w:rsidP="007D214E">
            <w:pPr>
              <w:keepLines/>
            </w:pPr>
            <w:r>
              <w:t xml:space="preserve">Editorial correction.  </w:t>
            </w:r>
          </w:p>
        </w:tc>
      </w:tr>
      <w:tr w:rsidR="00FD7EB9" w14:paraId="0F78B688" w14:textId="77777777" w:rsidTr="007D214E">
        <w:tc>
          <w:tcPr>
            <w:tcW w:w="972" w:type="dxa"/>
          </w:tcPr>
          <w:p w14:paraId="68E4BE36" w14:textId="77777777" w:rsidR="00FD7EB9" w:rsidRDefault="00FD7EB9" w:rsidP="00FD7EB9">
            <w:pPr>
              <w:pStyle w:val="ListParagraph"/>
              <w:keepLines/>
              <w:numPr>
                <w:ilvl w:val="0"/>
                <w:numId w:val="13"/>
              </w:numPr>
            </w:pPr>
          </w:p>
        </w:tc>
        <w:tc>
          <w:tcPr>
            <w:tcW w:w="2000" w:type="dxa"/>
          </w:tcPr>
          <w:p w14:paraId="2A620E3C" w14:textId="77777777" w:rsidR="00FD7EB9" w:rsidRDefault="00FD7EB9" w:rsidP="007D214E">
            <w:pPr>
              <w:keepLines/>
            </w:pPr>
            <w:r w:rsidRPr="00C2560D">
              <w:t xml:space="preserve">Section 8.6 (after table item </w:t>
            </w:r>
            <w:r w:rsidRPr="00B155B7">
              <w:t>TBC</w:t>
            </w:r>
            <w:r w:rsidRPr="00C2560D">
              <w:t>)</w:t>
            </w:r>
          </w:p>
        </w:tc>
        <w:tc>
          <w:tcPr>
            <w:tcW w:w="6088" w:type="dxa"/>
          </w:tcPr>
          <w:p w14:paraId="0EC8EDDD" w14:textId="77777777" w:rsidR="00FD7EB9" w:rsidRDefault="00FD7EB9" w:rsidP="007D214E">
            <w:pPr>
              <w:keepLines/>
              <w:spacing w:line="240" w:lineRule="auto"/>
            </w:pPr>
            <w:r w:rsidRPr="00C04132">
              <w:t xml:space="preserve">Prescribes the energy content uncertainty and carbon dioxide emission factor uncertainty to be used when reporting emissions from combustion of </w:t>
            </w:r>
            <w:r>
              <w:t>hydrogen</w:t>
            </w:r>
            <w:r w:rsidRPr="00C04132">
              <w:t xml:space="preserve"> using Method 1.</w:t>
            </w:r>
          </w:p>
          <w:p w14:paraId="4D59F780" w14:textId="77777777" w:rsidR="00FD7EB9" w:rsidRPr="00A5375B" w:rsidRDefault="00FD7EB9" w:rsidP="007D214E">
            <w:pPr>
              <w:keepLines/>
              <w:spacing w:line="240" w:lineRule="auto"/>
            </w:pPr>
            <w:r>
              <w:t xml:space="preserve">The item number for hydrogen is subject to </w:t>
            </w:r>
            <w:r w:rsidRPr="00994A95">
              <w:t>further legislative drafting</w:t>
            </w:r>
            <w:r>
              <w:t xml:space="preserve">, </w:t>
            </w:r>
            <w:r w:rsidRPr="00994A95">
              <w:t xml:space="preserve">so </w:t>
            </w:r>
            <w:r>
              <w:t>is</w:t>
            </w:r>
            <w:r w:rsidRPr="00994A95">
              <w:t xml:space="preserve"> not included in the Exposure Draft</w:t>
            </w:r>
            <w:r>
              <w:t>.</w:t>
            </w:r>
          </w:p>
        </w:tc>
      </w:tr>
      <w:tr w:rsidR="00FD7EB9" w14:paraId="2973EDB4" w14:textId="77777777" w:rsidTr="007D214E">
        <w:tc>
          <w:tcPr>
            <w:tcW w:w="972" w:type="dxa"/>
          </w:tcPr>
          <w:p w14:paraId="24FF2865" w14:textId="77777777" w:rsidR="00FD7EB9" w:rsidRDefault="00FD7EB9" w:rsidP="00FD7EB9">
            <w:pPr>
              <w:pStyle w:val="ListParagraph"/>
              <w:keepLines/>
              <w:numPr>
                <w:ilvl w:val="0"/>
                <w:numId w:val="13"/>
              </w:numPr>
            </w:pPr>
          </w:p>
        </w:tc>
        <w:tc>
          <w:tcPr>
            <w:tcW w:w="2000" w:type="dxa"/>
          </w:tcPr>
          <w:p w14:paraId="6BBD6BE0" w14:textId="77777777" w:rsidR="00FD7EB9" w:rsidRPr="7EE7B1F9" w:rsidRDefault="00FD7EB9" w:rsidP="007D214E">
            <w:pPr>
              <w:keepLines/>
              <w:rPr>
                <w:rFonts w:ascii="Times New Roman" w:eastAsia="Times New Roman" w:hAnsi="Times New Roman" w:cs="Times New Roman"/>
              </w:rPr>
            </w:pPr>
            <w:r>
              <w:t>After section 9.19</w:t>
            </w:r>
          </w:p>
        </w:tc>
        <w:tc>
          <w:tcPr>
            <w:tcW w:w="6088" w:type="dxa"/>
          </w:tcPr>
          <w:p w14:paraId="5CE071A0" w14:textId="77777777" w:rsidR="00FD7EB9" w:rsidRPr="00A5375B" w:rsidRDefault="00FD7EB9" w:rsidP="007D214E">
            <w:pPr>
              <w:pStyle w:val="TableText"/>
              <w:keepLines/>
              <w:rPr>
                <w:sz w:val="22"/>
              </w:rPr>
            </w:pPr>
            <w:r w:rsidRPr="005D6CD2">
              <w:rPr>
                <w:sz w:val="22"/>
              </w:rPr>
              <w:t>Provides that amendments made by this instrument apply in relation to reporting for the financial year 202</w:t>
            </w:r>
            <w:r>
              <w:rPr>
                <w:sz w:val="22"/>
              </w:rPr>
              <w:t>5</w:t>
            </w:r>
            <w:r w:rsidRPr="005D6CD2">
              <w:rPr>
                <w:sz w:val="22"/>
              </w:rPr>
              <w:t>-2</w:t>
            </w:r>
            <w:r>
              <w:rPr>
                <w:sz w:val="22"/>
              </w:rPr>
              <w:t>6</w:t>
            </w:r>
            <w:r w:rsidRPr="005D6CD2">
              <w:rPr>
                <w:sz w:val="22"/>
              </w:rPr>
              <w:t xml:space="preserve"> and later financial years.</w:t>
            </w:r>
          </w:p>
        </w:tc>
      </w:tr>
      <w:tr w:rsidR="00FD7EB9" w14:paraId="09A30BC5" w14:textId="77777777" w:rsidTr="007D214E">
        <w:tc>
          <w:tcPr>
            <w:tcW w:w="972" w:type="dxa"/>
          </w:tcPr>
          <w:p w14:paraId="5F72DF6A" w14:textId="77777777" w:rsidR="00FD7EB9" w:rsidRDefault="00FD7EB9" w:rsidP="00FD7EB9">
            <w:pPr>
              <w:pStyle w:val="ListParagraph"/>
              <w:keepLines/>
              <w:numPr>
                <w:ilvl w:val="0"/>
                <w:numId w:val="13"/>
              </w:numPr>
            </w:pPr>
          </w:p>
        </w:tc>
        <w:tc>
          <w:tcPr>
            <w:tcW w:w="2000" w:type="dxa"/>
          </w:tcPr>
          <w:p w14:paraId="54F1DB38" w14:textId="77777777" w:rsidR="00FD7EB9" w:rsidRDefault="00FD7EB9" w:rsidP="007D214E">
            <w:pPr>
              <w:keepLines/>
            </w:pPr>
            <w:r>
              <w:t>Part 2 of Schedule 1, Fuel combustion – gaseous fuels</w:t>
            </w:r>
            <w:r w:rsidRPr="00696D79">
              <w:t xml:space="preserve"> (</w:t>
            </w:r>
            <w:r>
              <w:t xml:space="preserve">after table item </w:t>
            </w:r>
            <w:r w:rsidRPr="00C46E72">
              <w:t>TBC</w:t>
            </w:r>
            <w:r w:rsidRPr="00696D79">
              <w:t>)</w:t>
            </w:r>
          </w:p>
        </w:tc>
        <w:tc>
          <w:tcPr>
            <w:tcW w:w="6088" w:type="dxa"/>
          </w:tcPr>
          <w:p w14:paraId="5D73DAE5" w14:textId="77777777" w:rsidR="00FD7EB9" w:rsidRDefault="00FD7EB9" w:rsidP="007D214E">
            <w:pPr>
              <w:pStyle w:val="TableText"/>
              <w:keepLines/>
              <w:rPr>
                <w:sz w:val="22"/>
              </w:rPr>
            </w:pPr>
            <w:r w:rsidRPr="00BE5D86">
              <w:rPr>
                <w:sz w:val="22"/>
              </w:rPr>
              <w:t xml:space="preserve">Specifies the energy content factor and carbon dioxide, methane and nitrous oxide </w:t>
            </w:r>
            <w:r>
              <w:rPr>
                <w:sz w:val="22"/>
              </w:rPr>
              <w:t xml:space="preserve">scope 1 </w:t>
            </w:r>
            <w:r w:rsidRPr="00BE5D86">
              <w:rPr>
                <w:sz w:val="22"/>
              </w:rPr>
              <w:t xml:space="preserve">emission factors for the new fuel type </w:t>
            </w:r>
            <w:r>
              <w:rPr>
                <w:sz w:val="22"/>
              </w:rPr>
              <w:t>hydrogen</w:t>
            </w:r>
            <w:r w:rsidRPr="00BE5D86">
              <w:rPr>
                <w:sz w:val="22"/>
              </w:rPr>
              <w:t xml:space="preserve"> The carbon dioxide </w:t>
            </w:r>
            <w:r>
              <w:rPr>
                <w:sz w:val="22"/>
              </w:rPr>
              <w:t xml:space="preserve">and methane </w:t>
            </w:r>
            <w:r w:rsidRPr="00BE5D86">
              <w:rPr>
                <w:sz w:val="22"/>
              </w:rPr>
              <w:t>emission factor</w:t>
            </w:r>
            <w:r>
              <w:rPr>
                <w:sz w:val="22"/>
              </w:rPr>
              <w:t xml:space="preserve">s are zero. The nitrous oxide </w:t>
            </w:r>
            <w:r w:rsidRPr="00BE5D86">
              <w:rPr>
                <w:sz w:val="22"/>
              </w:rPr>
              <w:t xml:space="preserve">emission factor </w:t>
            </w:r>
            <w:r>
              <w:rPr>
                <w:sz w:val="22"/>
              </w:rPr>
              <w:t xml:space="preserve">will be non-zero – this </w:t>
            </w:r>
            <w:r w:rsidRPr="008118CC">
              <w:rPr>
                <w:sz w:val="22"/>
              </w:rPr>
              <w:t xml:space="preserve">factor </w:t>
            </w:r>
            <w:r w:rsidRPr="00BE5D86">
              <w:rPr>
                <w:sz w:val="22"/>
              </w:rPr>
              <w:t xml:space="preserve">is </w:t>
            </w:r>
            <w:r w:rsidRPr="008118CC">
              <w:rPr>
                <w:sz w:val="22"/>
              </w:rPr>
              <w:t xml:space="preserve">subject to further </w:t>
            </w:r>
            <w:r>
              <w:rPr>
                <w:sz w:val="22"/>
              </w:rPr>
              <w:t>technical</w:t>
            </w:r>
            <w:r w:rsidRPr="008118CC">
              <w:rPr>
                <w:sz w:val="22"/>
              </w:rPr>
              <w:t xml:space="preserve"> development</w:t>
            </w:r>
            <w:r>
              <w:rPr>
                <w:sz w:val="22"/>
              </w:rPr>
              <w:t>,</w:t>
            </w:r>
            <w:r w:rsidRPr="008118CC">
              <w:rPr>
                <w:sz w:val="22"/>
              </w:rPr>
              <w:t xml:space="preserve"> so is not included in the Exposure Draft.</w:t>
            </w:r>
          </w:p>
          <w:p w14:paraId="40A15E14" w14:textId="65F7A26F" w:rsidR="00FD7EB9" w:rsidRPr="00A5375B" w:rsidRDefault="00FD7EB9" w:rsidP="007D214E">
            <w:pPr>
              <w:pStyle w:val="TableText"/>
              <w:keepLines/>
              <w:rPr>
                <w:sz w:val="22"/>
              </w:rPr>
            </w:pPr>
            <w:r w:rsidRPr="008118CC">
              <w:rPr>
                <w:sz w:val="22"/>
              </w:rPr>
              <w:t>The item number</w:t>
            </w:r>
            <w:r w:rsidRPr="00BE5D86">
              <w:rPr>
                <w:sz w:val="22"/>
              </w:rPr>
              <w:t xml:space="preserve"> for </w:t>
            </w:r>
            <w:r w:rsidRPr="008118CC">
              <w:rPr>
                <w:sz w:val="22"/>
              </w:rPr>
              <w:t>hydrogen is subject to further legislative drafting, so is not included in the Exposure Draft</w:t>
            </w:r>
            <w:r w:rsidR="00A66F1B">
              <w:rPr>
                <w:sz w:val="22"/>
              </w:rPr>
              <w:t>.</w:t>
            </w:r>
          </w:p>
        </w:tc>
      </w:tr>
      <w:tr w:rsidR="00C5267E" w14:paraId="64CD381D" w14:textId="77777777">
        <w:tc>
          <w:tcPr>
            <w:tcW w:w="972" w:type="dxa"/>
          </w:tcPr>
          <w:p w14:paraId="24F82D97" w14:textId="77777777" w:rsidR="00C5267E" w:rsidRDefault="00C5267E" w:rsidP="00FD7EB9">
            <w:pPr>
              <w:pStyle w:val="ListParagraph"/>
              <w:keepLines/>
              <w:numPr>
                <w:ilvl w:val="0"/>
                <w:numId w:val="13"/>
              </w:numPr>
            </w:pPr>
          </w:p>
        </w:tc>
        <w:tc>
          <w:tcPr>
            <w:tcW w:w="2000" w:type="dxa"/>
          </w:tcPr>
          <w:p w14:paraId="5FF9D09F" w14:textId="7AF564D4" w:rsidR="00C5267E" w:rsidRDefault="00D270B3">
            <w:pPr>
              <w:keepLines/>
            </w:pPr>
            <w:r w:rsidRPr="00D270B3">
              <w:t>Part 6 of Schedule 1 (Column 2, Emission factor kg CO</w:t>
            </w:r>
            <w:r w:rsidRPr="000613C0">
              <w:rPr>
                <w:vertAlign w:val="subscript"/>
              </w:rPr>
              <w:t>2</w:t>
            </w:r>
            <w:r w:rsidRPr="00D270B3">
              <w:t>e/kWh)</w:t>
            </w:r>
          </w:p>
        </w:tc>
        <w:tc>
          <w:tcPr>
            <w:tcW w:w="6088" w:type="dxa"/>
          </w:tcPr>
          <w:p w14:paraId="0DC54AA4" w14:textId="30039578" w:rsidR="00C5267E" w:rsidRPr="00BE5D86" w:rsidRDefault="00F158E8">
            <w:pPr>
              <w:pStyle w:val="TableText"/>
              <w:keepLines/>
              <w:rPr>
                <w:sz w:val="22"/>
              </w:rPr>
            </w:pPr>
            <w:r>
              <w:rPr>
                <w:sz w:val="22"/>
              </w:rPr>
              <w:t>U</w:t>
            </w:r>
            <w:r w:rsidR="00131BE9" w:rsidRPr="000613C0">
              <w:rPr>
                <w:sz w:val="22"/>
              </w:rPr>
              <w:t>pdates location</w:t>
            </w:r>
            <w:r w:rsidR="00BD5DF3">
              <w:rPr>
                <w:sz w:val="22"/>
              </w:rPr>
              <w:t>-based</w:t>
            </w:r>
            <w:r w:rsidR="00131BE9" w:rsidRPr="000613C0">
              <w:rPr>
                <w:sz w:val="22"/>
              </w:rPr>
              <w:t xml:space="preserve"> factors for </w:t>
            </w:r>
            <w:r w:rsidR="00BD5DF3">
              <w:rPr>
                <w:sz w:val="22"/>
              </w:rPr>
              <w:t xml:space="preserve">scope 2 emissions for </w:t>
            </w:r>
            <w:r w:rsidR="00131BE9" w:rsidRPr="00E72230">
              <w:rPr>
                <w:sz w:val="22"/>
              </w:rPr>
              <w:t>states and territories</w:t>
            </w:r>
            <w:r w:rsidR="00BD5DF3">
              <w:rPr>
                <w:sz w:val="22"/>
              </w:rPr>
              <w:t>.</w:t>
            </w:r>
          </w:p>
        </w:tc>
      </w:tr>
      <w:tr w:rsidR="00FD7EB9" w14:paraId="6C189E19" w14:textId="77777777" w:rsidTr="007D214E">
        <w:tc>
          <w:tcPr>
            <w:tcW w:w="972" w:type="dxa"/>
          </w:tcPr>
          <w:p w14:paraId="4F074AA0" w14:textId="77777777" w:rsidR="00FD7EB9" w:rsidRDefault="00FD7EB9" w:rsidP="00FD7EB9">
            <w:pPr>
              <w:pStyle w:val="ListParagraph"/>
              <w:keepLines/>
              <w:numPr>
                <w:ilvl w:val="0"/>
                <w:numId w:val="13"/>
              </w:numPr>
            </w:pPr>
          </w:p>
        </w:tc>
        <w:tc>
          <w:tcPr>
            <w:tcW w:w="2000" w:type="dxa"/>
          </w:tcPr>
          <w:p w14:paraId="65C6AF98" w14:textId="77777777" w:rsidR="00FD7EB9" w:rsidRDefault="00FD7EB9" w:rsidP="007D214E">
            <w:pPr>
              <w:keepLines/>
            </w:pPr>
            <w:r>
              <w:t>Part 2 of Schedule 3, Carbon content factors – gaseous fuels</w:t>
            </w:r>
            <w:r w:rsidRPr="00696D79">
              <w:t xml:space="preserve"> (</w:t>
            </w:r>
            <w:r>
              <w:t xml:space="preserve">after table item </w:t>
            </w:r>
            <w:r w:rsidRPr="00507B23">
              <w:t>TBC</w:t>
            </w:r>
            <w:r w:rsidRPr="00696D79">
              <w:t>)</w:t>
            </w:r>
          </w:p>
        </w:tc>
        <w:tc>
          <w:tcPr>
            <w:tcW w:w="6088" w:type="dxa"/>
          </w:tcPr>
          <w:p w14:paraId="124B4166" w14:textId="77777777" w:rsidR="00FD7EB9" w:rsidRPr="00A5375B" w:rsidRDefault="00FD7EB9" w:rsidP="007D214E">
            <w:pPr>
              <w:pStyle w:val="TableText"/>
              <w:keepLines/>
              <w:rPr>
                <w:sz w:val="22"/>
              </w:rPr>
            </w:pPr>
            <w:r w:rsidRPr="00544363">
              <w:rPr>
                <w:sz w:val="22"/>
              </w:rPr>
              <w:t>Specifies the carbon content for the new fuel type</w:t>
            </w:r>
            <w:r>
              <w:rPr>
                <w:sz w:val="22"/>
              </w:rPr>
              <w:t xml:space="preserve"> hydrogen</w:t>
            </w:r>
            <w:r w:rsidRPr="00544363">
              <w:rPr>
                <w:sz w:val="22"/>
              </w:rPr>
              <w:t>, which is zero.</w:t>
            </w:r>
          </w:p>
        </w:tc>
      </w:tr>
      <w:tr w:rsidR="00FD7EB9" w14:paraId="7DC91A20" w14:textId="77777777" w:rsidTr="007D214E">
        <w:tc>
          <w:tcPr>
            <w:tcW w:w="972" w:type="dxa"/>
          </w:tcPr>
          <w:p w14:paraId="07762031" w14:textId="77777777" w:rsidR="00FD7EB9" w:rsidRDefault="00FD7EB9" w:rsidP="00FD7EB9">
            <w:pPr>
              <w:pStyle w:val="ListParagraph"/>
              <w:keepLines/>
              <w:numPr>
                <w:ilvl w:val="0"/>
                <w:numId w:val="13"/>
              </w:numPr>
            </w:pPr>
          </w:p>
        </w:tc>
        <w:tc>
          <w:tcPr>
            <w:tcW w:w="2000" w:type="dxa"/>
          </w:tcPr>
          <w:p w14:paraId="59BDBC0F" w14:textId="77777777" w:rsidR="00FD7EB9" w:rsidRDefault="00FD7EB9" w:rsidP="007D214E">
            <w:pPr>
              <w:keepLines/>
            </w:pPr>
            <w:r w:rsidRPr="00945CA6">
              <w:t>Part 1A of Schedule 4 (table item 1, column headed “Matters to be identified”, after paragraph (c))</w:t>
            </w:r>
          </w:p>
        </w:tc>
        <w:tc>
          <w:tcPr>
            <w:tcW w:w="6088" w:type="dxa"/>
          </w:tcPr>
          <w:p w14:paraId="5EE4777F" w14:textId="77777777" w:rsidR="00FD7EB9" w:rsidRPr="00A5375B" w:rsidRDefault="00FD7EB9" w:rsidP="007D214E">
            <w:pPr>
              <w:pStyle w:val="TableText"/>
              <w:keepLines/>
              <w:rPr>
                <w:sz w:val="22"/>
              </w:rPr>
            </w:pPr>
            <w:r>
              <w:rPr>
                <w:sz w:val="22"/>
              </w:rPr>
              <w:t xml:space="preserve">Specifies new matters to be identified by reporters who use the new section 2.67C to determine the amount of </w:t>
            </w:r>
            <w:r w:rsidRPr="00B054A3">
              <w:rPr>
                <w:sz w:val="22"/>
              </w:rPr>
              <w:t>renewable gas in a blended fuel received from a natural gas network</w:t>
            </w:r>
            <w:r>
              <w:rPr>
                <w:sz w:val="22"/>
              </w:rPr>
              <w:t>.</w:t>
            </w:r>
          </w:p>
        </w:tc>
      </w:tr>
      <w:tr w:rsidR="00FD7EB9" w14:paraId="4C8D94C7" w14:textId="77777777" w:rsidTr="007D214E">
        <w:tc>
          <w:tcPr>
            <w:tcW w:w="972" w:type="dxa"/>
          </w:tcPr>
          <w:p w14:paraId="26FC3969" w14:textId="77777777" w:rsidR="00FD7EB9" w:rsidRDefault="00FD7EB9" w:rsidP="00FD7EB9">
            <w:pPr>
              <w:pStyle w:val="ListParagraph"/>
              <w:keepLines/>
              <w:numPr>
                <w:ilvl w:val="0"/>
                <w:numId w:val="13"/>
              </w:numPr>
            </w:pPr>
          </w:p>
        </w:tc>
        <w:tc>
          <w:tcPr>
            <w:tcW w:w="2000" w:type="dxa"/>
          </w:tcPr>
          <w:p w14:paraId="35332752" w14:textId="77777777" w:rsidR="00FD7EB9" w:rsidRPr="7EE7B1F9" w:rsidRDefault="00FD7EB9" w:rsidP="007D214E">
            <w:pPr>
              <w:keepLines/>
              <w:rPr>
                <w:rFonts w:ascii="Times New Roman" w:eastAsia="Times New Roman" w:hAnsi="Times New Roman" w:cs="Times New Roman"/>
              </w:rPr>
            </w:pPr>
            <w:r>
              <w:t xml:space="preserve">Part 2 of Schedule 4, </w:t>
            </w:r>
            <w:r w:rsidRPr="00696D79">
              <w:t>Source 2</w:t>
            </w:r>
            <w:r>
              <w:t>D</w:t>
            </w:r>
            <w:r w:rsidRPr="00696D79">
              <w:t xml:space="preserve"> (</w:t>
            </w:r>
            <w:r>
              <w:t>table item 2, column headed “Matters to be identified”, before paragraph (a)</w:t>
            </w:r>
            <w:r w:rsidRPr="00696D79">
              <w:t>)</w:t>
            </w:r>
          </w:p>
        </w:tc>
        <w:tc>
          <w:tcPr>
            <w:tcW w:w="6088" w:type="dxa"/>
          </w:tcPr>
          <w:p w14:paraId="067834C8" w14:textId="5C785E99" w:rsidR="00E64CCE" w:rsidRPr="0053457E" w:rsidRDefault="00DE4164" w:rsidP="00E64CCE">
            <w:pPr>
              <w:pStyle w:val="TableText"/>
              <w:keepLines/>
              <w:rPr>
                <w:sz w:val="22"/>
              </w:rPr>
            </w:pPr>
            <w:r w:rsidRPr="00D7683B">
              <w:rPr>
                <w:sz w:val="22"/>
                <w:szCs w:val="28"/>
              </w:rPr>
              <w:t xml:space="preserve">Inserts </w:t>
            </w:r>
            <w:r w:rsidR="00F828D0" w:rsidRPr="00D7683B">
              <w:rPr>
                <w:sz w:val="22"/>
                <w:szCs w:val="28"/>
              </w:rPr>
              <w:t>“</w:t>
            </w:r>
            <w:r w:rsidR="00A80D9A" w:rsidRPr="00D7683B">
              <w:rPr>
                <w:sz w:val="22"/>
                <w:szCs w:val="28"/>
              </w:rPr>
              <w:t xml:space="preserve">the tonnes of </w:t>
            </w:r>
            <w:r w:rsidR="00F828D0" w:rsidRPr="00D7683B">
              <w:rPr>
                <w:sz w:val="22"/>
                <w:szCs w:val="28"/>
              </w:rPr>
              <w:t>flared</w:t>
            </w:r>
            <w:r w:rsidR="00A80D9A" w:rsidRPr="00D7683B">
              <w:rPr>
                <w:sz w:val="22"/>
                <w:szCs w:val="28"/>
              </w:rPr>
              <w:t xml:space="preserve"> gas</w:t>
            </w:r>
            <w:r w:rsidR="00F828D0" w:rsidRPr="00D7683B">
              <w:rPr>
                <w:sz w:val="22"/>
                <w:szCs w:val="28"/>
              </w:rPr>
              <w:t xml:space="preserve">” as </w:t>
            </w:r>
            <w:r w:rsidRPr="00D7683B">
              <w:rPr>
                <w:sz w:val="22"/>
                <w:szCs w:val="28"/>
              </w:rPr>
              <w:t>a</w:t>
            </w:r>
            <w:r w:rsidR="00FA7E2C" w:rsidRPr="00D7683B">
              <w:rPr>
                <w:sz w:val="22"/>
                <w:szCs w:val="28"/>
              </w:rPr>
              <w:t xml:space="preserve">n additional </w:t>
            </w:r>
            <w:r w:rsidR="00E64CCE" w:rsidRPr="00D7683B">
              <w:rPr>
                <w:sz w:val="22"/>
                <w:szCs w:val="28"/>
              </w:rPr>
              <w:t>matter to be identified under Schedule 4 when using Method 2</w:t>
            </w:r>
            <w:r w:rsidR="007D5006" w:rsidRPr="00D7683B">
              <w:rPr>
                <w:sz w:val="22"/>
                <w:szCs w:val="28"/>
              </w:rPr>
              <w:t>, 2A or 3</w:t>
            </w:r>
            <w:r w:rsidR="00E64CCE" w:rsidRPr="00D7683B">
              <w:rPr>
                <w:sz w:val="22"/>
                <w:szCs w:val="28"/>
              </w:rPr>
              <w:t xml:space="preserve"> for estimating emissions of </w:t>
            </w:r>
            <w:r w:rsidRPr="00D7683B">
              <w:rPr>
                <w:sz w:val="22"/>
                <w:szCs w:val="28"/>
              </w:rPr>
              <w:t>CH</w:t>
            </w:r>
            <w:r w:rsidRPr="00D7683B">
              <w:rPr>
                <w:sz w:val="22"/>
                <w:szCs w:val="28"/>
                <w:vertAlign w:val="subscript"/>
              </w:rPr>
              <w:t>4</w:t>
            </w:r>
            <w:r w:rsidR="00562F6E" w:rsidRPr="00D7683B">
              <w:rPr>
                <w:sz w:val="22"/>
                <w:szCs w:val="28"/>
              </w:rPr>
              <w:t>,</w:t>
            </w:r>
            <w:r w:rsidR="00E64CCE" w:rsidRPr="00D7683B">
              <w:rPr>
                <w:sz w:val="22"/>
                <w:szCs w:val="28"/>
              </w:rPr>
              <w:t xml:space="preserve"> </w:t>
            </w:r>
            <w:r w:rsidRPr="00D7683B">
              <w:rPr>
                <w:sz w:val="22"/>
                <w:szCs w:val="28"/>
              </w:rPr>
              <w:t>CO</w:t>
            </w:r>
            <w:r w:rsidRPr="00D7683B">
              <w:rPr>
                <w:sz w:val="22"/>
                <w:szCs w:val="28"/>
                <w:vertAlign w:val="subscript"/>
              </w:rPr>
              <w:t>2</w:t>
            </w:r>
            <w:r w:rsidR="00E64CCE" w:rsidRPr="00D7683B">
              <w:rPr>
                <w:sz w:val="22"/>
                <w:szCs w:val="28"/>
              </w:rPr>
              <w:t xml:space="preserve"> </w:t>
            </w:r>
            <w:r w:rsidR="00562F6E" w:rsidRPr="00D7683B">
              <w:rPr>
                <w:sz w:val="22"/>
                <w:szCs w:val="28"/>
              </w:rPr>
              <w:t>and N</w:t>
            </w:r>
            <w:r w:rsidR="00562F6E" w:rsidRPr="00D7683B">
              <w:rPr>
                <w:sz w:val="22"/>
                <w:szCs w:val="28"/>
                <w:vertAlign w:val="subscript"/>
              </w:rPr>
              <w:t>2</w:t>
            </w:r>
            <w:r w:rsidR="00562F6E" w:rsidRPr="00D7683B">
              <w:rPr>
                <w:sz w:val="22"/>
                <w:szCs w:val="28"/>
              </w:rPr>
              <w:t xml:space="preserve">O </w:t>
            </w:r>
            <w:r w:rsidR="00E64CCE" w:rsidRPr="00D7683B">
              <w:rPr>
                <w:sz w:val="22"/>
                <w:szCs w:val="28"/>
              </w:rPr>
              <w:t xml:space="preserve">from flaring of gas </w:t>
            </w:r>
            <w:r w:rsidR="00D31711" w:rsidRPr="00D7683B">
              <w:rPr>
                <w:sz w:val="22"/>
                <w:szCs w:val="28"/>
              </w:rPr>
              <w:t>during</w:t>
            </w:r>
            <w:r w:rsidR="00E64CCE" w:rsidRPr="00D7683B">
              <w:rPr>
                <w:sz w:val="22"/>
                <w:szCs w:val="28"/>
              </w:rPr>
              <w:t xml:space="preserve"> </w:t>
            </w:r>
            <w:r w:rsidR="007D5006" w:rsidRPr="00D7683B">
              <w:rPr>
                <w:sz w:val="22"/>
                <w:szCs w:val="28"/>
              </w:rPr>
              <w:t>oil or</w:t>
            </w:r>
            <w:r w:rsidR="00E64CCE" w:rsidRPr="00D7683B">
              <w:rPr>
                <w:sz w:val="22"/>
                <w:szCs w:val="28"/>
              </w:rPr>
              <w:t xml:space="preserve"> gas </w:t>
            </w:r>
            <w:r w:rsidR="007D5006" w:rsidRPr="00D7683B">
              <w:rPr>
                <w:sz w:val="22"/>
                <w:szCs w:val="28"/>
              </w:rPr>
              <w:t>exploration and development</w:t>
            </w:r>
            <w:r w:rsidR="00E64CCE" w:rsidRPr="00D7683B">
              <w:rPr>
                <w:sz w:val="22"/>
                <w:szCs w:val="28"/>
              </w:rPr>
              <w:t>.</w:t>
            </w:r>
          </w:p>
        </w:tc>
      </w:tr>
      <w:tr w:rsidR="00FD7EB9" w14:paraId="4269FA92" w14:textId="77777777" w:rsidTr="007D214E">
        <w:tc>
          <w:tcPr>
            <w:tcW w:w="972" w:type="dxa"/>
          </w:tcPr>
          <w:p w14:paraId="6E917201" w14:textId="77777777" w:rsidR="00FD7EB9" w:rsidRDefault="00FD7EB9" w:rsidP="00FD7EB9">
            <w:pPr>
              <w:pStyle w:val="ListParagraph"/>
              <w:keepLines/>
              <w:numPr>
                <w:ilvl w:val="0"/>
                <w:numId w:val="13"/>
              </w:numPr>
            </w:pPr>
          </w:p>
        </w:tc>
        <w:tc>
          <w:tcPr>
            <w:tcW w:w="2000" w:type="dxa"/>
          </w:tcPr>
          <w:p w14:paraId="5CCF76CA" w14:textId="77777777" w:rsidR="00FD7EB9" w:rsidRPr="7EE7B1F9" w:rsidRDefault="00FD7EB9" w:rsidP="007D214E">
            <w:pPr>
              <w:keepLines/>
              <w:rPr>
                <w:rFonts w:ascii="Times New Roman" w:eastAsia="Times New Roman" w:hAnsi="Times New Roman" w:cs="Times New Roman"/>
              </w:rPr>
            </w:pPr>
            <w:r>
              <w:t>Part 2 of Schedule 4, Source 2F (table item 4, column headed “Matters to be identified”, before paragraph (a))</w:t>
            </w:r>
          </w:p>
        </w:tc>
        <w:tc>
          <w:tcPr>
            <w:tcW w:w="6088" w:type="dxa"/>
          </w:tcPr>
          <w:p w14:paraId="751BB133" w14:textId="1FF9A17F" w:rsidR="00FD7EB9" w:rsidRPr="00A5375B" w:rsidRDefault="001617A4" w:rsidP="00F172FE">
            <w:r>
              <w:t>Inserts “</w:t>
            </w:r>
            <w:r w:rsidR="00A80D9A">
              <w:t>the tonnes of flared gas</w:t>
            </w:r>
            <w:r>
              <w:t>”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 xml:space="preserve">O from flaring of gas during </w:t>
            </w:r>
            <w:r w:rsidR="00953EE0">
              <w:t xml:space="preserve">crude </w:t>
            </w:r>
            <w:r>
              <w:t xml:space="preserve">oil </w:t>
            </w:r>
            <w:r w:rsidR="00953EE0">
              <w:t>production</w:t>
            </w:r>
            <w:r>
              <w:t>.</w:t>
            </w:r>
          </w:p>
        </w:tc>
      </w:tr>
      <w:tr w:rsidR="00FD7EB9" w14:paraId="54D3C174" w14:textId="77777777" w:rsidTr="007D214E">
        <w:tc>
          <w:tcPr>
            <w:tcW w:w="972" w:type="dxa"/>
          </w:tcPr>
          <w:p w14:paraId="76BE956B" w14:textId="77777777" w:rsidR="00FD7EB9" w:rsidRDefault="00FD7EB9" w:rsidP="00FD7EB9">
            <w:pPr>
              <w:pStyle w:val="ListParagraph"/>
              <w:keepLines/>
              <w:numPr>
                <w:ilvl w:val="0"/>
                <w:numId w:val="13"/>
              </w:numPr>
            </w:pPr>
          </w:p>
        </w:tc>
        <w:tc>
          <w:tcPr>
            <w:tcW w:w="2000" w:type="dxa"/>
          </w:tcPr>
          <w:p w14:paraId="087716AC" w14:textId="77777777" w:rsidR="00FD7EB9" w:rsidRPr="7EE7B1F9" w:rsidRDefault="00FD7EB9" w:rsidP="007D214E">
            <w:pPr>
              <w:keepLines/>
              <w:rPr>
                <w:rFonts w:ascii="Times New Roman" w:eastAsia="Times New Roman" w:hAnsi="Times New Roman" w:cs="Times New Roman"/>
              </w:rPr>
            </w:pPr>
            <w:r>
              <w:t>Part 2 of Schedule 4</w:t>
            </w:r>
            <w:r w:rsidRPr="00696D79">
              <w:t>, Source 2</w:t>
            </w:r>
            <w:r>
              <w:t>H</w:t>
            </w:r>
            <w:r w:rsidRPr="00696D79">
              <w:t xml:space="preserve"> (</w:t>
            </w:r>
            <w:r>
              <w:t>table item 4, column headed “Matters to be identified”, before paragraph (a)</w:t>
            </w:r>
            <w:r w:rsidRPr="00696D79">
              <w:t>)</w:t>
            </w:r>
          </w:p>
        </w:tc>
        <w:tc>
          <w:tcPr>
            <w:tcW w:w="6088" w:type="dxa"/>
          </w:tcPr>
          <w:p w14:paraId="4D7FF713" w14:textId="20223E41" w:rsidR="003C73BC" w:rsidRDefault="003C73BC" w:rsidP="003C73BC">
            <w:r>
              <w:t>Inserts “</w:t>
            </w:r>
            <w:r w:rsidR="00A80D9A">
              <w:t>the tonnes of flared gas</w:t>
            </w:r>
            <w:r>
              <w:t>”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O from flaring of gas during crude oil refining.</w:t>
            </w:r>
          </w:p>
          <w:p w14:paraId="27647B1D" w14:textId="77777777" w:rsidR="00FD7EB9" w:rsidRPr="00A5375B" w:rsidRDefault="00FD7EB9" w:rsidP="007D214E">
            <w:pPr>
              <w:pStyle w:val="TableText"/>
              <w:keepLines/>
              <w:rPr>
                <w:sz w:val="22"/>
              </w:rPr>
            </w:pPr>
          </w:p>
        </w:tc>
      </w:tr>
      <w:tr w:rsidR="00FD7EB9" w14:paraId="141AC4BD" w14:textId="77777777" w:rsidTr="007D214E">
        <w:tc>
          <w:tcPr>
            <w:tcW w:w="972" w:type="dxa"/>
          </w:tcPr>
          <w:p w14:paraId="5AB168A3" w14:textId="77777777" w:rsidR="00FD7EB9" w:rsidRDefault="00FD7EB9" w:rsidP="00FD7EB9">
            <w:pPr>
              <w:pStyle w:val="ListParagraph"/>
              <w:keepLines/>
              <w:numPr>
                <w:ilvl w:val="0"/>
                <w:numId w:val="13"/>
              </w:numPr>
            </w:pPr>
          </w:p>
        </w:tc>
        <w:tc>
          <w:tcPr>
            <w:tcW w:w="2000" w:type="dxa"/>
          </w:tcPr>
          <w:p w14:paraId="63082BD3" w14:textId="77777777" w:rsidR="00FD7EB9" w:rsidRPr="7EE7B1F9" w:rsidRDefault="00FD7EB9" w:rsidP="007D214E">
            <w:pPr>
              <w:keepLines/>
              <w:rPr>
                <w:rFonts w:ascii="Times New Roman" w:eastAsia="Times New Roman" w:hAnsi="Times New Roman" w:cs="Times New Roman"/>
              </w:rPr>
            </w:pPr>
            <w:r>
              <w:t xml:space="preserve">Part 2 of Schedule 4, </w:t>
            </w:r>
            <w:r w:rsidRPr="00696D79">
              <w:t>Source 2</w:t>
            </w:r>
            <w:r>
              <w:t>T</w:t>
            </w:r>
            <w:r w:rsidRPr="00696D79">
              <w:t xml:space="preserve"> (</w:t>
            </w:r>
            <w:r>
              <w:t>table item 2, column headed “Matters to be identified”, before paragraph (a)</w:t>
            </w:r>
            <w:r w:rsidRPr="00696D79">
              <w:t>)</w:t>
            </w:r>
          </w:p>
        </w:tc>
        <w:tc>
          <w:tcPr>
            <w:tcW w:w="6088" w:type="dxa"/>
          </w:tcPr>
          <w:p w14:paraId="21526FA4" w14:textId="55EAC317" w:rsidR="00D50304" w:rsidRDefault="00D50304" w:rsidP="00D50304">
            <w:r>
              <w:t>Inserts “</w:t>
            </w:r>
            <w:r w:rsidR="00A80D9A">
              <w:t>the tonnes of flared gas</w:t>
            </w:r>
            <w:r>
              <w:t>”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 xml:space="preserve">O from flaring of gas during </w:t>
            </w:r>
            <w:r w:rsidR="00882648">
              <w:t>onshore</w:t>
            </w:r>
            <w:r>
              <w:t xml:space="preserve"> </w:t>
            </w:r>
            <w:r w:rsidR="00882648">
              <w:t xml:space="preserve">natural </w:t>
            </w:r>
            <w:r>
              <w:t xml:space="preserve">gas </w:t>
            </w:r>
            <w:r w:rsidR="00882648">
              <w:t>production</w:t>
            </w:r>
            <w:r>
              <w:t>.</w:t>
            </w:r>
          </w:p>
          <w:p w14:paraId="75568AE1" w14:textId="77777777" w:rsidR="00FD7EB9" w:rsidRPr="00A5375B" w:rsidRDefault="00FD7EB9" w:rsidP="007D214E">
            <w:pPr>
              <w:pStyle w:val="TableText"/>
              <w:keepLines/>
              <w:rPr>
                <w:sz w:val="22"/>
              </w:rPr>
            </w:pPr>
          </w:p>
        </w:tc>
      </w:tr>
      <w:tr w:rsidR="00FD7EB9" w14:paraId="7C06BE98" w14:textId="77777777" w:rsidTr="007D214E">
        <w:tc>
          <w:tcPr>
            <w:tcW w:w="972" w:type="dxa"/>
          </w:tcPr>
          <w:p w14:paraId="61FA48D2" w14:textId="77777777" w:rsidR="00FD7EB9" w:rsidRDefault="00FD7EB9" w:rsidP="00FD7EB9">
            <w:pPr>
              <w:pStyle w:val="ListParagraph"/>
              <w:keepLines/>
              <w:numPr>
                <w:ilvl w:val="0"/>
                <w:numId w:val="13"/>
              </w:numPr>
            </w:pPr>
          </w:p>
        </w:tc>
        <w:tc>
          <w:tcPr>
            <w:tcW w:w="2000" w:type="dxa"/>
          </w:tcPr>
          <w:p w14:paraId="59C8890A" w14:textId="77777777" w:rsidR="00FD7EB9" w:rsidRDefault="00FD7EB9" w:rsidP="007D214E">
            <w:pPr>
              <w:keepLines/>
            </w:pPr>
            <w:r>
              <w:t xml:space="preserve">Part 2 of Schedule 4, </w:t>
            </w:r>
            <w:r w:rsidRPr="00696D79">
              <w:t>Source 2</w:t>
            </w:r>
            <w:r>
              <w:t>U</w:t>
            </w:r>
            <w:r w:rsidRPr="00696D79">
              <w:t xml:space="preserve"> (</w:t>
            </w:r>
            <w:r>
              <w:t>table item 2, column headed “Matters to be identified”, before paragraph (a)</w:t>
            </w:r>
            <w:r w:rsidRPr="00696D79">
              <w:t>)</w:t>
            </w:r>
          </w:p>
        </w:tc>
        <w:tc>
          <w:tcPr>
            <w:tcW w:w="6088" w:type="dxa"/>
          </w:tcPr>
          <w:p w14:paraId="416ED8BA" w14:textId="25A86263" w:rsidR="00071CDA" w:rsidRDefault="00071CDA" w:rsidP="00071CDA">
            <w:r>
              <w:t>Inserts “the tonnes of flared gas”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O from flaring of gas during offshore natural gas production.</w:t>
            </w:r>
          </w:p>
          <w:p w14:paraId="52C21E06" w14:textId="77777777" w:rsidR="00FD7EB9" w:rsidRPr="00A5375B" w:rsidRDefault="00FD7EB9" w:rsidP="007D214E">
            <w:pPr>
              <w:pStyle w:val="TableText"/>
              <w:keepLines/>
              <w:rPr>
                <w:sz w:val="22"/>
              </w:rPr>
            </w:pPr>
          </w:p>
        </w:tc>
      </w:tr>
      <w:tr w:rsidR="00FD7EB9" w14:paraId="7773AD59" w14:textId="77777777" w:rsidTr="007D214E">
        <w:tc>
          <w:tcPr>
            <w:tcW w:w="972" w:type="dxa"/>
          </w:tcPr>
          <w:p w14:paraId="29CAB512" w14:textId="77777777" w:rsidR="00FD7EB9" w:rsidRDefault="00FD7EB9" w:rsidP="00FD7EB9">
            <w:pPr>
              <w:pStyle w:val="ListParagraph"/>
              <w:keepLines/>
              <w:numPr>
                <w:ilvl w:val="0"/>
                <w:numId w:val="13"/>
              </w:numPr>
            </w:pPr>
          </w:p>
        </w:tc>
        <w:tc>
          <w:tcPr>
            <w:tcW w:w="2000" w:type="dxa"/>
          </w:tcPr>
          <w:p w14:paraId="60914416" w14:textId="77777777" w:rsidR="00FD7EB9" w:rsidRDefault="00FD7EB9" w:rsidP="007D214E">
            <w:pPr>
              <w:keepLines/>
            </w:pPr>
            <w:r>
              <w:t xml:space="preserve">Part 2 of Schedule 4, </w:t>
            </w:r>
            <w:r w:rsidRPr="00696D79">
              <w:t>Source 2</w:t>
            </w:r>
            <w:r>
              <w:t>W</w:t>
            </w:r>
            <w:r w:rsidRPr="00696D79">
              <w:t xml:space="preserve"> (</w:t>
            </w:r>
            <w:r>
              <w:t>table item 2, column headed “Matters to be identified”, before paragraph (a)</w:t>
            </w:r>
            <w:r w:rsidRPr="00696D79">
              <w:t>)</w:t>
            </w:r>
          </w:p>
        </w:tc>
        <w:tc>
          <w:tcPr>
            <w:tcW w:w="6088" w:type="dxa"/>
          </w:tcPr>
          <w:p w14:paraId="36C68E7F" w14:textId="1CD7C626" w:rsidR="00FF217E" w:rsidRDefault="00FF217E" w:rsidP="00FF217E">
            <w:r>
              <w:t>Inserts “the tonnes of flared gas”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O from flaring of gas during natural gas gathering and boosting.</w:t>
            </w:r>
          </w:p>
          <w:p w14:paraId="244EA098" w14:textId="77777777" w:rsidR="00FD7EB9" w:rsidRPr="00A5375B" w:rsidRDefault="00FD7EB9" w:rsidP="007D214E">
            <w:pPr>
              <w:pStyle w:val="TableText"/>
              <w:keepLines/>
              <w:rPr>
                <w:sz w:val="22"/>
              </w:rPr>
            </w:pPr>
          </w:p>
        </w:tc>
      </w:tr>
      <w:tr w:rsidR="00FD7EB9" w14:paraId="38178175" w14:textId="77777777" w:rsidTr="007D214E">
        <w:tc>
          <w:tcPr>
            <w:tcW w:w="972" w:type="dxa"/>
          </w:tcPr>
          <w:p w14:paraId="2BCE3023" w14:textId="77777777" w:rsidR="00FD7EB9" w:rsidRDefault="00FD7EB9" w:rsidP="00FD7EB9">
            <w:pPr>
              <w:pStyle w:val="ListParagraph"/>
              <w:keepLines/>
              <w:numPr>
                <w:ilvl w:val="0"/>
                <w:numId w:val="13"/>
              </w:numPr>
            </w:pPr>
          </w:p>
        </w:tc>
        <w:tc>
          <w:tcPr>
            <w:tcW w:w="2000" w:type="dxa"/>
          </w:tcPr>
          <w:p w14:paraId="20196B7C" w14:textId="77777777" w:rsidR="00FD7EB9" w:rsidRPr="00696D79" w:rsidRDefault="00FD7EB9" w:rsidP="007D214E">
            <w:pPr>
              <w:keepLines/>
            </w:pPr>
            <w:r>
              <w:t xml:space="preserve">Part 2 of Schedule 4, </w:t>
            </w:r>
            <w:r w:rsidRPr="00696D79">
              <w:t>Source 2</w:t>
            </w:r>
            <w:r>
              <w:t>Y</w:t>
            </w:r>
            <w:r w:rsidRPr="00696D79">
              <w:t xml:space="preserve"> (</w:t>
            </w:r>
            <w:r>
              <w:t>table item 2, column headed “Matters to be identified”, before paragraph (a)</w:t>
            </w:r>
            <w:r w:rsidRPr="00696D79">
              <w:t>)</w:t>
            </w:r>
          </w:p>
          <w:p w14:paraId="0A3D3371" w14:textId="77777777" w:rsidR="00FD7EB9" w:rsidRDefault="00FD7EB9" w:rsidP="007D214E">
            <w:pPr>
              <w:keepLines/>
            </w:pPr>
          </w:p>
        </w:tc>
        <w:tc>
          <w:tcPr>
            <w:tcW w:w="6088" w:type="dxa"/>
          </w:tcPr>
          <w:p w14:paraId="0A5965F8" w14:textId="07E9A900" w:rsidR="00102E0D" w:rsidRDefault="00102E0D" w:rsidP="00102E0D">
            <w:r>
              <w:t>Inserts “the tonnes of flared gas”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O from flaring of gas during natural gas processing.</w:t>
            </w:r>
          </w:p>
          <w:p w14:paraId="1EBC47B4" w14:textId="77777777" w:rsidR="00FD7EB9" w:rsidRPr="00A5375B" w:rsidRDefault="00FD7EB9" w:rsidP="007D214E">
            <w:pPr>
              <w:pStyle w:val="TableText"/>
              <w:keepLines/>
              <w:rPr>
                <w:sz w:val="22"/>
              </w:rPr>
            </w:pPr>
          </w:p>
        </w:tc>
      </w:tr>
      <w:tr w:rsidR="00FD7EB9" w14:paraId="7F68D371" w14:textId="77777777" w:rsidTr="007D214E">
        <w:tc>
          <w:tcPr>
            <w:tcW w:w="972" w:type="dxa"/>
          </w:tcPr>
          <w:p w14:paraId="78CE40C3" w14:textId="77777777" w:rsidR="00FD7EB9" w:rsidRDefault="00FD7EB9" w:rsidP="00FD7EB9">
            <w:pPr>
              <w:pStyle w:val="ListParagraph"/>
              <w:keepLines/>
              <w:numPr>
                <w:ilvl w:val="0"/>
                <w:numId w:val="13"/>
              </w:numPr>
            </w:pPr>
          </w:p>
        </w:tc>
        <w:tc>
          <w:tcPr>
            <w:tcW w:w="2000" w:type="dxa"/>
          </w:tcPr>
          <w:p w14:paraId="1B978230" w14:textId="77777777" w:rsidR="00FD7EB9" w:rsidRDefault="00FD7EB9" w:rsidP="007D214E">
            <w:pPr>
              <w:keepLines/>
            </w:pPr>
            <w:r>
              <w:t xml:space="preserve">Part 2 of Schedule 4, </w:t>
            </w:r>
            <w:r w:rsidRPr="00696D79">
              <w:t>Source 2</w:t>
            </w:r>
            <w:r>
              <w:t>Z</w:t>
            </w:r>
            <w:r w:rsidRPr="00696D79">
              <w:t xml:space="preserve"> (</w:t>
            </w:r>
            <w:r>
              <w:t>table item 2, column headed “Matters to be identified”, before paragraph (a)</w:t>
            </w:r>
            <w:r w:rsidRPr="00696D79">
              <w:t>)</w:t>
            </w:r>
          </w:p>
        </w:tc>
        <w:tc>
          <w:tcPr>
            <w:tcW w:w="6088" w:type="dxa"/>
          </w:tcPr>
          <w:p w14:paraId="6C550B3E" w14:textId="1C1D1109" w:rsidR="0019698B" w:rsidRDefault="0019698B" w:rsidP="0019698B">
            <w:r>
              <w:t>Inserts “the tonnes of flared gas”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O from flaring of gas during natural gas transmission.</w:t>
            </w:r>
          </w:p>
          <w:p w14:paraId="67E60C0A" w14:textId="77777777" w:rsidR="00FD7EB9" w:rsidRPr="00A5375B" w:rsidRDefault="00FD7EB9" w:rsidP="007D214E">
            <w:pPr>
              <w:pStyle w:val="TableText"/>
              <w:keepLines/>
              <w:rPr>
                <w:sz w:val="22"/>
              </w:rPr>
            </w:pPr>
          </w:p>
        </w:tc>
      </w:tr>
      <w:tr w:rsidR="00FD7EB9" w14:paraId="5C7666E5" w14:textId="77777777" w:rsidTr="007D214E">
        <w:tc>
          <w:tcPr>
            <w:tcW w:w="972" w:type="dxa"/>
          </w:tcPr>
          <w:p w14:paraId="738480E5" w14:textId="77777777" w:rsidR="00FD7EB9" w:rsidRDefault="00FD7EB9" w:rsidP="00FD7EB9">
            <w:pPr>
              <w:pStyle w:val="ListParagraph"/>
              <w:keepLines/>
              <w:numPr>
                <w:ilvl w:val="0"/>
                <w:numId w:val="13"/>
              </w:numPr>
            </w:pPr>
          </w:p>
        </w:tc>
        <w:tc>
          <w:tcPr>
            <w:tcW w:w="2000" w:type="dxa"/>
          </w:tcPr>
          <w:p w14:paraId="3D51D24B" w14:textId="77777777" w:rsidR="00FD7EB9" w:rsidRPr="00696D79" w:rsidRDefault="00FD7EB9" w:rsidP="007D214E">
            <w:pPr>
              <w:keepLines/>
            </w:pPr>
            <w:r>
              <w:t xml:space="preserve">Part 2 of Schedule 4, </w:t>
            </w:r>
            <w:r w:rsidRPr="00696D79">
              <w:t>Source 2Z (</w:t>
            </w:r>
            <w:r>
              <w:t>at the end of the</w:t>
            </w:r>
            <w:r w:rsidRPr="00696D79">
              <w:t xml:space="preserve"> table)</w:t>
            </w:r>
          </w:p>
          <w:p w14:paraId="06FD5FE4" w14:textId="77777777" w:rsidR="00FD7EB9" w:rsidRDefault="00FD7EB9" w:rsidP="007D214E">
            <w:pPr>
              <w:keepLines/>
            </w:pPr>
          </w:p>
        </w:tc>
        <w:tc>
          <w:tcPr>
            <w:tcW w:w="6088" w:type="dxa"/>
          </w:tcPr>
          <w:p w14:paraId="0FB8A63E" w14:textId="317F6631" w:rsidR="00F75092" w:rsidRDefault="00BA0598" w:rsidP="00F75092">
            <w:r w:rsidRPr="00B31329">
              <w:t>Reflecting items 10 and 12,</w:t>
            </w:r>
            <w:r>
              <w:t xml:space="preserve"> i</w:t>
            </w:r>
            <w:r w:rsidR="007E33BB">
              <w:t>nserts</w:t>
            </w:r>
            <w:r w:rsidR="00F75092">
              <w:t xml:space="preserve"> matters to be identified under Schedule 4 when using Method 2B for estimating emissions of methane and carbon dioxide from flaring of gas </w:t>
            </w:r>
            <w:r w:rsidR="008E462C">
              <w:t>during natural gas transmission</w:t>
            </w:r>
            <w:r w:rsidR="00F75092">
              <w:t>.</w:t>
            </w:r>
          </w:p>
          <w:p w14:paraId="39CE42EF" w14:textId="304B4028" w:rsidR="00F75092" w:rsidRPr="001A5893" w:rsidRDefault="00F75092" w:rsidP="00F75092">
            <w:r w:rsidRPr="00517619">
              <w:t xml:space="preserve">When using Method 2B to estimate emissions of methane, specified matters are (a) the tonnes of flared gas, </w:t>
            </w:r>
            <w:r w:rsidRPr="001A5893">
              <w:t xml:space="preserve">and (b) </w:t>
            </w:r>
            <w:r>
              <w:t xml:space="preserve">the tonnes and </w:t>
            </w:r>
            <w:r w:rsidRPr="001A5893">
              <w:t>gigajoules of methane within the flared gas, calculated through a mass balance.</w:t>
            </w:r>
          </w:p>
          <w:p w14:paraId="70935B4C" w14:textId="5BB674EF" w:rsidR="00F75092" w:rsidRDefault="00F75092" w:rsidP="00F75092">
            <w:pPr>
              <w:pStyle w:val="TableText"/>
              <w:keepLines/>
              <w:rPr>
                <w:sz w:val="22"/>
              </w:rPr>
            </w:pPr>
            <w:r w:rsidRPr="001A5893">
              <w:rPr>
                <w:sz w:val="22"/>
              </w:rPr>
              <w:t>When using Method 2B to estimate emissions of carbon dioxide, specified matters are (a) the tonnes of flared crude oil and liquids (hydrocarbon component) within the flared gas, calculated through a mass balance.</w:t>
            </w:r>
          </w:p>
          <w:p w14:paraId="41545CBC" w14:textId="0F34933A" w:rsidR="00FD7EB9" w:rsidRPr="00A5375B" w:rsidRDefault="00FD7EB9" w:rsidP="007D214E">
            <w:pPr>
              <w:pStyle w:val="TableText"/>
              <w:keepLines/>
              <w:rPr>
                <w:rFonts w:ascii="Calibri" w:eastAsia="Calibri" w:hAnsi="Calibri" w:cs="Calibri"/>
                <w:color w:val="5B9BD5"/>
                <w:sz w:val="22"/>
              </w:rPr>
            </w:pPr>
          </w:p>
        </w:tc>
      </w:tr>
      <w:tr w:rsidR="00FD7EB9" w14:paraId="7DB41F83" w14:textId="77777777" w:rsidTr="007D214E">
        <w:tc>
          <w:tcPr>
            <w:tcW w:w="972" w:type="dxa"/>
          </w:tcPr>
          <w:p w14:paraId="45564DC9" w14:textId="77777777" w:rsidR="00FD7EB9" w:rsidRDefault="00FD7EB9" w:rsidP="00FD7EB9">
            <w:pPr>
              <w:pStyle w:val="ListParagraph"/>
              <w:keepLines/>
              <w:numPr>
                <w:ilvl w:val="0"/>
                <w:numId w:val="13"/>
              </w:numPr>
            </w:pPr>
          </w:p>
        </w:tc>
        <w:tc>
          <w:tcPr>
            <w:tcW w:w="2000" w:type="dxa"/>
          </w:tcPr>
          <w:p w14:paraId="1AF2F5C2" w14:textId="77777777" w:rsidR="00FD7EB9" w:rsidRDefault="00FD7EB9" w:rsidP="007D214E">
            <w:pPr>
              <w:keepLines/>
            </w:pPr>
            <w:r>
              <w:t xml:space="preserve">Part 2 of Schedule 4, </w:t>
            </w:r>
            <w:r w:rsidRPr="00696D79">
              <w:t>Source 2</w:t>
            </w:r>
            <w:r>
              <w:t>ZB</w:t>
            </w:r>
            <w:r w:rsidRPr="00696D79">
              <w:t xml:space="preserve"> (</w:t>
            </w:r>
            <w:r>
              <w:t>table item 2, column headed “Matters to be identified”, before paragraph (a)</w:t>
            </w:r>
            <w:r w:rsidRPr="00696D79">
              <w:t>)</w:t>
            </w:r>
          </w:p>
        </w:tc>
        <w:tc>
          <w:tcPr>
            <w:tcW w:w="6088" w:type="dxa"/>
          </w:tcPr>
          <w:p w14:paraId="4322C8BE" w14:textId="5EF3F9F1" w:rsidR="007E33BB" w:rsidRDefault="007E33BB" w:rsidP="007E33BB">
            <w:r>
              <w:t>Inserts “the tonnes of flared gas”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O from flaring of gas during natural gas storage.</w:t>
            </w:r>
          </w:p>
          <w:p w14:paraId="009560ED" w14:textId="77777777" w:rsidR="00FD7EB9" w:rsidRPr="00A5375B" w:rsidRDefault="00FD7EB9" w:rsidP="007D214E">
            <w:pPr>
              <w:pStyle w:val="TableText"/>
              <w:keepLines/>
              <w:rPr>
                <w:sz w:val="22"/>
              </w:rPr>
            </w:pPr>
          </w:p>
        </w:tc>
      </w:tr>
      <w:tr w:rsidR="00FD7EB9" w14:paraId="510227B3" w14:textId="77777777" w:rsidTr="007D214E">
        <w:tc>
          <w:tcPr>
            <w:tcW w:w="972" w:type="dxa"/>
          </w:tcPr>
          <w:p w14:paraId="0229E65F" w14:textId="77777777" w:rsidR="00FD7EB9" w:rsidRDefault="00FD7EB9" w:rsidP="00FD7EB9">
            <w:pPr>
              <w:pStyle w:val="ListParagraph"/>
              <w:keepLines/>
              <w:numPr>
                <w:ilvl w:val="0"/>
                <w:numId w:val="13"/>
              </w:numPr>
            </w:pPr>
          </w:p>
        </w:tc>
        <w:tc>
          <w:tcPr>
            <w:tcW w:w="2000" w:type="dxa"/>
          </w:tcPr>
          <w:p w14:paraId="1C777A3E" w14:textId="77777777" w:rsidR="00FD7EB9" w:rsidRDefault="00FD7EB9" w:rsidP="007D214E">
            <w:pPr>
              <w:keepLines/>
            </w:pPr>
            <w:r>
              <w:t xml:space="preserve">Part 2 of Schedule 4, </w:t>
            </w:r>
            <w:r w:rsidRPr="00696D79">
              <w:t>Source 2</w:t>
            </w:r>
            <w:r>
              <w:t>ZE</w:t>
            </w:r>
            <w:r w:rsidRPr="00696D79">
              <w:t xml:space="preserve"> (</w:t>
            </w:r>
            <w:r>
              <w:t>table item 2, column headed “Matters to be identified”, before paragraph (a)</w:t>
            </w:r>
            <w:r w:rsidRPr="00696D79">
              <w:t>)</w:t>
            </w:r>
          </w:p>
        </w:tc>
        <w:tc>
          <w:tcPr>
            <w:tcW w:w="6088" w:type="dxa"/>
          </w:tcPr>
          <w:p w14:paraId="7CE25BF1" w14:textId="715C305E" w:rsidR="00A662C2" w:rsidRDefault="00A662C2" w:rsidP="00A662C2">
            <w:r>
              <w:t>Inserts “the tonnes of flared gas”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O from flaring of gas during natural gas liquefaction, storage and transfer.</w:t>
            </w:r>
          </w:p>
          <w:p w14:paraId="4EACA9FD" w14:textId="77777777" w:rsidR="00FD7EB9" w:rsidRPr="00A5375B" w:rsidRDefault="00FD7EB9" w:rsidP="007D214E">
            <w:pPr>
              <w:pStyle w:val="TableText"/>
              <w:keepLines/>
              <w:rPr>
                <w:sz w:val="22"/>
              </w:rPr>
            </w:pPr>
          </w:p>
        </w:tc>
      </w:tr>
      <w:tr w:rsidR="00FD7EB9" w14:paraId="6F310610" w14:textId="77777777" w:rsidTr="007D214E">
        <w:tc>
          <w:tcPr>
            <w:tcW w:w="972" w:type="dxa"/>
          </w:tcPr>
          <w:p w14:paraId="5AB9E13B" w14:textId="77777777" w:rsidR="00FD7EB9" w:rsidRDefault="00FD7EB9" w:rsidP="00FD7EB9">
            <w:pPr>
              <w:pStyle w:val="ListParagraph"/>
              <w:keepLines/>
              <w:numPr>
                <w:ilvl w:val="0"/>
                <w:numId w:val="13"/>
              </w:numPr>
            </w:pPr>
          </w:p>
        </w:tc>
        <w:tc>
          <w:tcPr>
            <w:tcW w:w="2000" w:type="dxa"/>
          </w:tcPr>
          <w:p w14:paraId="28028128" w14:textId="77777777" w:rsidR="00FD7EB9" w:rsidRDefault="00FD7EB9" w:rsidP="007D214E">
            <w:pPr>
              <w:keepLines/>
            </w:pPr>
            <w:r>
              <w:t xml:space="preserve">Part 2 of Schedule 4, </w:t>
            </w:r>
            <w:r w:rsidRPr="00696D79">
              <w:t>Source 2</w:t>
            </w:r>
            <w:r>
              <w:t>ZF</w:t>
            </w:r>
            <w:r w:rsidRPr="00696D79">
              <w:t xml:space="preserve"> (</w:t>
            </w:r>
            <w:r>
              <w:t>table item 2, column headed “Matters to be identified”, before paragraph (a)</w:t>
            </w:r>
            <w:r w:rsidRPr="00696D79">
              <w:t>)</w:t>
            </w:r>
          </w:p>
        </w:tc>
        <w:tc>
          <w:tcPr>
            <w:tcW w:w="6088" w:type="dxa"/>
          </w:tcPr>
          <w:p w14:paraId="0E733C67" w14:textId="611EDCD2" w:rsidR="00FF02DC" w:rsidRDefault="00FF02DC" w:rsidP="00FF02DC">
            <w:r>
              <w:t>Inserts “the tonnes of flared gas” as an additional matter to be identified under Schedule 4 when using Method 2, 2A or 3 for estimating emissions of CH</w:t>
            </w:r>
            <w:r w:rsidRPr="004C453F">
              <w:rPr>
                <w:vertAlign w:val="subscript"/>
              </w:rPr>
              <w:t>4</w:t>
            </w:r>
            <w:r>
              <w:t>, CO</w:t>
            </w:r>
            <w:r w:rsidRPr="004C453F">
              <w:rPr>
                <w:vertAlign w:val="subscript"/>
              </w:rPr>
              <w:t>2</w:t>
            </w:r>
            <w:r>
              <w:t xml:space="preserve"> and N</w:t>
            </w:r>
            <w:r w:rsidRPr="004C453F">
              <w:rPr>
                <w:vertAlign w:val="subscript"/>
              </w:rPr>
              <w:t>2</w:t>
            </w:r>
            <w:r>
              <w:t>O from flaring of gas during natural gas distribution.</w:t>
            </w:r>
          </w:p>
          <w:p w14:paraId="3CB10C48" w14:textId="77777777" w:rsidR="00FD7EB9" w:rsidRPr="00A5375B" w:rsidRDefault="00FD7EB9" w:rsidP="007D214E">
            <w:pPr>
              <w:pStyle w:val="TableText"/>
              <w:keepLines/>
              <w:rPr>
                <w:sz w:val="22"/>
              </w:rPr>
            </w:pPr>
          </w:p>
        </w:tc>
      </w:tr>
      <w:tr w:rsidR="00FD7EB9" w14:paraId="69E04A2F" w14:textId="77777777" w:rsidTr="007D214E">
        <w:tc>
          <w:tcPr>
            <w:tcW w:w="972" w:type="dxa"/>
          </w:tcPr>
          <w:p w14:paraId="46C297D6" w14:textId="77777777" w:rsidR="00FD7EB9" w:rsidRDefault="00FD7EB9" w:rsidP="00FD7EB9">
            <w:pPr>
              <w:pStyle w:val="ListParagraph"/>
              <w:keepLines/>
              <w:numPr>
                <w:ilvl w:val="0"/>
                <w:numId w:val="13"/>
              </w:numPr>
            </w:pPr>
          </w:p>
        </w:tc>
        <w:tc>
          <w:tcPr>
            <w:tcW w:w="2000" w:type="dxa"/>
          </w:tcPr>
          <w:p w14:paraId="3247C8AE" w14:textId="77777777" w:rsidR="00FD7EB9" w:rsidRDefault="00FD7EB9" w:rsidP="007D214E">
            <w:pPr>
              <w:keepLines/>
            </w:pPr>
            <w:r>
              <w:t xml:space="preserve">Part 2 of Schedule 4, </w:t>
            </w:r>
            <w:r w:rsidRPr="00696D79">
              <w:t>Source 2</w:t>
            </w:r>
            <w:r>
              <w:t>ZF</w:t>
            </w:r>
            <w:r w:rsidRPr="00696D79">
              <w:t xml:space="preserve"> (</w:t>
            </w:r>
            <w:r>
              <w:t>at the end of the</w:t>
            </w:r>
            <w:r w:rsidRPr="00696D79">
              <w:t xml:space="preserve"> </w:t>
            </w:r>
            <w:r>
              <w:t>table)</w:t>
            </w:r>
          </w:p>
        </w:tc>
        <w:tc>
          <w:tcPr>
            <w:tcW w:w="6088" w:type="dxa"/>
          </w:tcPr>
          <w:p w14:paraId="5FE396C0" w14:textId="6140037E" w:rsidR="00FF02DC" w:rsidRDefault="00ED600E" w:rsidP="00FF02DC">
            <w:r w:rsidRPr="00B31329">
              <w:t xml:space="preserve">Reflecting changes made </w:t>
            </w:r>
            <w:r w:rsidR="00DA69EF" w:rsidRPr="00B31329">
              <w:t xml:space="preserve">through items </w:t>
            </w:r>
            <w:r w:rsidR="00B31329" w:rsidRPr="00B31329">
              <w:t>15 and 17</w:t>
            </w:r>
            <w:r w:rsidR="00DA69EF">
              <w:t>, i</w:t>
            </w:r>
            <w:r w:rsidR="00FF02DC">
              <w:t>nserts matters to be identified under Schedule 4 when using Method 2B for estimating emissions of methane and carbon dioxide from flaring of gas during natural gas distribution.</w:t>
            </w:r>
          </w:p>
          <w:p w14:paraId="391B315F" w14:textId="7D729CBF" w:rsidR="00FF02DC" w:rsidRPr="001A5893" w:rsidRDefault="00FF02DC" w:rsidP="00FF02DC">
            <w:r w:rsidRPr="00517619">
              <w:t xml:space="preserve">When using Method 2B to estimate emissions of methane, specified matters are (a) the tonnes of flared gas, </w:t>
            </w:r>
            <w:r w:rsidRPr="001A5893">
              <w:t xml:space="preserve">and (b) </w:t>
            </w:r>
            <w:r>
              <w:t xml:space="preserve">the tonnes and </w:t>
            </w:r>
            <w:r w:rsidRPr="001A5893">
              <w:t>gigajoules of methane within the flared gas, calculated through a mass balance.</w:t>
            </w:r>
          </w:p>
          <w:p w14:paraId="6341D962" w14:textId="425A76ED" w:rsidR="00FF02DC" w:rsidRDefault="00FF02DC" w:rsidP="00FF02DC">
            <w:pPr>
              <w:pStyle w:val="TableText"/>
              <w:keepLines/>
              <w:rPr>
                <w:sz w:val="22"/>
              </w:rPr>
            </w:pPr>
            <w:r w:rsidRPr="001A5893">
              <w:rPr>
                <w:sz w:val="22"/>
              </w:rPr>
              <w:t>When using Method 2B to estimate emissions of carbon dioxide, specified matters are (a) the tonnes of flared crude oil and liquids (hydrocarbon component) within the flared gas, calculated through a mass balance.</w:t>
            </w:r>
          </w:p>
          <w:p w14:paraId="6FAA0DCC" w14:textId="77777777" w:rsidR="00FD7EB9" w:rsidRPr="00A5375B" w:rsidRDefault="00FD7EB9" w:rsidP="007D214E">
            <w:pPr>
              <w:pStyle w:val="TableText"/>
              <w:keepLines/>
              <w:rPr>
                <w:sz w:val="22"/>
              </w:rPr>
            </w:pPr>
          </w:p>
        </w:tc>
      </w:tr>
      <w:tr w:rsidR="00FD7EB9" w14:paraId="5C7EBDCA" w14:textId="77777777" w:rsidTr="007D214E">
        <w:tc>
          <w:tcPr>
            <w:tcW w:w="972" w:type="dxa"/>
          </w:tcPr>
          <w:p w14:paraId="7F35EFCE" w14:textId="77777777" w:rsidR="00FD7EB9" w:rsidRDefault="00FD7EB9" w:rsidP="00FD7EB9">
            <w:pPr>
              <w:pStyle w:val="ListParagraph"/>
              <w:keepLines/>
              <w:numPr>
                <w:ilvl w:val="0"/>
                <w:numId w:val="13"/>
              </w:numPr>
            </w:pPr>
          </w:p>
        </w:tc>
        <w:tc>
          <w:tcPr>
            <w:tcW w:w="2000" w:type="dxa"/>
          </w:tcPr>
          <w:p w14:paraId="6E9DFA39" w14:textId="562CA320" w:rsidR="00D90E54" w:rsidRDefault="00D90E54" w:rsidP="00D90E54">
            <w:pPr>
              <w:keepLines/>
            </w:pPr>
            <w:r>
              <w:t>Part 6 of Schedule 4, Source 4B (table)</w:t>
            </w:r>
          </w:p>
          <w:p w14:paraId="533DBEED" w14:textId="3A63E070" w:rsidR="00FD7EB9" w:rsidRDefault="00FD7EB9" w:rsidP="00D90E54">
            <w:pPr>
              <w:keepLines/>
            </w:pPr>
          </w:p>
        </w:tc>
        <w:tc>
          <w:tcPr>
            <w:tcW w:w="6088" w:type="dxa"/>
          </w:tcPr>
          <w:p w14:paraId="02D26524" w14:textId="6B276EFD" w:rsidR="00FD7EB9" w:rsidRPr="00A5375B" w:rsidRDefault="00D90E54" w:rsidP="007D214E">
            <w:pPr>
              <w:pStyle w:val="TableText"/>
              <w:keepLines/>
              <w:rPr>
                <w:sz w:val="22"/>
              </w:rPr>
            </w:pPr>
            <w:r>
              <w:rPr>
                <w:sz w:val="22"/>
              </w:rPr>
              <w:t>Repeals the table</w:t>
            </w:r>
            <w:r w:rsidR="009E09FE">
              <w:rPr>
                <w:sz w:val="22"/>
              </w:rPr>
              <w:t>.</w:t>
            </w:r>
          </w:p>
        </w:tc>
      </w:tr>
      <w:tr w:rsidR="00FD7EB9" w14:paraId="1D7BE522" w14:textId="77777777" w:rsidTr="007D214E">
        <w:tc>
          <w:tcPr>
            <w:tcW w:w="972" w:type="dxa"/>
          </w:tcPr>
          <w:p w14:paraId="0543D291" w14:textId="77777777" w:rsidR="00FD7EB9" w:rsidRDefault="00FD7EB9" w:rsidP="00FD7EB9">
            <w:pPr>
              <w:pStyle w:val="ListParagraph"/>
              <w:keepLines/>
              <w:numPr>
                <w:ilvl w:val="0"/>
                <w:numId w:val="13"/>
              </w:numPr>
            </w:pPr>
          </w:p>
        </w:tc>
        <w:tc>
          <w:tcPr>
            <w:tcW w:w="2000" w:type="dxa"/>
          </w:tcPr>
          <w:p w14:paraId="15F1C98A" w14:textId="40476EA8" w:rsidR="00FD7EB9" w:rsidRDefault="00E61C8C" w:rsidP="007D214E">
            <w:pPr>
              <w:keepLines/>
            </w:pPr>
            <w:r w:rsidRPr="00E61C8C">
              <w:t>Part 6 of Schedule 4, Source 4C (table)</w:t>
            </w:r>
          </w:p>
        </w:tc>
        <w:tc>
          <w:tcPr>
            <w:tcW w:w="6088" w:type="dxa"/>
          </w:tcPr>
          <w:p w14:paraId="77CD63D5" w14:textId="71AA1729" w:rsidR="00FD7EB9" w:rsidRPr="00A5375B" w:rsidRDefault="00F35AD5" w:rsidP="007D214E">
            <w:pPr>
              <w:pStyle w:val="TableText"/>
              <w:keepLines/>
              <w:rPr>
                <w:sz w:val="22"/>
              </w:rPr>
            </w:pPr>
            <w:r>
              <w:rPr>
                <w:sz w:val="22"/>
              </w:rPr>
              <w:t>Repeals the table</w:t>
            </w:r>
            <w:r w:rsidR="009E09FE">
              <w:rPr>
                <w:sz w:val="22"/>
              </w:rPr>
              <w:t>.</w:t>
            </w:r>
          </w:p>
        </w:tc>
      </w:tr>
      <w:tr w:rsidR="00FA0862" w14:paraId="7468A331" w14:textId="77777777" w:rsidTr="007D214E">
        <w:tc>
          <w:tcPr>
            <w:tcW w:w="972" w:type="dxa"/>
          </w:tcPr>
          <w:p w14:paraId="0CD59830" w14:textId="77777777" w:rsidR="00FA0862" w:rsidRDefault="00FA0862" w:rsidP="00FD7EB9">
            <w:pPr>
              <w:pStyle w:val="ListParagraph"/>
              <w:keepLines/>
              <w:numPr>
                <w:ilvl w:val="0"/>
                <w:numId w:val="13"/>
              </w:numPr>
            </w:pPr>
          </w:p>
        </w:tc>
        <w:tc>
          <w:tcPr>
            <w:tcW w:w="2000" w:type="dxa"/>
          </w:tcPr>
          <w:p w14:paraId="793C19C3" w14:textId="45E1AADF" w:rsidR="00FA0862" w:rsidRDefault="00EA7661" w:rsidP="007D214E">
            <w:pPr>
              <w:keepLines/>
            </w:pPr>
            <w:r w:rsidRPr="00EA7661">
              <w:t>Part 6 of Schedule 4, at the end of Source 4A</w:t>
            </w:r>
          </w:p>
        </w:tc>
        <w:tc>
          <w:tcPr>
            <w:tcW w:w="6088" w:type="dxa"/>
          </w:tcPr>
          <w:p w14:paraId="11B5541D" w14:textId="7C2A85BE" w:rsidR="00FA0862" w:rsidRPr="00A5375B" w:rsidRDefault="0026017E" w:rsidP="007D214E">
            <w:pPr>
              <w:pStyle w:val="TableText"/>
              <w:keepLines/>
              <w:rPr>
                <w:sz w:val="22"/>
              </w:rPr>
            </w:pPr>
            <w:r>
              <w:rPr>
                <w:sz w:val="22"/>
              </w:rPr>
              <w:t>Introduces additional MTBIs for the reporting of the quantity of sludge transferred to a biochar production facility</w:t>
            </w:r>
            <w:r w:rsidR="009E09FE">
              <w:rPr>
                <w:sz w:val="22"/>
              </w:rPr>
              <w:t>.</w:t>
            </w:r>
          </w:p>
        </w:tc>
      </w:tr>
      <w:tr w:rsidR="007205CA" w14:paraId="62D5DCAA" w14:textId="77777777" w:rsidTr="007D214E">
        <w:tc>
          <w:tcPr>
            <w:tcW w:w="972" w:type="dxa"/>
          </w:tcPr>
          <w:p w14:paraId="49B05106" w14:textId="77777777" w:rsidR="007205CA" w:rsidRDefault="007205CA" w:rsidP="007205CA">
            <w:pPr>
              <w:pStyle w:val="ListParagraph"/>
              <w:keepLines/>
              <w:numPr>
                <w:ilvl w:val="0"/>
                <w:numId w:val="13"/>
              </w:numPr>
            </w:pPr>
          </w:p>
        </w:tc>
        <w:tc>
          <w:tcPr>
            <w:tcW w:w="2000" w:type="dxa"/>
          </w:tcPr>
          <w:p w14:paraId="0C211E09" w14:textId="7688ABC9" w:rsidR="007205CA" w:rsidRPr="0085651E" w:rsidRDefault="007205CA" w:rsidP="007205CA">
            <w:pPr>
              <w:keepLines/>
            </w:pPr>
            <w:r w:rsidRPr="0085651E">
              <w:t>Part 7 of Schedule 4 (cell at table item 1, column headed “Matters to be identified”)</w:t>
            </w:r>
          </w:p>
        </w:tc>
        <w:tc>
          <w:tcPr>
            <w:tcW w:w="6088" w:type="dxa"/>
          </w:tcPr>
          <w:p w14:paraId="6D8A045A" w14:textId="1D4D62AC" w:rsidR="007205CA" w:rsidRDefault="007205CA" w:rsidP="007205CA">
            <w:pPr>
              <w:pStyle w:val="TableText"/>
              <w:keepLines/>
              <w:rPr>
                <w:sz w:val="22"/>
              </w:rPr>
            </w:pPr>
            <w:r>
              <w:rPr>
                <w:sz w:val="22"/>
              </w:rPr>
              <w:t xml:space="preserve">Introduces new MTBIs for the </w:t>
            </w:r>
            <w:r w:rsidR="00CD5306">
              <w:rPr>
                <w:sz w:val="22"/>
              </w:rPr>
              <w:t>reporting of</w:t>
            </w:r>
            <w:r>
              <w:rPr>
                <w:sz w:val="22"/>
              </w:rPr>
              <w:t xml:space="preserve"> RET accreditation codes for accredited power stations within an NGER facility and </w:t>
            </w:r>
            <w:r w:rsidR="008729AE">
              <w:rPr>
                <w:sz w:val="22"/>
              </w:rPr>
              <w:t xml:space="preserve">Surrender ID numbers for </w:t>
            </w:r>
            <w:r w:rsidR="00025526" w:rsidRPr="007A4D1F">
              <w:rPr>
                <w:i/>
                <w:sz w:val="22"/>
              </w:rPr>
              <w:t>REC</w:t>
            </w:r>
            <w:r w:rsidR="00025526" w:rsidRPr="007A4D1F">
              <w:rPr>
                <w:i/>
                <w:sz w:val="22"/>
                <w:vertAlign w:val="subscript"/>
              </w:rPr>
              <w:t>surr</w:t>
            </w:r>
            <w:r w:rsidR="009E09FE">
              <w:rPr>
                <w:i/>
                <w:sz w:val="22"/>
                <w:vertAlign w:val="subscript"/>
              </w:rPr>
              <w:t>.</w:t>
            </w:r>
          </w:p>
        </w:tc>
      </w:tr>
    </w:tbl>
    <w:p w14:paraId="3511FB7B" w14:textId="77777777" w:rsidR="00FD7EB9" w:rsidRDefault="00FD7EB9" w:rsidP="00FD7EB9"/>
    <w:p w14:paraId="33614DD5" w14:textId="34104EB8" w:rsidR="00A32152" w:rsidRDefault="00A32152" w:rsidP="009639CD">
      <w:pPr>
        <w:spacing w:after="0" w:line="240" w:lineRule="auto"/>
      </w:pPr>
    </w:p>
    <w:sectPr w:rsidR="00A32152">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73D95" w14:textId="77777777" w:rsidR="00493430" w:rsidRDefault="00493430">
      <w:r>
        <w:separator/>
      </w:r>
    </w:p>
    <w:p w14:paraId="6FD256AA" w14:textId="77777777" w:rsidR="00493430" w:rsidRDefault="00493430"/>
    <w:p w14:paraId="7353BA48" w14:textId="77777777" w:rsidR="00493430" w:rsidRDefault="00493430"/>
  </w:endnote>
  <w:endnote w:type="continuationSeparator" w:id="0">
    <w:p w14:paraId="1A772D74" w14:textId="77777777" w:rsidR="00493430" w:rsidRDefault="00493430">
      <w:r>
        <w:continuationSeparator/>
      </w:r>
    </w:p>
    <w:p w14:paraId="69176D6A" w14:textId="77777777" w:rsidR="00493430" w:rsidRDefault="00493430"/>
    <w:p w14:paraId="42CD7724" w14:textId="77777777" w:rsidR="00493430" w:rsidRDefault="00493430"/>
  </w:endnote>
  <w:endnote w:type="continuationNotice" w:id="1">
    <w:p w14:paraId="1182D172" w14:textId="77777777" w:rsidR="00493430" w:rsidRDefault="00493430">
      <w:pPr>
        <w:pStyle w:val="Footer"/>
      </w:pPr>
    </w:p>
    <w:p w14:paraId="62A9B9C9" w14:textId="77777777" w:rsidR="00493430" w:rsidRDefault="00493430"/>
    <w:p w14:paraId="244936C7" w14:textId="77777777" w:rsidR="00493430" w:rsidRDefault="00493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502E" w14:textId="460CC376" w:rsidR="00AD39F3" w:rsidRDefault="00AD39F3">
    <w:pPr>
      <w:pStyle w:val="Footer"/>
    </w:pPr>
    <w:r>
      <w:rPr>
        <w:noProof/>
      </w:rPr>
      <mc:AlternateContent>
        <mc:Choice Requires="wps">
          <w:drawing>
            <wp:anchor distT="0" distB="0" distL="0" distR="0" simplePos="0" relativeHeight="251658242" behindDoc="0" locked="0" layoutInCell="1" allowOverlap="1" wp14:anchorId="72B36F4A" wp14:editId="20D8ED81">
              <wp:simplePos x="635" y="635"/>
              <wp:positionH relativeFrom="page">
                <wp:align>center</wp:align>
              </wp:positionH>
              <wp:positionV relativeFrom="page">
                <wp:align>bottom</wp:align>
              </wp:positionV>
              <wp:extent cx="551815" cy="404495"/>
              <wp:effectExtent l="0" t="0" r="635" b="0"/>
              <wp:wrapNone/>
              <wp:docPr id="17616435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78D70E" w14:textId="71DF3BEE" w:rsidR="00AD39F3" w:rsidRPr="00AD39F3" w:rsidRDefault="00AD39F3" w:rsidP="00AD39F3">
                          <w:pPr>
                            <w:spacing w:after="0"/>
                            <w:rPr>
                              <w:rFonts w:ascii="Calibri" w:eastAsia="Calibri" w:hAnsi="Calibri" w:cs="Calibri"/>
                              <w:noProof/>
                              <w:color w:val="FF0000"/>
                              <w:sz w:val="24"/>
                              <w:szCs w:val="24"/>
                            </w:rPr>
                          </w:pPr>
                          <w:r w:rsidRPr="00AD39F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36F4A"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7778D70E" w14:textId="71DF3BEE" w:rsidR="00AD39F3" w:rsidRPr="00AD39F3" w:rsidRDefault="00AD39F3" w:rsidP="00AD39F3">
                    <w:pPr>
                      <w:spacing w:after="0"/>
                      <w:rPr>
                        <w:rFonts w:ascii="Calibri" w:eastAsia="Calibri" w:hAnsi="Calibri" w:cs="Calibri"/>
                        <w:noProof/>
                        <w:color w:val="FF0000"/>
                        <w:sz w:val="24"/>
                        <w:szCs w:val="24"/>
                      </w:rPr>
                    </w:pPr>
                    <w:r w:rsidRPr="00AD39F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325845"/>
      <w:docPartObj>
        <w:docPartGallery w:val="Page Numbers (Bottom of Page)"/>
        <w:docPartUnique/>
      </w:docPartObj>
    </w:sdtPr>
    <w:sdtEndPr>
      <w:rPr>
        <w:noProof/>
      </w:rPr>
    </w:sdtEndPr>
    <w:sdtContent>
      <w:p w14:paraId="3AEFE64D" w14:textId="6863CB0E" w:rsidR="008D0D87" w:rsidRDefault="00B861B4">
        <w:pPr>
          <w:pStyle w:val="Footer"/>
          <w:jc w:val="right"/>
        </w:pPr>
        <w:r>
          <w:fldChar w:fldCharType="begin"/>
        </w:r>
        <w:r>
          <w:instrText xml:space="preserve"> PAGE   \* MERGEFORMAT </w:instrText>
        </w:r>
        <w:r>
          <w:fldChar w:fldCharType="separate"/>
        </w:r>
        <w:r w:rsidR="00747E5C">
          <w:rPr>
            <w:noProof/>
          </w:rPr>
          <w:t>1</w:t>
        </w:r>
        <w:r>
          <w:rPr>
            <w:noProof/>
          </w:rPr>
          <w:fldChar w:fldCharType="end"/>
        </w:r>
      </w:p>
    </w:sdtContent>
  </w:sdt>
  <w:p w14:paraId="5E439F13" w14:textId="24145439" w:rsidR="00B861B4" w:rsidRDefault="00B86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A7AB" w14:textId="62931CFE" w:rsidR="00AD39F3" w:rsidRDefault="00AD39F3">
    <w:pPr>
      <w:pStyle w:val="Footer"/>
    </w:pPr>
    <w:r>
      <w:rPr>
        <w:noProof/>
      </w:rPr>
      <mc:AlternateContent>
        <mc:Choice Requires="wps">
          <w:drawing>
            <wp:anchor distT="0" distB="0" distL="0" distR="0" simplePos="0" relativeHeight="251658243" behindDoc="0" locked="0" layoutInCell="1" allowOverlap="1" wp14:anchorId="40CC397B" wp14:editId="1749AB8E">
              <wp:simplePos x="635" y="635"/>
              <wp:positionH relativeFrom="page">
                <wp:align>center</wp:align>
              </wp:positionH>
              <wp:positionV relativeFrom="page">
                <wp:align>bottom</wp:align>
              </wp:positionV>
              <wp:extent cx="551815" cy="404495"/>
              <wp:effectExtent l="0" t="0" r="635" b="0"/>
              <wp:wrapNone/>
              <wp:docPr id="2978399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0B31F3" w14:textId="6687FD68" w:rsidR="00AD39F3" w:rsidRPr="00AD39F3" w:rsidRDefault="00AD39F3" w:rsidP="00AD39F3">
                          <w:pPr>
                            <w:spacing w:after="0"/>
                            <w:rPr>
                              <w:rFonts w:ascii="Calibri" w:eastAsia="Calibri" w:hAnsi="Calibri" w:cs="Calibri"/>
                              <w:noProof/>
                              <w:color w:val="FF0000"/>
                              <w:sz w:val="24"/>
                              <w:szCs w:val="24"/>
                            </w:rPr>
                          </w:pPr>
                          <w:r w:rsidRPr="00AD39F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C397B"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60B31F3" w14:textId="6687FD68" w:rsidR="00AD39F3" w:rsidRPr="00AD39F3" w:rsidRDefault="00AD39F3" w:rsidP="00AD39F3">
                    <w:pPr>
                      <w:spacing w:after="0"/>
                      <w:rPr>
                        <w:rFonts w:ascii="Calibri" w:eastAsia="Calibri" w:hAnsi="Calibri" w:cs="Calibri"/>
                        <w:noProof/>
                        <w:color w:val="FF0000"/>
                        <w:sz w:val="24"/>
                        <w:szCs w:val="24"/>
                      </w:rPr>
                    </w:pPr>
                    <w:r w:rsidRPr="00AD39F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CC42" w14:textId="77777777" w:rsidR="00493430" w:rsidRDefault="00493430">
      <w:r>
        <w:separator/>
      </w:r>
    </w:p>
  </w:footnote>
  <w:footnote w:type="continuationSeparator" w:id="0">
    <w:p w14:paraId="170371D2" w14:textId="77777777" w:rsidR="00493430" w:rsidRDefault="00493430">
      <w:r>
        <w:continuationSeparator/>
      </w:r>
    </w:p>
    <w:p w14:paraId="7A32364A" w14:textId="77777777" w:rsidR="00493430" w:rsidRDefault="00493430"/>
    <w:p w14:paraId="7359AD24" w14:textId="77777777" w:rsidR="00493430" w:rsidRDefault="00493430"/>
  </w:footnote>
  <w:footnote w:type="continuationNotice" w:id="1">
    <w:p w14:paraId="023A00B0" w14:textId="77777777" w:rsidR="00493430" w:rsidRDefault="00493430">
      <w:pPr>
        <w:pStyle w:val="Footer"/>
      </w:pPr>
    </w:p>
    <w:p w14:paraId="0639094D" w14:textId="77777777" w:rsidR="00493430" w:rsidRDefault="00493430"/>
    <w:p w14:paraId="55268CA4" w14:textId="77777777" w:rsidR="00493430" w:rsidRDefault="00493430"/>
  </w:footnote>
  <w:footnote w:id="2">
    <w:p w14:paraId="5AE8297B" w14:textId="065F1E92" w:rsidR="00CB4E36" w:rsidRDefault="00CB4E36">
      <w:pPr>
        <w:pStyle w:val="FootnoteText"/>
      </w:pPr>
      <w:r>
        <w:rPr>
          <w:rStyle w:val="FootnoteReference"/>
        </w:rPr>
        <w:footnoteRef/>
      </w:r>
      <w:r>
        <w:t xml:space="preserve"> </w:t>
      </w:r>
      <w:hyperlink r:id="rId1" w:history="1">
        <w:r w:rsidR="00806029" w:rsidRPr="00806029">
          <w:rPr>
            <w:rStyle w:val="Hyperlink"/>
          </w:rPr>
          <w:t>Extending the national gas regulatory framework to hydrogen and renewable gases | energy.gov.au</w:t>
        </w:r>
      </w:hyperlink>
    </w:p>
  </w:footnote>
  <w:footnote w:id="3">
    <w:p w14:paraId="339A12FC" w14:textId="0B046767" w:rsidR="00F20C59" w:rsidRDefault="00F20C59">
      <w:pPr>
        <w:pStyle w:val="FootnoteText"/>
      </w:pPr>
      <w:r>
        <w:rPr>
          <w:rStyle w:val="FootnoteReference"/>
        </w:rPr>
        <w:footnoteRef/>
      </w:r>
      <w:r>
        <w:t xml:space="preserve"> </w:t>
      </w:r>
      <w:r w:rsidRPr="00F20C59">
        <w:t xml:space="preserve">Under the NGER scheme, facilities reporting emissions from the consumption of fuel report on a scope 1 basis. Emissions associated with the production of fuels, including renewable gaseous fuels, are accounted for in the scope 1 emissions reporting of the fuel producer. The NGER scheme is not a lifecycle emissions reporting scheme.  </w:t>
      </w:r>
    </w:p>
  </w:footnote>
  <w:footnote w:id="4">
    <w:p w14:paraId="5405C70B" w14:textId="77777777" w:rsidR="00996E63" w:rsidRDefault="00996E63" w:rsidP="00996E63">
      <w:pPr>
        <w:pStyle w:val="FootnoteText"/>
      </w:pPr>
      <w:r>
        <w:rPr>
          <w:rStyle w:val="FootnoteReference"/>
        </w:rPr>
        <w:footnoteRef/>
      </w:r>
      <w:r>
        <w:t xml:space="preserve"> See Part 2.6 of the Measurement Determination for existing provisions on reporting consumption of a blend of fossil and biogenic carbon fuels.     </w:t>
      </w:r>
    </w:p>
  </w:footnote>
  <w:footnote w:id="5">
    <w:p w14:paraId="0553F2F0" w14:textId="56997D9D" w:rsidR="00CD2936" w:rsidRDefault="00CD2936">
      <w:pPr>
        <w:pStyle w:val="FootnoteText"/>
      </w:pPr>
      <w:r>
        <w:rPr>
          <w:rStyle w:val="FootnoteReference"/>
        </w:rPr>
        <w:footnoteRef/>
      </w:r>
      <w:r>
        <w:t xml:space="preserve"> </w:t>
      </w:r>
      <w:r w:rsidR="00841AD7">
        <w:t>Stakeholder</w:t>
      </w:r>
      <w:r w:rsidR="007712E1">
        <w:t xml:space="preserve"> consultations have indicated that the preferred and most cost-effective method of transporting renewable gas to market is via the existing natural gas network rather than through new, segregated infrastructure.</w:t>
      </w:r>
    </w:p>
  </w:footnote>
  <w:footnote w:id="6">
    <w:p w14:paraId="33E5452B" w14:textId="5534928A" w:rsidR="009E3422" w:rsidRDefault="009E3422">
      <w:pPr>
        <w:pStyle w:val="FootnoteText"/>
      </w:pPr>
      <w:r>
        <w:rPr>
          <w:rStyle w:val="FootnoteReference"/>
        </w:rPr>
        <w:footnoteRef/>
      </w:r>
      <w:r>
        <w:t xml:space="preserve"> </w:t>
      </w:r>
      <w:r w:rsidR="001D5892">
        <w:t xml:space="preserve">The </w:t>
      </w:r>
      <w:r w:rsidR="001D5892" w:rsidRPr="001D5892">
        <w:rPr>
          <w:i/>
          <w:iCs/>
        </w:rPr>
        <w:t>Future Made in Australia (Guarantee of Origin) Act 2024</w:t>
      </w:r>
      <w:r w:rsidR="001D5892" w:rsidRPr="001D5892">
        <w:t xml:space="preserve"> has been made, and the department is working on drafting subordinate legislation so the scheme can commence operation in the second half of 2025, commencing with hydrogen</w:t>
      </w:r>
      <w:r w:rsidR="001C7E24">
        <w:t>. B</w:t>
      </w:r>
      <w:r w:rsidR="001C7E24" w:rsidRPr="009F1A79">
        <w:rPr>
          <w:lang w:eastAsia="en-AU"/>
        </w:rPr>
        <w:t>iomethane</w:t>
      </w:r>
      <w:r w:rsidR="001C7E24" w:rsidRPr="00BF3861">
        <w:rPr>
          <w:lang w:eastAsia="en-AU"/>
        </w:rPr>
        <w:t xml:space="preserve"> is </w:t>
      </w:r>
      <w:r w:rsidR="001C7E24">
        <w:rPr>
          <w:lang w:eastAsia="en-AU"/>
        </w:rPr>
        <w:t xml:space="preserve">one of the products </w:t>
      </w:r>
      <w:r w:rsidR="001C7E24" w:rsidRPr="00BF3861">
        <w:rPr>
          <w:lang w:eastAsia="en-AU"/>
        </w:rPr>
        <w:t xml:space="preserve">prioritised for </w:t>
      </w:r>
      <w:r w:rsidR="001C7E24">
        <w:rPr>
          <w:lang w:eastAsia="en-AU"/>
        </w:rPr>
        <w:t xml:space="preserve">GO </w:t>
      </w:r>
      <w:r w:rsidR="001C7E24" w:rsidRPr="00BF3861">
        <w:rPr>
          <w:lang w:eastAsia="en-AU"/>
        </w:rPr>
        <w:t xml:space="preserve">scheme expansion and the </w:t>
      </w:r>
      <w:r w:rsidR="001C7E24">
        <w:rPr>
          <w:lang w:eastAsia="en-AU"/>
        </w:rPr>
        <w:t>d</w:t>
      </w:r>
      <w:r w:rsidR="001C7E24" w:rsidRPr="00BF3861">
        <w:rPr>
          <w:lang w:eastAsia="en-AU"/>
        </w:rPr>
        <w:t>epartment will set out timeframes for this in due course</w:t>
      </w:r>
      <w:r w:rsidR="00C1384F">
        <w:rPr>
          <w:lang w:eastAsia="en-AU"/>
        </w:rPr>
        <w:t xml:space="preserve">. The GreenPower RGC currently covers biomethane and hydrogen produced from </w:t>
      </w:r>
      <w:r w:rsidR="005C6DD5">
        <w:rPr>
          <w:lang w:eastAsia="en-AU"/>
        </w:rPr>
        <w:t xml:space="preserve">renewable energy sources and feedstocks. </w:t>
      </w:r>
    </w:p>
  </w:footnote>
  <w:footnote w:id="7">
    <w:p w14:paraId="26D4A89F" w14:textId="22BE8F85" w:rsidR="007C714E" w:rsidRDefault="007C714E">
      <w:pPr>
        <w:pStyle w:val="FootnoteText"/>
      </w:pPr>
      <w:r>
        <w:rPr>
          <w:rStyle w:val="FootnoteReference"/>
        </w:rPr>
        <w:footnoteRef/>
      </w:r>
      <w:r>
        <w:t xml:space="preserve"> </w:t>
      </w:r>
      <w:r w:rsidR="003D7ED6">
        <w:t xml:space="preserve">For example, the </w:t>
      </w:r>
      <w:r w:rsidR="0038450C">
        <w:rPr>
          <w:lang w:eastAsia="en-AU"/>
        </w:rPr>
        <w:t xml:space="preserve">European Union </w:t>
      </w:r>
      <w:r w:rsidR="00BA44F8">
        <w:rPr>
          <w:lang w:eastAsia="en-AU"/>
        </w:rPr>
        <w:t xml:space="preserve">(EU) </w:t>
      </w:r>
      <w:r w:rsidR="0038450C">
        <w:rPr>
          <w:lang w:eastAsia="en-AU"/>
        </w:rPr>
        <w:t>Emissions Trading System</w:t>
      </w:r>
      <w:r w:rsidR="00BA44F8">
        <w:rPr>
          <w:lang w:eastAsia="en-AU"/>
        </w:rPr>
        <w:t xml:space="preserve">, </w:t>
      </w:r>
      <w:r w:rsidR="00E47818">
        <w:rPr>
          <w:lang w:eastAsia="en-AU"/>
        </w:rPr>
        <w:t xml:space="preserve">EU Renewable Energy Directive and </w:t>
      </w:r>
      <w:r w:rsidR="00947C6B">
        <w:rPr>
          <w:lang w:eastAsia="en-AU"/>
        </w:rPr>
        <w:t>United Kingdom Renewable Transport Fuel Obligation.</w:t>
      </w:r>
    </w:p>
  </w:footnote>
  <w:footnote w:id="8">
    <w:p w14:paraId="0903E969" w14:textId="621DB3E0" w:rsidR="00610CF8" w:rsidRDefault="00610CF8">
      <w:pPr>
        <w:pStyle w:val="FootnoteText"/>
      </w:pPr>
      <w:r>
        <w:rPr>
          <w:rStyle w:val="FootnoteReference"/>
        </w:rPr>
        <w:footnoteRef/>
      </w:r>
      <w:r>
        <w:t xml:space="preserve"> </w:t>
      </w:r>
      <w:r>
        <w:rPr>
          <w:lang w:eastAsia="en-AU"/>
        </w:rPr>
        <w:t>For example, RGGO Retirement Statements include information on the name of the producer and renewable gas project to which the certificates relate, as well as the gas metering point number. PGO certificates will also include the details of the delivery gate for the batch of product covered by the certificate.</w:t>
      </w:r>
    </w:p>
  </w:footnote>
  <w:footnote w:id="9">
    <w:p w14:paraId="5D2F042B" w14:textId="0C2B6E1B" w:rsidR="009F01EB" w:rsidRDefault="009F01EB">
      <w:pPr>
        <w:pStyle w:val="FootnoteText"/>
      </w:pPr>
      <w:r>
        <w:rPr>
          <w:rStyle w:val="FootnoteReference"/>
        </w:rPr>
        <w:footnoteRef/>
      </w:r>
      <w:r>
        <w:t xml:space="preserve"> </w:t>
      </w:r>
      <w:r>
        <w:rPr>
          <w:lang w:eastAsia="en-AU"/>
        </w:rPr>
        <w:t xml:space="preserve">Section 7.5 of the GreenPower RGC sets out that if ACCUs and RGGOs are created in respect of the same activity, they must be </w:t>
      </w:r>
      <w:r w:rsidRPr="00455FAE">
        <w:rPr>
          <w:lang w:eastAsia="en-AU"/>
        </w:rPr>
        <w:t>“stapled”</w:t>
      </w:r>
      <w:r>
        <w:rPr>
          <w:lang w:eastAsia="en-AU"/>
        </w:rPr>
        <w:t xml:space="preserve">, meaning </w:t>
      </w:r>
      <w:r w:rsidRPr="00455FAE">
        <w:rPr>
          <w:lang w:eastAsia="en-AU"/>
        </w:rPr>
        <w:t>they must be held together by the same person and transferred together to the same person.</w:t>
      </w:r>
      <w:r>
        <w:rPr>
          <w:lang w:eastAsia="en-AU"/>
        </w:rPr>
        <w:t xml:space="preserve"> A person must not retire any Stapled RGGOs unless it has also cancelled any</w:t>
      </w:r>
      <w:r w:rsidRPr="005C72E0">
        <w:rPr>
          <w:lang w:eastAsia="en-AU"/>
        </w:rPr>
        <w:t xml:space="preserve"> Equivalent ACCUs </w:t>
      </w:r>
      <w:r>
        <w:rPr>
          <w:lang w:eastAsia="en-AU"/>
        </w:rPr>
        <w:t xml:space="preserve">prior to submitting a RGGO Retirement Request. </w:t>
      </w:r>
      <w:r w:rsidRPr="00047E43">
        <w:rPr>
          <w:lang w:eastAsia="en-AU"/>
        </w:rPr>
        <w:t xml:space="preserve">Allowing both </w:t>
      </w:r>
      <w:r>
        <w:rPr>
          <w:lang w:eastAsia="en-AU"/>
        </w:rPr>
        <w:t xml:space="preserve">the ACCU and RGGO </w:t>
      </w:r>
      <w:r w:rsidRPr="00047E43">
        <w:rPr>
          <w:lang w:eastAsia="en-AU"/>
        </w:rPr>
        <w:t>to be retired separately would lead to double counting of the emission reduction benefits.</w:t>
      </w:r>
    </w:p>
  </w:footnote>
  <w:footnote w:id="10">
    <w:p w14:paraId="00E10BDB" w14:textId="77777777" w:rsidR="00595047" w:rsidRDefault="00595047" w:rsidP="00595047">
      <w:pPr>
        <w:pStyle w:val="FootnoteText"/>
      </w:pPr>
      <w:r>
        <w:rPr>
          <w:rStyle w:val="FootnoteReference"/>
        </w:rPr>
        <w:footnoteRef/>
      </w:r>
      <w:r>
        <w:t xml:space="preserve"> </w:t>
      </w:r>
      <w:hyperlink r:id="rId2" w:history="1">
        <w:r w:rsidRPr="00C55965">
          <w:rPr>
            <w:rStyle w:val="Hyperlink"/>
          </w:rPr>
          <w:t>https://cer.gov.au/schemes/renewable-energy-target/large-scale-renewable-energy-target/large-scale-generation-certificates/calculate-large-scale-generation-certificate-entitlements</w:t>
        </w:r>
      </w:hyperlink>
      <w:r>
        <w:t xml:space="preserve"> </w:t>
      </w:r>
    </w:p>
  </w:footnote>
  <w:footnote w:id="11">
    <w:p w14:paraId="36F251DB" w14:textId="114E9BDA" w:rsidR="009B5D80" w:rsidRDefault="009B5D80" w:rsidP="009B5D80">
      <w:pPr>
        <w:pStyle w:val="FootnoteText"/>
      </w:pPr>
      <w:r>
        <w:rPr>
          <w:rStyle w:val="FootnoteReference"/>
        </w:rPr>
        <w:footnoteRef/>
      </w:r>
      <w:r>
        <w:t xml:space="preserve"> See section 3.81 </w:t>
      </w:r>
      <w:r w:rsidRPr="00A44349">
        <w:rPr>
          <w:i/>
          <w:iCs/>
        </w:rPr>
        <w:t>Method 1 – natural gas distribution</w:t>
      </w:r>
      <w:r>
        <w:t xml:space="preserve"> in the Measurement Determination. </w:t>
      </w:r>
    </w:p>
  </w:footnote>
  <w:footnote w:id="12">
    <w:p w14:paraId="093B0585" w14:textId="77777777" w:rsidR="009B5D80" w:rsidRDefault="009B5D80" w:rsidP="009B5D80">
      <w:pPr>
        <w:pStyle w:val="FootnoteText"/>
      </w:pPr>
      <w:r>
        <w:rPr>
          <w:rStyle w:val="FootnoteReference"/>
        </w:rPr>
        <w:footnoteRef/>
      </w:r>
      <w:r>
        <w:t xml:space="preserve"> See Table C of the </w:t>
      </w:r>
      <w:hyperlink r:id="rId3" w:history="1">
        <w:r w:rsidRPr="00C0592C">
          <w:rPr>
            <w:rStyle w:val="Hyperlink"/>
          </w:rPr>
          <w:t>Australian Energy Statistics</w:t>
        </w:r>
      </w:hyperlink>
      <w:r>
        <w:t xml:space="preserve">. </w:t>
      </w:r>
    </w:p>
  </w:footnote>
  <w:footnote w:id="13">
    <w:p w14:paraId="384F7351" w14:textId="77777777" w:rsidR="009B5D80" w:rsidRDefault="009B5D80" w:rsidP="009B5D80">
      <w:pPr>
        <w:pStyle w:val="FootnoteText"/>
      </w:pPr>
      <w:r>
        <w:rPr>
          <w:rStyle w:val="FootnoteReference"/>
        </w:rPr>
        <w:footnoteRef/>
      </w:r>
      <w:r>
        <w:t xml:space="preserve"> In addition to leakage, other potential reasons for unaccounted for gas include meter inaccuracies, use of gas within the system itself, theft of gas, variations in temperature and pressure, and differences in billing cycles and accounting procedures between companies delivering and receiving gas. </w:t>
      </w:r>
    </w:p>
  </w:footnote>
  <w:footnote w:id="14">
    <w:p w14:paraId="1F1783AC" w14:textId="55EE549B" w:rsidR="009F4504" w:rsidRDefault="009F4504">
      <w:pPr>
        <w:pStyle w:val="FootnoteText"/>
      </w:pPr>
      <w:r>
        <w:rPr>
          <w:rStyle w:val="FootnoteReference"/>
        </w:rPr>
        <w:footnoteRef/>
      </w:r>
      <w:r>
        <w:t xml:space="preserve"> The hydrogen loss factor has been derived by converting on an energy leakage basis and assuming turbulent flow.</w:t>
      </w:r>
    </w:p>
  </w:footnote>
  <w:footnote w:id="15">
    <w:p w14:paraId="34BD0C57" w14:textId="77777777" w:rsidR="009347ED" w:rsidRPr="002557AB" w:rsidRDefault="009347ED" w:rsidP="009347ED">
      <w:pPr>
        <w:pStyle w:val="FootnoteText"/>
      </w:pPr>
      <w:r>
        <w:rPr>
          <w:rStyle w:val="FootnoteReference"/>
        </w:rPr>
        <w:footnoteRef/>
      </w:r>
      <w:r>
        <w:t xml:space="preserve"> The </w:t>
      </w:r>
      <w:hyperlink r:id="rId4" w:history="1">
        <w:r w:rsidRPr="002102EB">
          <w:rPr>
            <w:rStyle w:val="Hyperlink"/>
          </w:rPr>
          <w:t>2006 IPCC Guidelines, Volume 2</w:t>
        </w:r>
      </w:hyperlink>
      <w:r>
        <w:t xml:space="preserve">, Chapter 4, Equation 4.2.8 states: </w:t>
      </w:r>
      <w:r w:rsidRPr="00FB4FFC">
        <w:rPr>
          <w:i/>
          <w:iCs/>
        </w:rPr>
        <w:t>flaring destruction efficiency (i.e., fraction of the gas that leaves the flare partially or fully burned). Typically, a value of 0.995 is assumed for flares at refineries and a value 0.98 is assumed for those used at production and processing facilities.</w:t>
      </w:r>
    </w:p>
  </w:footnote>
  <w:footnote w:id="16">
    <w:p w14:paraId="4E6FFA47" w14:textId="77777777" w:rsidR="008E4A1A" w:rsidRDefault="008E4A1A" w:rsidP="008E4A1A">
      <w:pPr>
        <w:pStyle w:val="FootnoteText"/>
      </w:pPr>
      <w:r>
        <w:rPr>
          <w:rStyle w:val="FootnoteReference"/>
        </w:rPr>
        <w:footnoteRef/>
      </w:r>
      <w:r>
        <w:t xml:space="preserve"> </w:t>
      </w:r>
      <w:r w:rsidRPr="00EA7EA8">
        <w:t>Australia's Nuclear Science and Technology Organisation, (ANSTO</w:t>
      </w:r>
      <w:r>
        <w:t>, 2019</w:t>
      </w:r>
      <w:r w:rsidRPr="00EA7EA8">
        <w:t>)</w:t>
      </w:r>
      <w:r>
        <w:t xml:space="preserve">. Periodic Table of the Elements. </w:t>
      </w:r>
      <w:hyperlink r:id="rId5" w:history="1">
        <w:r w:rsidRPr="00646014">
          <w:rPr>
            <w:rStyle w:val="Hyperlink"/>
          </w:rPr>
          <w:t>https://www.ansto.gov.au/sites/default/files/2019-01/ANSTO_Periodic_Table_Poster_Web.pdf</w:t>
        </w:r>
      </w:hyperlink>
    </w:p>
  </w:footnote>
  <w:footnote w:id="17">
    <w:p w14:paraId="194C2806" w14:textId="77777777" w:rsidR="00E3589E" w:rsidRPr="002557AB" w:rsidRDefault="00E3589E" w:rsidP="00E3589E">
      <w:pPr>
        <w:pStyle w:val="FootnoteText"/>
      </w:pPr>
      <w:r>
        <w:rPr>
          <w:rStyle w:val="FootnoteReference"/>
        </w:rPr>
        <w:footnoteRef/>
      </w:r>
      <w:r>
        <w:t xml:space="preserve"> The </w:t>
      </w:r>
      <w:hyperlink r:id="rId6" w:history="1">
        <w:r w:rsidRPr="002102EB">
          <w:rPr>
            <w:rStyle w:val="Hyperlink"/>
          </w:rPr>
          <w:t>2006 IPCC Guidelines, Volume 2</w:t>
        </w:r>
      </w:hyperlink>
      <w:r>
        <w:t xml:space="preserve">, Chapter 4, Equation 4.2.8 states: </w:t>
      </w:r>
      <w:r w:rsidRPr="00FB4FFC">
        <w:rPr>
          <w:i/>
          <w:iCs/>
        </w:rPr>
        <w:t>flaring destruction efficiency (i.e., fraction of the gas that leaves the flare partially or fully burned). Typically, a value of 0.995 is assumed for flares at refineries and a value 0.98 is assumed for those used at production and processing facilities.</w:t>
      </w:r>
    </w:p>
  </w:footnote>
  <w:footnote w:id="18">
    <w:p w14:paraId="70AA9519" w14:textId="77777777" w:rsidR="00E3589E" w:rsidRPr="002557AB" w:rsidRDefault="00E3589E" w:rsidP="00E3589E">
      <w:pPr>
        <w:pStyle w:val="FootnoteText"/>
      </w:pPr>
      <w:r>
        <w:rPr>
          <w:rStyle w:val="FootnoteReference"/>
        </w:rPr>
        <w:footnoteRef/>
      </w:r>
      <w:r>
        <w:t xml:space="preserve"> The </w:t>
      </w:r>
      <w:hyperlink r:id="rId7" w:history="1">
        <w:r w:rsidRPr="002102EB">
          <w:rPr>
            <w:rStyle w:val="Hyperlink"/>
          </w:rPr>
          <w:t>2006 IPCC Guidelines, Volume 2</w:t>
        </w:r>
      </w:hyperlink>
      <w:r>
        <w:t xml:space="preserve">, Chapter 4, Equation 4.2.8 states: </w:t>
      </w:r>
      <w:r w:rsidRPr="00FB4FFC">
        <w:rPr>
          <w:i/>
          <w:iCs/>
        </w:rPr>
        <w:t>flaring destruction efficiency (i.e., fraction of the gas that leaves the flare partially or fully burned). Typically, a value of 0.995 is assumed for flares at refineries and a value 0.98 is assumed for those used at production and processing facilities.</w:t>
      </w:r>
    </w:p>
  </w:footnote>
  <w:footnote w:id="19">
    <w:p w14:paraId="14274D58" w14:textId="77777777" w:rsidR="00E3589E" w:rsidRDefault="00E3589E" w:rsidP="00E3589E">
      <w:pPr>
        <w:pStyle w:val="FootnoteText"/>
      </w:pPr>
      <w:r>
        <w:rPr>
          <w:rStyle w:val="FootnoteReference"/>
        </w:rPr>
        <w:footnoteRef/>
      </w:r>
      <w:r>
        <w:t xml:space="preserve"> </w:t>
      </w:r>
      <w:r w:rsidRPr="007C339C">
        <w:rPr>
          <w:i/>
          <w:iCs/>
          <w:lang w:eastAsia="en-AU"/>
        </w:rPr>
        <w:t>National Greenhouse and Energy Reporting (Measurement) Amendment (2024 Update) Determination 2024</w:t>
      </w:r>
      <w:r>
        <w:rPr>
          <w:lang w:eastAsia="en-AU"/>
        </w:rPr>
        <w:t xml:space="preserve"> (version </w:t>
      </w:r>
      <w:r w:rsidRPr="008A1AA8">
        <w:rPr>
          <w:lang w:eastAsia="en-AU"/>
        </w:rPr>
        <w:t>F2024L00823</w:t>
      </w:r>
      <w:r>
        <w:rPr>
          <w:lang w:eastAsia="en-AU"/>
        </w:rPr>
        <w:t>)</w:t>
      </w:r>
    </w:p>
  </w:footnote>
  <w:footnote w:id="20">
    <w:p w14:paraId="401D3C6C" w14:textId="77777777" w:rsidR="00ED5B4B" w:rsidRDefault="00ED5B4B" w:rsidP="00ED5B4B">
      <w:pPr>
        <w:pStyle w:val="FootnoteText"/>
      </w:pPr>
      <w:r>
        <w:rPr>
          <w:rStyle w:val="FootnoteReference"/>
        </w:rPr>
        <w:footnoteRef/>
      </w:r>
      <w:r>
        <w:t xml:space="preserve"> Under the NGER scheme, </w:t>
      </w:r>
      <w:r w:rsidRPr="00943132">
        <w:t>renewable liquid fuel means renewable aviation kerosene, renewable diesel or biodiesel</w:t>
      </w:r>
      <w:r>
        <w:t xml:space="preserve">. </w:t>
      </w:r>
    </w:p>
  </w:footnote>
  <w:footnote w:id="21">
    <w:p w14:paraId="3CA3D719" w14:textId="77777777" w:rsidR="00ED5B4B" w:rsidRDefault="00ED5B4B" w:rsidP="00ED5B4B">
      <w:pPr>
        <w:pStyle w:val="FootnoteText"/>
      </w:pPr>
      <w:r>
        <w:rPr>
          <w:rStyle w:val="FootnoteReference"/>
        </w:rPr>
        <w:footnoteRef/>
      </w:r>
      <w:r>
        <w:t xml:space="preserve"> Under the </w:t>
      </w:r>
      <w:r w:rsidRPr="006A08FF">
        <w:t xml:space="preserve">NGER scheme, biogenic fuel types are assigned a scope 1 carbon dioxide emissions factor of zero, reflecting that combustion of biogenic carbon fuels releases carbon which was absorbed by its biogenic source materials from the atmosphere during their life. Consistent with this accounting practice, the scope 1 carbon dioxide emissions factor for co-processed fuels would be reduced in accordance with the biomass carbon </w:t>
      </w:r>
      <w:r>
        <w:t>content</w:t>
      </w:r>
      <w:r w:rsidRPr="006A08FF">
        <w:t xml:space="preserve"> of the fuel.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F607" w14:textId="1358521C" w:rsidR="00AD39F3" w:rsidRDefault="00AD39F3">
    <w:pPr>
      <w:pStyle w:val="Header"/>
    </w:pPr>
    <w:r>
      <w:rPr>
        <w:noProof/>
      </w:rPr>
      <mc:AlternateContent>
        <mc:Choice Requires="wps">
          <w:drawing>
            <wp:anchor distT="0" distB="0" distL="0" distR="0" simplePos="0" relativeHeight="251658241" behindDoc="0" locked="0" layoutInCell="1" allowOverlap="1" wp14:anchorId="3E52B56B" wp14:editId="1692F729">
              <wp:simplePos x="635" y="635"/>
              <wp:positionH relativeFrom="page">
                <wp:align>center</wp:align>
              </wp:positionH>
              <wp:positionV relativeFrom="page">
                <wp:align>top</wp:align>
              </wp:positionV>
              <wp:extent cx="551815" cy="404495"/>
              <wp:effectExtent l="0" t="0" r="635" b="14605"/>
              <wp:wrapNone/>
              <wp:docPr id="4458852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CA7975" w14:textId="1CA246A3" w:rsidR="00AD39F3" w:rsidRPr="00AD39F3" w:rsidRDefault="00AD39F3" w:rsidP="00AD39F3">
                          <w:pPr>
                            <w:spacing w:after="0"/>
                            <w:rPr>
                              <w:rFonts w:ascii="Calibri" w:eastAsia="Calibri" w:hAnsi="Calibri" w:cs="Calibri"/>
                              <w:noProof/>
                              <w:color w:val="FF0000"/>
                              <w:sz w:val="24"/>
                              <w:szCs w:val="24"/>
                            </w:rPr>
                          </w:pPr>
                          <w:r w:rsidRPr="00AD39F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52B56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2CA7975" w14:textId="1CA246A3" w:rsidR="00AD39F3" w:rsidRPr="00AD39F3" w:rsidRDefault="00AD39F3" w:rsidP="00AD39F3">
                    <w:pPr>
                      <w:spacing w:after="0"/>
                      <w:rPr>
                        <w:rFonts w:ascii="Calibri" w:eastAsia="Calibri" w:hAnsi="Calibri" w:cs="Calibri"/>
                        <w:noProof/>
                        <w:color w:val="FF0000"/>
                        <w:sz w:val="24"/>
                        <w:szCs w:val="24"/>
                      </w:rPr>
                    </w:pPr>
                    <w:r w:rsidRPr="00AD39F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53C4" w14:textId="7838EEC8" w:rsidR="00B861B4" w:rsidRPr="00267F9B" w:rsidRDefault="00B376D6">
    <w:pPr>
      <w:pStyle w:val="Header"/>
      <w:rPr>
        <w:b/>
        <w:color w:val="FF0000"/>
      </w:rPr>
    </w:pPr>
    <w:r w:rsidRPr="00B376D6" w:rsidDel="00BE361C">
      <w:rPr>
        <w:b/>
        <w:bCs/>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06C8" w14:textId="5AEAAF2E" w:rsidR="00B861B4" w:rsidRDefault="00AD39F3">
    <w:pPr>
      <w:pStyle w:val="Header"/>
      <w:jc w:val="left"/>
    </w:pPr>
    <w:r>
      <w:rPr>
        <w:noProof/>
      </w:rPr>
      <mc:AlternateContent>
        <mc:Choice Requires="wps">
          <w:drawing>
            <wp:anchor distT="0" distB="0" distL="0" distR="0" simplePos="0" relativeHeight="251658240" behindDoc="0" locked="0" layoutInCell="1" allowOverlap="1" wp14:anchorId="784F5884" wp14:editId="0C50D00B">
              <wp:simplePos x="635" y="635"/>
              <wp:positionH relativeFrom="page">
                <wp:align>center</wp:align>
              </wp:positionH>
              <wp:positionV relativeFrom="page">
                <wp:align>top</wp:align>
              </wp:positionV>
              <wp:extent cx="551815" cy="404495"/>
              <wp:effectExtent l="0" t="0" r="635" b="14605"/>
              <wp:wrapNone/>
              <wp:docPr id="17795191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62FE15" w14:textId="49BA4505" w:rsidR="00AD39F3" w:rsidRPr="00AD39F3" w:rsidRDefault="00AD39F3" w:rsidP="00AD39F3">
                          <w:pPr>
                            <w:spacing w:after="0"/>
                            <w:rPr>
                              <w:rFonts w:ascii="Calibri" w:eastAsia="Calibri" w:hAnsi="Calibri" w:cs="Calibri"/>
                              <w:noProof/>
                              <w:color w:val="FF0000"/>
                              <w:sz w:val="24"/>
                              <w:szCs w:val="24"/>
                            </w:rPr>
                          </w:pPr>
                          <w:r w:rsidRPr="00AD39F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4F588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2D62FE15" w14:textId="49BA4505" w:rsidR="00AD39F3" w:rsidRPr="00AD39F3" w:rsidRDefault="00AD39F3" w:rsidP="00AD39F3">
                    <w:pPr>
                      <w:spacing w:after="0"/>
                      <w:rPr>
                        <w:rFonts w:ascii="Calibri" w:eastAsia="Calibri" w:hAnsi="Calibri" w:cs="Calibri"/>
                        <w:noProof/>
                        <w:color w:val="FF0000"/>
                        <w:sz w:val="24"/>
                        <w:szCs w:val="24"/>
                      </w:rPr>
                    </w:pPr>
                    <w:r w:rsidRPr="00AD39F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BAAE40"/>
    <w:styleLink w:val="Headinglis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28B3285"/>
    <w:multiLevelType w:val="multilevel"/>
    <w:tmpl w:val="D0FCD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4340BD"/>
    <w:multiLevelType w:val="multilevel"/>
    <w:tmpl w:val="869C7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9C7F43"/>
    <w:multiLevelType w:val="multilevel"/>
    <w:tmpl w:val="EE6A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30CBB"/>
    <w:multiLevelType w:val="hybridMultilevel"/>
    <w:tmpl w:val="34A056B2"/>
    <w:lvl w:ilvl="0" w:tplc="807EE9B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91251"/>
    <w:multiLevelType w:val="hybridMultilevel"/>
    <w:tmpl w:val="B39601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5E2F35"/>
    <w:multiLevelType w:val="multilevel"/>
    <w:tmpl w:val="9340AC4C"/>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0F0737E2"/>
    <w:multiLevelType w:val="hybridMultilevel"/>
    <w:tmpl w:val="B5C0193C"/>
    <w:lvl w:ilvl="0" w:tplc="3E325286">
      <w:start w:val="1"/>
      <w:numFmt w:val="bullet"/>
      <w:lvlText w:val=""/>
      <w:lvlJc w:val="left"/>
      <w:pPr>
        <w:ind w:left="360" w:hanging="360"/>
      </w:pPr>
      <w:rPr>
        <w:rFonts w:ascii="Symbol" w:hAnsi="Symbol" w:hint="default"/>
      </w:rPr>
    </w:lvl>
    <w:lvl w:ilvl="1" w:tplc="3F0E546E">
      <w:numFmt w:val="bullet"/>
      <w:lvlText w:val="-"/>
      <w:lvlJc w:val="left"/>
      <w:pPr>
        <w:ind w:left="1080" w:hanging="360"/>
      </w:pPr>
      <w:rPr>
        <w:rFonts w:ascii="Calibri" w:eastAsiaTheme="minorHAnsi" w:hAnsi="Calibri" w:cs="Calibri" w:hint="default"/>
      </w:rPr>
    </w:lvl>
    <w:lvl w:ilvl="2" w:tplc="8AF8EEC4" w:tentative="1">
      <w:start w:val="1"/>
      <w:numFmt w:val="bullet"/>
      <w:lvlText w:val=""/>
      <w:lvlJc w:val="left"/>
      <w:pPr>
        <w:ind w:left="1800" w:hanging="360"/>
      </w:pPr>
      <w:rPr>
        <w:rFonts w:ascii="Wingdings" w:hAnsi="Wingdings" w:hint="default"/>
      </w:rPr>
    </w:lvl>
    <w:lvl w:ilvl="3" w:tplc="78E2D1DC" w:tentative="1">
      <w:start w:val="1"/>
      <w:numFmt w:val="bullet"/>
      <w:lvlText w:val=""/>
      <w:lvlJc w:val="left"/>
      <w:pPr>
        <w:ind w:left="2520" w:hanging="360"/>
      </w:pPr>
      <w:rPr>
        <w:rFonts w:ascii="Symbol" w:hAnsi="Symbol" w:hint="default"/>
      </w:rPr>
    </w:lvl>
    <w:lvl w:ilvl="4" w:tplc="6DF48240" w:tentative="1">
      <w:start w:val="1"/>
      <w:numFmt w:val="bullet"/>
      <w:lvlText w:val="o"/>
      <w:lvlJc w:val="left"/>
      <w:pPr>
        <w:ind w:left="3240" w:hanging="360"/>
      </w:pPr>
      <w:rPr>
        <w:rFonts w:ascii="Courier New" w:hAnsi="Courier New" w:cs="Courier New" w:hint="default"/>
      </w:rPr>
    </w:lvl>
    <w:lvl w:ilvl="5" w:tplc="55B20736" w:tentative="1">
      <w:start w:val="1"/>
      <w:numFmt w:val="bullet"/>
      <w:lvlText w:val=""/>
      <w:lvlJc w:val="left"/>
      <w:pPr>
        <w:ind w:left="3960" w:hanging="360"/>
      </w:pPr>
      <w:rPr>
        <w:rFonts w:ascii="Wingdings" w:hAnsi="Wingdings" w:hint="default"/>
      </w:rPr>
    </w:lvl>
    <w:lvl w:ilvl="6" w:tplc="E742665E" w:tentative="1">
      <w:start w:val="1"/>
      <w:numFmt w:val="bullet"/>
      <w:lvlText w:val=""/>
      <w:lvlJc w:val="left"/>
      <w:pPr>
        <w:ind w:left="4680" w:hanging="360"/>
      </w:pPr>
      <w:rPr>
        <w:rFonts w:ascii="Symbol" w:hAnsi="Symbol" w:hint="default"/>
      </w:rPr>
    </w:lvl>
    <w:lvl w:ilvl="7" w:tplc="7E74BC86" w:tentative="1">
      <w:start w:val="1"/>
      <w:numFmt w:val="bullet"/>
      <w:lvlText w:val="o"/>
      <w:lvlJc w:val="left"/>
      <w:pPr>
        <w:ind w:left="5400" w:hanging="360"/>
      </w:pPr>
      <w:rPr>
        <w:rFonts w:ascii="Courier New" w:hAnsi="Courier New" w:cs="Courier New" w:hint="default"/>
      </w:rPr>
    </w:lvl>
    <w:lvl w:ilvl="8" w:tplc="E1EEE930" w:tentative="1">
      <w:start w:val="1"/>
      <w:numFmt w:val="bullet"/>
      <w:lvlText w:val=""/>
      <w:lvlJc w:val="left"/>
      <w:pPr>
        <w:ind w:left="6120" w:hanging="360"/>
      </w:pPr>
      <w:rPr>
        <w:rFonts w:ascii="Wingdings" w:hAnsi="Wingdings" w:hint="default"/>
      </w:rPr>
    </w:lvl>
  </w:abstractNum>
  <w:abstractNum w:abstractNumId="8" w15:restartNumberingAfterBreak="0">
    <w:nsid w:val="101A790D"/>
    <w:multiLevelType w:val="hybridMultilevel"/>
    <w:tmpl w:val="6A0E3502"/>
    <w:lvl w:ilvl="0" w:tplc="205E2E88">
      <w:start w:val="1"/>
      <w:numFmt w:val="decimal"/>
      <w:lvlText w:val="%1."/>
      <w:lvlJc w:val="left"/>
      <w:pPr>
        <w:ind w:left="360" w:hanging="360"/>
      </w:pPr>
    </w:lvl>
    <w:lvl w:ilvl="1" w:tplc="0C090019">
      <w:start w:val="1"/>
      <w:numFmt w:val="lowerLetter"/>
      <w:lvlText w:val="%2."/>
      <w:lvlJc w:val="left"/>
      <w:pPr>
        <w:ind w:left="-4873" w:hanging="360"/>
      </w:pPr>
    </w:lvl>
    <w:lvl w:ilvl="2" w:tplc="0C09001B" w:tentative="1">
      <w:start w:val="1"/>
      <w:numFmt w:val="lowerRoman"/>
      <w:lvlText w:val="%3."/>
      <w:lvlJc w:val="right"/>
      <w:pPr>
        <w:ind w:left="-4153" w:hanging="180"/>
      </w:pPr>
    </w:lvl>
    <w:lvl w:ilvl="3" w:tplc="0C09000F" w:tentative="1">
      <w:start w:val="1"/>
      <w:numFmt w:val="decimal"/>
      <w:lvlText w:val="%4."/>
      <w:lvlJc w:val="left"/>
      <w:pPr>
        <w:ind w:left="-3433" w:hanging="360"/>
      </w:pPr>
    </w:lvl>
    <w:lvl w:ilvl="4" w:tplc="0C090019" w:tentative="1">
      <w:start w:val="1"/>
      <w:numFmt w:val="lowerLetter"/>
      <w:lvlText w:val="%5."/>
      <w:lvlJc w:val="left"/>
      <w:pPr>
        <w:ind w:left="-2713" w:hanging="360"/>
      </w:pPr>
    </w:lvl>
    <w:lvl w:ilvl="5" w:tplc="0C09001B" w:tentative="1">
      <w:start w:val="1"/>
      <w:numFmt w:val="lowerRoman"/>
      <w:lvlText w:val="%6."/>
      <w:lvlJc w:val="right"/>
      <w:pPr>
        <w:ind w:left="-1993" w:hanging="180"/>
      </w:pPr>
    </w:lvl>
    <w:lvl w:ilvl="6" w:tplc="0C09000F" w:tentative="1">
      <w:start w:val="1"/>
      <w:numFmt w:val="decimal"/>
      <w:lvlText w:val="%7."/>
      <w:lvlJc w:val="left"/>
      <w:pPr>
        <w:ind w:left="-1273" w:hanging="360"/>
      </w:pPr>
    </w:lvl>
    <w:lvl w:ilvl="7" w:tplc="0C090019" w:tentative="1">
      <w:start w:val="1"/>
      <w:numFmt w:val="lowerLetter"/>
      <w:lvlText w:val="%8."/>
      <w:lvlJc w:val="left"/>
      <w:pPr>
        <w:ind w:left="-553" w:hanging="360"/>
      </w:pPr>
    </w:lvl>
    <w:lvl w:ilvl="8" w:tplc="0C09001B" w:tentative="1">
      <w:start w:val="1"/>
      <w:numFmt w:val="lowerRoman"/>
      <w:lvlText w:val="%9."/>
      <w:lvlJc w:val="right"/>
      <w:pPr>
        <w:ind w:left="167" w:hanging="180"/>
      </w:p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2B152A9"/>
    <w:multiLevelType w:val="multilevel"/>
    <w:tmpl w:val="E39E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97B4731"/>
    <w:multiLevelType w:val="multilevel"/>
    <w:tmpl w:val="B900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E89B8C"/>
    <w:multiLevelType w:val="hybridMultilevel"/>
    <w:tmpl w:val="FFFFFFFF"/>
    <w:lvl w:ilvl="0" w:tplc="49F4A048">
      <w:start w:val="1"/>
      <w:numFmt w:val="bullet"/>
      <w:lvlText w:val="·"/>
      <w:lvlJc w:val="left"/>
      <w:pPr>
        <w:ind w:left="720" w:hanging="360"/>
      </w:pPr>
      <w:rPr>
        <w:rFonts w:ascii="Symbol" w:hAnsi="Symbol" w:hint="default"/>
      </w:rPr>
    </w:lvl>
    <w:lvl w:ilvl="1" w:tplc="92CAC22A">
      <w:start w:val="1"/>
      <w:numFmt w:val="bullet"/>
      <w:lvlText w:val="o"/>
      <w:lvlJc w:val="left"/>
      <w:pPr>
        <w:ind w:left="1440" w:hanging="360"/>
      </w:pPr>
      <w:rPr>
        <w:rFonts w:ascii="Courier New" w:hAnsi="Courier New" w:hint="default"/>
      </w:rPr>
    </w:lvl>
    <w:lvl w:ilvl="2" w:tplc="70D87788">
      <w:start w:val="1"/>
      <w:numFmt w:val="bullet"/>
      <w:lvlText w:val=""/>
      <w:lvlJc w:val="left"/>
      <w:pPr>
        <w:ind w:left="2160" w:hanging="360"/>
      </w:pPr>
      <w:rPr>
        <w:rFonts w:ascii="Wingdings" w:hAnsi="Wingdings" w:hint="default"/>
      </w:rPr>
    </w:lvl>
    <w:lvl w:ilvl="3" w:tplc="24E48F2C">
      <w:start w:val="1"/>
      <w:numFmt w:val="bullet"/>
      <w:lvlText w:val=""/>
      <w:lvlJc w:val="left"/>
      <w:pPr>
        <w:ind w:left="2880" w:hanging="360"/>
      </w:pPr>
      <w:rPr>
        <w:rFonts w:ascii="Symbol" w:hAnsi="Symbol" w:hint="default"/>
      </w:rPr>
    </w:lvl>
    <w:lvl w:ilvl="4" w:tplc="230AA96A">
      <w:start w:val="1"/>
      <w:numFmt w:val="bullet"/>
      <w:lvlText w:val="o"/>
      <w:lvlJc w:val="left"/>
      <w:pPr>
        <w:ind w:left="3600" w:hanging="360"/>
      </w:pPr>
      <w:rPr>
        <w:rFonts w:ascii="Courier New" w:hAnsi="Courier New" w:hint="default"/>
      </w:rPr>
    </w:lvl>
    <w:lvl w:ilvl="5" w:tplc="E4AC2F9E">
      <w:start w:val="1"/>
      <w:numFmt w:val="bullet"/>
      <w:lvlText w:val=""/>
      <w:lvlJc w:val="left"/>
      <w:pPr>
        <w:ind w:left="4320" w:hanging="360"/>
      </w:pPr>
      <w:rPr>
        <w:rFonts w:ascii="Wingdings" w:hAnsi="Wingdings" w:hint="default"/>
      </w:rPr>
    </w:lvl>
    <w:lvl w:ilvl="6" w:tplc="1E62DBBA">
      <w:start w:val="1"/>
      <w:numFmt w:val="bullet"/>
      <w:lvlText w:val=""/>
      <w:lvlJc w:val="left"/>
      <w:pPr>
        <w:ind w:left="5040" w:hanging="360"/>
      </w:pPr>
      <w:rPr>
        <w:rFonts w:ascii="Symbol" w:hAnsi="Symbol" w:hint="default"/>
      </w:rPr>
    </w:lvl>
    <w:lvl w:ilvl="7" w:tplc="F4EEF12E">
      <w:start w:val="1"/>
      <w:numFmt w:val="bullet"/>
      <w:lvlText w:val="o"/>
      <w:lvlJc w:val="left"/>
      <w:pPr>
        <w:ind w:left="5760" w:hanging="360"/>
      </w:pPr>
      <w:rPr>
        <w:rFonts w:ascii="Courier New" w:hAnsi="Courier New" w:hint="default"/>
      </w:rPr>
    </w:lvl>
    <w:lvl w:ilvl="8" w:tplc="2F96DA4A">
      <w:start w:val="1"/>
      <w:numFmt w:val="bullet"/>
      <w:lvlText w:val=""/>
      <w:lvlJc w:val="left"/>
      <w:pPr>
        <w:ind w:left="6480" w:hanging="360"/>
      </w:pPr>
      <w:rPr>
        <w:rFonts w:ascii="Wingdings" w:hAnsi="Wingdings" w:hint="default"/>
      </w:rPr>
    </w:lvl>
  </w:abstractNum>
  <w:abstractNum w:abstractNumId="14" w15:restartNumberingAfterBreak="0">
    <w:nsid w:val="220271F3"/>
    <w:multiLevelType w:val="hybridMultilevel"/>
    <w:tmpl w:val="886E5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E30D7"/>
    <w:multiLevelType w:val="multilevel"/>
    <w:tmpl w:val="D518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C0AD0"/>
    <w:multiLevelType w:val="hybridMultilevel"/>
    <w:tmpl w:val="FA145B50"/>
    <w:lvl w:ilvl="0" w:tplc="98149C38">
      <w:start w:val="1"/>
      <w:numFmt w:val="lowerLetter"/>
      <w:lvlText w:val="%1)"/>
      <w:lvlJc w:val="left"/>
      <w:pPr>
        <w:ind w:left="1020" w:hanging="360"/>
      </w:pPr>
    </w:lvl>
    <w:lvl w:ilvl="1" w:tplc="961ADEBC">
      <w:start w:val="1"/>
      <w:numFmt w:val="lowerLetter"/>
      <w:lvlText w:val="%2)"/>
      <w:lvlJc w:val="left"/>
      <w:pPr>
        <w:ind w:left="1020" w:hanging="360"/>
      </w:pPr>
    </w:lvl>
    <w:lvl w:ilvl="2" w:tplc="931C0534">
      <w:start w:val="1"/>
      <w:numFmt w:val="lowerLetter"/>
      <w:lvlText w:val="%3)"/>
      <w:lvlJc w:val="left"/>
      <w:pPr>
        <w:ind w:left="1020" w:hanging="360"/>
      </w:pPr>
    </w:lvl>
    <w:lvl w:ilvl="3" w:tplc="D9E6DA0C">
      <w:start w:val="1"/>
      <w:numFmt w:val="lowerLetter"/>
      <w:lvlText w:val="%4)"/>
      <w:lvlJc w:val="left"/>
      <w:pPr>
        <w:ind w:left="1020" w:hanging="360"/>
      </w:pPr>
    </w:lvl>
    <w:lvl w:ilvl="4" w:tplc="BFAA8CA6">
      <w:start w:val="1"/>
      <w:numFmt w:val="lowerLetter"/>
      <w:lvlText w:val="%5)"/>
      <w:lvlJc w:val="left"/>
      <w:pPr>
        <w:ind w:left="1020" w:hanging="360"/>
      </w:pPr>
    </w:lvl>
    <w:lvl w:ilvl="5" w:tplc="591E313A">
      <w:start w:val="1"/>
      <w:numFmt w:val="lowerLetter"/>
      <w:lvlText w:val="%6)"/>
      <w:lvlJc w:val="left"/>
      <w:pPr>
        <w:ind w:left="1020" w:hanging="360"/>
      </w:pPr>
    </w:lvl>
    <w:lvl w:ilvl="6" w:tplc="D64EFA8A">
      <w:start w:val="1"/>
      <w:numFmt w:val="lowerLetter"/>
      <w:lvlText w:val="%7)"/>
      <w:lvlJc w:val="left"/>
      <w:pPr>
        <w:ind w:left="1020" w:hanging="360"/>
      </w:pPr>
    </w:lvl>
    <w:lvl w:ilvl="7" w:tplc="4A18CB18">
      <w:start w:val="1"/>
      <w:numFmt w:val="lowerLetter"/>
      <w:lvlText w:val="%8)"/>
      <w:lvlJc w:val="left"/>
      <w:pPr>
        <w:ind w:left="1020" w:hanging="360"/>
      </w:pPr>
    </w:lvl>
    <w:lvl w:ilvl="8" w:tplc="0764EBE6">
      <w:start w:val="1"/>
      <w:numFmt w:val="lowerLetter"/>
      <w:lvlText w:val="%9)"/>
      <w:lvlJc w:val="left"/>
      <w:pPr>
        <w:ind w:left="1020" w:hanging="360"/>
      </w:pPr>
    </w:lvl>
  </w:abstractNum>
  <w:abstractNum w:abstractNumId="17" w15:restartNumberingAfterBreak="0">
    <w:nsid w:val="25E86F07"/>
    <w:multiLevelType w:val="multilevel"/>
    <w:tmpl w:val="50BE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CD150A"/>
    <w:multiLevelType w:val="multilevel"/>
    <w:tmpl w:val="8C7C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D44171"/>
    <w:multiLevelType w:val="multilevel"/>
    <w:tmpl w:val="BC6AE8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2E95809"/>
    <w:multiLevelType w:val="multilevel"/>
    <w:tmpl w:val="2154E64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41F5271"/>
    <w:multiLevelType w:val="multilevel"/>
    <w:tmpl w:val="0C84A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334AAF"/>
    <w:multiLevelType w:val="multilevel"/>
    <w:tmpl w:val="CDBA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027926"/>
    <w:multiLevelType w:val="multilevel"/>
    <w:tmpl w:val="1388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980932"/>
    <w:multiLevelType w:val="multilevel"/>
    <w:tmpl w:val="E06A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7D460F"/>
    <w:multiLevelType w:val="hybridMultilevel"/>
    <w:tmpl w:val="D74AEC48"/>
    <w:lvl w:ilvl="0" w:tplc="FFFFFFFF">
      <w:start w:val="1"/>
      <w:numFmt w:val="decimal"/>
      <w:lvlText w:val="%1."/>
      <w:lvlJc w:val="left"/>
      <w:pPr>
        <w:ind w:left="360" w:hanging="360"/>
      </w:pPr>
    </w:lvl>
    <w:lvl w:ilvl="1" w:tplc="0B562804">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CD322CD"/>
    <w:multiLevelType w:val="multilevel"/>
    <w:tmpl w:val="7DD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F15314"/>
    <w:multiLevelType w:val="multilevel"/>
    <w:tmpl w:val="B514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B076D6"/>
    <w:multiLevelType w:val="multilevel"/>
    <w:tmpl w:val="6630D45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44B06790"/>
    <w:multiLevelType w:val="hybridMultilevel"/>
    <w:tmpl w:val="D1068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6564F4"/>
    <w:multiLevelType w:val="hybridMultilevel"/>
    <w:tmpl w:val="2ADA3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7C81719"/>
    <w:multiLevelType w:val="hybridMultilevel"/>
    <w:tmpl w:val="389E8A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3" w15:restartNumberingAfterBreak="0">
    <w:nsid w:val="4B47193C"/>
    <w:multiLevelType w:val="hybridMultilevel"/>
    <w:tmpl w:val="2E20DB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0A09B0"/>
    <w:multiLevelType w:val="hybridMultilevel"/>
    <w:tmpl w:val="26CE268E"/>
    <w:lvl w:ilvl="0" w:tplc="6FD495DE">
      <w:start w:val="1"/>
      <w:numFmt w:val="upperLetter"/>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32911EB"/>
    <w:multiLevelType w:val="multilevel"/>
    <w:tmpl w:val="2AF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2B0897"/>
    <w:multiLevelType w:val="hybridMultilevel"/>
    <w:tmpl w:val="D7846C8A"/>
    <w:lvl w:ilvl="0" w:tplc="66D0A0AA">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66C23A3"/>
    <w:multiLevelType w:val="hybridMultilevel"/>
    <w:tmpl w:val="8AB01772"/>
    <w:lvl w:ilvl="0" w:tplc="0C090001">
      <w:start w:val="1"/>
      <w:numFmt w:val="bullet"/>
      <w:lvlText w:val=""/>
      <w:lvlJc w:val="left"/>
      <w:pPr>
        <w:ind w:left="6313"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9" w15:restartNumberingAfterBreak="0">
    <w:nsid w:val="5A8B541B"/>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AB46EA3"/>
    <w:multiLevelType w:val="multilevel"/>
    <w:tmpl w:val="59FE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8F3B04"/>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2" w15:restartNumberingAfterBreak="0">
    <w:nsid w:val="5FF20EA8"/>
    <w:multiLevelType w:val="hybridMultilevel"/>
    <w:tmpl w:val="2ADA3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6D0D09"/>
    <w:multiLevelType w:val="hybridMultilevel"/>
    <w:tmpl w:val="8E7A83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7365C77"/>
    <w:multiLevelType w:val="hybridMultilevel"/>
    <w:tmpl w:val="527A7D92"/>
    <w:lvl w:ilvl="0" w:tplc="FFFFFFFF">
      <w:start w:val="1"/>
      <w:numFmt w:val="upperLetter"/>
      <w:lvlText w:val="%1."/>
      <w:lvlJc w:val="left"/>
      <w:pPr>
        <w:ind w:left="1077" w:hanging="360"/>
      </w:pPr>
    </w:lvl>
    <w:lvl w:ilvl="1" w:tplc="FFFFFFFF">
      <w:start w:val="1"/>
      <w:numFmt w:val="upp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5" w15:restartNumberingAfterBreak="0">
    <w:nsid w:val="6942693B"/>
    <w:multiLevelType w:val="multilevel"/>
    <w:tmpl w:val="95B2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F039BB"/>
    <w:multiLevelType w:val="multilevel"/>
    <w:tmpl w:val="623E709E"/>
    <w:lvl w:ilvl="0">
      <w:start w:val="1"/>
      <w:numFmt w:val="bullet"/>
      <w:lvlText w:val=""/>
      <w:lvlJc w:val="left"/>
      <w:pPr>
        <w:tabs>
          <w:tab w:val="num" w:pos="720"/>
        </w:tabs>
        <w:ind w:left="720" w:hanging="360"/>
      </w:pPr>
      <w:rPr>
        <w:rFonts w:ascii="Symbol" w:hAnsi="Symbol" w:hint="default"/>
        <w:sz w:val="20"/>
      </w:rPr>
    </w:lvl>
    <w:lvl w:ilvl="1">
      <w:start w:val="8"/>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01B148E"/>
    <w:multiLevelType w:val="hybridMultilevel"/>
    <w:tmpl w:val="9936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4930E4"/>
    <w:multiLevelType w:val="hybridMultilevel"/>
    <w:tmpl w:val="A9B86C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28B15EE"/>
    <w:multiLevelType w:val="multilevel"/>
    <w:tmpl w:val="FDD8F6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33F06C8"/>
    <w:multiLevelType w:val="hybridMultilevel"/>
    <w:tmpl w:val="92B2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6D605B"/>
    <w:multiLevelType w:val="hybridMultilevel"/>
    <w:tmpl w:val="2ADA3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7F0391"/>
    <w:multiLevelType w:val="multilevel"/>
    <w:tmpl w:val="142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CE29B1"/>
    <w:multiLevelType w:val="multilevel"/>
    <w:tmpl w:val="31A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BB34A6"/>
    <w:multiLevelType w:val="multilevel"/>
    <w:tmpl w:val="F3FE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4B439E"/>
    <w:multiLevelType w:val="hybridMultilevel"/>
    <w:tmpl w:val="6C6CD35E"/>
    <w:lvl w:ilvl="0" w:tplc="DF428C2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88E283E"/>
    <w:multiLevelType w:val="hybridMultilevel"/>
    <w:tmpl w:val="27FEB31A"/>
    <w:lvl w:ilvl="0" w:tplc="86DC3172">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B75926"/>
    <w:multiLevelType w:val="hybridMultilevel"/>
    <w:tmpl w:val="9D22890A"/>
    <w:lvl w:ilvl="0" w:tplc="25FA43E6">
      <w:start w:val="1"/>
      <w:numFmt w:val="upperLetter"/>
      <w:lvlText w:val="%1."/>
      <w:lvlJc w:val="lef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222C20"/>
    <w:multiLevelType w:val="multilevel"/>
    <w:tmpl w:val="022C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373E64"/>
    <w:multiLevelType w:val="multilevel"/>
    <w:tmpl w:val="75DC1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7E9F60C1"/>
    <w:multiLevelType w:val="multilevel"/>
    <w:tmpl w:val="2982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EE90E20"/>
    <w:multiLevelType w:val="hybridMultilevel"/>
    <w:tmpl w:val="527A7D92"/>
    <w:lvl w:ilvl="0" w:tplc="0C090015">
      <w:start w:val="1"/>
      <w:numFmt w:val="upperLetter"/>
      <w:lvlText w:val="%1."/>
      <w:lvlJc w:val="left"/>
      <w:pPr>
        <w:ind w:left="1077" w:hanging="360"/>
      </w:pPr>
    </w:lvl>
    <w:lvl w:ilvl="1" w:tplc="0C090015">
      <w:start w:val="1"/>
      <w:numFmt w:val="upp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71880264">
    <w:abstractNumId w:val="0"/>
  </w:num>
  <w:num w:numId="2" w16cid:durableId="1404451164">
    <w:abstractNumId w:val="32"/>
  </w:num>
  <w:num w:numId="3" w16cid:durableId="1666787524">
    <w:abstractNumId w:val="11"/>
  </w:num>
  <w:num w:numId="4" w16cid:durableId="1639215797">
    <w:abstractNumId w:val="41"/>
  </w:num>
  <w:num w:numId="5" w16cid:durableId="8609022">
    <w:abstractNumId w:val="6"/>
  </w:num>
  <w:num w:numId="6" w16cid:durableId="1314063411">
    <w:abstractNumId w:val="38"/>
  </w:num>
  <w:num w:numId="7" w16cid:durableId="281765065">
    <w:abstractNumId w:val="39"/>
  </w:num>
  <w:num w:numId="8" w16cid:durableId="866915021">
    <w:abstractNumId w:val="9"/>
  </w:num>
  <w:num w:numId="9" w16cid:durableId="1773015707">
    <w:abstractNumId w:val="52"/>
  </w:num>
  <w:num w:numId="10" w16cid:durableId="514343563">
    <w:abstractNumId w:val="47"/>
  </w:num>
  <w:num w:numId="11" w16cid:durableId="1535145515">
    <w:abstractNumId w:val="8"/>
  </w:num>
  <w:num w:numId="12" w16cid:durableId="5594941">
    <w:abstractNumId w:val="51"/>
  </w:num>
  <w:num w:numId="13" w16cid:durableId="597762130">
    <w:abstractNumId w:val="30"/>
  </w:num>
  <w:num w:numId="14" w16cid:durableId="804279547">
    <w:abstractNumId w:val="23"/>
  </w:num>
  <w:num w:numId="15" w16cid:durableId="1373456349">
    <w:abstractNumId w:val="26"/>
  </w:num>
  <w:num w:numId="16" w16cid:durableId="751008414">
    <w:abstractNumId w:val="36"/>
  </w:num>
  <w:num w:numId="17" w16cid:durableId="952131665">
    <w:abstractNumId w:val="29"/>
  </w:num>
  <w:num w:numId="18" w16cid:durableId="1392850173">
    <w:abstractNumId w:val="36"/>
  </w:num>
  <w:num w:numId="19" w16cid:durableId="83261548">
    <w:abstractNumId w:val="36"/>
    <w:lvlOverride w:ilvl="0">
      <w:startOverride w:val="1"/>
    </w:lvlOverride>
  </w:num>
  <w:num w:numId="20" w16cid:durableId="1643265712">
    <w:abstractNumId w:val="0"/>
  </w:num>
  <w:num w:numId="21" w16cid:durableId="690303827">
    <w:abstractNumId w:val="4"/>
  </w:num>
  <w:num w:numId="22" w16cid:durableId="2128111459">
    <w:abstractNumId w:val="46"/>
  </w:num>
  <w:num w:numId="23" w16cid:durableId="384067742">
    <w:abstractNumId w:val="45"/>
  </w:num>
  <w:num w:numId="24" w16cid:durableId="2025552062">
    <w:abstractNumId w:val="35"/>
  </w:num>
  <w:num w:numId="25" w16cid:durableId="1901094429">
    <w:abstractNumId w:val="53"/>
  </w:num>
  <w:num w:numId="26" w16cid:durableId="1009717266">
    <w:abstractNumId w:val="60"/>
  </w:num>
  <w:num w:numId="27" w16cid:durableId="196621439">
    <w:abstractNumId w:val="27"/>
  </w:num>
  <w:num w:numId="28" w16cid:durableId="1498377919">
    <w:abstractNumId w:val="10"/>
  </w:num>
  <w:num w:numId="29" w16cid:durableId="120928330">
    <w:abstractNumId w:val="24"/>
  </w:num>
  <w:num w:numId="30" w16cid:durableId="859855811">
    <w:abstractNumId w:val="36"/>
    <w:lvlOverride w:ilvl="0">
      <w:startOverride w:val="1"/>
    </w:lvlOverride>
  </w:num>
  <w:num w:numId="31" w16cid:durableId="755326622">
    <w:abstractNumId w:val="8"/>
    <w:lvlOverride w:ilvl="0">
      <w:startOverride w:val="1"/>
    </w:lvlOverride>
  </w:num>
  <w:num w:numId="32" w16cid:durableId="257059650">
    <w:abstractNumId w:val="18"/>
  </w:num>
  <w:num w:numId="33" w16cid:durableId="1392000001">
    <w:abstractNumId w:val="2"/>
  </w:num>
  <w:num w:numId="34" w16cid:durableId="1951276251">
    <w:abstractNumId w:val="17"/>
  </w:num>
  <w:num w:numId="35" w16cid:durableId="1850946571">
    <w:abstractNumId w:val="12"/>
  </w:num>
  <w:num w:numId="36" w16cid:durableId="1901790600">
    <w:abstractNumId w:val="40"/>
  </w:num>
  <w:num w:numId="37" w16cid:durableId="1379815426">
    <w:abstractNumId w:val="28"/>
  </w:num>
  <w:num w:numId="38" w16cid:durableId="2059160918">
    <w:abstractNumId w:val="20"/>
  </w:num>
  <w:num w:numId="39" w16cid:durableId="51126358">
    <w:abstractNumId w:val="3"/>
  </w:num>
  <w:num w:numId="40" w16cid:durableId="1047491194">
    <w:abstractNumId w:val="54"/>
  </w:num>
  <w:num w:numId="41" w16cid:durableId="1062100633">
    <w:abstractNumId w:val="49"/>
  </w:num>
  <w:num w:numId="42" w16cid:durableId="81800476">
    <w:abstractNumId w:val="1"/>
  </w:num>
  <w:num w:numId="43" w16cid:durableId="489099121">
    <w:abstractNumId w:val="59"/>
  </w:num>
  <w:num w:numId="44" w16cid:durableId="516502684">
    <w:abstractNumId w:val="19"/>
  </w:num>
  <w:num w:numId="45" w16cid:durableId="720789009">
    <w:abstractNumId w:val="22"/>
  </w:num>
  <w:num w:numId="46" w16cid:durableId="253779790">
    <w:abstractNumId w:val="58"/>
  </w:num>
  <w:num w:numId="47" w16cid:durableId="1134367392">
    <w:abstractNumId w:val="15"/>
  </w:num>
  <w:num w:numId="48" w16cid:durableId="418983832">
    <w:abstractNumId w:val="21"/>
  </w:num>
  <w:num w:numId="49" w16cid:durableId="225535142">
    <w:abstractNumId w:val="5"/>
  </w:num>
  <w:num w:numId="50" w16cid:durableId="897284990">
    <w:abstractNumId w:val="16"/>
  </w:num>
  <w:num w:numId="51" w16cid:durableId="562106591">
    <w:abstractNumId w:val="43"/>
  </w:num>
  <w:num w:numId="52" w16cid:durableId="1325160369">
    <w:abstractNumId w:val="36"/>
  </w:num>
  <w:num w:numId="53" w16cid:durableId="1683707356">
    <w:abstractNumId w:val="8"/>
    <w:lvlOverride w:ilvl="0">
      <w:startOverride w:val="1"/>
    </w:lvlOverride>
  </w:num>
  <w:num w:numId="54" w16cid:durableId="2019230639">
    <w:abstractNumId w:val="8"/>
    <w:lvlOverride w:ilvl="0">
      <w:startOverride w:val="1"/>
    </w:lvlOverride>
  </w:num>
  <w:num w:numId="55" w16cid:durableId="2146925156">
    <w:abstractNumId w:val="42"/>
  </w:num>
  <w:num w:numId="56" w16cid:durableId="662052700">
    <w:abstractNumId w:val="31"/>
  </w:num>
  <w:num w:numId="57" w16cid:durableId="2077388807">
    <w:abstractNumId w:val="25"/>
  </w:num>
  <w:num w:numId="58" w16cid:durableId="1921670903">
    <w:abstractNumId w:val="55"/>
  </w:num>
  <w:num w:numId="59" w16cid:durableId="1192768688">
    <w:abstractNumId w:val="48"/>
  </w:num>
  <w:num w:numId="60" w16cid:durableId="373233283">
    <w:abstractNumId w:val="56"/>
  </w:num>
  <w:num w:numId="61" w16cid:durableId="1425417948">
    <w:abstractNumId w:val="50"/>
  </w:num>
  <w:num w:numId="62" w16cid:durableId="188221342">
    <w:abstractNumId w:val="7"/>
  </w:num>
  <w:num w:numId="63" w16cid:durableId="386760234">
    <w:abstractNumId w:val="13"/>
  </w:num>
  <w:num w:numId="64" w16cid:durableId="1579755093">
    <w:abstractNumId w:val="37"/>
  </w:num>
  <w:num w:numId="65" w16cid:durableId="2002812676">
    <w:abstractNumId w:val="33"/>
  </w:num>
  <w:num w:numId="66" w16cid:durableId="1314527966">
    <w:abstractNumId w:val="61"/>
  </w:num>
  <w:num w:numId="67" w16cid:durableId="574434143">
    <w:abstractNumId w:val="14"/>
  </w:num>
  <w:num w:numId="68" w16cid:durableId="360980060">
    <w:abstractNumId w:val="44"/>
  </w:num>
  <w:num w:numId="69" w16cid:durableId="2107535273">
    <w:abstractNumId w:val="0"/>
  </w:num>
  <w:num w:numId="70" w16cid:durableId="1059745596">
    <w:abstractNumId w:val="57"/>
  </w:num>
  <w:num w:numId="71" w16cid:durableId="554238190">
    <w:abstractNumId w:val="34"/>
  </w:num>
  <w:num w:numId="72" w16cid:durableId="1509565597">
    <w:abstractNumId w:val="34"/>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F4"/>
    <w:rsid w:val="00000039"/>
    <w:rsid w:val="00000344"/>
    <w:rsid w:val="000006AD"/>
    <w:rsid w:val="000007BE"/>
    <w:rsid w:val="000008CD"/>
    <w:rsid w:val="000008F8"/>
    <w:rsid w:val="00000915"/>
    <w:rsid w:val="00000A52"/>
    <w:rsid w:val="00000A55"/>
    <w:rsid w:val="00000AC1"/>
    <w:rsid w:val="00000C7B"/>
    <w:rsid w:val="00000EAC"/>
    <w:rsid w:val="000010A4"/>
    <w:rsid w:val="000010D0"/>
    <w:rsid w:val="000012A9"/>
    <w:rsid w:val="00001402"/>
    <w:rsid w:val="00001438"/>
    <w:rsid w:val="00001615"/>
    <w:rsid w:val="0000166E"/>
    <w:rsid w:val="00001AC0"/>
    <w:rsid w:val="00001AE1"/>
    <w:rsid w:val="00001B88"/>
    <w:rsid w:val="00001D3B"/>
    <w:rsid w:val="0000213B"/>
    <w:rsid w:val="000021FD"/>
    <w:rsid w:val="000022FC"/>
    <w:rsid w:val="00002330"/>
    <w:rsid w:val="000023AA"/>
    <w:rsid w:val="00002C87"/>
    <w:rsid w:val="00002F69"/>
    <w:rsid w:val="00002FB3"/>
    <w:rsid w:val="000030A6"/>
    <w:rsid w:val="00003673"/>
    <w:rsid w:val="00003721"/>
    <w:rsid w:val="0000388E"/>
    <w:rsid w:val="00003952"/>
    <w:rsid w:val="00003AF8"/>
    <w:rsid w:val="00003D53"/>
    <w:rsid w:val="00003FC6"/>
    <w:rsid w:val="00003FD8"/>
    <w:rsid w:val="000041A2"/>
    <w:rsid w:val="00004305"/>
    <w:rsid w:val="0000456D"/>
    <w:rsid w:val="00004AF3"/>
    <w:rsid w:val="00004B2D"/>
    <w:rsid w:val="00004FC8"/>
    <w:rsid w:val="0000511C"/>
    <w:rsid w:val="00005199"/>
    <w:rsid w:val="00005299"/>
    <w:rsid w:val="00005325"/>
    <w:rsid w:val="000059F7"/>
    <w:rsid w:val="00005A8A"/>
    <w:rsid w:val="00005E8C"/>
    <w:rsid w:val="000061F6"/>
    <w:rsid w:val="0000654D"/>
    <w:rsid w:val="000067BB"/>
    <w:rsid w:val="00006852"/>
    <w:rsid w:val="00006B92"/>
    <w:rsid w:val="00006CD0"/>
    <w:rsid w:val="00006D54"/>
    <w:rsid w:val="00006E33"/>
    <w:rsid w:val="00006E95"/>
    <w:rsid w:val="00006EAD"/>
    <w:rsid w:val="00006EE3"/>
    <w:rsid w:val="00006F01"/>
    <w:rsid w:val="00006F09"/>
    <w:rsid w:val="00007244"/>
    <w:rsid w:val="00007252"/>
    <w:rsid w:val="0000725C"/>
    <w:rsid w:val="000072F5"/>
    <w:rsid w:val="000078B9"/>
    <w:rsid w:val="00007A22"/>
    <w:rsid w:val="00007A2F"/>
    <w:rsid w:val="00007FEC"/>
    <w:rsid w:val="00010030"/>
    <w:rsid w:val="00010577"/>
    <w:rsid w:val="0001062F"/>
    <w:rsid w:val="0001075B"/>
    <w:rsid w:val="00010DB1"/>
    <w:rsid w:val="00011199"/>
    <w:rsid w:val="00011264"/>
    <w:rsid w:val="000112F5"/>
    <w:rsid w:val="00011313"/>
    <w:rsid w:val="00011746"/>
    <w:rsid w:val="000117FA"/>
    <w:rsid w:val="000119CA"/>
    <w:rsid w:val="00011A49"/>
    <w:rsid w:val="00011CD8"/>
    <w:rsid w:val="00011DD6"/>
    <w:rsid w:val="000121DB"/>
    <w:rsid w:val="0001256E"/>
    <w:rsid w:val="000126AA"/>
    <w:rsid w:val="00012963"/>
    <w:rsid w:val="00012EAC"/>
    <w:rsid w:val="00012FD9"/>
    <w:rsid w:val="00013631"/>
    <w:rsid w:val="000136CF"/>
    <w:rsid w:val="00013901"/>
    <w:rsid w:val="00013A34"/>
    <w:rsid w:val="00013A8D"/>
    <w:rsid w:val="00013C6A"/>
    <w:rsid w:val="00013F97"/>
    <w:rsid w:val="000142E8"/>
    <w:rsid w:val="00014631"/>
    <w:rsid w:val="0001476C"/>
    <w:rsid w:val="0001476E"/>
    <w:rsid w:val="00014CE9"/>
    <w:rsid w:val="00014F58"/>
    <w:rsid w:val="00015092"/>
    <w:rsid w:val="00015527"/>
    <w:rsid w:val="00015998"/>
    <w:rsid w:val="00015B8A"/>
    <w:rsid w:val="00015BA5"/>
    <w:rsid w:val="00015D0D"/>
    <w:rsid w:val="00015DF2"/>
    <w:rsid w:val="000161FC"/>
    <w:rsid w:val="00016755"/>
    <w:rsid w:val="00016790"/>
    <w:rsid w:val="00016808"/>
    <w:rsid w:val="00016956"/>
    <w:rsid w:val="00016B9C"/>
    <w:rsid w:val="00016F17"/>
    <w:rsid w:val="000170A2"/>
    <w:rsid w:val="0001724C"/>
    <w:rsid w:val="00017332"/>
    <w:rsid w:val="0001747C"/>
    <w:rsid w:val="00017A00"/>
    <w:rsid w:val="00017D75"/>
    <w:rsid w:val="00017DFE"/>
    <w:rsid w:val="00017F70"/>
    <w:rsid w:val="0002012F"/>
    <w:rsid w:val="0002065A"/>
    <w:rsid w:val="00020686"/>
    <w:rsid w:val="00020853"/>
    <w:rsid w:val="000209AC"/>
    <w:rsid w:val="00020B0A"/>
    <w:rsid w:val="00020D88"/>
    <w:rsid w:val="0002106D"/>
    <w:rsid w:val="00021210"/>
    <w:rsid w:val="000212A6"/>
    <w:rsid w:val="0002139B"/>
    <w:rsid w:val="000214AB"/>
    <w:rsid w:val="0002174F"/>
    <w:rsid w:val="00021769"/>
    <w:rsid w:val="00021836"/>
    <w:rsid w:val="000219D8"/>
    <w:rsid w:val="00021BF4"/>
    <w:rsid w:val="00021EC9"/>
    <w:rsid w:val="00021F74"/>
    <w:rsid w:val="000220AA"/>
    <w:rsid w:val="000220E7"/>
    <w:rsid w:val="00022190"/>
    <w:rsid w:val="000222A0"/>
    <w:rsid w:val="0002240F"/>
    <w:rsid w:val="00022698"/>
    <w:rsid w:val="0002282C"/>
    <w:rsid w:val="0002294F"/>
    <w:rsid w:val="00022A16"/>
    <w:rsid w:val="00022C5F"/>
    <w:rsid w:val="00022FD0"/>
    <w:rsid w:val="00022FD8"/>
    <w:rsid w:val="00023105"/>
    <w:rsid w:val="00023201"/>
    <w:rsid w:val="00023239"/>
    <w:rsid w:val="00023460"/>
    <w:rsid w:val="00023474"/>
    <w:rsid w:val="00023498"/>
    <w:rsid w:val="000235D5"/>
    <w:rsid w:val="0002361B"/>
    <w:rsid w:val="0002384C"/>
    <w:rsid w:val="000244D8"/>
    <w:rsid w:val="00024534"/>
    <w:rsid w:val="000245CF"/>
    <w:rsid w:val="00024838"/>
    <w:rsid w:val="00024902"/>
    <w:rsid w:val="0002492A"/>
    <w:rsid w:val="00024A9D"/>
    <w:rsid w:val="00024F42"/>
    <w:rsid w:val="00024FC4"/>
    <w:rsid w:val="00025011"/>
    <w:rsid w:val="00025526"/>
    <w:rsid w:val="00025581"/>
    <w:rsid w:val="00025682"/>
    <w:rsid w:val="000256C9"/>
    <w:rsid w:val="000256F4"/>
    <w:rsid w:val="000257D4"/>
    <w:rsid w:val="00025AF3"/>
    <w:rsid w:val="00026473"/>
    <w:rsid w:val="000264E8"/>
    <w:rsid w:val="0002657D"/>
    <w:rsid w:val="00026986"/>
    <w:rsid w:val="00026A76"/>
    <w:rsid w:val="00026C37"/>
    <w:rsid w:val="00026D7A"/>
    <w:rsid w:val="00026E3F"/>
    <w:rsid w:val="00026EA5"/>
    <w:rsid w:val="0002707C"/>
    <w:rsid w:val="00027513"/>
    <w:rsid w:val="0002760D"/>
    <w:rsid w:val="00027820"/>
    <w:rsid w:val="00027AB8"/>
    <w:rsid w:val="00027F54"/>
    <w:rsid w:val="000301A1"/>
    <w:rsid w:val="00030213"/>
    <w:rsid w:val="000304B0"/>
    <w:rsid w:val="00030663"/>
    <w:rsid w:val="00030965"/>
    <w:rsid w:val="00030A46"/>
    <w:rsid w:val="00030D12"/>
    <w:rsid w:val="00030D6D"/>
    <w:rsid w:val="00030E91"/>
    <w:rsid w:val="0003100B"/>
    <w:rsid w:val="0003100D"/>
    <w:rsid w:val="000311E8"/>
    <w:rsid w:val="00031451"/>
    <w:rsid w:val="0003165F"/>
    <w:rsid w:val="000316A6"/>
    <w:rsid w:val="00031A21"/>
    <w:rsid w:val="00031B06"/>
    <w:rsid w:val="00031B5E"/>
    <w:rsid w:val="00031CA3"/>
    <w:rsid w:val="00032048"/>
    <w:rsid w:val="0003209A"/>
    <w:rsid w:val="00032487"/>
    <w:rsid w:val="00032612"/>
    <w:rsid w:val="0003287E"/>
    <w:rsid w:val="00032952"/>
    <w:rsid w:val="000329CF"/>
    <w:rsid w:val="00032B09"/>
    <w:rsid w:val="00032B48"/>
    <w:rsid w:val="00032BB3"/>
    <w:rsid w:val="00032DA0"/>
    <w:rsid w:val="00032E9E"/>
    <w:rsid w:val="00033202"/>
    <w:rsid w:val="000332E9"/>
    <w:rsid w:val="0003334F"/>
    <w:rsid w:val="000338FF"/>
    <w:rsid w:val="00033A10"/>
    <w:rsid w:val="00033AE6"/>
    <w:rsid w:val="00033DA8"/>
    <w:rsid w:val="00033F5E"/>
    <w:rsid w:val="0003425F"/>
    <w:rsid w:val="0003454C"/>
    <w:rsid w:val="00034943"/>
    <w:rsid w:val="00034B4E"/>
    <w:rsid w:val="00034B7C"/>
    <w:rsid w:val="00034F1B"/>
    <w:rsid w:val="00034FF0"/>
    <w:rsid w:val="000350B1"/>
    <w:rsid w:val="00035255"/>
    <w:rsid w:val="000352D6"/>
    <w:rsid w:val="0003536A"/>
    <w:rsid w:val="00035424"/>
    <w:rsid w:val="00035951"/>
    <w:rsid w:val="000359E9"/>
    <w:rsid w:val="00035A2D"/>
    <w:rsid w:val="00035CBF"/>
    <w:rsid w:val="00035CE3"/>
    <w:rsid w:val="0003639A"/>
    <w:rsid w:val="00036708"/>
    <w:rsid w:val="000368DD"/>
    <w:rsid w:val="00036B2D"/>
    <w:rsid w:val="00036B91"/>
    <w:rsid w:val="00036EE5"/>
    <w:rsid w:val="000371DF"/>
    <w:rsid w:val="000371EF"/>
    <w:rsid w:val="0003726C"/>
    <w:rsid w:val="00037424"/>
    <w:rsid w:val="00037904"/>
    <w:rsid w:val="00037A72"/>
    <w:rsid w:val="00037B6E"/>
    <w:rsid w:val="00037C25"/>
    <w:rsid w:val="00037C4B"/>
    <w:rsid w:val="00037E57"/>
    <w:rsid w:val="00037E7B"/>
    <w:rsid w:val="00037FDC"/>
    <w:rsid w:val="00040039"/>
    <w:rsid w:val="00040196"/>
    <w:rsid w:val="000401B4"/>
    <w:rsid w:val="000402BF"/>
    <w:rsid w:val="000404FE"/>
    <w:rsid w:val="00040659"/>
    <w:rsid w:val="00040674"/>
    <w:rsid w:val="00040A56"/>
    <w:rsid w:val="00040C54"/>
    <w:rsid w:val="00040F31"/>
    <w:rsid w:val="00040F91"/>
    <w:rsid w:val="00040FC9"/>
    <w:rsid w:val="00041081"/>
    <w:rsid w:val="000410BE"/>
    <w:rsid w:val="00041141"/>
    <w:rsid w:val="00041401"/>
    <w:rsid w:val="0004140C"/>
    <w:rsid w:val="000416E1"/>
    <w:rsid w:val="00041FC2"/>
    <w:rsid w:val="000422D6"/>
    <w:rsid w:val="000422F2"/>
    <w:rsid w:val="00042745"/>
    <w:rsid w:val="00042818"/>
    <w:rsid w:val="00042901"/>
    <w:rsid w:val="00042F44"/>
    <w:rsid w:val="0004333E"/>
    <w:rsid w:val="00043664"/>
    <w:rsid w:val="0004372D"/>
    <w:rsid w:val="000438CD"/>
    <w:rsid w:val="000439E9"/>
    <w:rsid w:val="00043A62"/>
    <w:rsid w:val="00043BBE"/>
    <w:rsid w:val="00043E3B"/>
    <w:rsid w:val="00043EBB"/>
    <w:rsid w:val="00044142"/>
    <w:rsid w:val="00044197"/>
    <w:rsid w:val="000443AE"/>
    <w:rsid w:val="0004441D"/>
    <w:rsid w:val="00044523"/>
    <w:rsid w:val="00044787"/>
    <w:rsid w:val="0004497E"/>
    <w:rsid w:val="00044F11"/>
    <w:rsid w:val="000450F2"/>
    <w:rsid w:val="00045430"/>
    <w:rsid w:val="0004543D"/>
    <w:rsid w:val="000455A8"/>
    <w:rsid w:val="0004596B"/>
    <w:rsid w:val="00045A24"/>
    <w:rsid w:val="00045A2F"/>
    <w:rsid w:val="00045BE2"/>
    <w:rsid w:val="00045CD8"/>
    <w:rsid w:val="00045DB0"/>
    <w:rsid w:val="00045F97"/>
    <w:rsid w:val="000460FA"/>
    <w:rsid w:val="00046635"/>
    <w:rsid w:val="000468F2"/>
    <w:rsid w:val="00047107"/>
    <w:rsid w:val="000471B7"/>
    <w:rsid w:val="00047207"/>
    <w:rsid w:val="000472E9"/>
    <w:rsid w:val="000473CB"/>
    <w:rsid w:val="000475C0"/>
    <w:rsid w:val="000476CF"/>
    <w:rsid w:val="00047772"/>
    <w:rsid w:val="00047D48"/>
    <w:rsid w:val="00047E5E"/>
    <w:rsid w:val="00047EAD"/>
    <w:rsid w:val="00047EBC"/>
    <w:rsid w:val="0005007A"/>
    <w:rsid w:val="000501E6"/>
    <w:rsid w:val="0005042C"/>
    <w:rsid w:val="000506BF"/>
    <w:rsid w:val="000507B5"/>
    <w:rsid w:val="00050B15"/>
    <w:rsid w:val="00050B88"/>
    <w:rsid w:val="00050CB4"/>
    <w:rsid w:val="00050FBC"/>
    <w:rsid w:val="0005168B"/>
    <w:rsid w:val="00051D95"/>
    <w:rsid w:val="00052087"/>
    <w:rsid w:val="000520B7"/>
    <w:rsid w:val="00052247"/>
    <w:rsid w:val="0005247F"/>
    <w:rsid w:val="00052927"/>
    <w:rsid w:val="000529C5"/>
    <w:rsid w:val="00052D4C"/>
    <w:rsid w:val="00052DFC"/>
    <w:rsid w:val="00052F95"/>
    <w:rsid w:val="00053066"/>
    <w:rsid w:val="0005334C"/>
    <w:rsid w:val="00053401"/>
    <w:rsid w:val="0005344B"/>
    <w:rsid w:val="000535FF"/>
    <w:rsid w:val="00053642"/>
    <w:rsid w:val="00053A97"/>
    <w:rsid w:val="00053C86"/>
    <w:rsid w:val="00053D39"/>
    <w:rsid w:val="00053FA3"/>
    <w:rsid w:val="00053FCF"/>
    <w:rsid w:val="0005409C"/>
    <w:rsid w:val="000540C3"/>
    <w:rsid w:val="00054110"/>
    <w:rsid w:val="0005416C"/>
    <w:rsid w:val="000545C9"/>
    <w:rsid w:val="00054D5F"/>
    <w:rsid w:val="00054D78"/>
    <w:rsid w:val="00054E15"/>
    <w:rsid w:val="00054EE9"/>
    <w:rsid w:val="00054F58"/>
    <w:rsid w:val="000552F5"/>
    <w:rsid w:val="000554CE"/>
    <w:rsid w:val="0005567F"/>
    <w:rsid w:val="0005576D"/>
    <w:rsid w:val="00055783"/>
    <w:rsid w:val="0005589A"/>
    <w:rsid w:val="000559F1"/>
    <w:rsid w:val="00055C19"/>
    <w:rsid w:val="00055D27"/>
    <w:rsid w:val="00055DDA"/>
    <w:rsid w:val="00055E36"/>
    <w:rsid w:val="00055F03"/>
    <w:rsid w:val="00055FE5"/>
    <w:rsid w:val="000560BE"/>
    <w:rsid w:val="000561CC"/>
    <w:rsid w:val="000562C5"/>
    <w:rsid w:val="000565AA"/>
    <w:rsid w:val="0005663D"/>
    <w:rsid w:val="00056821"/>
    <w:rsid w:val="00056899"/>
    <w:rsid w:val="00056919"/>
    <w:rsid w:val="0005691F"/>
    <w:rsid w:val="00056AD7"/>
    <w:rsid w:val="00056B47"/>
    <w:rsid w:val="00056B90"/>
    <w:rsid w:val="00056C06"/>
    <w:rsid w:val="00056D38"/>
    <w:rsid w:val="00056E3E"/>
    <w:rsid w:val="000571A9"/>
    <w:rsid w:val="000572C9"/>
    <w:rsid w:val="000573E2"/>
    <w:rsid w:val="000575F7"/>
    <w:rsid w:val="0005765D"/>
    <w:rsid w:val="0005785C"/>
    <w:rsid w:val="000578C3"/>
    <w:rsid w:val="000579E6"/>
    <w:rsid w:val="00057B09"/>
    <w:rsid w:val="00057BB6"/>
    <w:rsid w:val="00057C87"/>
    <w:rsid w:val="00057D61"/>
    <w:rsid w:val="00057F83"/>
    <w:rsid w:val="00060084"/>
    <w:rsid w:val="000601C6"/>
    <w:rsid w:val="00060256"/>
    <w:rsid w:val="0006028E"/>
    <w:rsid w:val="00060382"/>
    <w:rsid w:val="00060EBC"/>
    <w:rsid w:val="00060F91"/>
    <w:rsid w:val="00060FA9"/>
    <w:rsid w:val="00060FE6"/>
    <w:rsid w:val="0006108F"/>
    <w:rsid w:val="00061280"/>
    <w:rsid w:val="000613C0"/>
    <w:rsid w:val="000617CB"/>
    <w:rsid w:val="000618BA"/>
    <w:rsid w:val="00061B4F"/>
    <w:rsid w:val="00061C40"/>
    <w:rsid w:val="00061CF5"/>
    <w:rsid w:val="00061D27"/>
    <w:rsid w:val="00061DBD"/>
    <w:rsid w:val="000624D2"/>
    <w:rsid w:val="000626F8"/>
    <w:rsid w:val="00062895"/>
    <w:rsid w:val="000628FD"/>
    <w:rsid w:val="00062A9E"/>
    <w:rsid w:val="00062BEB"/>
    <w:rsid w:val="00062E73"/>
    <w:rsid w:val="00063790"/>
    <w:rsid w:val="00063BBE"/>
    <w:rsid w:val="00063D22"/>
    <w:rsid w:val="00063E26"/>
    <w:rsid w:val="0006403B"/>
    <w:rsid w:val="00064042"/>
    <w:rsid w:val="000643BA"/>
    <w:rsid w:val="00064481"/>
    <w:rsid w:val="000647D8"/>
    <w:rsid w:val="00064872"/>
    <w:rsid w:val="0006497D"/>
    <w:rsid w:val="00064B36"/>
    <w:rsid w:val="00064D51"/>
    <w:rsid w:val="00064F0E"/>
    <w:rsid w:val="000650B0"/>
    <w:rsid w:val="000650D9"/>
    <w:rsid w:val="0006516B"/>
    <w:rsid w:val="000651A3"/>
    <w:rsid w:val="000651E4"/>
    <w:rsid w:val="00065367"/>
    <w:rsid w:val="000653EB"/>
    <w:rsid w:val="000654D3"/>
    <w:rsid w:val="000655A9"/>
    <w:rsid w:val="0006585C"/>
    <w:rsid w:val="00065C20"/>
    <w:rsid w:val="00065E49"/>
    <w:rsid w:val="000660F3"/>
    <w:rsid w:val="000668CB"/>
    <w:rsid w:val="000669CD"/>
    <w:rsid w:val="00066C46"/>
    <w:rsid w:val="00066E58"/>
    <w:rsid w:val="0006728B"/>
    <w:rsid w:val="0006731A"/>
    <w:rsid w:val="000673A0"/>
    <w:rsid w:val="000673B5"/>
    <w:rsid w:val="00067529"/>
    <w:rsid w:val="000675EA"/>
    <w:rsid w:val="00067617"/>
    <w:rsid w:val="0006772C"/>
    <w:rsid w:val="00067738"/>
    <w:rsid w:val="0006775D"/>
    <w:rsid w:val="00067994"/>
    <w:rsid w:val="00070007"/>
    <w:rsid w:val="000700BB"/>
    <w:rsid w:val="000700FF"/>
    <w:rsid w:val="00070162"/>
    <w:rsid w:val="0007023A"/>
    <w:rsid w:val="00070337"/>
    <w:rsid w:val="0007033C"/>
    <w:rsid w:val="00070673"/>
    <w:rsid w:val="000709B6"/>
    <w:rsid w:val="000709CE"/>
    <w:rsid w:val="00070C6D"/>
    <w:rsid w:val="00070CA4"/>
    <w:rsid w:val="00070FFB"/>
    <w:rsid w:val="00071437"/>
    <w:rsid w:val="00071518"/>
    <w:rsid w:val="000716D6"/>
    <w:rsid w:val="000717CC"/>
    <w:rsid w:val="00071B11"/>
    <w:rsid w:val="00071CDA"/>
    <w:rsid w:val="00071D6F"/>
    <w:rsid w:val="00071EE8"/>
    <w:rsid w:val="00071FF0"/>
    <w:rsid w:val="00072016"/>
    <w:rsid w:val="0007220A"/>
    <w:rsid w:val="0007246F"/>
    <w:rsid w:val="00072638"/>
    <w:rsid w:val="000727B1"/>
    <w:rsid w:val="00072881"/>
    <w:rsid w:val="00072AF6"/>
    <w:rsid w:val="00072D78"/>
    <w:rsid w:val="00072E26"/>
    <w:rsid w:val="00072FBA"/>
    <w:rsid w:val="000732EE"/>
    <w:rsid w:val="000734B2"/>
    <w:rsid w:val="00073A2C"/>
    <w:rsid w:val="00073AA3"/>
    <w:rsid w:val="00074016"/>
    <w:rsid w:val="000740EB"/>
    <w:rsid w:val="00074422"/>
    <w:rsid w:val="000744C3"/>
    <w:rsid w:val="00074501"/>
    <w:rsid w:val="00074631"/>
    <w:rsid w:val="00074910"/>
    <w:rsid w:val="00074A45"/>
    <w:rsid w:val="00074C13"/>
    <w:rsid w:val="00074C50"/>
    <w:rsid w:val="00074C88"/>
    <w:rsid w:val="00074CA0"/>
    <w:rsid w:val="00074D21"/>
    <w:rsid w:val="00074E40"/>
    <w:rsid w:val="00074ED8"/>
    <w:rsid w:val="00075178"/>
    <w:rsid w:val="00075265"/>
    <w:rsid w:val="00075277"/>
    <w:rsid w:val="00075278"/>
    <w:rsid w:val="000753BD"/>
    <w:rsid w:val="000756C4"/>
    <w:rsid w:val="00075988"/>
    <w:rsid w:val="00075B5D"/>
    <w:rsid w:val="00075DD2"/>
    <w:rsid w:val="00075E6F"/>
    <w:rsid w:val="00075F11"/>
    <w:rsid w:val="00075FFC"/>
    <w:rsid w:val="00076135"/>
    <w:rsid w:val="000761EC"/>
    <w:rsid w:val="000763C9"/>
    <w:rsid w:val="00076496"/>
    <w:rsid w:val="0007649E"/>
    <w:rsid w:val="0007649F"/>
    <w:rsid w:val="000764CC"/>
    <w:rsid w:val="000766FE"/>
    <w:rsid w:val="00076BDC"/>
    <w:rsid w:val="00076D14"/>
    <w:rsid w:val="00076EA2"/>
    <w:rsid w:val="00077355"/>
    <w:rsid w:val="00077A20"/>
    <w:rsid w:val="00077A99"/>
    <w:rsid w:val="00077B3B"/>
    <w:rsid w:val="00077C35"/>
    <w:rsid w:val="00080096"/>
    <w:rsid w:val="00080106"/>
    <w:rsid w:val="000801B5"/>
    <w:rsid w:val="000803D9"/>
    <w:rsid w:val="00080525"/>
    <w:rsid w:val="0008057E"/>
    <w:rsid w:val="000809D9"/>
    <w:rsid w:val="000809DB"/>
    <w:rsid w:val="00080D85"/>
    <w:rsid w:val="00080DCA"/>
    <w:rsid w:val="00081205"/>
    <w:rsid w:val="0008138E"/>
    <w:rsid w:val="00081997"/>
    <w:rsid w:val="00081B28"/>
    <w:rsid w:val="00081C31"/>
    <w:rsid w:val="00081D92"/>
    <w:rsid w:val="00081EC9"/>
    <w:rsid w:val="00081F77"/>
    <w:rsid w:val="00081F8A"/>
    <w:rsid w:val="00081F94"/>
    <w:rsid w:val="000823DD"/>
    <w:rsid w:val="0008285B"/>
    <w:rsid w:val="00082A34"/>
    <w:rsid w:val="00082D63"/>
    <w:rsid w:val="00082DA1"/>
    <w:rsid w:val="00082EFE"/>
    <w:rsid w:val="00082FDD"/>
    <w:rsid w:val="00082FDF"/>
    <w:rsid w:val="00083018"/>
    <w:rsid w:val="000830B5"/>
    <w:rsid w:val="0008310C"/>
    <w:rsid w:val="000833A9"/>
    <w:rsid w:val="0008360B"/>
    <w:rsid w:val="00083B36"/>
    <w:rsid w:val="00083D24"/>
    <w:rsid w:val="00083FDB"/>
    <w:rsid w:val="0008428B"/>
    <w:rsid w:val="000843F0"/>
    <w:rsid w:val="00084483"/>
    <w:rsid w:val="00084671"/>
    <w:rsid w:val="00084674"/>
    <w:rsid w:val="0008485A"/>
    <w:rsid w:val="000848CE"/>
    <w:rsid w:val="000848EA"/>
    <w:rsid w:val="00084AC9"/>
    <w:rsid w:val="00084D7A"/>
    <w:rsid w:val="00084D7B"/>
    <w:rsid w:val="00084E1F"/>
    <w:rsid w:val="0008507D"/>
    <w:rsid w:val="000850D2"/>
    <w:rsid w:val="000851A9"/>
    <w:rsid w:val="0008573B"/>
    <w:rsid w:val="000859BA"/>
    <w:rsid w:val="00085CBB"/>
    <w:rsid w:val="00085E8F"/>
    <w:rsid w:val="00085EDA"/>
    <w:rsid w:val="000860CE"/>
    <w:rsid w:val="000863DF"/>
    <w:rsid w:val="000866CD"/>
    <w:rsid w:val="000869AB"/>
    <w:rsid w:val="00086D19"/>
    <w:rsid w:val="00086D79"/>
    <w:rsid w:val="00086E9A"/>
    <w:rsid w:val="0008708B"/>
    <w:rsid w:val="000871A4"/>
    <w:rsid w:val="00087214"/>
    <w:rsid w:val="000872F4"/>
    <w:rsid w:val="0008749C"/>
    <w:rsid w:val="000874AB"/>
    <w:rsid w:val="00087675"/>
    <w:rsid w:val="0008784E"/>
    <w:rsid w:val="000878BD"/>
    <w:rsid w:val="00087A62"/>
    <w:rsid w:val="00087D95"/>
    <w:rsid w:val="00087EF8"/>
    <w:rsid w:val="00090027"/>
    <w:rsid w:val="000900AD"/>
    <w:rsid w:val="000902D4"/>
    <w:rsid w:val="00090466"/>
    <w:rsid w:val="000909AF"/>
    <w:rsid w:val="00090F30"/>
    <w:rsid w:val="0009104D"/>
    <w:rsid w:val="00091055"/>
    <w:rsid w:val="0009110E"/>
    <w:rsid w:val="00091271"/>
    <w:rsid w:val="000913E5"/>
    <w:rsid w:val="00091439"/>
    <w:rsid w:val="000914A9"/>
    <w:rsid w:val="00091650"/>
    <w:rsid w:val="00091AA8"/>
    <w:rsid w:val="00091CDD"/>
    <w:rsid w:val="00091F89"/>
    <w:rsid w:val="00091F9A"/>
    <w:rsid w:val="00092098"/>
    <w:rsid w:val="000920CE"/>
    <w:rsid w:val="0009220D"/>
    <w:rsid w:val="000922DD"/>
    <w:rsid w:val="000924A6"/>
    <w:rsid w:val="00092967"/>
    <w:rsid w:val="00092A1C"/>
    <w:rsid w:val="00092A94"/>
    <w:rsid w:val="00092A9F"/>
    <w:rsid w:val="00092B79"/>
    <w:rsid w:val="00092C0F"/>
    <w:rsid w:val="00092CA2"/>
    <w:rsid w:val="00092D61"/>
    <w:rsid w:val="00092F78"/>
    <w:rsid w:val="00092FA7"/>
    <w:rsid w:val="00093A19"/>
    <w:rsid w:val="00093ECA"/>
    <w:rsid w:val="0009418C"/>
    <w:rsid w:val="000941F1"/>
    <w:rsid w:val="0009431C"/>
    <w:rsid w:val="0009433E"/>
    <w:rsid w:val="000943D8"/>
    <w:rsid w:val="00094729"/>
    <w:rsid w:val="00094A6C"/>
    <w:rsid w:val="00094BAF"/>
    <w:rsid w:val="00094E56"/>
    <w:rsid w:val="000953A1"/>
    <w:rsid w:val="000954FD"/>
    <w:rsid w:val="00095603"/>
    <w:rsid w:val="00095728"/>
    <w:rsid w:val="00095B5A"/>
    <w:rsid w:val="00095C81"/>
    <w:rsid w:val="00095CA1"/>
    <w:rsid w:val="00095DF9"/>
    <w:rsid w:val="00095E6A"/>
    <w:rsid w:val="00095FA0"/>
    <w:rsid w:val="0009606C"/>
    <w:rsid w:val="00096156"/>
    <w:rsid w:val="00096480"/>
    <w:rsid w:val="00096B45"/>
    <w:rsid w:val="00096C65"/>
    <w:rsid w:val="00096C7D"/>
    <w:rsid w:val="00096F99"/>
    <w:rsid w:val="00097360"/>
    <w:rsid w:val="0009748E"/>
    <w:rsid w:val="000976B5"/>
    <w:rsid w:val="00097705"/>
    <w:rsid w:val="000978FD"/>
    <w:rsid w:val="00097A5A"/>
    <w:rsid w:val="00097BDE"/>
    <w:rsid w:val="00097C42"/>
    <w:rsid w:val="00097CF7"/>
    <w:rsid w:val="00097FA8"/>
    <w:rsid w:val="000A0194"/>
    <w:rsid w:val="000A03FB"/>
    <w:rsid w:val="000A0538"/>
    <w:rsid w:val="000A0B63"/>
    <w:rsid w:val="000A0D4B"/>
    <w:rsid w:val="000A0EAE"/>
    <w:rsid w:val="000A0FF5"/>
    <w:rsid w:val="000A13F9"/>
    <w:rsid w:val="000A15A8"/>
    <w:rsid w:val="000A15EB"/>
    <w:rsid w:val="000A18A1"/>
    <w:rsid w:val="000A1973"/>
    <w:rsid w:val="000A197E"/>
    <w:rsid w:val="000A1BE9"/>
    <w:rsid w:val="000A1E98"/>
    <w:rsid w:val="000A21A5"/>
    <w:rsid w:val="000A226D"/>
    <w:rsid w:val="000A2341"/>
    <w:rsid w:val="000A24AD"/>
    <w:rsid w:val="000A257C"/>
    <w:rsid w:val="000A2620"/>
    <w:rsid w:val="000A26CE"/>
    <w:rsid w:val="000A2729"/>
    <w:rsid w:val="000A2A7A"/>
    <w:rsid w:val="000A2C53"/>
    <w:rsid w:val="000A2EA6"/>
    <w:rsid w:val="000A31F4"/>
    <w:rsid w:val="000A328B"/>
    <w:rsid w:val="000A32E4"/>
    <w:rsid w:val="000A3389"/>
    <w:rsid w:val="000A33A1"/>
    <w:rsid w:val="000A34EC"/>
    <w:rsid w:val="000A37B5"/>
    <w:rsid w:val="000A3A44"/>
    <w:rsid w:val="000A3A8F"/>
    <w:rsid w:val="000A3ACA"/>
    <w:rsid w:val="000A3C83"/>
    <w:rsid w:val="000A3E81"/>
    <w:rsid w:val="000A40DF"/>
    <w:rsid w:val="000A411D"/>
    <w:rsid w:val="000A4196"/>
    <w:rsid w:val="000A41D6"/>
    <w:rsid w:val="000A4217"/>
    <w:rsid w:val="000A4355"/>
    <w:rsid w:val="000A4675"/>
    <w:rsid w:val="000A4764"/>
    <w:rsid w:val="000A4F78"/>
    <w:rsid w:val="000A5061"/>
    <w:rsid w:val="000A5907"/>
    <w:rsid w:val="000A591F"/>
    <w:rsid w:val="000A5966"/>
    <w:rsid w:val="000A59E6"/>
    <w:rsid w:val="000A5D38"/>
    <w:rsid w:val="000A5D44"/>
    <w:rsid w:val="000A5FC4"/>
    <w:rsid w:val="000A610B"/>
    <w:rsid w:val="000A61E3"/>
    <w:rsid w:val="000A6594"/>
    <w:rsid w:val="000A65F5"/>
    <w:rsid w:val="000A6AC1"/>
    <w:rsid w:val="000A6F4C"/>
    <w:rsid w:val="000A7006"/>
    <w:rsid w:val="000A728D"/>
    <w:rsid w:val="000A741C"/>
    <w:rsid w:val="000A74B8"/>
    <w:rsid w:val="000A76F0"/>
    <w:rsid w:val="000A77A8"/>
    <w:rsid w:val="000A77E7"/>
    <w:rsid w:val="000A7AAA"/>
    <w:rsid w:val="000A7AAF"/>
    <w:rsid w:val="000B00B3"/>
    <w:rsid w:val="000B015E"/>
    <w:rsid w:val="000B0293"/>
    <w:rsid w:val="000B070D"/>
    <w:rsid w:val="000B0E29"/>
    <w:rsid w:val="000B0FD3"/>
    <w:rsid w:val="000B14AE"/>
    <w:rsid w:val="000B14EC"/>
    <w:rsid w:val="000B1507"/>
    <w:rsid w:val="000B1681"/>
    <w:rsid w:val="000B1AD6"/>
    <w:rsid w:val="000B1BFF"/>
    <w:rsid w:val="000B1C28"/>
    <w:rsid w:val="000B1D84"/>
    <w:rsid w:val="000B1E34"/>
    <w:rsid w:val="000B1E42"/>
    <w:rsid w:val="000B1E8E"/>
    <w:rsid w:val="000B1F48"/>
    <w:rsid w:val="000B26DA"/>
    <w:rsid w:val="000B2829"/>
    <w:rsid w:val="000B2F02"/>
    <w:rsid w:val="000B2FB8"/>
    <w:rsid w:val="000B329A"/>
    <w:rsid w:val="000B32AA"/>
    <w:rsid w:val="000B34C7"/>
    <w:rsid w:val="000B375E"/>
    <w:rsid w:val="000B37BE"/>
    <w:rsid w:val="000B37F5"/>
    <w:rsid w:val="000B39C7"/>
    <w:rsid w:val="000B3B49"/>
    <w:rsid w:val="000B3DC8"/>
    <w:rsid w:val="000B3FCB"/>
    <w:rsid w:val="000B400E"/>
    <w:rsid w:val="000B4387"/>
    <w:rsid w:val="000B468A"/>
    <w:rsid w:val="000B4857"/>
    <w:rsid w:val="000B48A5"/>
    <w:rsid w:val="000B4B86"/>
    <w:rsid w:val="000B4D5B"/>
    <w:rsid w:val="000B4E8E"/>
    <w:rsid w:val="000B5587"/>
    <w:rsid w:val="000B55CC"/>
    <w:rsid w:val="000B567D"/>
    <w:rsid w:val="000B56EC"/>
    <w:rsid w:val="000B5746"/>
    <w:rsid w:val="000B5AA8"/>
    <w:rsid w:val="000B5E3F"/>
    <w:rsid w:val="000B5FDB"/>
    <w:rsid w:val="000B64DD"/>
    <w:rsid w:val="000B6596"/>
    <w:rsid w:val="000B6709"/>
    <w:rsid w:val="000B67EF"/>
    <w:rsid w:val="000B69BA"/>
    <w:rsid w:val="000B6A72"/>
    <w:rsid w:val="000B6D4D"/>
    <w:rsid w:val="000B6DAE"/>
    <w:rsid w:val="000B6E19"/>
    <w:rsid w:val="000B7004"/>
    <w:rsid w:val="000B70D4"/>
    <w:rsid w:val="000B7106"/>
    <w:rsid w:val="000B722E"/>
    <w:rsid w:val="000B7285"/>
    <w:rsid w:val="000B72B1"/>
    <w:rsid w:val="000B733C"/>
    <w:rsid w:val="000B7341"/>
    <w:rsid w:val="000B73E8"/>
    <w:rsid w:val="000B7478"/>
    <w:rsid w:val="000B7616"/>
    <w:rsid w:val="000B7810"/>
    <w:rsid w:val="000B78D6"/>
    <w:rsid w:val="000B7C1C"/>
    <w:rsid w:val="000B7C3C"/>
    <w:rsid w:val="000B7D6C"/>
    <w:rsid w:val="000C00E7"/>
    <w:rsid w:val="000C02DA"/>
    <w:rsid w:val="000C04E4"/>
    <w:rsid w:val="000C077A"/>
    <w:rsid w:val="000C0896"/>
    <w:rsid w:val="000C08C3"/>
    <w:rsid w:val="000C092D"/>
    <w:rsid w:val="000C0DD1"/>
    <w:rsid w:val="000C10EE"/>
    <w:rsid w:val="000C10F5"/>
    <w:rsid w:val="000C11D3"/>
    <w:rsid w:val="000C12F8"/>
    <w:rsid w:val="000C178D"/>
    <w:rsid w:val="000C1CD7"/>
    <w:rsid w:val="000C1DB6"/>
    <w:rsid w:val="000C2135"/>
    <w:rsid w:val="000C2226"/>
    <w:rsid w:val="000C27BD"/>
    <w:rsid w:val="000C2897"/>
    <w:rsid w:val="000C2E64"/>
    <w:rsid w:val="000C2EBF"/>
    <w:rsid w:val="000C2F83"/>
    <w:rsid w:val="000C3256"/>
    <w:rsid w:val="000C32BC"/>
    <w:rsid w:val="000C32E1"/>
    <w:rsid w:val="000C3311"/>
    <w:rsid w:val="000C3339"/>
    <w:rsid w:val="000C34AF"/>
    <w:rsid w:val="000C3647"/>
    <w:rsid w:val="000C36CD"/>
    <w:rsid w:val="000C3857"/>
    <w:rsid w:val="000C3914"/>
    <w:rsid w:val="000C3A3E"/>
    <w:rsid w:val="000C3BBE"/>
    <w:rsid w:val="000C3C0F"/>
    <w:rsid w:val="000C3D17"/>
    <w:rsid w:val="000C3D37"/>
    <w:rsid w:val="000C3DEA"/>
    <w:rsid w:val="000C3E71"/>
    <w:rsid w:val="000C3ECE"/>
    <w:rsid w:val="000C4319"/>
    <w:rsid w:val="000C4366"/>
    <w:rsid w:val="000C46F1"/>
    <w:rsid w:val="000C4778"/>
    <w:rsid w:val="000C4ADD"/>
    <w:rsid w:val="000C4B07"/>
    <w:rsid w:val="000C4D98"/>
    <w:rsid w:val="000C4DBB"/>
    <w:rsid w:val="000C4E9C"/>
    <w:rsid w:val="000C4EF5"/>
    <w:rsid w:val="000C4FBB"/>
    <w:rsid w:val="000C5344"/>
    <w:rsid w:val="000C5415"/>
    <w:rsid w:val="000C542A"/>
    <w:rsid w:val="000C55DD"/>
    <w:rsid w:val="000C55ED"/>
    <w:rsid w:val="000C58B1"/>
    <w:rsid w:val="000C59E2"/>
    <w:rsid w:val="000C5AD2"/>
    <w:rsid w:val="000C5B7E"/>
    <w:rsid w:val="000C5FC9"/>
    <w:rsid w:val="000C6399"/>
    <w:rsid w:val="000C6401"/>
    <w:rsid w:val="000C64F3"/>
    <w:rsid w:val="000C6595"/>
    <w:rsid w:val="000C6A06"/>
    <w:rsid w:val="000C6E36"/>
    <w:rsid w:val="000C7020"/>
    <w:rsid w:val="000C702A"/>
    <w:rsid w:val="000C729E"/>
    <w:rsid w:val="000C72CB"/>
    <w:rsid w:val="000C74A1"/>
    <w:rsid w:val="000C74ED"/>
    <w:rsid w:val="000C75AF"/>
    <w:rsid w:val="000C77A6"/>
    <w:rsid w:val="000C783F"/>
    <w:rsid w:val="000C7B45"/>
    <w:rsid w:val="000C7C0E"/>
    <w:rsid w:val="000C7EFC"/>
    <w:rsid w:val="000D00E6"/>
    <w:rsid w:val="000D029A"/>
    <w:rsid w:val="000D0443"/>
    <w:rsid w:val="000D04D1"/>
    <w:rsid w:val="000D059E"/>
    <w:rsid w:val="000D06D4"/>
    <w:rsid w:val="000D06EB"/>
    <w:rsid w:val="000D078F"/>
    <w:rsid w:val="000D0793"/>
    <w:rsid w:val="000D087F"/>
    <w:rsid w:val="000D09F0"/>
    <w:rsid w:val="000D0DCE"/>
    <w:rsid w:val="000D0FB8"/>
    <w:rsid w:val="000D136F"/>
    <w:rsid w:val="000D14D2"/>
    <w:rsid w:val="000D1A96"/>
    <w:rsid w:val="000D1D9E"/>
    <w:rsid w:val="000D2712"/>
    <w:rsid w:val="000D2A6F"/>
    <w:rsid w:val="000D2AB7"/>
    <w:rsid w:val="000D2CE4"/>
    <w:rsid w:val="000D2DB8"/>
    <w:rsid w:val="000D2FA8"/>
    <w:rsid w:val="000D3AAF"/>
    <w:rsid w:val="000D3BAE"/>
    <w:rsid w:val="000D3DA7"/>
    <w:rsid w:val="000D4185"/>
    <w:rsid w:val="000D43D5"/>
    <w:rsid w:val="000D442A"/>
    <w:rsid w:val="000D460C"/>
    <w:rsid w:val="000D46ED"/>
    <w:rsid w:val="000D4739"/>
    <w:rsid w:val="000D487D"/>
    <w:rsid w:val="000D48D4"/>
    <w:rsid w:val="000D491F"/>
    <w:rsid w:val="000D49CA"/>
    <w:rsid w:val="000D49E6"/>
    <w:rsid w:val="000D4C31"/>
    <w:rsid w:val="000D4CDA"/>
    <w:rsid w:val="000D5159"/>
    <w:rsid w:val="000D55D8"/>
    <w:rsid w:val="000D55F8"/>
    <w:rsid w:val="000D5656"/>
    <w:rsid w:val="000D5717"/>
    <w:rsid w:val="000D57E4"/>
    <w:rsid w:val="000D5990"/>
    <w:rsid w:val="000D5BA2"/>
    <w:rsid w:val="000D6288"/>
    <w:rsid w:val="000D62A1"/>
    <w:rsid w:val="000D632C"/>
    <w:rsid w:val="000D63C0"/>
    <w:rsid w:val="000D6507"/>
    <w:rsid w:val="000D6575"/>
    <w:rsid w:val="000D6752"/>
    <w:rsid w:val="000D67A1"/>
    <w:rsid w:val="000D6815"/>
    <w:rsid w:val="000D6961"/>
    <w:rsid w:val="000D69F2"/>
    <w:rsid w:val="000D6AE6"/>
    <w:rsid w:val="000D6CFA"/>
    <w:rsid w:val="000D6D65"/>
    <w:rsid w:val="000D6E2E"/>
    <w:rsid w:val="000D6EA1"/>
    <w:rsid w:val="000D74B8"/>
    <w:rsid w:val="000D764C"/>
    <w:rsid w:val="000D7755"/>
    <w:rsid w:val="000D779B"/>
    <w:rsid w:val="000D7908"/>
    <w:rsid w:val="000D7956"/>
    <w:rsid w:val="000D797A"/>
    <w:rsid w:val="000D7D61"/>
    <w:rsid w:val="000D7DDE"/>
    <w:rsid w:val="000D7DEB"/>
    <w:rsid w:val="000D7EA5"/>
    <w:rsid w:val="000D7F06"/>
    <w:rsid w:val="000E01B8"/>
    <w:rsid w:val="000E026C"/>
    <w:rsid w:val="000E02FA"/>
    <w:rsid w:val="000E0349"/>
    <w:rsid w:val="000E0716"/>
    <w:rsid w:val="000E073A"/>
    <w:rsid w:val="000E0752"/>
    <w:rsid w:val="000E0808"/>
    <w:rsid w:val="000E0B4E"/>
    <w:rsid w:val="000E11C3"/>
    <w:rsid w:val="000E127A"/>
    <w:rsid w:val="000E13FA"/>
    <w:rsid w:val="000E149A"/>
    <w:rsid w:val="000E17B5"/>
    <w:rsid w:val="000E1BFA"/>
    <w:rsid w:val="000E1D3D"/>
    <w:rsid w:val="000E1E4B"/>
    <w:rsid w:val="000E1F16"/>
    <w:rsid w:val="000E1FA6"/>
    <w:rsid w:val="000E22E7"/>
    <w:rsid w:val="000E2301"/>
    <w:rsid w:val="000E23B3"/>
    <w:rsid w:val="000E2687"/>
    <w:rsid w:val="000E29E4"/>
    <w:rsid w:val="000E2C4C"/>
    <w:rsid w:val="000E2EA4"/>
    <w:rsid w:val="000E30AB"/>
    <w:rsid w:val="000E342D"/>
    <w:rsid w:val="000E3537"/>
    <w:rsid w:val="000E3597"/>
    <w:rsid w:val="000E37EA"/>
    <w:rsid w:val="000E3843"/>
    <w:rsid w:val="000E38FF"/>
    <w:rsid w:val="000E394D"/>
    <w:rsid w:val="000E39DA"/>
    <w:rsid w:val="000E3ADA"/>
    <w:rsid w:val="000E3AF9"/>
    <w:rsid w:val="000E42D6"/>
    <w:rsid w:val="000E4378"/>
    <w:rsid w:val="000E4737"/>
    <w:rsid w:val="000E47BF"/>
    <w:rsid w:val="000E49A0"/>
    <w:rsid w:val="000E49FF"/>
    <w:rsid w:val="000E4CE0"/>
    <w:rsid w:val="000E4DAB"/>
    <w:rsid w:val="000E4DD2"/>
    <w:rsid w:val="000E5104"/>
    <w:rsid w:val="000E5335"/>
    <w:rsid w:val="000E53E1"/>
    <w:rsid w:val="000E54AF"/>
    <w:rsid w:val="000E5737"/>
    <w:rsid w:val="000E585A"/>
    <w:rsid w:val="000E5870"/>
    <w:rsid w:val="000E625A"/>
    <w:rsid w:val="000E62E9"/>
    <w:rsid w:val="000E6340"/>
    <w:rsid w:val="000E6477"/>
    <w:rsid w:val="000E64F1"/>
    <w:rsid w:val="000E65F1"/>
    <w:rsid w:val="000E67AC"/>
    <w:rsid w:val="000E67B9"/>
    <w:rsid w:val="000E688E"/>
    <w:rsid w:val="000E690C"/>
    <w:rsid w:val="000E6A8C"/>
    <w:rsid w:val="000E6E3E"/>
    <w:rsid w:val="000E714D"/>
    <w:rsid w:val="000E77DA"/>
    <w:rsid w:val="000E7C0D"/>
    <w:rsid w:val="000F00A3"/>
    <w:rsid w:val="000F0107"/>
    <w:rsid w:val="000F010F"/>
    <w:rsid w:val="000F069B"/>
    <w:rsid w:val="000F07A1"/>
    <w:rsid w:val="000F09BD"/>
    <w:rsid w:val="000F0BAD"/>
    <w:rsid w:val="000F0C7A"/>
    <w:rsid w:val="000F0F60"/>
    <w:rsid w:val="000F0F7E"/>
    <w:rsid w:val="000F1078"/>
    <w:rsid w:val="000F130B"/>
    <w:rsid w:val="000F1848"/>
    <w:rsid w:val="000F185B"/>
    <w:rsid w:val="000F1A2D"/>
    <w:rsid w:val="000F1BA1"/>
    <w:rsid w:val="000F1DC4"/>
    <w:rsid w:val="000F1E1F"/>
    <w:rsid w:val="000F20B2"/>
    <w:rsid w:val="000F2194"/>
    <w:rsid w:val="000F21BE"/>
    <w:rsid w:val="000F2405"/>
    <w:rsid w:val="000F2741"/>
    <w:rsid w:val="000F295B"/>
    <w:rsid w:val="000F2DEB"/>
    <w:rsid w:val="000F3494"/>
    <w:rsid w:val="000F36BD"/>
    <w:rsid w:val="000F36F1"/>
    <w:rsid w:val="000F3791"/>
    <w:rsid w:val="000F38D4"/>
    <w:rsid w:val="000F3D68"/>
    <w:rsid w:val="000F3DC9"/>
    <w:rsid w:val="000F3FE7"/>
    <w:rsid w:val="000F434D"/>
    <w:rsid w:val="000F4367"/>
    <w:rsid w:val="000F4466"/>
    <w:rsid w:val="000F4549"/>
    <w:rsid w:val="000F45C3"/>
    <w:rsid w:val="000F49C2"/>
    <w:rsid w:val="000F4AE6"/>
    <w:rsid w:val="000F4BEB"/>
    <w:rsid w:val="000F4C82"/>
    <w:rsid w:val="000F4C89"/>
    <w:rsid w:val="000F4E3F"/>
    <w:rsid w:val="000F4E50"/>
    <w:rsid w:val="000F4EF0"/>
    <w:rsid w:val="000F4FA3"/>
    <w:rsid w:val="000F5486"/>
    <w:rsid w:val="000F55AC"/>
    <w:rsid w:val="000F56C7"/>
    <w:rsid w:val="000F59C0"/>
    <w:rsid w:val="000F5A4E"/>
    <w:rsid w:val="000F5A95"/>
    <w:rsid w:val="000F5C83"/>
    <w:rsid w:val="000F5DCA"/>
    <w:rsid w:val="000F5EC8"/>
    <w:rsid w:val="000F6016"/>
    <w:rsid w:val="000F6506"/>
    <w:rsid w:val="000F65A3"/>
    <w:rsid w:val="000F6691"/>
    <w:rsid w:val="000F66CC"/>
    <w:rsid w:val="000F6862"/>
    <w:rsid w:val="000F690E"/>
    <w:rsid w:val="000F6DBB"/>
    <w:rsid w:val="000F6F77"/>
    <w:rsid w:val="000F6FD0"/>
    <w:rsid w:val="000F70BE"/>
    <w:rsid w:val="000F745C"/>
    <w:rsid w:val="000F752B"/>
    <w:rsid w:val="000F7923"/>
    <w:rsid w:val="000F7ADE"/>
    <w:rsid w:val="000F7F26"/>
    <w:rsid w:val="0010000F"/>
    <w:rsid w:val="0010056B"/>
    <w:rsid w:val="0010068A"/>
    <w:rsid w:val="00100814"/>
    <w:rsid w:val="00100A7F"/>
    <w:rsid w:val="00100A81"/>
    <w:rsid w:val="00100AA3"/>
    <w:rsid w:val="00100DB0"/>
    <w:rsid w:val="0010108B"/>
    <w:rsid w:val="0010129D"/>
    <w:rsid w:val="00101324"/>
    <w:rsid w:val="00101389"/>
    <w:rsid w:val="0010147F"/>
    <w:rsid w:val="00101646"/>
    <w:rsid w:val="001018C5"/>
    <w:rsid w:val="00101C8A"/>
    <w:rsid w:val="00101DEE"/>
    <w:rsid w:val="00102964"/>
    <w:rsid w:val="00102968"/>
    <w:rsid w:val="00102B0E"/>
    <w:rsid w:val="00102E0D"/>
    <w:rsid w:val="00102E56"/>
    <w:rsid w:val="00102F75"/>
    <w:rsid w:val="00103253"/>
    <w:rsid w:val="001034D7"/>
    <w:rsid w:val="00103550"/>
    <w:rsid w:val="00103757"/>
    <w:rsid w:val="00103803"/>
    <w:rsid w:val="00103E4A"/>
    <w:rsid w:val="00103F38"/>
    <w:rsid w:val="00103FEF"/>
    <w:rsid w:val="00104066"/>
    <w:rsid w:val="001040C4"/>
    <w:rsid w:val="00104181"/>
    <w:rsid w:val="001046E7"/>
    <w:rsid w:val="0010494B"/>
    <w:rsid w:val="00104994"/>
    <w:rsid w:val="00104AA5"/>
    <w:rsid w:val="00104BA1"/>
    <w:rsid w:val="00104C67"/>
    <w:rsid w:val="00104C7A"/>
    <w:rsid w:val="00104CDF"/>
    <w:rsid w:val="00104D89"/>
    <w:rsid w:val="00104ECC"/>
    <w:rsid w:val="00104F3C"/>
    <w:rsid w:val="00104F64"/>
    <w:rsid w:val="00105277"/>
    <w:rsid w:val="00105D90"/>
    <w:rsid w:val="001062A3"/>
    <w:rsid w:val="001062F4"/>
    <w:rsid w:val="00106515"/>
    <w:rsid w:val="00106530"/>
    <w:rsid w:val="00106553"/>
    <w:rsid w:val="00106AEF"/>
    <w:rsid w:val="00106B96"/>
    <w:rsid w:val="00106D27"/>
    <w:rsid w:val="00106F5D"/>
    <w:rsid w:val="00107306"/>
    <w:rsid w:val="00107362"/>
    <w:rsid w:val="00107522"/>
    <w:rsid w:val="001075C6"/>
    <w:rsid w:val="001079F4"/>
    <w:rsid w:val="00107A4E"/>
    <w:rsid w:val="00107B05"/>
    <w:rsid w:val="00107B51"/>
    <w:rsid w:val="00107DAA"/>
    <w:rsid w:val="00107F6B"/>
    <w:rsid w:val="00110814"/>
    <w:rsid w:val="001109C7"/>
    <w:rsid w:val="00110B36"/>
    <w:rsid w:val="00110B59"/>
    <w:rsid w:val="00110FFB"/>
    <w:rsid w:val="00111064"/>
    <w:rsid w:val="001114C7"/>
    <w:rsid w:val="001116BD"/>
    <w:rsid w:val="00111760"/>
    <w:rsid w:val="00111B73"/>
    <w:rsid w:val="00111E73"/>
    <w:rsid w:val="00111F53"/>
    <w:rsid w:val="001120BE"/>
    <w:rsid w:val="001120F0"/>
    <w:rsid w:val="00112229"/>
    <w:rsid w:val="0011237B"/>
    <w:rsid w:val="001124B7"/>
    <w:rsid w:val="001124EB"/>
    <w:rsid w:val="0011257F"/>
    <w:rsid w:val="001125ED"/>
    <w:rsid w:val="001126DA"/>
    <w:rsid w:val="00112A98"/>
    <w:rsid w:val="00112B9C"/>
    <w:rsid w:val="00112E62"/>
    <w:rsid w:val="00112F6B"/>
    <w:rsid w:val="00113097"/>
    <w:rsid w:val="0011309F"/>
    <w:rsid w:val="001131B0"/>
    <w:rsid w:val="00113581"/>
    <w:rsid w:val="001135FA"/>
    <w:rsid w:val="00113612"/>
    <w:rsid w:val="001136A2"/>
    <w:rsid w:val="00113767"/>
    <w:rsid w:val="0011387A"/>
    <w:rsid w:val="00113AE5"/>
    <w:rsid w:val="00113BF2"/>
    <w:rsid w:val="00114002"/>
    <w:rsid w:val="00114373"/>
    <w:rsid w:val="0011437C"/>
    <w:rsid w:val="001148D8"/>
    <w:rsid w:val="00114ACA"/>
    <w:rsid w:val="00114C09"/>
    <w:rsid w:val="00114FD8"/>
    <w:rsid w:val="001152CD"/>
    <w:rsid w:val="001157C7"/>
    <w:rsid w:val="001159F3"/>
    <w:rsid w:val="00115AED"/>
    <w:rsid w:val="00115C33"/>
    <w:rsid w:val="00115C69"/>
    <w:rsid w:val="00115D02"/>
    <w:rsid w:val="00115E13"/>
    <w:rsid w:val="00115F79"/>
    <w:rsid w:val="0011638B"/>
    <w:rsid w:val="00116446"/>
    <w:rsid w:val="00116721"/>
    <w:rsid w:val="0011687C"/>
    <w:rsid w:val="00116978"/>
    <w:rsid w:val="00116C70"/>
    <w:rsid w:val="00116D0B"/>
    <w:rsid w:val="00116F3B"/>
    <w:rsid w:val="001170A3"/>
    <w:rsid w:val="00117213"/>
    <w:rsid w:val="0011722F"/>
    <w:rsid w:val="001175EE"/>
    <w:rsid w:val="001176B1"/>
    <w:rsid w:val="001176C2"/>
    <w:rsid w:val="00117924"/>
    <w:rsid w:val="00117B6B"/>
    <w:rsid w:val="00117E7C"/>
    <w:rsid w:val="00117F70"/>
    <w:rsid w:val="00120015"/>
    <w:rsid w:val="0012067B"/>
    <w:rsid w:val="001206E7"/>
    <w:rsid w:val="00120A59"/>
    <w:rsid w:val="00120D90"/>
    <w:rsid w:val="00120E65"/>
    <w:rsid w:val="00120ECD"/>
    <w:rsid w:val="00120EF1"/>
    <w:rsid w:val="00121184"/>
    <w:rsid w:val="0012190B"/>
    <w:rsid w:val="00121BF3"/>
    <w:rsid w:val="00121EC2"/>
    <w:rsid w:val="00122134"/>
    <w:rsid w:val="00122486"/>
    <w:rsid w:val="00122882"/>
    <w:rsid w:val="00122887"/>
    <w:rsid w:val="001228E8"/>
    <w:rsid w:val="001229C8"/>
    <w:rsid w:val="00122A1F"/>
    <w:rsid w:val="00122AD0"/>
    <w:rsid w:val="00122C21"/>
    <w:rsid w:val="00122EB8"/>
    <w:rsid w:val="00122F13"/>
    <w:rsid w:val="00123033"/>
    <w:rsid w:val="0012311A"/>
    <w:rsid w:val="00123250"/>
    <w:rsid w:val="00123335"/>
    <w:rsid w:val="00123351"/>
    <w:rsid w:val="0012349F"/>
    <w:rsid w:val="0012359F"/>
    <w:rsid w:val="0012370F"/>
    <w:rsid w:val="001237BA"/>
    <w:rsid w:val="00123B27"/>
    <w:rsid w:val="00123BB3"/>
    <w:rsid w:val="00123DDA"/>
    <w:rsid w:val="001241A3"/>
    <w:rsid w:val="001247D3"/>
    <w:rsid w:val="001248EB"/>
    <w:rsid w:val="00124AFC"/>
    <w:rsid w:val="00124FB7"/>
    <w:rsid w:val="00124FFF"/>
    <w:rsid w:val="00125738"/>
    <w:rsid w:val="00125742"/>
    <w:rsid w:val="00125778"/>
    <w:rsid w:val="0012578F"/>
    <w:rsid w:val="00125B4A"/>
    <w:rsid w:val="00125EBE"/>
    <w:rsid w:val="00125FA7"/>
    <w:rsid w:val="0012606B"/>
    <w:rsid w:val="001261CA"/>
    <w:rsid w:val="001261FB"/>
    <w:rsid w:val="001264F3"/>
    <w:rsid w:val="0012688F"/>
    <w:rsid w:val="00126AB4"/>
    <w:rsid w:val="00126CA2"/>
    <w:rsid w:val="00126D40"/>
    <w:rsid w:val="00126DB2"/>
    <w:rsid w:val="00126EAB"/>
    <w:rsid w:val="0012720B"/>
    <w:rsid w:val="001274AC"/>
    <w:rsid w:val="0012756E"/>
    <w:rsid w:val="00127801"/>
    <w:rsid w:val="00127F53"/>
    <w:rsid w:val="001300E7"/>
    <w:rsid w:val="00130250"/>
    <w:rsid w:val="0013030E"/>
    <w:rsid w:val="00130325"/>
    <w:rsid w:val="0013051B"/>
    <w:rsid w:val="001306F4"/>
    <w:rsid w:val="00130970"/>
    <w:rsid w:val="001309B9"/>
    <w:rsid w:val="00130A5F"/>
    <w:rsid w:val="00130C97"/>
    <w:rsid w:val="00130D8A"/>
    <w:rsid w:val="00130FAD"/>
    <w:rsid w:val="00131011"/>
    <w:rsid w:val="0013112B"/>
    <w:rsid w:val="00131197"/>
    <w:rsid w:val="00131234"/>
    <w:rsid w:val="001312B9"/>
    <w:rsid w:val="0013147D"/>
    <w:rsid w:val="001314D4"/>
    <w:rsid w:val="00131A49"/>
    <w:rsid w:val="00131BE9"/>
    <w:rsid w:val="00131CE9"/>
    <w:rsid w:val="00131F33"/>
    <w:rsid w:val="001320A5"/>
    <w:rsid w:val="001321C7"/>
    <w:rsid w:val="001322B9"/>
    <w:rsid w:val="00132434"/>
    <w:rsid w:val="00132A5D"/>
    <w:rsid w:val="00132CAD"/>
    <w:rsid w:val="00132E6A"/>
    <w:rsid w:val="00132E7A"/>
    <w:rsid w:val="00132F62"/>
    <w:rsid w:val="0013302C"/>
    <w:rsid w:val="00133117"/>
    <w:rsid w:val="0013313A"/>
    <w:rsid w:val="00133386"/>
    <w:rsid w:val="001334B2"/>
    <w:rsid w:val="001334C2"/>
    <w:rsid w:val="0013358E"/>
    <w:rsid w:val="00133B4F"/>
    <w:rsid w:val="00133D1D"/>
    <w:rsid w:val="001340C9"/>
    <w:rsid w:val="00134285"/>
    <w:rsid w:val="0013442C"/>
    <w:rsid w:val="001344C8"/>
    <w:rsid w:val="0013475E"/>
    <w:rsid w:val="0013492B"/>
    <w:rsid w:val="00134932"/>
    <w:rsid w:val="0013497A"/>
    <w:rsid w:val="00134ED8"/>
    <w:rsid w:val="00135037"/>
    <w:rsid w:val="00135543"/>
    <w:rsid w:val="0013556E"/>
    <w:rsid w:val="001355C5"/>
    <w:rsid w:val="001355F1"/>
    <w:rsid w:val="001356D6"/>
    <w:rsid w:val="001356ED"/>
    <w:rsid w:val="00135AE2"/>
    <w:rsid w:val="00135B78"/>
    <w:rsid w:val="00135D2E"/>
    <w:rsid w:val="00135D50"/>
    <w:rsid w:val="00135E16"/>
    <w:rsid w:val="00135E99"/>
    <w:rsid w:val="00135EC2"/>
    <w:rsid w:val="0013634B"/>
    <w:rsid w:val="00136596"/>
    <w:rsid w:val="001368B7"/>
    <w:rsid w:val="00136A9D"/>
    <w:rsid w:val="0013702E"/>
    <w:rsid w:val="00137034"/>
    <w:rsid w:val="001371C7"/>
    <w:rsid w:val="00137265"/>
    <w:rsid w:val="001372CC"/>
    <w:rsid w:val="00137319"/>
    <w:rsid w:val="00137589"/>
    <w:rsid w:val="0013758C"/>
    <w:rsid w:val="00137888"/>
    <w:rsid w:val="00137A94"/>
    <w:rsid w:val="00137BC1"/>
    <w:rsid w:val="00137C91"/>
    <w:rsid w:val="00137F96"/>
    <w:rsid w:val="00140254"/>
    <w:rsid w:val="001403AC"/>
    <w:rsid w:val="0014060F"/>
    <w:rsid w:val="0014062D"/>
    <w:rsid w:val="0014075F"/>
    <w:rsid w:val="001409DA"/>
    <w:rsid w:val="00140F08"/>
    <w:rsid w:val="0014134D"/>
    <w:rsid w:val="0014136D"/>
    <w:rsid w:val="0014185D"/>
    <w:rsid w:val="0014195C"/>
    <w:rsid w:val="00141B85"/>
    <w:rsid w:val="00141F06"/>
    <w:rsid w:val="00141F18"/>
    <w:rsid w:val="00142075"/>
    <w:rsid w:val="001425CE"/>
    <w:rsid w:val="00142659"/>
    <w:rsid w:val="00142693"/>
    <w:rsid w:val="001426B4"/>
    <w:rsid w:val="001427C5"/>
    <w:rsid w:val="001427D3"/>
    <w:rsid w:val="001428AA"/>
    <w:rsid w:val="00142932"/>
    <w:rsid w:val="00142C86"/>
    <w:rsid w:val="00142D3D"/>
    <w:rsid w:val="00142D41"/>
    <w:rsid w:val="00142E2C"/>
    <w:rsid w:val="00143388"/>
    <w:rsid w:val="001433CF"/>
    <w:rsid w:val="00143505"/>
    <w:rsid w:val="00143551"/>
    <w:rsid w:val="001438B7"/>
    <w:rsid w:val="00143B5A"/>
    <w:rsid w:val="00143F4A"/>
    <w:rsid w:val="0014414B"/>
    <w:rsid w:val="00144612"/>
    <w:rsid w:val="00144A81"/>
    <w:rsid w:val="00144C54"/>
    <w:rsid w:val="00144D8E"/>
    <w:rsid w:val="00144E30"/>
    <w:rsid w:val="00145495"/>
    <w:rsid w:val="00145568"/>
    <w:rsid w:val="00145D9F"/>
    <w:rsid w:val="00145DE9"/>
    <w:rsid w:val="001460B2"/>
    <w:rsid w:val="001461AC"/>
    <w:rsid w:val="001462BE"/>
    <w:rsid w:val="001462E4"/>
    <w:rsid w:val="001465C5"/>
    <w:rsid w:val="001465E6"/>
    <w:rsid w:val="0014667E"/>
    <w:rsid w:val="0014675E"/>
    <w:rsid w:val="0014684D"/>
    <w:rsid w:val="001468B5"/>
    <w:rsid w:val="00146C63"/>
    <w:rsid w:val="001470DB"/>
    <w:rsid w:val="00147140"/>
    <w:rsid w:val="001471DB"/>
    <w:rsid w:val="0014746E"/>
    <w:rsid w:val="00147483"/>
    <w:rsid w:val="0014752F"/>
    <w:rsid w:val="00147801"/>
    <w:rsid w:val="001478C7"/>
    <w:rsid w:val="00147B2E"/>
    <w:rsid w:val="00147BF5"/>
    <w:rsid w:val="00147E1A"/>
    <w:rsid w:val="00150063"/>
    <w:rsid w:val="001501E4"/>
    <w:rsid w:val="001502B9"/>
    <w:rsid w:val="001503BD"/>
    <w:rsid w:val="00150436"/>
    <w:rsid w:val="00150E14"/>
    <w:rsid w:val="00150E95"/>
    <w:rsid w:val="00150F7F"/>
    <w:rsid w:val="001510B5"/>
    <w:rsid w:val="0015115E"/>
    <w:rsid w:val="00151160"/>
    <w:rsid w:val="001511D6"/>
    <w:rsid w:val="001514B7"/>
    <w:rsid w:val="0015154D"/>
    <w:rsid w:val="001515CB"/>
    <w:rsid w:val="00151766"/>
    <w:rsid w:val="0015176C"/>
    <w:rsid w:val="001517F2"/>
    <w:rsid w:val="00151856"/>
    <w:rsid w:val="001518AD"/>
    <w:rsid w:val="00151B2B"/>
    <w:rsid w:val="00151CB8"/>
    <w:rsid w:val="00151F7A"/>
    <w:rsid w:val="001523A8"/>
    <w:rsid w:val="001523AB"/>
    <w:rsid w:val="001524A6"/>
    <w:rsid w:val="0015289F"/>
    <w:rsid w:val="001528EC"/>
    <w:rsid w:val="00152995"/>
    <w:rsid w:val="001529D2"/>
    <w:rsid w:val="00152A6E"/>
    <w:rsid w:val="00152D16"/>
    <w:rsid w:val="00152F14"/>
    <w:rsid w:val="0015315E"/>
    <w:rsid w:val="00153215"/>
    <w:rsid w:val="00153259"/>
    <w:rsid w:val="00153262"/>
    <w:rsid w:val="001535F2"/>
    <w:rsid w:val="00153630"/>
    <w:rsid w:val="001537F8"/>
    <w:rsid w:val="00153A6F"/>
    <w:rsid w:val="00153B3A"/>
    <w:rsid w:val="00153D49"/>
    <w:rsid w:val="00153D9A"/>
    <w:rsid w:val="00153F75"/>
    <w:rsid w:val="0015404B"/>
    <w:rsid w:val="001540E7"/>
    <w:rsid w:val="001541F0"/>
    <w:rsid w:val="0015423B"/>
    <w:rsid w:val="00154572"/>
    <w:rsid w:val="0015464D"/>
    <w:rsid w:val="0015474F"/>
    <w:rsid w:val="00154812"/>
    <w:rsid w:val="00154868"/>
    <w:rsid w:val="00154A10"/>
    <w:rsid w:val="00154D41"/>
    <w:rsid w:val="00154DB5"/>
    <w:rsid w:val="00154E04"/>
    <w:rsid w:val="00154E21"/>
    <w:rsid w:val="00154FB2"/>
    <w:rsid w:val="00155125"/>
    <w:rsid w:val="00155D82"/>
    <w:rsid w:val="00155E40"/>
    <w:rsid w:val="00155EE6"/>
    <w:rsid w:val="00155F4A"/>
    <w:rsid w:val="001561FB"/>
    <w:rsid w:val="00156437"/>
    <w:rsid w:val="001565EC"/>
    <w:rsid w:val="001565F5"/>
    <w:rsid w:val="001567DB"/>
    <w:rsid w:val="0015690B"/>
    <w:rsid w:val="001569C5"/>
    <w:rsid w:val="00156D91"/>
    <w:rsid w:val="00156DC8"/>
    <w:rsid w:val="00156EEA"/>
    <w:rsid w:val="00156F07"/>
    <w:rsid w:val="0015710C"/>
    <w:rsid w:val="00157267"/>
    <w:rsid w:val="0015726A"/>
    <w:rsid w:val="00157968"/>
    <w:rsid w:val="00157DE4"/>
    <w:rsid w:val="00157DEA"/>
    <w:rsid w:val="00157E23"/>
    <w:rsid w:val="00157FA5"/>
    <w:rsid w:val="001600C4"/>
    <w:rsid w:val="0016015A"/>
    <w:rsid w:val="001601ED"/>
    <w:rsid w:val="00160378"/>
    <w:rsid w:val="001607EB"/>
    <w:rsid w:val="0016081A"/>
    <w:rsid w:val="0016082D"/>
    <w:rsid w:val="001608E6"/>
    <w:rsid w:val="001609CA"/>
    <w:rsid w:val="00160B85"/>
    <w:rsid w:val="00160D96"/>
    <w:rsid w:val="00160FC8"/>
    <w:rsid w:val="00161120"/>
    <w:rsid w:val="001613D1"/>
    <w:rsid w:val="001616CC"/>
    <w:rsid w:val="001617A4"/>
    <w:rsid w:val="001619C3"/>
    <w:rsid w:val="00161F03"/>
    <w:rsid w:val="001621BB"/>
    <w:rsid w:val="001623D6"/>
    <w:rsid w:val="001624D3"/>
    <w:rsid w:val="00162637"/>
    <w:rsid w:val="00162B84"/>
    <w:rsid w:val="00162C0F"/>
    <w:rsid w:val="00162C4C"/>
    <w:rsid w:val="00162E02"/>
    <w:rsid w:val="00162E20"/>
    <w:rsid w:val="00162F12"/>
    <w:rsid w:val="00162F9F"/>
    <w:rsid w:val="00163051"/>
    <w:rsid w:val="0016308C"/>
    <w:rsid w:val="00163140"/>
    <w:rsid w:val="0016328D"/>
    <w:rsid w:val="0016341D"/>
    <w:rsid w:val="001634AD"/>
    <w:rsid w:val="001635E3"/>
    <w:rsid w:val="00163764"/>
    <w:rsid w:val="0016388D"/>
    <w:rsid w:val="00163DBA"/>
    <w:rsid w:val="00163DCC"/>
    <w:rsid w:val="00163E86"/>
    <w:rsid w:val="00163FBA"/>
    <w:rsid w:val="001643CD"/>
    <w:rsid w:val="001646C9"/>
    <w:rsid w:val="00164706"/>
    <w:rsid w:val="00164840"/>
    <w:rsid w:val="0016493C"/>
    <w:rsid w:val="00164C52"/>
    <w:rsid w:val="00164EE7"/>
    <w:rsid w:val="00164FA9"/>
    <w:rsid w:val="0016506B"/>
    <w:rsid w:val="001652AB"/>
    <w:rsid w:val="0016540C"/>
    <w:rsid w:val="00165681"/>
    <w:rsid w:val="00165735"/>
    <w:rsid w:val="00165780"/>
    <w:rsid w:val="001658B2"/>
    <w:rsid w:val="00165929"/>
    <w:rsid w:val="00165AC6"/>
    <w:rsid w:val="00165DAF"/>
    <w:rsid w:val="00165E5D"/>
    <w:rsid w:val="00166047"/>
    <w:rsid w:val="0016610E"/>
    <w:rsid w:val="001662BB"/>
    <w:rsid w:val="0016650B"/>
    <w:rsid w:val="001665C3"/>
    <w:rsid w:val="001666CE"/>
    <w:rsid w:val="00166908"/>
    <w:rsid w:val="0016696F"/>
    <w:rsid w:val="00166A3B"/>
    <w:rsid w:val="00166B2B"/>
    <w:rsid w:val="00166B5B"/>
    <w:rsid w:val="00166DE1"/>
    <w:rsid w:val="00167796"/>
    <w:rsid w:val="001677F9"/>
    <w:rsid w:val="0016788D"/>
    <w:rsid w:val="001678EC"/>
    <w:rsid w:val="001678FA"/>
    <w:rsid w:val="001679AE"/>
    <w:rsid w:val="00167B0E"/>
    <w:rsid w:val="00167C27"/>
    <w:rsid w:val="00170594"/>
    <w:rsid w:val="00170648"/>
    <w:rsid w:val="001708AB"/>
    <w:rsid w:val="001708F8"/>
    <w:rsid w:val="00170927"/>
    <w:rsid w:val="0017100F"/>
    <w:rsid w:val="001710D1"/>
    <w:rsid w:val="0017127B"/>
    <w:rsid w:val="00171281"/>
    <w:rsid w:val="001715B0"/>
    <w:rsid w:val="0017178A"/>
    <w:rsid w:val="00171913"/>
    <w:rsid w:val="00171978"/>
    <w:rsid w:val="00171B7C"/>
    <w:rsid w:val="00171B86"/>
    <w:rsid w:val="00171D28"/>
    <w:rsid w:val="00171D91"/>
    <w:rsid w:val="00172182"/>
    <w:rsid w:val="00172214"/>
    <w:rsid w:val="0017227B"/>
    <w:rsid w:val="00172326"/>
    <w:rsid w:val="0017237D"/>
    <w:rsid w:val="001725DE"/>
    <w:rsid w:val="0017293A"/>
    <w:rsid w:val="00172A09"/>
    <w:rsid w:val="00172BC0"/>
    <w:rsid w:val="00172D31"/>
    <w:rsid w:val="00172DDF"/>
    <w:rsid w:val="00172FAF"/>
    <w:rsid w:val="001732D2"/>
    <w:rsid w:val="0017338E"/>
    <w:rsid w:val="00173506"/>
    <w:rsid w:val="001739DF"/>
    <w:rsid w:val="00173AD4"/>
    <w:rsid w:val="00173B63"/>
    <w:rsid w:val="00173D2C"/>
    <w:rsid w:val="00173FA6"/>
    <w:rsid w:val="0017416B"/>
    <w:rsid w:val="001741D5"/>
    <w:rsid w:val="00174467"/>
    <w:rsid w:val="00174575"/>
    <w:rsid w:val="00174629"/>
    <w:rsid w:val="00174A76"/>
    <w:rsid w:val="00174C16"/>
    <w:rsid w:val="00174D8F"/>
    <w:rsid w:val="00175317"/>
    <w:rsid w:val="001753C5"/>
    <w:rsid w:val="00175437"/>
    <w:rsid w:val="0017545F"/>
    <w:rsid w:val="001754C2"/>
    <w:rsid w:val="00175663"/>
    <w:rsid w:val="0017592D"/>
    <w:rsid w:val="00175AD9"/>
    <w:rsid w:val="00175C11"/>
    <w:rsid w:val="00175CAB"/>
    <w:rsid w:val="00175CE3"/>
    <w:rsid w:val="00175DD9"/>
    <w:rsid w:val="00175E32"/>
    <w:rsid w:val="0017602A"/>
    <w:rsid w:val="00176068"/>
    <w:rsid w:val="0017618A"/>
    <w:rsid w:val="00176594"/>
    <w:rsid w:val="0017670C"/>
    <w:rsid w:val="001767E9"/>
    <w:rsid w:val="001768BD"/>
    <w:rsid w:val="001768EA"/>
    <w:rsid w:val="0017694C"/>
    <w:rsid w:val="0017699C"/>
    <w:rsid w:val="001769DB"/>
    <w:rsid w:val="00176A6C"/>
    <w:rsid w:val="00176BC6"/>
    <w:rsid w:val="00176D2C"/>
    <w:rsid w:val="00176ECA"/>
    <w:rsid w:val="001771CE"/>
    <w:rsid w:val="001773DC"/>
    <w:rsid w:val="00177417"/>
    <w:rsid w:val="001776F2"/>
    <w:rsid w:val="00177876"/>
    <w:rsid w:val="001778DF"/>
    <w:rsid w:val="001779F8"/>
    <w:rsid w:val="00177C6C"/>
    <w:rsid w:val="00177FD1"/>
    <w:rsid w:val="00177FEB"/>
    <w:rsid w:val="00180315"/>
    <w:rsid w:val="001804C1"/>
    <w:rsid w:val="001804C2"/>
    <w:rsid w:val="001805F9"/>
    <w:rsid w:val="0018061E"/>
    <w:rsid w:val="001806A4"/>
    <w:rsid w:val="001806E6"/>
    <w:rsid w:val="0018079E"/>
    <w:rsid w:val="001807C8"/>
    <w:rsid w:val="001808F1"/>
    <w:rsid w:val="00180933"/>
    <w:rsid w:val="00180A76"/>
    <w:rsid w:val="00180CA8"/>
    <w:rsid w:val="00180E80"/>
    <w:rsid w:val="00180EB3"/>
    <w:rsid w:val="00180F69"/>
    <w:rsid w:val="00180FCE"/>
    <w:rsid w:val="00181055"/>
    <w:rsid w:val="00181154"/>
    <w:rsid w:val="00181236"/>
    <w:rsid w:val="00181713"/>
    <w:rsid w:val="001817F0"/>
    <w:rsid w:val="001818D2"/>
    <w:rsid w:val="00181A60"/>
    <w:rsid w:val="00181FFE"/>
    <w:rsid w:val="00182100"/>
    <w:rsid w:val="00182459"/>
    <w:rsid w:val="001824AE"/>
    <w:rsid w:val="00182528"/>
    <w:rsid w:val="00182757"/>
    <w:rsid w:val="001828EE"/>
    <w:rsid w:val="00182F04"/>
    <w:rsid w:val="00182F46"/>
    <w:rsid w:val="00182F5C"/>
    <w:rsid w:val="00182F76"/>
    <w:rsid w:val="00183141"/>
    <w:rsid w:val="00183487"/>
    <w:rsid w:val="001836F0"/>
    <w:rsid w:val="0018384C"/>
    <w:rsid w:val="00183853"/>
    <w:rsid w:val="001838D4"/>
    <w:rsid w:val="001839BE"/>
    <w:rsid w:val="00183B75"/>
    <w:rsid w:val="00183BBC"/>
    <w:rsid w:val="00183BEB"/>
    <w:rsid w:val="00183C5F"/>
    <w:rsid w:val="00183D34"/>
    <w:rsid w:val="00184067"/>
    <w:rsid w:val="001841C9"/>
    <w:rsid w:val="00184274"/>
    <w:rsid w:val="00184295"/>
    <w:rsid w:val="001842A8"/>
    <w:rsid w:val="00184434"/>
    <w:rsid w:val="00184497"/>
    <w:rsid w:val="001846EB"/>
    <w:rsid w:val="001848C7"/>
    <w:rsid w:val="00184959"/>
    <w:rsid w:val="00184B93"/>
    <w:rsid w:val="00184C93"/>
    <w:rsid w:val="00184D73"/>
    <w:rsid w:val="00184E33"/>
    <w:rsid w:val="00184F55"/>
    <w:rsid w:val="001853DF"/>
    <w:rsid w:val="00185780"/>
    <w:rsid w:val="00185CC5"/>
    <w:rsid w:val="001861AB"/>
    <w:rsid w:val="001863C2"/>
    <w:rsid w:val="00186584"/>
    <w:rsid w:val="001866A5"/>
    <w:rsid w:val="001867BA"/>
    <w:rsid w:val="001867FB"/>
    <w:rsid w:val="00186D74"/>
    <w:rsid w:val="00186FA6"/>
    <w:rsid w:val="00187037"/>
    <w:rsid w:val="00187217"/>
    <w:rsid w:val="001872D6"/>
    <w:rsid w:val="00187818"/>
    <w:rsid w:val="00187B19"/>
    <w:rsid w:val="00187D78"/>
    <w:rsid w:val="00187E02"/>
    <w:rsid w:val="00187EE5"/>
    <w:rsid w:val="001901F9"/>
    <w:rsid w:val="001904B0"/>
    <w:rsid w:val="00190913"/>
    <w:rsid w:val="0019093C"/>
    <w:rsid w:val="00190946"/>
    <w:rsid w:val="0019094D"/>
    <w:rsid w:val="00190962"/>
    <w:rsid w:val="0019096E"/>
    <w:rsid w:val="00190999"/>
    <w:rsid w:val="00190A2C"/>
    <w:rsid w:val="00190E90"/>
    <w:rsid w:val="00191021"/>
    <w:rsid w:val="0019121B"/>
    <w:rsid w:val="00191482"/>
    <w:rsid w:val="001916DC"/>
    <w:rsid w:val="00191784"/>
    <w:rsid w:val="00191AD2"/>
    <w:rsid w:val="00191D70"/>
    <w:rsid w:val="00191DA4"/>
    <w:rsid w:val="00191E2A"/>
    <w:rsid w:val="00191EBA"/>
    <w:rsid w:val="00192057"/>
    <w:rsid w:val="00192355"/>
    <w:rsid w:val="0019238D"/>
    <w:rsid w:val="00192470"/>
    <w:rsid w:val="001924BF"/>
    <w:rsid w:val="001924C8"/>
    <w:rsid w:val="00192537"/>
    <w:rsid w:val="001925C8"/>
    <w:rsid w:val="001928B7"/>
    <w:rsid w:val="00192F96"/>
    <w:rsid w:val="00193132"/>
    <w:rsid w:val="001932ED"/>
    <w:rsid w:val="0019343E"/>
    <w:rsid w:val="001935E6"/>
    <w:rsid w:val="00193647"/>
    <w:rsid w:val="00193A4A"/>
    <w:rsid w:val="00193D67"/>
    <w:rsid w:val="00194084"/>
    <w:rsid w:val="0019411E"/>
    <w:rsid w:val="00194148"/>
    <w:rsid w:val="0019433C"/>
    <w:rsid w:val="00194383"/>
    <w:rsid w:val="00194747"/>
    <w:rsid w:val="00195474"/>
    <w:rsid w:val="00195519"/>
    <w:rsid w:val="0019563E"/>
    <w:rsid w:val="0019583E"/>
    <w:rsid w:val="00195A57"/>
    <w:rsid w:val="00195B30"/>
    <w:rsid w:val="00195B87"/>
    <w:rsid w:val="00195BB6"/>
    <w:rsid w:val="00195CE4"/>
    <w:rsid w:val="00195D0E"/>
    <w:rsid w:val="00196088"/>
    <w:rsid w:val="001960A0"/>
    <w:rsid w:val="001961FA"/>
    <w:rsid w:val="00196221"/>
    <w:rsid w:val="00196381"/>
    <w:rsid w:val="001966D4"/>
    <w:rsid w:val="0019676A"/>
    <w:rsid w:val="0019698B"/>
    <w:rsid w:val="00196B3F"/>
    <w:rsid w:val="00196B41"/>
    <w:rsid w:val="00196DE4"/>
    <w:rsid w:val="00196EED"/>
    <w:rsid w:val="001970E3"/>
    <w:rsid w:val="001970F7"/>
    <w:rsid w:val="00197231"/>
    <w:rsid w:val="00197377"/>
    <w:rsid w:val="00197605"/>
    <w:rsid w:val="0019774E"/>
    <w:rsid w:val="0019797D"/>
    <w:rsid w:val="00197EE5"/>
    <w:rsid w:val="00197F9C"/>
    <w:rsid w:val="001A006E"/>
    <w:rsid w:val="001A02CF"/>
    <w:rsid w:val="001A0577"/>
    <w:rsid w:val="001A0802"/>
    <w:rsid w:val="001A0B46"/>
    <w:rsid w:val="001A0BA1"/>
    <w:rsid w:val="001A0D67"/>
    <w:rsid w:val="001A0DF7"/>
    <w:rsid w:val="001A0EDB"/>
    <w:rsid w:val="001A1042"/>
    <w:rsid w:val="001A145A"/>
    <w:rsid w:val="001A14EF"/>
    <w:rsid w:val="001A19A4"/>
    <w:rsid w:val="001A19EA"/>
    <w:rsid w:val="001A1B1F"/>
    <w:rsid w:val="001A1B81"/>
    <w:rsid w:val="001A1D2F"/>
    <w:rsid w:val="001A1D3C"/>
    <w:rsid w:val="001A20DF"/>
    <w:rsid w:val="001A20ED"/>
    <w:rsid w:val="001A2182"/>
    <w:rsid w:val="001A2285"/>
    <w:rsid w:val="001A2302"/>
    <w:rsid w:val="001A26D3"/>
    <w:rsid w:val="001A26FB"/>
    <w:rsid w:val="001A2873"/>
    <w:rsid w:val="001A2A45"/>
    <w:rsid w:val="001A2D8A"/>
    <w:rsid w:val="001A2ECC"/>
    <w:rsid w:val="001A32EE"/>
    <w:rsid w:val="001A33A9"/>
    <w:rsid w:val="001A3415"/>
    <w:rsid w:val="001A386E"/>
    <w:rsid w:val="001A38D6"/>
    <w:rsid w:val="001A3922"/>
    <w:rsid w:val="001A3994"/>
    <w:rsid w:val="001A3E29"/>
    <w:rsid w:val="001A3F7D"/>
    <w:rsid w:val="001A409F"/>
    <w:rsid w:val="001A418F"/>
    <w:rsid w:val="001A4496"/>
    <w:rsid w:val="001A4509"/>
    <w:rsid w:val="001A457F"/>
    <w:rsid w:val="001A4610"/>
    <w:rsid w:val="001A461B"/>
    <w:rsid w:val="001A478F"/>
    <w:rsid w:val="001A4B2A"/>
    <w:rsid w:val="001A4CA4"/>
    <w:rsid w:val="001A4D8D"/>
    <w:rsid w:val="001A4DA7"/>
    <w:rsid w:val="001A4DEF"/>
    <w:rsid w:val="001A500E"/>
    <w:rsid w:val="001A515D"/>
    <w:rsid w:val="001A5176"/>
    <w:rsid w:val="001A51A0"/>
    <w:rsid w:val="001A53B0"/>
    <w:rsid w:val="001A546E"/>
    <w:rsid w:val="001A54DC"/>
    <w:rsid w:val="001A5781"/>
    <w:rsid w:val="001A581D"/>
    <w:rsid w:val="001A5B0F"/>
    <w:rsid w:val="001A5B96"/>
    <w:rsid w:val="001A5B9C"/>
    <w:rsid w:val="001A5C5F"/>
    <w:rsid w:val="001A5C6B"/>
    <w:rsid w:val="001A5C90"/>
    <w:rsid w:val="001A5F19"/>
    <w:rsid w:val="001A5F83"/>
    <w:rsid w:val="001A640C"/>
    <w:rsid w:val="001A64F2"/>
    <w:rsid w:val="001A6946"/>
    <w:rsid w:val="001A6B56"/>
    <w:rsid w:val="001A6B5C"/>
    <w:rsid w:val="001A6ECC"/>
    <w:rsid w:val="001A70D8"/>
    <w:rsid w:val="001A75E5"/>
    <w:rsid w:val="001A7669"/>
    <w:rsid w:val="001A7785"/>
    <w:rsid w:val="001A77F6"/>
    <w:rsid w:val="001A7824"/>
    <w:rsid w:val="001A7CA6"/>
    <w:rsid w:val="001A7FC8"/>
    <w:rsid w:val="001B0313"/>
    <w:rsid w:val="001B05CC"/>
    <w:rsid w:val="001B085E"/>
    <w:rsid w:val="001B0884"/>
    <w:rsid w:val="001B0937"/>
    <w:rsid w:val="001B09FC"/>
    <w:rsid w:val="001B0AA8"/>
    <w:rsid w:val="001B0C24"/>
    <w:rsid w:val="001B0D4E"/>
    <w:rsid w:val="001B1099"/>
    <w:rsid w:val="001B11E2"/>
    <w:rsid w:val="001B1488"/>
    <w:rsid w:val="001B155A"/>
    <w:rsid w:val="001B190B"/>
    <w:rsid w:val="001B1B66"/>
    <w:rsid w:val="001B1E8A"/>
    <w:rsid w:val="001B1F7D"/>
    <w:rsid w:val="001B1FE2"/>
    <w:rsid w:val="001B22D9"/>
    <w:rsid w:val="001B26D6"/>
    <w:rsid w:val="001B2889"/>
    <w:rsid w:val="001B2A5D"/>
    <w:rsid w:val="001B2A63"/>
    <w:rsid w:val="001B2D12"/>
    <w:rsid w:val="001B2D3E"/>
    <w:rsid w:val="001B2E75"/>
    <w:rsid w:val="001B2EFF"/>
    <w:rsid w:val="001B2F02"/>
    <w:rsid w:val="001B2F33"/>
    <w:rsid w:val="001B30BA"/>
    <w:rsid w:val="001B31F6"/>
    <w:rsid w:val="001B32A3"/>
    <w:rsid w:val="001B338E"/>
    <w:rsid w:val="001B3494"/>
    <w:rsid w:val="001B3729"/>
    <w:rsid w:val="001B3818"/>
    <w:rsid w:val="001B3DE6"/>
    <w:rsid w:val="001B3E96"/>
    <w:rsid w:val="001B408B"/>
    <w:rsid w:val="001B40A3"/>
    <w:rsid w:val="001B466F"/>
    <w:rsid w:val="001B46AF"/>
    <w:rsid w:val="001B46B6"/>
    <w:rsid w:val="001B4864"/>
    <w:rsid w:val="001B4941"/>
    <w:rsid w:val="001B4D90"/>
    <w:rsid w:val="001B4DA1"/>
    <w:rsid w:val="001B52F8"/>
    <w:rsid w:val="001B53FD"/>
    <w:rsid w:val="001B54BA"/>
    <w:rsid w:val="001B552A"/>
    <w:rsid w:val="001B55C6"/>
    <w:rsid w:val="001B567D"/>
    <w:rsid w:val="001B578B"/>
    <w:rsid w:val="001B5B75"/>
    <w:rsid w:val="001B5BAA"/>
    <w:rsid w:val="001B5C03"/>
    <w:rsid w:val="001B5C0D"/>
    <w:rsid w:val="001B6101"/>
    <w:rsid w:val="001B6134"/>
    <w:rsid w:val="001B6229"/>
    <w:rsid w:val="001B6368"/>
    <w:rsid w:val="001B6708"/>
    <w:rsid w:val="001B6CCF"/>
    <w:rsid w:val="001B6CF3"/>
    <w:rsid w:val="001B7689"/>
    <w:rsid w:val="001B7760"/>
    <w:rsid w:val="001B77DC"/>
    <w:rsid w:val="001B7E35"/>
    <w:rsid w:val="001B7F0C"/>
    <w:rsid w:val="001C05E4"/>
    <w:rsid w:val="001C0645"/>
    <w:rsid w:val="001C06B4"/>
    <w:rsid w:val="001C0896"/>
    <w:rsid w:val="001C0990"/>
    <w:rsid w:val="001C0CEE"/>
    <w:rsid w:val="001C0D0D"/>
    <w:rsid w:val="001C1099"/>
    <w:rsid w:val="001C1274"/>
    <w:rsid w:val="001C12C2"/>
    <w:rsid w:val="001C16FE"/>
    <w:rsid w:val="001C1849"/>
    <w:rsid w:val="001C1BCC"/>
    <w:rsid w:val="001C1D85"/>
    <w:rsid w:val="001C1FC1"/>
    <w:rsid w:val="001C2284"/>
    <w:rsid w:val="001C22C6"/>
    <w:rsid w:val="001C252C"/>
    <w:rsid w:val="001C272B"/>
    <w:rsid w:val="001C28DA"/>
    <w:rsid w:val="001C2A22"/>
    <w:rsid w:val="001C2DEE"/>
    <w:rsid w:val="001C2FD5"/>
    <w:rsid w:val="001C30C3"/>
    <w:rsid w:val="001C3185"/>
    <w:rsid w:val="001C318A"/>
    <w:rsid w:val="001C31F1"/>
    <w:rsid w:val="001C3343"/>
    <w:rsid w:val="001C371A"/>
    <w:rsid w:val="001C37A8"/>
    <w:rsid w:val="001C382C"/>
    <w:rsid w:val="001C386C"/>
    <w:rsid w:val="001C3919"/>
    <w:rsid w:val="001C399D"/>
    <w:rsid w:val="001C3BDB"/>
    <w:rsid w:val="001C401F"/>
    <w:rsid w:val="001C40ED"/>
    <w:rsid w:val="001C43CA"/>
    <w:rsid w:val="001C46DE"/>
    <w:rsid w:val="001C470D"/>
    <w:rsid w:val="001C4914"/>
    <w:rsid w:val="001C4D50"/>
    <w:rsid w:val="001C4E18"/>
    <w:rsid w:val="001C5218"/>
    <w:rsid w:val="001C5417"/>
    <w:rsid w:val="001C54CB"/>
    <w:rsid w:val="001C55FE"/>
    <w:rsid w:val="001C566F"/>
    <w:rsid w:val="001C567F"/>
    <w:rsid w:val="001C5A52"/>
    <w:rsid w:val="001C5AAA"/>
    <w:rsid w:val="001C5C25"/>
    <w:rsid w:val="001C66A4"/>
    <w:rsid w:val="001C675D"/>
    <w:rsid w:val="001C6FF3"/>
    <w:rsid w:val="001C701C"/>
    <w:rsid w:val="001C704A"/>
    <w:rsid w:val="001C7100"/>
    <w:rsid w:val="001C7142"/>
    <w:rsid w:val="001C717D"/>
    <w:rsid w:val="001C71A6"/>
    <w:rsid w:val="001C7300"/>
    <w:rsid w:val="001C73D3"/>
    <w:rsid w:val="001C75A5"/>
    <w:rsid w:val="001C7959"/>
    <w:rsid w:val="001C7A59"/>
    <w:rsid w:val="001C7ABA"/>
    <w:rsid w:val="001C7E24"/>
    <w:rsid w:val="001D01D3"/>
    <w:rsid w:val="001D09AA"/>
    <w:rsid w:val="001D0D48"/>
    <w:rsid w:val="001D0DAF"/>
    <w:rsid w:val="001D0E26"/>
    <w:rsid w:val="001D1037"/>
    <w:rsid w:val="001D10C0"/>
    <w:rsid w:val="001D1182"/>
    <w:rsid w:val="001D1276"/>
    <w:rsid w:val="001D12BD"/>
    <w:rsid w:val="001D12F0"/>
    <w:rsid w:val="001D14C5"/>
    <w:rsid w:val="001D1531"/>
    <w:rsid w:val="001D17F2"/>
    <w:rsid w:val="001D1CF6"/>
    <w:rsid w:val="001D21C7"/>
    <w:rsid w:val="001D23A7"/>
    <w:rsid w:val="001D23B3"/>
    <w:rsid w:val="001D2542"/>
    <w:rsid w:val="001D2886"/>
    <w:rsid w:val="001D2C1E"/>
    <w:rsid w:val="001D2D7D"/>
    <w:rsid w:val="001D2E5E"/>
    <w:rsid w:val="001D3146"/>
    <w:rsid w:val="001D33A8"/>
    <w:rsid w:val="001D345E"/>
    <w:rsid w:val="001D3679"/>
    <w:rsid w:val="001D3D50"/>
    <w:rsid w:val="001D3E23"/>
    <w:rsid w:val="001D3E29"/>
    <w:rsid w:val="001D3F00"/>
    <w:rsid w:val="001D4149"/>
    <w:rsid w:val="001D42D2"/>
    <w:rsid w:val="001D43F6"/>
    <w:rsid w:val="001D45C2"/>
    <w:rsid w:val="001D463B"/>
    <w:rsid w:val="001D4914"/>
    <w:rsid w:val="001D4AB6"/>
    <w:rsid w:val="001D4F3E"/>
    <w:rsid w:val="001D4FEE"/>
    <w:rsid w:val="001D4FF0"/>
    <w:rsid w:val="001D51E6"/>
    <w:rsid w:val="001D5351"/>
    <w:rsid w:val="001D535F"/>
    <w:rsid w:val="001D5567"/>
    <w:rsid w:val="001D55D2"/>
    <w:rsid w:val="001D588B"/>
    <w:rsid w:val="001D5892"/>
    <w:rsid w:val="001D5979"/>
    <w:rsid w:val="001D59AE"/>
    <w:rsid w:val="001D5C6B"/>
    <w:rsid w:val="001D636F"/>
    <w:rsid w:val="001D63FA"/>
    <w:rsid w:val="001D6435"/>
    <w:rsid w:val="001D653E"/>
    <w:rsid w:val="001D6905"/>
    <w:rsid w:val="001D6A50"/>
    <w:rsid w:val="001D6BF6"/>
    <w:rsid w:val="001D6EAB"/>
    <w:rsid w:val="001D6EB9"/>
    <w:rsid w:val="001D72EA"/>
    <w:rsid w:val="001D74B0"/>
    <w:rsid w:val="001D74D7"/>
    <w:rsid w:val="001D785F"/>
    <w:rsid w:val="001D78BB"/>
    <w:rsid w:val="001D7B0C"/>
    <w:rsid w:val="001D7CAB"/>
    <w:rsid w:val="001E036F"/>
    <w:rsid w:val="001E05E9"/>
    <w:rsid w:val="001E0745"/>
    <w:rsid w:val="001E0841"/>
    <w:rsid w:val="001E0915"/>
    <w:rsid w:val="001E0925"/>
    <w:rsid w:val="001E0A37"/>
    <w:rsid w:val="001E0C30"/>
    <w:rsid w:val="001E1328"/>
    <w:rsid w:val="001E1438"/>
    <w:rsid w:val="001E18BD"/>
    <w:rsid w:val="001E1B60"/>
    <w:rsid w:val="001E1B7C"/>
    <w:rsid w:val="001E1BAF"/>
    <w:rsid w:val="001E1D2F"/>
    <w:rsid w:val="001E1E43"/>
    <w:rsid w:val="001E2094"/>
    <w:rsid w:val="001E2397"/>
    <w:rsid w:val="001E246A"/>
    <w:rsid w:val="001E2579"/>
    <w:rsid w:val="001E2818"/>
    <w:rsid w:val="001E2B92"/>
    <w:rsid w:val="001E2E1B"/>
    <w:rsid w:val="001E32E0"/>
    <w:rsid w:val="001E366C"/>
    <w:rsid w:val="001E374D"/>
    <w:rsid w:val="001E388A"/>
    <w:rsid w:val="001E3938"/>
    <w:rsid w:val="001E3C9B"/>
    <w:rsid w:val="001E3EF8"/>
    <w:rsid w:val="001E4046"/>
    <w:rsid w:val="001E44AA"/>
    <w:rsid w:val="001E4782"/>
    <w:rsid w:val="001E4A96"/>
    <w:rsid w:val="001E4B48"/>
    <w:rsid w:val="001E4D18"/>
    <w:rsid w:val="001E5414"/>
    <w:rsid w:val="001E5657"/>
    <w:rsid w:val="001E568B"/>
    <w:rsid w:val="001E56B5"/>
    <w:rsid w:val="001E58E6"/>
    <w:rsid w:val="001E5B04"/>
    <w:rsid w:val="001E5C3B"/>
    <w:rsid w:val="001E5C3E"/>
    <w:rsid w:val="001E5D65"/>
    <w:rsid w:val="001E61CB"/>
    <w:rsid w:val="001E6555"/>
    <w:rsid w:val="001E6737"/>
    <w:rsid w:val="001E685D"/>
    <w:rsid w:val="001E69E7"/>
    <w:rsid w:val="001E6D27"/>
    <w:rsid w:val="001E6E2B"/>
    <w:rsid w:val="001E7080"/>
    <w:rsid w:val="001E71EB"/>
    <w:rsid w:val="001E7284"/>
    <w:rsid w:val="001E73BF"/>
    <w:rsid w:val="001E76B8"/>
    <w:rsid w:val="001E7787"/>
    <w:rsid w:val="001E7F4D"/>
    <w:rsid w:val="001F0025"/>
    <w:rsid w:val="001F02DC"/>
    <w:rsid w:val="001F0365"/>
    <w:rsid w:val="001F03D6"/>
    <w:rsid w:val="001F0401"/>
    <w:rsid w:val="001F08A8"/>
    <w:rsid w:val="001F08DB"/>
    <w:rsid w:val="001F0B46"/>
    <w:rsid w:val="001F0C04"/>
    <w:rsid w:val="001F0CEB"/>
    <w:rsid w:val="001F0DB4"/>
    <w:rsid w:val="001F0ED1"/>
    <w:rsid w:val="001F1015"/>
    <w:rsid w:val="001F1039"/>
    <w:rsid w:val="001F10BF"/>
    <w:rsid w:val="001F1118"/>
    <w:rsid w:val="001F116F"/>
    <w:rsid w:val="001F1467"/>
    <w:rsid w:val="001F1695"/>
    <w:rsid w:val="001F188E"/>
    <w:rsid w:val="001F18CB"/>
    <w:rsid w:val="001F1A6C"/>
    <w:rsid w:val="001F1BD8"/>
    <w:rsid w:val="001F1F46"/>
    <w:rsid w:val="001F1FD1"/>
    <w:rsid w:val="001F2075"/>
    <w:rsid w:val="001F2142"/>
    <w:rsid w:val="001F2263"/>
    <w:rsid w:val="001F237A"/>
    <w:rsid w:val="001F250D"/>
    <w:rsid w:val="001F25AE"/>
    <w:rsid w:val="001F25C7"/>
    <w:rsid w:val="001F26E5"/>
    <w:rsid w:val="001F277E"/>
    <w:rsid w:val="001F2916"/>
    <w:rsid w:val="001F29FE"/>
    <w:rsid w:val="001F2A03"/>
    <w:rsid w:val="001F2A98"/>
    <w:rsid w:val="001F2BFB"/>
    <w:rsid w:val="001F2F69"/>
    <w:rsid w:val="001F2FA9"/>
    <w:rsid w:val="001F3195"/>
    <w:rsid w:val="001F371D"/>
    <w:rsid w:val="001F3728"/>
    <w:rsid w:val="001F3814"/>
    <w:rsid w:val="001F3832"/>
    <w:rsid w:val="001F39FE"/>
    <w:rsid w:val="001F3B73"/>
    <w:rsid w:val="001F3F71"/>
    <w:rsid w:val="001F3FA8"/>
    <w:rsid w:val="001F3FDC"/>
    <w:rsid w:val="001F4033"/>
    <w:rsid w:val="001F42B6"/>
    <w:rsid w:val="001F4759"/>
    <w:rsid w:val="001F47D6"/>
    <w:rsid w:val="001F4865"/>
    <w:rsid w:val="001F4E43"/>
    <w:rsid w:val="001F52F3"/>
    <w:rsid w:val="001F5785"/>
    <w:rsid w:val="001F585B"/>
    <w:rsid w:val="001F59BB"/>
    <w:rsid w:val="001F65D9"/>
    <w:rsid w:val="001F67B2"/>
    <w:rsid w:val="001F6A8F"/>
    <w:rsid w:val="001F6BF0"/>
    <w:rsid w:val="001F6C11"/>
    <w:rsid w:val="001F6CFD"/>
    <w:rsid w:val="001F6DAF"/>
    <w:rsid w:val="001F6F51"/>
    <w:rsid w:val="001F7165"/>
    <w:rsid w:val="001F746F"/>
    <w:rsid w:val="001F7669"/>
    <w:rsid w:val="001F79EB"/>
    <w:rsid w:val="001F7E27"/>
    <w:rsid w:val="001F7F54"/>
    <w:rsid w:val="002008EE"/>
    <w:rsid w:val="00200AC3"/>
    <w:rsid w:val="00200CC4"/>
    <w:rsid w:val="00200CF7"/>
    <w:rsid w:val="00200F80"/>
    <w:rsid w:val="00201189"/>
    <w:rsid w:val="002011B9"/>
    <w:rsid w:val="002013E8"/>
    <w:rsid w:val="002014A5"/>
    <w:rsid w:val="00201730"/>
    <w:rsid w:val="002017C5"/>
    <w:rsid w:val="00201BB4"/>
    <w:rsid w:val="00201BC1"/>
    <w:rsid w:val="00201BF8"/>
    <w:rsid w:val="00201D5D"/>
    <w:rsid w:val="00201F66"/>
    <w:rsid w:val="00201F73"/>
    <w:rsid w:val="00201FB5"/>
    <w:rsid w:val="0020221D"/>
    <w:rsid w:val="002022DD"/>
    <w:rsid w:val="00202431"/>
    <w:rsid w:val="002024E6"/>
    <w:rsid w:val="0020250A"/>
    <w:rsid w:val="00202681"/>
    <w:rsid w:val="00202734"/>
    <w:rsid w:val="002028D2"/>
    <w:rsid w:val="00202B91"/>
    <w:rsid w:val="00202C71"/>
    <w:rsid w:val="00202DA7"/>
    <w:rsid w:val="002033D7"/>
    <w:rsid w:val="0020353C"/>
    <w:rsid w:val="0020374F"/>
    <w:rsid w:val="0020375B"/>
    <w:rsid w:val="00203769"/>
    <w:rsid w:val="00203925"/>
    <w:rsid w:val="00203AAA"/>
    <w:rsid w:val="00203BC8"/>
    <w:rsid w:val="00203BEC"/>
    <w:rsid w:val="00203C49"/>
    <w:rsid w:val="00203D70"/>
    <w:rsid w:val="00203ED1"/>
    <w:rsid w:val="00203FE6"/>
    <w:rsid w:val="00204318"/>
    <w:rsid w:val="00204406"/>
    <w:rsid w:val="00204606"/>
    <w:rsid w:val="002047C5"/>
    <w:rsid w:val="00204963"/>
    <w:rsid w:val="00204E5C"/>
    <w:rsid w:val="0020501B"/>
    <w:rsid w:val="00205387"/>
    <w:rsid w:val="002058B5"/>
    <w:rsid w:val="002058DD"/>
    <w:rsid w:val="0020595E"/>
    <w:rsid w:val="00205C22"/>
    <w:rsid w:val="00205C93"/>
    <w:rsid w:val="00205D3D"/>
    <w:rsid w:val="00205FF1"/>
    <w:rsid w:val="00206211"/>
    <w:rsid w:val="0020642B"/>
    <w:rsid w:val="002067C2"/>
    <w:rsid w:val="00206877"/>
    <w:rsid w:val="0020696B"/>
    <w:rsid w:val="00206AA9"/>
    <w:rsid w:val="00206AAE"/>
    <w:rsid w:val="00206CDB"/>
    <w:rsid w:val="00206D27"/>
    <w:rsid w:val="00206F31"/>
    <w:rsid w:val="00206F73"/>
    <w:rsid w:val="00206FAE"/>
    <w:rsid w:val="002074E4"/>
    <w:rsid w:val="0020758D"/>
    <w:rsid w:val="002075E8"/>
    <w:rsid w:val="00207671"/>
    <w:rsid w:val="002076EA"/>
    <w:rsid w:val="002076FA"/>
    <w:rsid w:val="00207AD5"/>
    <w:rsid w:val="00207B0D"/>
    <w:rsid w:val="00207BA3"/>
    <w:rsid w:val="0021019B"/>
    <w:rsid w:val="00210299"/>
    <w:rsid w:val="00210551"/>
    <w:rsid w:val="00210702"/>
    <w:rsid w:val="0021097A"/>
    <w:rsid w:val="00210B2E"/>
    <w:rsid w:val="00210B42"/>
    <w:rsid w:val="00210C96"/>
    <w:rsid w:val="00210D13"/>
    <w:rsid w:val="00210F9F"/>
    <w:rsid w:val="0021108A"/>
    <w:rsid w:val="002110E0"/>
    <w:rsid w:val="002111A8"/>
    <w:rsid w:val="00211338"/>
    <w:rsid w:val="00211516"/>
    <w:rsid w:val="00211550"/>
    <w:rsid w:val="002116F5"/>
    <w:rsid w:val="002117DA"/>
    <w:rsid w:val="00211A1B"/>
    <w:rsid w:val="00211A91"/>
    <w:rsid w:val="00211C04"/>
    <w:rsid w:val="00211D10"/>
    <w:rsid w:val="00211D6B"/>
    <w:rsid w:val="00211E1E"/>
    <w:rsid w:val="00211E87"/>
    <w:rsid w:val="00211F95"/>
    <w:rsid w:val="002122B4"/>
    <w:rsid w:val="002125D8"/>
    <w:rsid w:val="0021268C"/>
    <w:rsid w:val="002126B6"/>
    <w:rsid w:val="002128A6"/>
    <w:rsid w:val="00212B15"/>
    <w:rsid w:val="00212BE7"/>
    <w:rsid w:val="00212CDA"/>
    <w:rsid w:val="002134AF"/>
    <w:rsid w:val="00213549"/>
    <w:rsid w:val="00213578"/>
    <w:rsid w:val="00213603"/>
    <w:rsid w:val="00213705"/>
    <w:rsid w:val="0021389A"/>
    <w:rsid w:val="00213A6E"/>
    <w:rsid w:val="00213AC3"/>
    <w:rsid w:val="00213B10"/>
    <w:rsid w:val="00213B3F"/>
    <w:rsid w:val="00213DF9"/>
    <w:rsid w:val="00213E20"/>
    <w:rsid w:val="00213FAE"/>
    <w:rsid w:val="00214108"/>
    <w:rsid w:val="002141EF"/>
    <w:rsid w:val="002142F9"/>
    <w:rsid w:val="00214464"/>
    <w:rsid w:val="002144B0"/>
    <w:rsid w:val="00214687"/>
    <w:rsid w:val="00214723"/>
    <w:rsid w:val="0021496F"/>
    <w:rsid w:val="00214A76"/>
    <w:rsid w:val="00214C47"/>
    <w:rsid w:val="00214C63"/>
    <w:rsid w:val="002155DA"/>
    <w:rsid w:val="0021562E"/>
    <w:rsid w:val="00215643"/>
    <w:rsid w:val="00215AEB"/>
    <w:rsid w:val="00215D7A"/>
    <w:rsid w:val="002160CE"/>
    <w:rsid w:val="0021636D"/>
    <w:rsid w:val="00216802"/>
    <w:rsid w:val="0021683B"/>
    <w:rsid w:val="00216BCD"/>
    <w:rsid w:val="00216D78"/>
    <w:rsid w:val="0021725D"/>
    <w:rsid w:val="00217645"/>
    <w:rsid w:val="002176AA"/>
    <w:rsid w:val="002177F8"/>
    <w:rsid w:val="00217A98"/>
    <w:rsid w:val="00217B7D"/>
    <w:rsid w:val="00217BEA"/>
    <w:rsid w:val="00217D18"/>
    <w:rsid w:val="00217E3E"/>
    <w:rsid w:val="00217EFD"/>
    <w:rsid w:val="00220389"/>
    <w:rsid w:val="002203B5"/>
    <w:rsid w:val="002203C1"/>
    <w:rsid w:val="002203DB"/>
    <w:rsid w:val="00220A83"/>
    <w:rsid w:val="00220AC7"/>
    <w:rsid w:val="00220AE3"/>
    <w:rsid w:val="00220B3A"/>
    <w:rsid w:val="00220B42"/>
    <w:rsid w:val="00220E9B"/>
    <w:rsid w:val="00220ED8"/>
    <w:rsid w:val="0022145F"/>
    <w:rsid w:val="002214B9"/>
    <w:rsid w:val="002217D1"/>
    <w:rsid w:val="00221D13"/>
    <w:rsid w:val="00221ED3"/>
    <w:rsid w:val="00221F82"/>
    <w:rsid w:val="00221FF6"/>
    <w:rsid w:val="00222137"/>
    <w:rsid w:val="00222248"/>
    <w:rsid w:val="00222309"/>
    <w:rsid w:val="00222571"/>
    <w:rsid w:val="00222585"/>
    <w:rsid w:val="002225DA"/>
    <w:rsid w:val="00222A75"/>
    <w:rsid w:val="00222AC0"/>
    <w:rsid w:val="00222C01"/>
    <w:rsid w:val="00222CEF"/>
    <w:rsid w:val="00222D0E"/>
    <w:rsid w:val="00222ECA"/>
    <w:rsid w:val="00222ECF"/>
    <w:rsid w:val="00222F6E"/>
    <w:rsid w:val="002232C7"/>
    <w:rsid w:val="002232D8"/>
    <w:rsid w:val="002233A7"/>
    <w:rsid w:val="00223472"/>
    <w:rsid w:val="00223661"/>
    <w:rsid w:val="002236C9"/>
    <w:rsid w:val="002236E1"/>
    <w:rsid w:val="00223A03"/>
    <w:rsid w:val="00223CFD"/>
    <w:rsid w:val="002240A3"/>
    <w:rsid w:val="00224128"/>
    <w:rsid w:val="00224152"/>
    <w:rsid w:val="0022425C"/>
    <w:rsid w:val="002242D9"/>
    <w:rsid w:val="0022444A"/>
    <w:rsid w:val="002244B1"/>
    <w:rsid w:val="00224B41"/>
    <w:rsid w:val="00224B71"/>
    <w:rsid w:val="00224E0C"/>
    <w:rsid w:val="00224EAB"/>
    <w:rsid w:val="00225030"/>
    <w:rsid w:val="00225260"/>
    <w:rsid w:val="002253B1"/>
    <w:rsid w:val="00225A97"/>
    <w:rsid w:val="00225E0A"/>
    <w:rsid w:val="00225F74"/>
    <w:rsid w:val="002260FB"/>
    <w:rsid w:val="00226361"/>
    <w:rsid w:val="00226373"/>
    <w:rsid w:val="002265B3"/>
    <w:rsid w:val="00226A8F"/>
    <w:rsid w:val="00226B3D"/>
    <w:rsid w:val="00226ECD"/>
    <w:rsid w:val="0022749E"/>
    <w:rsid w:val="0022774D"/>
    <w:rsid w:val="002279DE"/>
    <w:rsid w:val="00227E41"/>
    <w:rsid w:val="00230377"/>
    <w:rsid w:val="0023043A"/>
    <w:rsid w:val="00230464"/>
    <w:rsid w:val="002304D2"/>
    <w:rsid w:val="002304EB"/>
    <w:rsid w:val="00230B57"/>
    <w:rsid w:val="00230DF5"/>
    <w:rsid w:val="00230E04"/>
    <w:rsid w:val="002311AE"/>
    <w:rsid w:val="0023130D"/>
    <w:rsid w:val="00231483"/>
    <w:rsid w:val="002314A3"/>
    <w:rsid w:val="00231524"/>
    <w:rsid w:val="00231610"/>
    <w:rsid w:val="0023196D"/>
    <w:rsid w:val="0023198D"/>
    <w:rsid w:val="00231B72"/>
    <w:rsid w:val="00231EFD"/>
    <w:rsid w:val="00232246"/>
    <w:rsid w:val="0023233D"/>
    <w:rsid w:val="00232368"/>
    <w:rsid w:val="002323CC"/>
    <w:rsid w:val="0023247F"/>
    <w:rsid w:val="00232577"/>
    <w:rsid w:val="002326E2"/>
    <w:rsid w:val="002329B4"/>
    <w:rsid w:val="00232A67"/>
    <w:rsid w:val="00232C43"/>
    <w:rsid w:val="00232D08"/>
    <w:rsid w:val="00232E36"/>
    <w:rsid w:val="00232E53"/>
    <w:rsid w:val="00232E93"/>
    <w:rsid w:val="00232FD6"/>
    <w:rsid w:val="002331AF"/>
    <w:rsid w:val="00233430"/>
    <w:rsid w:val="0023349E"/>
    <w:rsid w:val="00233508"/>
    <w:rsid w:val="00233546"/>
    <w:rsid w:val="002337F8"/>
    <w:rsid w:val="002337FD"/>
    <w:rsid w:val="002338BC"/>
    <w:rsid w:val="00233B13"/>
    <w:rsid w:val="00233CAC"/>
    <w:rsid w:val="00233D5D"/>
    <w:rsid w:val="00234013"/>
    <w:rsid w:val="0023406D"/>
    <w:rsid w:val="00234096"/>
    <w:rsid w:val="00234329"/>
    <w:rsid w:val="0023449A"/>
    <w:rsid w:val="002345E7"/>
    <w:rsid w:val="00234696"/>
    <w:rsid w:val="002346A1"/>
    <w:rsid w:val="00234721"/>
    <w:rsid w:val="00234850"/>
    <w:rsid w:val="00234A44"/>
    <w:rsid w:val="00234D2A"/>
    <w:rsid w:val="00234E8C"/>
    <w:rsid w:val="00234F79"/>
    <w:rsid w:val="0023510D"/>
    <w:rsid w:val="00235456"/>
    <w:rsid w:val="00235994"/>
    <w:rsid w:val="002359C2"/>
    <w:rsid w:val="00235D2D"/>
    <w:rsid w:val="00235F39"/>
    <w:rsid w:val="00235FC9"/>
    <w:rsid w:val="0023607B"/>
    <w:rsid w:val="00236138"/>
    <w:rsid w:val="00236428"/>
    <w:rsid w:val="002364C7"/>
    <w:rsid w:val="00236587"/>
    <w:rsid w:val="0023660E"/>
    <w:rsid w:val="002367DD"/>
    <w:rsid w:val="00236A91"/>
    <w:rsid w:val="00236CC6"/>
    <w:rsid w:val="00236F9B"/>
    <w:rsid w:val="00236FEB"/>
    <w:rsid w:val="00236FF1"/>
    <w:rsid w:val="00237268"/>
    <w:rsid w:val="00237282"/>
    <w:rsid w:val="0023759B"/>
    <w:rsid w:val="00237752"/>
    <w:rsid w:val="00237BD3"/>
    <w:rsid w:val="0024040B"/>
    <w:rsid w:val="00240419"/>
    <w:rsid w:val="00240426"/>
    <w:rsid w:val="0024046D"/>
    <w:rsid w:val="0024049A"/>
    <w:rsid w:val="00240C87"/>
    <w:rsid w:val="00240CAC"/>
    <w:rsid w:val="00240CC7"/>
    <w:rsid w:val="00240D31"/>
    <w:rsid w:val="00240E39"/>
    <w:rsid w:val="00240F27"/>
    <w:rsid w:val="002410F3"/>
    <w:rsid w:val="00241243"/>
    <w:rsid w:val="0024149A"/>
    <w:rsid w:val="0024151A"/>
    <w:rsid w:val="00241651"/>
    <w:rsid w:val="00241ABF"/>
    <w:rsid w:val="00241CCB"/>
    <w:rsid w:val="00241ED2"/>
    <w:rsid w:val="0024229E"/>
    <w:rsid w:val="002428C9"/>
    <w:rsid w:val="0024290A"/>
    <w:rsid w:val="0024292A"/>
    <w:rsid w:val="00242AEA"/>
    <w:rsid w:val="00242DFC"/>
    <w:rsid w:val="00242E12"/>
    <w:rsid w:val="00243021"/>
    <w:rsid w:val="00243281"/>
    <w:rsid w:val="002432D1"/>
    <w:rsid w:val="00243480"/>
    <w:rsid w:val="00243496"/>
    <w:rsid w:val="002439BF"/>
    <w:rsid w:val="00243CE1"/>
    <w:rsid w:val="00243F2D"/>
    <w:rsid w:val="002441D9"/>
    <w:rsid w:val="00244314"/>
    <w:rsid w:val="0024445B"/>
    <w:rsid w:val="002447D5"/>
    <w:rsid w:val="002448D8"/>
    <w:rsid w:val="00244957"/>
    <w:rsid w:val="00244960"/>
    <w:rsid w:val="00244AEE"/>
    <w:rsid w:val="00244E74"/>
    <w:rsid w:val="00245249"/>
    <w:rsid w:val="002452D0"/>
    <w:rsid w:val="00245484"/>
    <w:rsid w:val="0024558D"/>
    <w:rsid w:val="002457F6"/>
    <w:rsid w:val="0024584A"/>
    <w:rsid w:val="00245A89"/>
    <w:rsid w:val="00245A92"/>
    <w:rsid w:val="00245B6B"/>
    <w:rsid w:val="00245C29"/>
    <w:rsid w:val="00245C7E"/>
    <w:rsid w:val="002461AE"/>
    <w:rsid w:val="002461E8"/>
    <w:rsid w:val="00246228"/>
    <w:rsid w:val="00246286"/>
    <w:rsid w:val="00246384"/>
    <w:rsid w:val="00246437"/>
    <w:rsid w:val="002464A0"/>
    <w:rsid w:val="00246516"/>
    <w:rsid w:val="0024689B"/>
    <w:rsid w:val="00246A46"/>
    <w:rsid w:val="00246D50"/>
    <w:rsid w:val="00247157"/>
    <w:rsid w:val="00247309"/>
    <w:rsid w:val="002475BF"/>
    <w:rsid w:val="0024765B"/>
    <w:rsid w:val="002476B5"/>
    <w:rsid w:val="002479CD"/>
    <w:rsid w:val="00247E30"/>
    <w:rsid w:val="002500D5"/>
    <w:rsid w:val="00250196"/>
    <w:rsid w:val="002501F6"/>
    <w:rsid w:val="00250379"/>
    <w:rsid w:val="002504D5"/>
    <w:rsid w:val="00250777"/>
    <w:rsid w:val="00250778"/>
    <w:rsid w:val="00250B62"/>
    <w:rsid w:val="00250C59"/>
    <w:rsid w:val="00250EAE"/>
    <w:rsid w:val="00250F0A"/>
    <w:rsid w:val="00250F7C"/>
    <w:rsid w:val="00251240"/>
    <w:rsid w:val="002512C2"/>
    <w:rsid w:val="0025149C"/>
    <w:rsid w:val="00251525"/>
    <w:rsid w:val="00251850"/>
    <w:rsid w:val="00251884"/>
    <w:rsid w:val="00251A9A"/>
    <w:rsid w:val="00251B4B"/>
    <w:rsid w:val="00252292"/>
    <w:rsid w:val="0025258B"/>
    <w:rsid w:val="002525A8"/>
    <w:rsid w:val="002526C2"/>
    <w:rsid w:val="0025273C"/>
    <w:rsid w:val="00252904"/>
    <w:rsid w:val="002529BB"/>
    <w:rsid w:val="002535EB"/>
    <w:rsid w:val="00253B40"/>
    <w:rsid w:val="00253BB2"/>
    <w:rsid w:val="00253C28"/>
    <w:rsid w:val="00253D3A"/>
    <w:rsid w:val="00253DB9"/>
    <w:rsid w:val="0025400C"/>
    <w:rsid w:val="00254184"/>
    <w:rsid w:val="002545BB"/>
    <w:rsid w:val="00254652"/>
    <w:rsid w:val="00254738"/>
    <w:rsid w:val="0025477F"/>
    <w:rsid w:val="0025479D"/>
    <w:rsid w:val="00254859"/>
    <w:rsid w:val="002548D4"/>
    <w:rsid w:val="00254A68"/>
    <w:rsid w:val="00254D77"/>
    <w:rsid w:val="00255160"/>
    <w:rsid w:val="00255261"/>
    <w:rsid w:val="00255445"/>
    <w:rsid w:val="00255628"/>
    <w:rsid w:val="00255660"/>
    <w:rsid w:val="002557B7"/>
    <w:rsid w:val="00255B30"/>
    <w:rsid w:val="00255BB3"/>
    <w:rsid w:val="00255E61"/>
    <w:rsid w:val="0025650F"/>
    <w:rsid w:val="002565F9"/>
    <w:rsid w:val="0025674C"/>
    <w:rsid w:val="00256A31"/>
    <w:rsid w:val="00256A58"/>
    <w:rsid w:val="00256ABB"/>
    <w:rsid w:val="00256C34"/>
    <w:rsid w:val="00257177"/>
    <w:rsid w:val="00257183"/>
    <w:rsid w:val="002572D2"/>
    <w:rsid w:val="002573D4"/>
    <w:rsid w:val="0025750C"/>
    <w:rsid w:val="00257578"/>
    <w:rsid w:val="0025758D"/>
    <w:rsid w:val="0025799A"/>
    <w:rsid w:val="002579E0"/>
    <w:rsid w:val="00257A54"/>
    <w:rsid w:val="00257AF6"/>
    <w:rsid w:val="00257B38"/>
    <w:rsid w:val="00257B87"/>
    <w:rsid w:val="00257DF0"/>
    <w:rsid w:val="00257E17"/>
    <w:rsid w:val="00257F64"/>
    <w:rsid w:val="0026017E"/>
    <w:rsid w:val="0026041F"/>
    <w:rsid w:val="00260481"/>
    <w:rsid w:val="002606CE"/>
    <w:rsid w:val="00260866"/>
    <w:rsid w:val="00260E65"/>
    <w:rsid w:val="00260F24"/>
    <w:rsid w:val="00260F2A"/>
    <w:rsid w:val="00260FB4"/>
    <w:rsid w:val="00261011"/>
    <w:rsid w:val="00261138"/>
    <w:rsid w:val="00261871"/>
    <w:rsid w:val="002618FA"/>
    <w:rsid w:val="00261AA7"/>
    <w:rsid w:val="00261D83"/>
    <w:rsid w:val="0026207A"/>
    <w:rsid w:val="00262436"/>
    <w:rsid w:val="002625CA"/>
    <w:rsid w:val="00262623"/>
    <w:rsid w:val="0026264E"/>
    <w:rsid w:val="002628E1"/>
    <w:rsid w:val="002629A0"/>
    <w:rsid w:val="00262BE4"/>
    <w:rsid w:val="00262ECE"/>
    <w:rsid w:val="0026317B"/>
    <w:rsid w:val="0026336C"/>
    <w:rsid w:val="00263587"/>
    <w:rsid w:val="0026367A"/>
    <w:rsid w:val="00263895"/>
    <w:rsid w:val="00263A65"/>
    <w:rsid w:val="00263AF4"/>
    <w:rsid w:val="00263DA0"/>
    <w:rsid w:val="00263EA5"/>
    <w:rsid w:val="00263F4E"/>
    <w:rsid w:val="002640CE"/>
    <w:rsid w:val="002641AD"/>
    <w:rsid w:val="00264465"/>
    <w:rsid w:val="002645D4"/>
    <w:rsid w:val="00264752"/>
    <w:rsid w:val="0026491A"/>
    <w:rsid w:val="00264FFF"/>
    <w:rsid w:val="002654D8"/>
    <w:rsid w:val="0026567F"/>
    <w:rsid w:val="002657FA"/>
    <w:rsid w:val="00265B71"/>
    <w:rsid w:val="00265CBE"/>
    <w:rsid w:val="00265D4C"/>
    <w:rsid w:val="00266149"/>
    <w:rsid w:val="0026649C"/>
    <w:rsid w:val="002667AA"/>
    <w:rsid w:val="00266836"/>
    <w:rsid w:val="0026696A"/>
    <w:rsid w:val="00266A8D"/>
    <w:rsid w:val="00266EBE"/>
    <w:rsid w:val="002670D9"/>
    <w:rsid w:val="002671C3"/>
    <w:rsid w:val="00267249"/>
    <w:rsid w:val="002673EB"/>
    <w:rsid w:val="00267588"/>
    <w:rsid w:val="00267A01"/>
    <w:rsid w:val="00267E31"/>
    <w:rsid w:val="00267F9B"/>
    <w:rsid w:val="00267FFE"/>
    <w:rsid w:val="00270003"/>
    <w:rsid w:val="00270090"/>
    <w:rsid w:val="00270148"/>
    <w:rsid w:val="002702AA"/>
    <w:rsid w:val="00270BF9"/>
    <w:rsid w:val="00270E4A"/>
    <w:rsid w:val="00270EE7"/>
    <w:rsid w:val="0027113E"/>
    <w:rsid w:val="002711F2"/>
    <w:rsid w:val="002715E5"/>
    <w:rsid w:val="00271697"/>
    <w:rsid w:val="002718FD"/>
    <w:rsid w:val="00271B40"/>
    <w:rsid w:val="00271C96"/>
    <w:rsid w:val="00271CB2"/>
    <w:rsid w:val="00271E51"/>
    <w:rsid w:val="00272000"/>
    <w:rsid w:val="002720D0"/>
    <w:rsid w:val="002720E3"/>
    <w:rsid w:val="002721A0"/>
    <w:rsid w:val="002722C5"/>
    <w:rsid w:val="0027259F"/>
    <w:rsid w:val="002725CA"/>
    <w:rsid w:val="002727C4"/>
    <w:rsid w:val="00272881"/>
    <w:rsid w:val="00273259"/>
    <w:rsid w:val="00273286"/>
    <w:rsid w:val="002734E4"/>
    <w:rsid w:val="0027351C"/>
    <w:rsid w:val="00273594"/>
    <w:rsid w:val="002735E7"/>
    <w:rsid w:val="00273AE1"/>
    <w:rsid w:val="00273AF9"/>
    <w:rsid w:val="00273C3A"/>
    <w:rsid w:val="00273FA2"/>
    <w:rsid w:val="00273FD4"/>
    <w:rsid w:val="00273FDA"/>
    <w:rsid w:val="00274027"/>
    <w:rsid w:val="00274295"/>
    <w:rsid w:val="00274316"/>
    <w:rsid w:val="0027431A"/>
    <w:rsid w:val="002743F5"/>
    <w:rsid w:val="002743FB"/>
    <w:rsid w:val="002744DE"/>
    <w:rsid w:val="00274543"/>
    <w:rsid w:val="00274A3A"/>
    <w:rsid w:val="00274D93"/>
    <w:rsid w:val="00274DAD"/>
    <w:rsid w:val="00274ECA"/>
    <w:rsid w:val="00275535"/>
    <w:rsid w:val="002756FE"/>
    <w:rsid w:val="002758D1"/>
    <w:rsid w:val="002758D6"/>
    <w:rsid w:val="00275BD5"/>
    <w:rsid w:val="00275D8C"/>
    <w:rsid w:val="00275DA5"/>
    <w:rsid w:val="00275FD8"/>
    <w:rsid w:val="00276088"/>
    <w:rsid w:val="002760BD"/>
    <w:rsid w:val="002762C1"/>
    <w:rsid w:val="002762C2"/>
    <w:rsid w:val="0027650E"/>
    <w:rsid w:val="0027653E"/>
    <w:rsid w:val="00276575"/>
    <w:rsid w:val="00276966"/>
    <w:rsid w:val="002769C1"/>
    <w:rsid w:val="002769CE"/>
    <w:rsid w:val="002769E1"/>
    <w:rsid w:val="00276A10"/>
    <w:rsid w:val="00276D3B"/>
    <w:rsid w:val="00276E60"/>
    <w:rsid w:val="00276F48"/>
    <w:rsid w:val="0027700B"/>
    <w:rsid w:val="00277655"/>
    <w:rsid w:val="0027782E"/>
    <w:rsid w:val="0027788E"/>
    <w:rsid w:val="002779A5"/>
    <w:rsid w:val="00277A28"/>
    <w:rsid w:val="00277D2F"/>
    <w:rsid w:val="00280049"/>
    <w:rsid w:val="002802F2"/>
    <w:rsid w:val="00280713"/>
    <w:rsid w:val="00280789"/>
    <w:rsid w:val="00280A48"/>
    <w:rsid w:val="00280C4D"/>
    <w:rsid w:val="00280EC3"/>
    <w:rsid w:val="00281229"/>
    <w:rsid w:val="00281660"/>
    <w:rsid w:val="00281794"/>
    <w:rsid w:val="002818D0"/>
    <w:rsid w:val="00281AAF"/>
    <w:rsid w:val="00281AC9"/>
    <w:rsid w:val="00281B0B"/>
    <w:rsid w:val="00281BB6"/>
    <w:rsid w:val="00281C33"/>
    <w:rsid w:val="00281D07"/>
    <w:rsid w:val="00281DD0"/>
    <w:rsid w:val="00281E7A"/>
    <w:rsid w:val="002822BD"/>
    <w:rsid w:val="00282A1F"/>
    <w:rsid w:val="00282AEA"/>
    <w:rsid w:val="00282DB1"/>
    <w:rsid w:val="00282DD2"/>
    <w:rsid w:val="00282FDB"/>
    <w:rsid w:val="00283015"/>
    <w:rsid w:val="002830BC"/>
    <w:rsid w:val="0028315B"/>
    <w:rsid w:val="0028343B"/>
    <w:rsid w:val="002835E6"/>
    <w:rsid w:val="002835F9"/>
    <w:rsid w:val="00283646"/>
    <w:rsid w:val="00283658"/>
    <w:rsid w:val="00283668"/>
    <w:rsid w:val="002836E7"/>
    <w:rsid w:val="0028379C"/>
    <w:rsid w:val="0028383E"/>
    <w:rsid w:val="00283921"/>
    <w:rsid w:val="00283A13"/>
    <w:rsid w:val="00283CDC"/>
    <w:rsid w:val="00283D75"/>
    <w:rsid w:val="00283DC7"/>
    <w:rsid w:val="00283E31"/>
    <w:rsid w:val="00283FAF"/>
    <w:rsid w:val="002840CB"/>
    <w:rsid w:val="00284697"/>
    <w:rsid w:val="00284872"/>
    <w:rsid w:val="00284877"/>
    <w:rsid w:val="0028489E"/>
    <w:rsid w:val="002848A8"/>
    <w:rsid w:val="00284BAF"/>
    <w:rsid w:val="00284C5A"/>
    <w:rsid w:val="00284D0E"/>
    <w:rsid w:val="00284D14"/>
    <w:rsid w:val="00285068"/>
    <w:rsid w:val="002853E3"/>
    <w:rsid w:val="00285A84"/>
    <w:rsid w:val="00285DB8"/>
    <w:rsid w:val="00285E0F"/>
    <w:rsid w:val="00285E19"/>
    <w:rsid w:val="00285F25"/>
    <w:rsid w:val="00285F51"/>
    <w:rsid w:val="00285FBA"/>
    <w:rsid w:val="00286267"/>
    <w:rsid w:val="00286307"/>
    <w:rsid w:val="00286325"/>
    <w:rsid w:val="00286534"/>
    <w:rsid w:val="0028656A"/>
    <w:rsid w:val="00286573"/>
    <w:rsid w:val="0028664E"/>
    <w:rsid w:val="0028689B"/>
    <w:rsid w:val="00286CAD"/>
    <w:rsid w:val="00286D2A"/>
    <w:rsid w:val="00286F56"/>
    <w:rsid w:val="002871C8"/>
    <w:rsid w:val="0028748D"/>
    <w:rsid w:val="002875A5"/>
    <w:rsid w:val="002878F5"/>
    <w:rsid w:val="002879ED"/>
    <w:rsid w:val="00290246"/>
    <w:rsid w:val="00290404"/>
    <w:rsid w:val="00290710"/>
    <w:rsid w:val="0029093E"/>
    <w:rsid w:val="002909B2"/>
    <w:rsid w:val="00290B5E"/>
    <w:rsid w:val="00290BFF"/>
    <w:rsid w:val="00290C9E"/>
    <w:rsid w:val="00290ED5"/>
    <w:rsid w:val="00290F78"/>
    <w:rsid w:val="0029109F"/>
    <w:rsid w:val="00291327"/>
    <w:rsid w:val="0029134B"/>
    <w:rsid w:val="0029138B"/>
    <w:rsid w:val="00291519"/>
    <w:rsid w:val="00291870"/>
    <w:rsid w:val="002918EE"/>
    <w:rsid w:val="0029190F"/>
    <w:rsid w:val="00291AE2"/>
    <w:rsid w:val="00291DA0"/>
    <w:rsid w:val="00291F8D"/>
    <w:rsid w:val="002922B5"/>
    <w:rsid w:val="0029276D"/>
    <w:rsid w:val="00292954"/>
    <w:rsid w:val="00292BAA"/>
    <w:rsid w:val="002930F7"/>
    <w:rsid w:val="0029315D"/>
    <w:rsid w:val="0029355D"/>
    <w:rsid w:val="002937E4"/>
    <w:rsid w:val="00293951"/>
    <w:rsid w:val="00293AF8"/>
    <w:rsid w:val="00293D1B"/>
    <w:rsid w:val="00293DC9"/>
    <w:rsid w:val="00293E1B"/>
    <w:rsid w:val="00293EA5"/>
    <w:rsid w:val="00293FB6"/>
    <w:rsid w:val="002941C0"/>
    <w:rsid w:val="00294608"/>
    <w:rsid w:val="00294713"/>
    <w:rsid w:val="00294825"/>
    <w:rsid w:val="00294854"/>
    <w:rsid w:val="002949D7"/>
    <w:rsid w:val="00294AD2"/>
    <w:rsid w:val="00294D51"/>
    <w:rsid w:val="00294EAA"/>
    <w:rsid w:val="00294F6C"/>
    <w:rsid w:val="002952DD"/>
    <w:rsid w:val="0029544A"/>
    <w:rsid w:val="00295798"/>
    <w:rsid w:val="0029597E"/>
    <w:rsid w:val="00295FE9"/>
    <w:rsid w:val="0029601E"/>
    <w:rsid w:val="002960A8"/>
    <w:rsid w:val="00296AAA"/>
    <w:rsid w:val="00296BA7"/>
    <w:rsid w:val="00296F31"/>
    <w:rsid w:val="00296F5B"/>
    <w:rsid w:val="00297012"/>
    <w:rsid w:val="00297023"/>
    <w:rsid w:val="00297248"/>
    <w:rsid w:val="002973FE"/>
    <w:rsid w:val="0029741C"/>
    <w:rsid w:val="002974AD"/>
    <w:rsid w:val="002974C5"/>
    <w:rsid w:val="00297655"/>
    <w:rsid w:val="00297773"/>
    <w:rsid w:val="0029788E"/>
    <w:rsid w:val="00297A6E"/>
    <w:rsid w:val="00297B23"/>
    <w:rsid w:val="00297C6F"/>
    <w:rsid w:val="00297C76"/>
    <w:rsid w:val="00297D31"/>
    <w:rsid w:val="00297EF9"/>
    <w:rsid w:val="002A01B1"/>
    <w:rsid w:val="002A0374"/>
    <w:rsid w:val="002A07D5"/>
    <w:rsid w:val="002A0858"/>
    <w:rsid w:val="002A08C1"/>
    <w:rsid w:val="002A0B32"/>
    <w:rsid w:val="002A0B6C"/>
    <w:rsid w:val="002A0FD5"/>
    <w:rsid w:val="002A13A7"/>
    <w:rsid w:val="002A1897"/>
    <w:rsid w:val="002A1B83"/>
    <w:rsid w:val="002A1D3C"/>
    <w:rsid w:val="002A1F14"/>
    <w:rsid w:val="002A2083"/>
    <w:rsid w:val="002A21D1"/>
    <w:rsid w:val="002A2225"/>
    <w:rsid w:val="002A22D5"/>
    <w:rsid w:val="002A2624"/>
    <w:rsid w:val="002A264D"/>
    <w:rsid w:val="002A26D5"/>
    <w:rsid w:val="002A2952"/>
    <w:rsid w:val="002A2DBA"/>
    <w:rsid w:val="002A2EAC"/>
    <w:rsid w:val="002A2F51"/>
    <w:rsid w:val="002A3529"/>
    <w:rsid w:val="002A361A"/>
    <w:rsid w:val="002A366C"/>
    <w:rsid w:val="002A3F9D"/>
    <w:rsid w:val="002A3FA9"/>
    <w:rsid w:val="002A4118"/>
    <w:rsid w:val="002A4158"/>
    <w:rsid w:val="002A4272"/>
    <w:rsid w:val="002A438F"/>
    <w:rsid w:val="002A44A7"/>
    <w:rsid w:val="002A4608"/>
    <w:rsid w:val="002A4A4A"/>
    <w:rsid w:val="002A4A5B"/>
    <w:rsid w:val="002A4A71"/>
    <w:rsid w:val="002A4D0D"/>
    <w:rsid w:val="002A4D8E"/>
    <w:rsid w:val="002A4DA5"/>
    <w:rsid w:val="002A4E47"/>
    <w:rsid w:val="002A4F26"/>
    <w:rsid w:val="002A528B"/>
    <w:rsid w:val="002A533C"/>
    <w:rsid w:val="002A557D"/>
    <w:rsid w:val="002A57C4"/>
    <w:rsid w:val="002A5935"/>
    <w:rsid w:val="002A59E0"/>
    <w:rsid w:val="002A5B23"/>
    <w:rsid w:val="002A5D51"/>
    <w:rsid w:val="002A60FF"/>
    <w:rsid w:val="002A639A"/>
    <w:rsid w:val="002A63F8"/>
    <w:rsid w:val="002A65E7"/>
    <w:rsid w:val="002A669B"/>
    <w:rsid w:val="002A676D"/>
    <w:rsid w:val="002A699C"/>
    <w:rsid w:val="002A6C34"/>
    <w:rsid w:val="002A6CCC"/>
    <w:rsid w:val="002A6CFA"/>
    <w:rsid w:val="002A6E1E"/>
    <w:rsid w:val="002A6ED8"/>
    <w:rsid w:val="002A6F36"/>
    <w:rsid w:val="002A6FBC"/>
    <w:rsid w:val="002A7603"/>
    <w:rsid w:val="002A768A"/>
    <w:rsid w:val="002A76A8"/>
    <w:rsid w:val="002A77C4"/>
    <w:rsid w:val="002A79E9"/>
    <w:rsid w:val="002A7E74"/>
    <w:rsid w:val="002A7F36"/>
    <w:rsid w:val="002B006D"/>
    <w:rsid w:val="002B00F2"/>
    <w:rsid w:val="002B01F7"/>
    <w:rsid w:val="002B050C"/>
    <w:rsid w:val="002B05BE"/>
    <w:rsid w:val="002B05E1"/>
    <w:rsid w:val="002B070B"/>
    <w:rsid w:val="002B07F2"/>
    <w:rsid w:val="002B0A55"/>
    <w:rsid w:val="002B0B8A"/>
    <w:rsid w:val="002B0C8A"/>
    <w:rsid w:val="002B13D0"/>
    <w:rsid w:val="002B189D"/>
    <w:rsid w:val="002B1996"/>
    <w:rsid w:val="002B1B4E"/>
    <w:rsid w:val="002B1D15"/>
    <w:rsid w:val="002B1DBB"/>
    <w:rsid w:val="002B1F8D"/>
    <w:rsid w:val="002B23B6"/>
    <w:rsid w:val="002B23D8"/>
    <w:rsid w:val="002B24DD"/>
    <w:rsid w:val="002B266A"/>
    <w:rsid w:val="002B2821"/>
    <w:rsid w:val="002B288C"/>
    <w:rsid w:val="002B3028"/>
    <w:rsid w:val="002B31F8"/>
    <w:rsid w:val="002B3339"/>
    <w:rsid w:val="002B3358"/>
    <w:rsid w:val="002B35AB"/>
    <w:rsid w:val="002B36BE"/>
    <w:rsid w:val="002B3B06"/>
    <w:rsid w:val="002B3B47"/>
    <w:rsid w:val="002B3C5C"/>
    <w:rsid w:val="002B3D6A"/>
    <w:rsid w:val="002B3E1E"/>
    <w:rsid w:val="002B40CF"/>
    <w:rsid w:val="002B4201"/>
    <w:rsid w:val="002B439A"/>
    <w:rsid w:val="002B496B"/>
    <w:rsid w:val="002B4B18"/>
    <w:rsid w:val="002B51E5"/>
    <w:rsid w:val="002B5490"/>
    <w:rsid w:val="002B54F8"/>
    <w:rsid w:val="002B5550"/>
    <w:rsid w:val="002B55D7"/>
    <w:rsid w:val="002B5B68"/>
    <w:rsid w:val="002B5BA0"/>
    <w:rsid w:val="002B5EBE"/>
    <w:rsid w:val="002B5ED6"/>
    <w:rsid w:val="002B5FD9"/>
    <w:rsid w:val="002B63D3"/>
    <w:rsid w:val="002B65EA"/>
    <w:rsid w:val="002B6868"/>
    <w:rsid w:val="002B6A94"/>
    <w:rsid w:val="002B6B0C"/>
    <w:rsid w:val="002B6CEE"/>
    <w:rsid w:val="002B6FC0"/>
    <w:rsid w:val="002B743E"/>
    <w:rsid w:val="002B7659"/>
    <w:rsid w:val="002B76F6"/>
    <w:rsid w:val="002B7944"/>
    <w:rsid w:val="002B79C8"/>
    <w:rsid w:val="002B7A3B"/>
    <w:rsid w:val="002B7A48"/>
    <w:rsid w:val="002B7E31"/>
    <w:rsid w:val="002B7E55"/>
    <w:rsid w:val="002C0354"/>
    <w:rsid w:val="002C037A"/>
    <w:rsid w:val="002C03E3"/>
    <w:rsid w:val="002C08D2"/>
    <w:rsid w:val="002C0A97"/>
    <w:rsid w:val="002C0D9F"/>
    <w:rsid w:val="002C0EB9"/>
    <w:rsid w:val="002C104F"/>
    <w:rsid w:val="002C114D"/>
    <w:rsid w:val="002C13D6"/>
    <w:rsid w:val="002C16FB"/>
    <w:rsid w:val="002C19DB"/>
    <w:rsid w:val="002C1B3B"/>
    <w:rsid w:val="002C1FAF"/>
    <w:rsid w:val="002C1FE9"/>
    <w:rsid w:val="002C209F"/>
    <w:rsid w:val="002C2167"/>
    <w:rsid w:val="002C2344"/>
    <w:rsid w:val="002C2A8B"/>
    <w:rsid w:val="002C2C9D"/>
    <w:rsid w:val="002C3048"/>
    <w:rsid w:val="002C323E"/>
    <w:rsid w:val="002C33A1"/>
    <w:rsid w:val="002C340E"/>
    <w:rsid w:val="002C376D"/>
    <w:rsid w:val="002C3A0D"/>
    <w:rsid w:val="002C3BAE"/>
    <w:rsid w:val="002C3D3D"/>
    <w:rsid w:val="002C3DAF"/>
    <w:rsid w:val="002C402B"/>
    <w:rsid w:val="002C417B"/>
    <w:rsid w:val="002C42A2"/>
    <w:rsid w:val="002C4621"/>
    <w:rsid w:val="002C473B"/>
    <w:rsid w:val="002C4830"/>
    <w:rsid w:val="002C4B1F"/>
    <w:rsid w:val="002C4D65"/>
    <w:rsid w:val="002C50C5"/>
    <w:rsid w:val="002C51E4"/>
    <w:rsid w:val="002C52FA"/>
    <w:rsid w:val="002C5494"/>
    <w:rsid w:val="002C54AE"/>
    <w:rsid w:val="002C5863"/>
    <w:rsid w:val="002C5A26"/>
    <w:rsid w:val="002C5CBC"/>
    <w:rsid w:val="002C5CCA"/>
    <w:rsid w:val="002C5D74"/>
    <w:rsid w:val="002C6006"/>
    <w:rsid w:val="002C605C"/>
    <w:rsid w:val="002C612F"/>
    <w:rsid w:val="002C6253"/>
    <w:rsid w:val="002C62D6"/>
    <w:rsid w:val="002C62E5"/>
    <w:rsid w:val="002C62E8"/>
    <w:rsid w:val="002C663F"/>
    <w:rsid w:val="002C6801"/>
    <w:rsid w:val="002C6863"/>
    <w:rsid w:val="002C693C"/>
    <w:rsid w:val="002C69B0"/>
    <w:rsid w:val="002C6A66"/>
    <w:rsid w:val="002C6CB4"/>
    <w:rsid w:val="002C6D95"/>
    <w:rsid w:val="002C6E23"/>
    <w:rsid w:val="002C705F"/>
    <w:rsid w:val="002C74FF"/>
    <w:rsid w:val="002C762E"/>
    <w:rsid w:val="002C7C08"/>
    <w:rsid w:val="002C7FA0"/>
    <w:rsid w:val="002C7FC6"/>
    <w:rsid w:val="002D0154"/>
    <w:rsid w:val="002D022D"/>
    <w:rsid w:val="002D060A"/>
    <w:rsid w:val="002D0976"/>
    <w:rsid w:val="002D0DCA"/>
    <w:rsid w:val="002D0F33"/>
    <w:rsid w:val="002D1114"/>
    <w:rsid w:val="002D134B"/>
    <w:rsid w:val="002D1380"/>
    <w:rsid w:val="002D1514"/>
    <w:rsid w:val="002D1733"/>
    <w:rsid w:val="002D19CB"/>
    <w:rsid w:val="002D1B38"/>
    <w:rsid w:val="002D1CB3"/>
    <w:rsid w:val="002D2023"/>
    <w:rsid w:val="002D205E"/>
    <w:rsid w:val="002D2125"/>
    <w:rsid w:val="002D24A5"/>
    <w:rsid w:val="002D25EC"/>
    <w:rsid w:val="002D27D9"/>
    <w:rsid w:val="002D2A47"/>
    <w:rsid w:val="002D2BEF"/>
    <w:rsid w:val="002D2BF1"/>
    <w:rsid w:val="002D2C56"/>
    <w:rsid w:val="002D2D96"/>
    <w:rsid w:val="002D2FEE"/>
    <w:rsid w:val="002D3061"/>
    <w:rsid w:val="002D30C4"/>
    <w:rsid w:val="002D3199"/>
    <w:rsid w:val="002D327C"/>
    <w:rsid w:val="002D3335"/>
    <w:rsid w:val="002D3436"/>
    <w:rsid w:val="002D3583"/>
    <w:rsid w:val="002D3D4C"/>
    <w:rsid w:val="002D4017"/>
    <w:rsid w:val="002D4159"/>
    <w:rsid w:val="002D4174"/>
    <w:rsid w:val="002D42A5"/>
    <w:rsid w:val="002D433F"/>
    <w:rsid w:val="002D4391"/>
    <w:rsid w:val="002D4582"/>
    <w:rsid w:val="002D4693"/>
    <w:rsid w:val="002D4822"/>
    <w:rsid w:val="002D4858"/>
    <w:rsid w:val="002D494F"/>
    <w:rsid w:val="002D49BC"/>
    <w:rsid w:val="002D4E2D"/>
    <w:rsid w:val="002D5246"/>
    <w:rsid w:val="002D52F3"/>
    <w:rsid w:val="002D5618"/>
    <w:rsid w:val="002D56A8"/>
    <w:rsid w:val="002D56BB"/>
    <w:rsid w:val="002D5848"/>
    <w:rsid w:val="002D58FF"/>
    <w:rsid w:val="002D5B0A"/>
    <w:rsid w:val="002D5C59"/>
    <w:rsid w:val="002D5EBC"/>
    <w:rsid w:val="002D5F07"/>
    <w:rsid w:val="002D612D"/>
    <w:rsid w:val="002D6537"/>
    <w:rsid w:val="002D67B4"/>
    <w:rsid w:val="002D6993"/>
    <w:rsid w:val="002D6B26"/>
    <w:rsid w:val="002D6D4A"/>
    <w:rsid w:val="002D700F"/>
    <w:rsid w:val="002D7103"/>
    <w:rsid w:val="002D7218"/>
    <w:rsid w:val="002D727D"/>
    <w:rsid w:val="002D787E"/>
    <w:rsid w:val="002D7AAD"/>
    <w:rsid w:val="002D7AC6"/>
    <w:rsid w:val="002D7BF9"/>
    <w:rsid w:val="002E0215"/>
    <w:rsid w:val="002E02C0"/>
    <w:rsid w:val="002E0365"/>
    <w:rsid w:val="002E0736"/>
    <w:rsid w:val="002E0A6A"/>
    <w:rsid w:val="002E0BFD"/>
    <w:rsid w:val="002E0C81"/>
    <w:rsid w:val="002E0ED0"/>
    <w:rsid w:val="002E14B3"/>
    <w:rsid w:val="002E151A"/>
    <w:rsid w:val="002E159C"/>
    <w:rsid w:val="002E18C4"/>
    <w:rsid w:val="002E1A6C"/>
    <w:rsid w:val="002E1DE8"/>
    <w:rsid w:val="002E1F6C"/>
    <w:rsid w:val="002E1FE8"/>
    <w:rsid w:val="002E2011"/>
    <w:rsid w:val="002E2072"/>
    <w:rsid w:val="002E22C8"/>
    <w:rsid w:val="002E22DF"/>
    <w:rsid w:val="002E2399"/>
    <w:rsid w:val="002E26C7"/>
    <w:rsid w:val="002E2F55"/>
    <w:rsid w:val="002E2FF7"/>
    <w:rsid w:val="002E31F5"/>
    <w:rsid w:val="002E338E"/>
    <w:rsid w:val="002E3591"/>
    <w:rsid w:val="002E3708"/>
    <w:rsid w:val="002E3BB5"/>
    <w:rsid w:val="002E3BD2"/>
    <w:rsid w:val="002E3D14"/>
    <w:rsid w:val="002E3E52"/>
    <w:rsid w:val="002E3FBF"/>
    <w:rsid w:val="002E4208"/>
    <w:rsid w:val="002E4239"/>
    <w:rsid w:val="002E434C"/>
    <w:rsid w:val="002E4770"/>
    <w:rsid w:val="002E4A53"/>
    <w:rsid w:val="002E4CCB"/>
    <w:rsid w:val="002E4DE5"/>
    <w:rsid w:val="002E4EC5"/>
    <w:rsid w:val="002E5047"/>
    <w:rsid w:val="002E5140"/>
    <w:rsid w:val="002E517E"/>
    <w:rsid w:val="002E5270"/>
    <w:rsid w:val="002E53F8"/>
    <w:rsid w:val="002E5663"/>
    <w:rsid w:val="002E5782"/>
    <w:rsid w:val="002E5865"/>
    <w:rsid w:val="002E5AE2"/>
    <w:rsid w:val="002E5CCF"/>
    <w:rsid w:val="002E5F0A"/>
    <w:rsid w:val="002E6039"/>
    <w:rsid w:val="002E6200"/>
    <w:rsid w:val="002E6394"/>
    <w:rsid w:val="002E64BF"/>
    <w:rsid w:val="002E6627"/>
    <w:rsid w:val="002E6936"/>
    <w:rsid w:val="002E696B"/>
    <w:rsid w:val="002E6A32"/>
    <w:rsid w:val="002E6C63"/>
    <w:rsid w:val="002E6CE6"/>
    <w:rsid w:val="002E6DA5"/>
    <w:rsid w:val="002E7342"/>
    <w:rsid w:val="002E7670"/>
    <w:rsid w:val="002E779F"/>
    <w:rsid w:val="002E79D4"/>
    <w:rsid w:val="002F04D1"/>
    <w:rsid w:val="002F051B"/>
    <w:rsid w:val="002F074E"/>
    <w:rsid w:val="002F08A2"/>
    <w:rsid w:val="002F0910"/>
    <w:rsid w:val="002F0B84"/>
    <w:rsid w:val="002F0CCD"/>
    <w:rsid w:val="002F0E6D"/>
    <w:rsid w:val="002F1017"/>
    <w:rsid w:val="002F13BE"/>
    <w:rsid w:val="002F15BA"/>
    <w:rsid w:val="002F16E4"/>
    <w:rsid w:val="002F1D48"/>
    <w:rsid w:val="002F2067"/>
    <w:rsid w:val="002F23ED"/>
    <w:rsid w:val="002F275B"/>
    <w:rsid w:val="002F2963"/>
    <w:rsid w:val="002F30DE"/>
    <w:rsid w:val="002F322F"/>
    <w:rsid w:val="002F3269"/>
    <w:rsid w:val="002F37D4"/>
    <w:rsid w:val="002F399D"/>
    <w:rsid w:val="002F3C57"/>
    <w:rsid w:val="002F3F2A"/>
    <w:rsid w:val="002F4037"/>
    <w:rsid w:val="002F409B"/>
    <w:rsid w:val="002F4352"/>
    <w:rsid w:val="002F4366"/>
    <w:rsid w:val="002F4453"/>
    <w:rsid w:val="002F4491"/>
    <w:rsid w:val="002F4831"/>
    <w:rsid w:val="002F48C7"/>
    <w:rsid w:val="002F4923"/>
    <w:rsid w:val="002F4B39"/>
    <w:rsid w:val="002F4C65"/>
    <w:rsid w:val="002F4E6C"/>
    <w:rsid w:val="002F5189"/>
    <w:rsid w:val="002F59DB"/>
    <w:rsid w:val="002F5A37"/>
    <w:rsid w:val="002F5A8B"/>
    <w:rsid w:val="002F5B50"/>
    <w:rsid w:val="002F5C29"/>
    <w:rsid w:val="002F5C6A"/>
    <w:rsid w:val="002F5CAA"/>
    <w:rsid w:val="002F5D89"/>
    <w:rsid w:val="002F5ED0"/>
    <w:rsid w:val="002F603A"/>
    <w:rsid w:val="002F608C"/>
    <w:rsid w:val="002F60E9"/>
    <w:rsid w:val="002F6148"/>
    <w:rsid w:val="002F66E8"/>
    <w:rsid w:val="002F6755"/>
    <w:rsid w:val="002F6A2D"/>
    <w:rsid w:val="002F6C8F"/>
    <w:rsid w:val="002F6DA2"/>
    <w:rsid w:val="002F6F92"/>
    <w:rsid w:val="002F7034"/>
    <w:rsid w:val="002F7108"/>
    <w:rsid w:val="002F7117"/>
    <w:rsid w:val="002F7704"/>
    <w:rsid w:val="002F778C"/>
    <w:rsid w:val="002F778E"/>
    <w:rsid w:val="002F78B3"/>
    <w:rsid w:val="002F790C"/>
    <w:rsid w:val="002F7C99"/>
    <w:rsid w:val="002F7CC4"/>
    <w:rsid w:val="002F7E9A"/>
    <w:rsid w:val="00300023"/>
    <w:rsid w:val="003001DC"/>
    <w:rsid w:val="003004FF"/>
    <w:rsid w:val="00300614"/>
    <w:rsid w:val="00300717"/>
    <w:rsid w:val="003007E6"/>
    <w:rsid w:val="0030088B"/>
    <w:rsid w:val="00300CCD"/>
    <w:rsid w:val="00300D14"/>
    <w:rsid w:val="00300FC8"/>
    <w:rsid w:val="0030102A"/>
    <w:rsid w:val="00301244"/>
    <w:rsid w:val="003015B5"/>
    <w:rsid w:val="003016BA"/>
    <w:rsid w:val="0030186F"/>
    <w:rsid w:val="003018D9"/>
    <w:rsid w:val="0030196E"/>
    <w:rsid w:val="0030197D"/>
    <w:rsid w:val="00301A5C"/>
    <w:rsid w:val="00301F1B"/>
    <w:rsid w:val="0030217D"/>
    <w:rsid w:val="00302390"/>
    <w:rsid w:val="003024BD"/>
    <w:rsid w:val="00302732"/>
    <w:rsid w:val="00302817"/>
    <w:rsid w:val="003028C7"/>
    <w:rsid w:val="00302C6D"/>
    <w:rsid w:val="00302E0B"/>
    <w:rsid w:val="00303110"/>
    <w:rsid w:val="003031AB"/>
    <w:rsid w:val="00303265"/>
    <w:rsid w:val="003032C1"/>
    <w:rsid w:val="003032E1"/>
    <w:rsid w:val="00303A3B"/>
    <w:rsid w:val="00303AEE"/>
    <w:rsid w:val="00303DDA"/>
    <w:rsid w:val="00303E4B"/>
    <w:rsid w:val="003041C6"/>
    <w:rsid w:val="00304488"/>
    <w:rsid w:val="00304573"/>
    <w:rsid w:val="003046E5"/>
    <w:rsid w:val="003047CF"/>
    <w:rsid w:val="0030487F"/>
    <w:rsid w:val="00304C87"/>
    <w:rsid w:val="00304D45"/>
    <w:rsid w:val="003052B4"/>
    <w:rsid w:val="003054C2"/>
    <w:rsid w:val="003054E8"/>
    <w:rsid w:val="0030556C"/>
    <w:rsid w:val="0030557B"/>
    <w:rsid w:val="003056E2"/>
    <w:rsid w:val="00305AE1"/>
    <w:rsid w:val="00305CD3"/>
    <w:rsid w:val="003061C1"/>
    <w:rsid w:val="003063D3"/>
    <w:rsid w:val="00306483"/>
    <w:rsid w:val="00306723"/>
    <w:rsid w:val="00306D42"/>
    <w:rsid w:val="00306ECE"/>
    <w:rsid w:val="003073E8"/>
    <w:rsid w:val="00307447"/>
    <w:rsid w:val="0030771C"/>
    <w:rsid w:val="00307913"/>
    <w:rsid w:val="00307DA4"/>
    <w:rsid w:val="003104B3"/>
    <w:rsid w:val="003105D1"/>
    <w:rsid w:val="0031065F"/>
    <w:rsid w:val="003107D8"/>
    <w:rsid w:val="00310B50"/>
    <w:rsid w:val="00310BA2"/>
    <w:rsid w:val="00310BE9"/>
    <w:rsid w:val="00310C3D"/>
    <w:rsid w:val="00310C78"/>
    <w:rsid w:val="00310DB1"/>
    <w:rsid w:val="00310E75"/>
    <w:rsid w:val="00310E7E"/>
    <w:rsid w:val="00311447"/>
    <w:rsid w:val="003114E7"/>
    <w:rsid w:val="003117BD"/>
    <w:rsid w:val="003117C7"/>
    <w:rsid w:val="0031181E"/>
    <w:rsid w:val="00311C90"/>
    <w:rsid w:val="00311E6E"/>
    <w:rsid w:val="00311E85"/>
    <w:rsid w:val="00311FEF"/>
    <w:rsid w:val="00312046"/>
    <w:rsid w:val="003120A6"/>
    <w:rsid w:val="00312126"/>
    <w:rsid w:val="0031216B"/>
    <w:rsid w:val="00312351"/>
    <w:rsid w:val="003125AB"/>
    <w:rsid w:val="003125BA"/>
    <w:rsid w:val="003127F5"/>
    <w:rsid w:val="00312946"/>
    <w:rsid w:val="003129DA"/>
    <w:rsid w:val="00312A8D"/>
    <w:rsid w:val="00312B2E"/>
    <w:rsid w:val="00312BE0"/>
    <w:rsid w:val="00312D52"/>
    <w:rsid w:val="00312E9F"/>
    <w:rsid w:val="003130D0"/>
    <w:rsid w:val="0031328B"/>
    <w:rsid w:val="00313336"/>
    <w:rsid w:val="003135AC"/>
    <w:rsid w:val="003138BA"/>
    <w:rsid w:val="00313995"/>
    <w:rsid w:val="003139B1"/>
    <w:rsid w:val="00313B6F"/>
    <w:rsid w:val="00313BEC"/>
    <w:rsid w:val="00313C42"/>
    <w:rsid w:val="00313ED8"/>
    <w:rsid w:val="00313FA4"/>
    <w:rsid w:val="003140C5"/>
    <w:rsid w:val="0031467F"/>
    <w:rsid w:val="003146C6"/>
    <w:rsid w:val="00314895"/>
    <w:rsid w:val="00314C8B"/>
    <w:rsid w:val="00314FA5"/>
    <w:rsid w:val="00315070"/>
    <w:rsid w:val="0031518D"/>
    <w:rsid w:val="00315452"/>
    <w:rsid w:val="00315553"/>
    <w:rsid w:val="0031586B"/>
    <w:rsid w:val="00315905"/>
    <w:rsid w:val="00315BA9"/>
    <w:rsid w:val="00315EFF"/>
    <w:rsid w:val="00315FBA"/>
    <w:rsid w:val="00315FF5"/>
    <w:rsid w:val="00316129"/>
    <w:rsid w:val="00316137"/>
    <w:rsid w:val="0031623A"/>
    <w:rsid w:val="00316263"/>
    <w:rsid w:val="003163D7"/>
    <w:rsid w:val="003164F2"/>
    <w:rsid w:val="0031688F"/>
    <w:rsid w:val="00316AB1"/>
    <w:rsid w:val="00316B3A"/>
    <w:rsid w:val="00316D20"/>
    <w:rsid w:val="00316F45"/>
    <w:rsid w:val="00317390"/>
    <w:rsid w:val="003175B6"/>
    <w:rsid w:val="003176A1"/>
    <w:rsid w:val="00317919"/>
    <w:rsid w:val="00317DA4"/>
    <w:rsid w:val="00317F3A"/>
    <w:rsid w:val="00317F4B"/>
    <w:rsid w:val="00317F87"/>
    <w:rsid w:val="00317FBA"/>
    <w:rsid w:val="0032026E"/>
    <w:rsid w:val="003202ED"/>
    <w:rsid w:val="00320303"/>
    <w:rsid w:val="0032042F"/>
    <w:rsid w:val="00320532"/>
    <w:rsid w:val="00320700"/>
    <w:rsid w:val="0032088C"/>
    <w:rsid w:val="003208F7"/>
    <w:rsid w:val="00320AA6"/>
    <w:rsid w:val="00320BA9"/>
    <w:rsid w:val="00320DD2"/>
    <w:rsid w:val="00320E6E"/>
    <w:rsid w:val="003210EB"/>
    <w:rsid w:val="003212DC"/>
    <w:rsid w:val="00321489"/>
    <w:rsid w:val="003214B3"/>
    <w:rsid w:val="003215D7"/>
    <w:rsid w:val="003215F5"/>
    <w:rsid w:val="0032174F"/>
    <w:rsid w:val="00321A13"/>
    <w:rsid w:val="00321A73"/>
    <w:rsid w:val="00321D22"/>
    <w:rsid w:val="00321DA9"/>
    <w:rsid w:val="00322017"/>
    <w:rsid w:val="00322249"/>
    <w:rsid w:val="00322473"/>
    <w:rsid w:val="003224FB"/>
    <w:rsid w:val="0032269A"/>
    <w:rsid w:val="003227C7"/>
    <w:rsid w:val="00322BBC"/>
    <w:rsid w:val="00322CB4"/>
    <w:rsid w:val="00323081"/>
    <w:rsid w:val="00323124"/>
    <w:rsid w:val="003231E9"/>
    <w:rsid w:val="0032320A"/>
    <w:rsid w:val="003232EF"/>
    <w:rsid w:val="003234F5"/>
    <w:rsid w:val="00323524"/>
    <w:rsid w:val="003235A0"/>
    <w:rsid w:val="00323969"/>
    <w:rsid w:val="003240E2"/>
    <w:rsid w:val="003240F3"/>
    <w:rsid w:val="0032427F"/>
    <w:rsid w:val="0032449E"/>
    <w:rsid w:val="00324599"/>
    <w:rsid w:val="00324719"/>
    <w:rsid w:val="003249C2"/>
    <w:rsid w:val="00324B05"/>
    <w:rsid w:val="00324B63"/>
    <w:rsid w:val="00324BD0"/>
    <w:rsid w:val="00324FE3"/>
    <w:rsid w:val="00325199"/>
    <w:rsid w:val="00325391"/>
    <w:rsid w:val="0032543B"/>
    <w:rsid w:val="00325476"/>
    <w:rsid w:val="00325539"/>
    <w:rsid w:val="003256D6"/>
    <w:rsid w:val="00325750"/>
    <w:rsid w:val="003257D7"/>
    <w:rsid w:val="00325C2B"/>
    <w:rsid w:val="00325CD1"/>
    <w:rsid w:val="00325F47"/>
    <w:rsid w:val="00325FDC"/>
    <w:rsid w:val="003260EE"/>
    <w:rsid w:val="0032612E"/>
    <w:rsid w:val="0032617B"/>
    <w:rsid w:val="00326690"/>
    <w:rsid w:val="0032673D"/>
    <w:rsid w:val="0032676B"/>
    <w:rsid w:val="00326899"/>
    <w:rsid w:val="00326A7D"/>
    <w:rsid w:val="00326B2D"/>
    <w:rsid w:val="00326BB3"/>
    <w:rsid w:val="00326C6E"/>
    <w:rsid w:val="00326E24"/>
    <w:rsid w:val="00326EC2"/>
    <w:rsid w:val="00326F10"/>
    <w:rsid w:val="0032740F"/>
    <w:rsid w:val="003274AB"/>
    <w:rsid w:val="003275C1"/>
    <w:rsid w:val="00327637"/>
    <w:rsid w:val="003277D1"/>
    <w:rsid w:val="00327900"/>
    <w:rsid w:val="00327AC6"/>
    <w:rsid w:val="00327B78"/>
    <w:rsid w:val="00327BF8"/>
    <w:rsid w:val="00327C1E"/>
    <w:rsid w:val="00327C76"/>
    <w:rsid w:val="00327CD9"/>
    <w:rsid w:val="00327D02"/>
    <w:rsid w:val="00327F54"/>
    <w:rsid w:val="003300A1"/>
    <w:rsid w:val="00330167"/>
    <w:rsid w:val="00330238"/>
    <w:rsid w:val="00330329"/>
    <w:rsid w:val="0033067F"/>
    <w:rsid w:val="0033096F"/>
    <w:rsid w:val="00330BBC"/>
    <w:rsid w:val="003312E3"/>
    <w:rsid w:val="00331341"/>
    <w:rsid w:val="00331565"/>
    <w:rsid w:val="0033185C"/>
    <w:rsid w:val="00331B81"/>
    <w:rsid w:val="00331C33"/>
    <w:rsid w:val="00331D0A"/>
    <w:rsid w:val="003321B6"/>
    <w:rsid w:val="00332735"/>
    <w:rsid w:val="00332777"/>
    <w:rsid w:val="00332C5B"/>
    <w:rsid w:val="00332E64"/>
    <w:rsid w:val="00332EA0"/>
    <w:rsid w:val="00332F07"/>
    <w:rsid w:val="00332FFA"/>
    <w:rsid w:val="00333129"/>
    <w:rsid w:val="003334B7"/>
    <w:rsid w:val="00333986"/>
    <w:rsid w:val="003339CD"/>
    <w:rsid w:val="00333AE4"/>
    <w:rsid w:val="00333B6A"/>
    <w:rsid w:val="00333BE5"/>
    <w:rsid w:val="00333C89"/>
    <w:rsid w:val="00333F91"/>
    <w:rsid w:val="00333FA9"/>
    <w:rsid w:val="00334107"/>
    <w:rsid w:val="003342AE"/>
    <w:rsid w:val="003342F1"/>
    <w:rsid w:val="0033438B"/>
    <w:rsid w:val="003344FF"/>
    <w:rsid w:val="0033482B"/>
    <w:rsid w:val="003348A4"/>
    <w:rsid w:val="00334CEB"/>
    <w:rsid w:val="00334D4D"/>
    <w:rsid w:val="00334EA0"/>
    <w:rsid w:val="00334FA6"/>
    <w:rsid w:val="0033518B"/>
    <w:rsid w:val="0033522D"/>
    <w:rsid w:val="0033526A"/>
    <w:rsid w:val="00335464"/>
    <w:rsid w:val="003355FB"/>
    <w:rsid w:val="003356E9"/>
    <w:rsid w:val="0033578F"/>
    <w:rsid w:val="00335833"/>
    <w:rsid w:val="003358F9"/>
    <w:rsid w:val="003359D1"/>
    <w:rsid w:val="00335A41"/>
    <w:rsid w:val="00335B62"/>
    <w:rsid w:val="00335BCA"/>
    <w:rsid w:val="0033624C"/>
    <w:rsid w:val="003364C0"/>
    <w:rsid w:val="0033658A"/>
    <w:rsid w:val="00336671"/>
    <w:rsid w:val="0033682C"/>
    <w:rsid w:val="00336A82"/>
    <w:rsid w:val="00336C3C"/>
    <w:rsid w:val="00336DD6"/>
    <w:rsid w:val="00336ED5"/>
    <w:rsid w:val="0033711E"/>
    <w:rsid w:val="003371CE"/>
    <w:rsid w:val="00337215"/>
    <w:rsid w:val="0033722B"/>
    <w:rsid w:val="0033724C"/>
    <w:rsid w:val="00337300"/>
    <w:rsid w:val="0033749A"/>
    <w:rsid w:val="00337628"/>
    <w:rsid w:val="003376E4"/>
    <w:rsid w:val="00337721"/>
    <w:rsid w:val="003378CA"/>
    <w:rsid w:val="003378EF"/>
    <w:rsid w:val="00337998"/>
    <w:rsid w:val="003379E8"/>
    <w:rsid w:val="00337B9D"/>
    <w:rsid w:val="00337DA7"/>
    <w:rsid w:val="0034001B"/>
    <w:rsid w:val="003400AC"/>
    <w:rsid w:val="003400FA"/>
    <w:rsid w:val="0034051E"/>
    <w:rsid w:val="003409AF"/>
    <w:rsid w:val="00340B48"/>
    <w:rsid w:val="00340CD1"/>
    <w:rsid w:val="00340D77"/>
    <w:rsid w:val="00340DB4"/>
    <w:rsid w:val="00340E27"/>
    <w:rsid w:val="00340E5A"/>
    <w:rsid w:val="0034100B"/>
    <w:rsid w:val="00341111"/>
    <w:rsid w:val="0034115C"/>
    <w:rsid w:val="00341309"/>
    <w:rsid w:val="00341445"/>
    <w:rsid w:val="003415A3"/>
    <w:rsid w:val="003416E8"/>
    <w:rsid w:val="0034183E"/>
    <w:rsid w:val="003419B1"/>
    <w:rsid w:val="00341D6D"/>
    <w:rsid w:val="00341E88"/>
    <w:rsid w:val="00342195"/>
    <w:rsid w:val="0034246E"/>
    <w:rsid w:val="00342979"/>
    <w:rsid w:val="00342A84"/>
    <w:rsid w:val="00342C9E"/>
    <w:rsid w:val="00342DE4"/>
    <w:rsid w:val="00342FF8"/>
    <w:rsid w:val="00343058"/>
    <w:rsid w:val="00343140"/>
    <w:rsid w:val="00343481"/>
    <w:rsid w:val="00343627"/>
    <w:rsid w:val="0034368F"/>
    <w:rsid w:val="003438B7"/>
    <w:rsid w:val="0034396E"/>
    <w:rsid w:val="003439D4"/>
    <w:rsid w:val="00343E11"/>
    <w:rsid w:val="00343E71"/>
    <w:rsid w:val="00343F8C"/>
    <w:rsid w:val="00344068"/>
    <w:rsid w:val="003443D5"/>
    <w:rsid w:val="00344578"/>
    <w:rsid w:val="003448AC"/>
    <w:rsid w:val="00344930"/>
    <w:rsid w:val="00344977"/>
    <w:rsid w:val="00344B86"/>
    <w:rsid w:val="00344C5E"/>
    <w:rsid w:val="00344EFF"/>
    <w:rsid w:val="003451C9"/>
    <w:rsid w:val="00345329"/>
    <w:rsid w:val="0034553B"/>
    <w:rsid w:val="00345562"/>
    <w:rsid w:val="00345A3D"/>
    <w:rsid w:val="00345CAA"/>
    <w:rsid w:val="00345D91"/>
    <w:rsid w:val="00345E86"/>
    <w:rsid w:val="003463B1"/>
    <w:rsid w:val="003463C5"/>
    <w:rsid w:val="00346460"/>
    <w:rsid w:val="00346622"/>
    <w:rsid w:val="0034667D"/>
    <w:rsid w:val="0034686B"/>
    <w:rsid w:val="003468A3"/>
    <w:rsid w:val="00346923"/>
    <w:rsid w:val="00346928"/>
    <w:rsid w:val="00346969"/>
    <w:rsid w:val="00346DC6"/>
    <w:rsid w:val="00346F2F"/>
    <w:rsid w:val="00346F6B"/>
    <w:rsid w:val="003470A0"/>
    <w:rsid w:val="00347389"/>
    <w:rsid w:val="0034762D"/>
    <w:rsid w:val="0034783B"/>
    <w:rsid w:val="00347A0A"/>
    <w:rsid w:val="00347B59"/>
    <w:rsid w:val="00347C48"/>
    <w:rsid w:val="00347D25"/>
    <w:rsid w:val="00347E7F"/>
    <w:rsid w:val="00347EF2"/>
    <w:rsid w:val="00347F36"/>
    <w:rsid w:val="003504AD"/>
    <w:rsid w:val="003504D7"/>
    <w:rsid w:val="00350515"/>
    <w:rsid w:val="003506E3"/>
    <w:rsid w:val="003509AC"/>
    <w:rsid w:val="00350B1C"/>
    <w:rsid w:val="00350DF2"/>
    <w:rsid w:val="00350E7C"/>
    <w:rsid w:val="00351374"/>
    <w:rsid w:val="003516A2"/>
    <w:rsid w:val="0035186E"/>
    <w:rsid w:val="00351B23"/>
    <w:rsid w:val="00351C56"/>
    <w:rsid w:val="00351F86"/>
    <w:rsid w:val="00351FAB"/>
    <w:rsid w:val="00352287"/>
    <w:rsid w:val="003522AF"/>
    <w:rsid w:val="00352664"/>
    <w:rsid w:val="00352873"/>
    <w:rsid w:val="00352FF8"/>
    <w:rsid w:val="00353047"/>
    <w:rsid w:val="003532BC"/>
    <w:rsid w:val="003535E0"/>
    <w:rsid w:val="003537AB"/>
    <w:rsid w:val="003537AD"/>
    <w:rsid w:val="00353D04"/>
    <w:rsid w:val="00353E23"/>
    <w:rsid w:val="00353EC5"/>
    <w:rsid w:val="00354107"/>
    <w:rsid w:val="003542B1"/>
    <w:rsid w:val="003548D9"/>
    <w:rsid w:val="00354B7D"/>
    <w:rsid w:val="00354BD9"/>
    <w:rsid w:val="00354E10"/>
    <w:rsid w:val="0035501C"/>
    <w:rsid w:val="003550A4"/>
    <w:rsid w:val="00355298"/>
    <w:rsid w:val="003555F3"/>
    <w:rsid w:val="00355676"/>
    <w:rsid w:val="003556D3"/>
    <w:rsid w:val="0035592B"/>
    <w:rsid w:val="00355C53"/>
    <w:rsid w:val="00355C6F"/>
    <w:rsid w:val="00355F1E"/>
    <w:rsid w:val="00356413"/>
    <w:rsid w:val="0035647C"/>
    <w:rsid w:val="0035654A"/>
    <w:rsid w:val="0035655A"/>
    <w:rsid w:val="00356B81"/>
    <w:rsid w:val="00356CA1"/>
    <w:rsid w:val="00356FCD"/>
    <w:rsid w:val="003572DE"/>
    <w:rsid w:val="00357473"/>
    <w:rsid w:val="003574A4"/>
    <w:rsid w:val="003575A8"/>
    <w:rsid w:val="0035765E"/>
    <w:rsid w:val="0035785F"/>
    <w:rsid w:val="00357978"/>
    <w:rsid w:val="00357D44"/>
    <w:rsid w:val="00357F88"/>
    <w:rsid w:val="00357FE6"/>
    <w:rsid w:val="003604E7"/>
    <w:rsid w:val="003604F1"/>
    <w:rsid w:val="00360596"/>
    <w:rsid w:val="0036076B"/>
    <w:rsid w:val="0036087E"/>
    <w:rsid w:val="003608D9"/>
    <w:rsid w:val="00360C98"/>
    <w:rsid w:val="00360DA7"/>
    <w:rsid w:val="00360EA6"/>
    <w:rsid w:val="00360ED4"/>
    <w:rsid w:val="003610EF"/>
    <w:rsid w:val="003613B4"/>
    <w:rsid w:val="003613E2"/>
    <w:rsid w:val="003615F3"/>
    <w:rsid w:val="00361A31"/>
    <w:rsid w:val="00361A35"/>
    <w:rsid w:val="00361AE3"/>
    <w:rsid w:val="00361BDA"/>
    <w:rsid w:val="00361CA6"/>
    <w:rsid w:val="00361E1C"/>
    <w:rsid w:val="0036208F"/>
    <w:rsid w:val="003620DB"/>
    <w:rsid w:val="003622E5"/>
    <w:rsid w:val="00362300"/>
    <w:rsid w:val="00362439"/>
    <w:rsid w:val="003624CB"/>
    <w:rsid w:val="00362760"/>
    <w:rsid w:val="00362A7F"/>
    <w:rsid w:val="00362AE3"/>
    <w:rsid w:val="00362B77"/>
    <w:rsid w:val="00362B84"/>
    <w:rsid w:val="00362C82"/>
    <w:rsid w:val="00362D3D"/>
    <w:rsid w:val="00362D90"/>
    <w:rsid w:val="00362EA1"/>
    <w:rsid w:val="00362FB0"/>
    <w:rsid w:val="00363317"/>
    <w:rsid w:val="0036334C"/>
    <w:rsid w:val="003633EB"/>
    <w:rsid w:val="003634C1"/>
    <w:rsid w:val="00363CE1"/>
    <w:rsid w:val="00363D64"/>
    <w:rsid w:val="003641CD"/>
    <w:rsid w:val="00364267"/>
    <w:rsid w:val="00364465"/>
    <w:rsid w:val="003646B0"/>
    <w:rsid w:val="00364747"/>
    <w:rsid w:val="00364A4A"/>
    <w:rsid w:val="00364B64"/>
    <w:rsid w:val="00364BF5"/>
    <w:rsid w:val="00364D5A"/>
    <w:rsid w:val="00364DB7"/>
    <w:rsid w:val="0036535D"/>
    <w:rsid w:val="0036550F"/>
    <w:rsid w:val="0036570F"/>
    <w:rsid w:val="0036579F"/>
    <w:rsid w:val="00365817"/>
    <w:rsid w:val="00365D28"/>
    <w:rsid w:val="003660C2"/>
    <w:rsid w:val="00366532"/>
    <w:rsid w:val="003665AF"/>
    <w:rsid w:val="003668E9"/>
    <w:rsid w:val="00366C60"/>
    <w:rsid w:val="00366CB7"/>
    <w:rsid w:val="00366E1E"/>
    <w:rsid w:val="00366ED0"/>
    <w:rsid w:val="003670F2"/>
    <w:rsid w:val="003673A6"/>
    <w:rsid w:val="00367762"/>
    <w:rsid w:val="0036799D"/>
    <w:rsid w:val="003679D0"/>
    <w:rsid w:val="00367A5E"/>
    <w:rsid w:val="00367B70"/>
    <w:rsid w:val="00367D45"/>
    <w:rsid w:val="00367D6A"/>
    <w:rsid w:val="00367ECE"/>
    <w:rsid w:val="00370034"/>
    <w:rsid w:val="003700DB"/>
    <w:rsid w:val="0037063F"/>
    <w:rsid w:val="00370914"/>
    <w:rsid w:val="00370B0E"/>
    <w:rsid w:val="00370BDE"/>
    <w:rsid w:val="00370FDC"/>
    <w:rsid w:val="00370FFF"/>
    <w:rsid w:val="00371037"/>
    <w:rsid w:val="00371050"/>
    <w:rsid w:val="00371080"/>
    <w:rsid w:val="003717EB"/>
    <w:rsid w:val="003718C2"/>
    <w:rsid w:val="003718C9"/>
    <w:rsid w:val="0037192F"/>
    <w:rsid w:val="00371A53"/>
    <w:rsid w:val="00371DC3"/>
    <w:rsid w:val="00371E3D"/>
    <w:rsid w:val="00371F27"/>
    <w:rsid w:val="00372055"/>
    <w:rsid w:val="0037222B"/>
    <w:rsid w:val="00372249"/>
    <w:rsid w:val="0037224C"/>
    <w:rsid w:val="00372848"/>
    <w:rsid w:val="00372988"/>
    <w:rsid w:val="00372A08"/>
    <w:rsid w:val="00372A29"/>
    <w:rsid w:val="00372B39"/>
    <w:rsid w:val="00372C57"/>
    <w:rsid w:val="00372CAB"/>
    <w:rsid w:val="00372D80"/>
    <w:rsid w:val="00372D84"/>
    <w:rsid w:val="00372DC7"/>
    <w:rsid w:val="00372F1C"/>
    <w:rsid w:val="00372FAC"/>
    <w:rsid w:val="00372FB9"/>
    <w:rsid w:val="0037302A"/>
    <w:rsid w:val="003730B2"/>
    <w:rsid w:val="0037313D"/>
    <w:rsid w:val="00373216"/>
    <w:rsid w:val="003733E7"/>
    <w:rsid w:val="0037345F"/>
    <w:rsid w:val="00373475"/>
    <w:rsid w:val="00373525"/>
    <w:rsid w:val="003735A5"/>
    <w:rsid w:val="00373696"/>
    <w:rsid w:val="0037378C"/>
    <w:rsid w:val="003737C7"/>
    <w:rsid w:val="00373853"/>
    <w:rsid w:val="00373AE0"/>
    <w:rsid w:val="00373C5D"/>
    <w:rsid w:val="00373CB4"/>
    <w:rsid w:val="003740DB"/>
    <w:rsid w:val="003744B8"/>
    <w:rsid w:val="00374591"/>
    <w:rsid w:val="00374633"/>
    <w:rsid w:val="00374A41"/>
    <w:rsid w:val="00374AF7"/>
    <w:rsid w:val="00374B8E"/>
    <w:rsid w:val="00374C94"/>
    <w:rsid w:val="00374CAF"/>
    <w:rsid w:val="00374CEF"/>
    <w:rsid w:val="00374DE7"/>
    <w:rsid w:val="0037522C"/>
    <w:rsid w:val="00375231"/>
    <w:rsid w:val="003752DE"/>
    <w:rsid w:val="00375D2D"/>
    <w:rsid w:val="003762AA"/>
    <w:rsid w:val="00376488"/>
    <w:rsid w:val="0037680D"/>
    <w:rsid w:val="00376AA7"/>
    <w:rsid w:val="00376C37"/>
    <w:rsid w:val="0037700F"/>
    <w:rsid w:val="0037768A"/>
    <w:rsid w:val="003777B2"/>
    <w:rsid w:val="003779EE"/>
    <w:rsid w:val="00377CCE"/>
    <w:rsid w:val="00377E21"/>
    <w:rsid w:val="003802BD"/>
    <w:rsid w:val="003803A5"/>
    <w:rsid w:val="0038043E"/>
    <w:rsid w:val="003805A0"/>
    <w:rsid w:val="00380895"/>
    <w:rsid w:val="00380957"/>
    <w:rsid w:val="00380A11"/>
    <w:rsid w:val="00380D53"/>
    <w:rsid w:val="00380DDC"/>
    <w:rsid w:val="00380E46"/>
    <w:rsid w:val="00380FF4"/>
    <w:rsid w:val="00381044"/>
    <w:rsid w:val="0038117C"/>
    <w:rsid w:val="003811BD"/>
    <w:rsid w:val="003813CA"/>
    <w:rsid w:val="00381442"/>
    <w:rsid w:val="0038144C"/>
    <w:rsid w:val="0038148C"/>
    <w:rsid w:val="003815F5"/>
    <w:rsid w:val="0038171F"/>
    <w:rsid w:val="003819F8"/>
    <w:rsid w:val="00381A2A"/>
    <w:rsid w:val="00381D9B"/>
    <w:rsid w:val="00381DDC"/>
    <w:rsid w:val="003822D0"/>
    <w:rsid w:val="00382341"/>
    <w:rsid w:val="0038240F"/>
    <w:rsid w:val="0038243A"/>
    <w:rsid w:val="00382534"/>
    <w:rsid w:val="0038286E"/>
    <w:rsid w:val="00382C96"/>
    <w:rsid w:val="00382EB8"/>
    <w:rsid w:val="00382FF3"/>
    <w:rsid w:val="00383115"/>
    <w:rsid w:val="00383726"/>
    <w:rsid w:val="00383BB5"/>
    <w:rsid w:val="00383C59"/>
    <w:rsid w:val="00383F36"/>
    <w:rsid w:val="00383F9C"/>
    <w:rsid w:val="00384143"/>
    <w:rsid w:val="003841C5"/>
    <w:rsid w:val="00384232"/>
    <w:rsid w:val="00384318"/>
    <w:rsid w:val="00384388"/>
    <w:rsid w:val="00384460"/>
    <w:rsid w:val="0038450C"/>
    <w:rsid w:val="0038466D"/>
    <w:rsid w:val="00384729"/>
    <w:rsid w:val="00384871"/>
    <w:rsid w:val="00384B17"/>
    <w:rsid w:val="00384B67"/>
    <w:rsid w:val="00384B87"/>
    <w:rsid w:val="00384DD2"/>
    <w:rsid w:val="003854E1"/>
    <w:rsid w:val="0038552A"/>
    <w:rsid w:val="00385554"/>
    <w:rsid w:val="003857FC"/>
    <w:rsid w:val="0038583C"/>
    <w:rsid w:val="00385A5E"/>
    <w:rsid w:val="00385B8F"/>
    <w:rsid w:val="00385BE4"/>
    <w:rsid w:val="00385DD8"/>
    <w:rsid w:val="00386150"/>
    <w:rsid w:val="0038645A"/>
    <w:rsid w:val="003865F2"/>
    <w:rsid w:val="0038667D"/>
    <w:rsid w:val="00386717"/>
    <w:rsid w:val="0038676D"/>
    <w:rsid w:val="00386787"/>
    <w:rsid w:val="00386C47"/>
    <w:rsid w:val="00386DB2"/>
    <w:rsid w:val="00387366"/>
    <w:rsid w:val="003874F8"/>
    <w:rsid w:val="00387519"/>
    <w:rsid w:val="003876E0"/>
    <w:rsid w:val="003876F4"/>
    <w:rsid w:val="00387C6B"/>
    <w:rsid w:val="00387E07"/>
    <w:rsid w:val="00387F75"/>
    <w:rsid w:val="00387FB0"/>
    <w:rsid w:val="00390109"/>
    <w:rsid w:val="003903BF"/>
    <w:rsid w:val="003905C7"/>
    <w:rsid w:val="003906AC"/>
    <w:rsid w:val="00390AB6"/>
    <w:rsid w:val="00390C09"/>
    <w:rsid w:val="00390FF9"/>
    <w:rsid w:val="003915CF"/>
    <w:rsid w:val="00391DDD"/>
    <w:rsid w:val="00391ECA"/>
    <w:rsid w:val="00391F10"/>
    <w:rsid w:val="003920AD"/>
    <w:rsid w:val="0039234B"/>
    <w:rsid w:val="00392474"/>
    <w:rsid w:val="003925C3"/>
    <w:rsid w:val="003927B4"/>
    <w:rsid w:val="00392868"/>
    <w:rsid w:val="0039288B"/>
    <w:rsid w:val="00392BA8"/>
    <w:rsid w:val="00392C11"/>
    <w:rsid w:val="00392C4E"/>
    <w:rsid w:val="00392EBA"/>
    <w:rsid w:val="00393019"/>
    <w:rsid w:val="0039306A"/>
    <w:rsid w:val="0039330E"/>
    <w:rsid w:val="0039367B"/>
    <w:rsid w:val="003938C7"/>
    <w:rsid w:val="00393D1B"/>
    <w:rsid w:val="00393F42"/>
    <w:rsid w:val="0039412A"/>
    <w:rsid w:val="003941F7"/>
    <w:rsid w:val="00394299"/>
    <w:rsid w:val="00394380"/>
    <w:rsid w:val="0039457E"/>
    <w:rsid w:val="003947CC"/>
    <w:rsid w:val="0039488D"/>
    <w:rsid w:val="00394C07"/>
    <w:rsid w:val="003951F3"/>
    <w:rsid w:val="00395201"/>
    <w:rsid w:val="00395268"/>
    <w:rsid w:val="003952CE"/>
    <w:rsid w:val="003953B7"/>
    <w:rsid w:val="00395813"/>
    <w:rsid w:val="00395856"/>
    <w:rsid w:val="00395887"/>
    <w:rsid w:val="00395DF5"/>
    <w:rsid w:val="003962AD"/>
    <w:rsid w:val="00396D16"/>
    <w:rsid w:val="00396DBF"/>
    <w:rsid w:val="00396DCE"/>
    <w:rsid w:val="0039793A"/>
    <w:rsid w:val="00397AE9"/>
    <w:rsid w:val="00397E4A"/>
    <w:rsid w:val="003A001E"/>
    <w:rsid w:val="003A0036"/>
    <w:rsid w:val="003A00BD"/>
    <w:rsid w:val="003A019D"/>
    <w:rsid w:val="003A0209"/>
    <w:rsid w:val="003A04E7"/>
    <w:rsid w:val="003A075E"/>
    <w:rsid w:val="003A08A3"/>
    <w:rsid w:val="003A0ABA"/>
    <w:rsid w:val="003A0D4E"/>
    <w:rsid w:val="003A138D"/>
    <w:rsid w:val="003A1786"/>
    <w:rsid w:val="003A19EF"/>
    <w:rsid w:val="003A1B4C"/>
    <w:rsid w:val="003A1CC4"/>
    <w:rsid w:val="003A1E84"/>
    <w:rsid w:val="003A206A"/>
    <w:rsid w:val="003A20AB"/>
    <w:rsid w:val="003A21FC"/>
    <w:rsid w:val="003A228F"/>
    <w:rsid w:val="003A23FB"/>
    <w:rsid w:val="003A25E6"/>
    <w:rsid w:val="003A264C"/>
    <w:rsid w:val="003A2682"/>
    <w:rsid w:val="003A26A1"/>
    <w:rsid w:val="003A2955"/>
    <w:rsid w:val="003A2CB8"/>
    <w:rsid w:val="003A2D59"/>
    <w:rsid w:val="003A2DCD"/>
    <w:rsid w:val="003A2F09"/>
    <w:rsid w:val="003A2FC4"/>
    <w:rsid w:val="003A343F"/>
    <w:rsid w:val="003A3637"/>
    <w:rsid w:val="003A36C1"/>
    <w:rsid w:val="003A381C"/>
    <w:rsid w:val="003A395E"/>
    <w:rsid w:val="003A3B3C"/>
    <w:rsid w:val="003A3B75"/>
    <w:rsid w:val="003A3BBD"/>
    <w:rsid w:val="003A3CB9"/>
    <w:rsid w:val="003A42D7"/>
    <w:rsid w:val="003A431D"/>
    <w:rsid w:val="003A43E5"/>
    <w:rsid w:val="003A49A9"/>
    <w:rsid w:val="003A4C64"/>
    <w:rsid w:val="003A4FFF"/>
    <w:rsid w:val="003A501D"/>
    <w:rsid w:val="003A523A"/>
    <w:rsid w:val="003A55B1"/>
    <w:rsid w:val="003A55C7"/>
    <w:rsid w:val="003A5886"/>
    <w:rsid w:val="003A5A47"/>
    <w:rsid w:val="003A5CB2"/>
    <w:rsid w:val="003A5D30"/>
    <w:rsid w:val="003A5F4C"/>
    <w:rsid w:val="003A6190"/>
    <w:rsid w:val="003A62CC"/>
    <w:rsid w:val="003A634A"/>
    <w:rsid w:val="003A66C0"/>
    <w:rsid w:val="003A67BC"/>
    <w:rsid w:val="003A68AD"/>
    <w:rsid w:val="003A6A95"/>
    <w:rsid w:val="003A6C13"/>
    <w:rsid w:val="003A6D07"/>
    <w:rsid w:val="003A6FB5"/>
    <w:rsid w:val="003A7184"/>
    <w:rsid w:val="003A76C6"/>
    <w:rsid w:val="003A7B1A"/>
    <w:rsid w:val="003A7B59"/>
    <w:rsid w:val="003A7BBC"/>
    <w:rsid w:val="003A7BFA"/>
    <w:rsid w:val="003B0415"/>
    <w:rsid w:val="003B09E5"/>
    <w:rsid w:val="003B0ECA"/>
    <w:rsid w:val="003B10C5"/>
    <w:rsid w:val="003B113E"/>
    <w:rsid w:val="003B123B"/>
    <w:rsid w:val="003B134A"/>
    <w:rsid w:val="003B1434"/>
    <w:rsid w:val="003B1599"/>
    <w:rsid w:val="003B1891"/>
    <w:rsid w:val="003B199B"/>
    <w:rsid w:val="003B19D1"/>
    <w:rsid w:val="003B1C74"/>
    <w:rsid w:val="003B1CF2"/>
    <w:rsid w:val="003B1D4E"/>
    <w:rsid w:val="003B2032"/>
    <w:rsid w:val="003B2181"/>
    <w:rsid w:val="003B25DE"/>
    <w:rsid w:val="003B25E5"/>
    <w:rsid w:val="003B29BD"/>
    <w:rsid w:val="003B2B2E"/>
    <w:rsid w:val="003B2DBB"/>
    <w:rsid w:val="003B2F8C"/>
    <w:rsid w:val="003B3289"/>
    <w:rsid w:val="003B32D2"/>
    <w:rsid w:val="003B359E"/>
    <w:rsid w:val="003B37DF"/>
    <w:rsid w:val="003B3D6E"/>
    <w:rsid w:val="003B425B"/>
    <w:rsid w:val="003B4300"/>
    <w:rsid w:val="003B43B3"/>
    <w:rsid w:val="003B443A"/>
    <w:rsid w:val="003B49C6"/>
    <w:rsid w:val="003B4B69"/>
    <w:rsid w:val="003B4C2A"/>
    <w:rsid w:val="003B50B7"/>
    <w:rsid w:val="003B535E"/>
    <w:rsid w:val="003B5915"/>
    <w:rsid w:val="003B5C29"/>
    <w:rsid w:val="003B5D51"/>
    <w:rsid w:val="003B5E6B"/>
    <w:rsid w:val="003B5EC8"/>
    <w:rsid w:val="003B5F47"/>
    <w:rsid w:val="003B6201"/>
    <w:rsid w:val="003B64E0"/>
    <w:rsid w:val="003B6868"/>
    <w:rsid w:val="003B6885"/>
    <w:rsid w:val="003B6AA8"/>
    <w:rsid w:val="003B6D45"/>
    <w:rsid w:val="003B6EEB"/>
    <w:rsid w:val="003B7293"/>
    <w:rsid w:val="003B763D"/>
    <w:rsid w:val="003B7759"/>
    <w:rsid w:val="003B7B6B"/>
    <w:rsid w:val="003B7C61"/>
    <w:rsid w:val="003B7E3F"/>
    <w:rsid w:val="003C0284"/>
    <w:rsid w:val="003C0425"/>
    <w:rsid w:val="003C07D8"/>
    <w:rsid w:val="003C090B"/>
    <w:rsid w:val="003C0ADC"/>
    <w:rsid w:val="003C0BF2"/>
    <w:rsid w:val="003C0CEF"/>
    <w:rsid w:val="003C0F56"/>
    <w:rsid w:val="003C1096"/>
    <w:rsid w:val="003C10E4"/>
    <w:rsid w:val="003C11CD"/>
    <w:rsid w:val="003C13B9"/>
    <w:rsid w:val="003C1518"/>
    <w:rsid w:val="003C1745"/>
    <w:rsid w:val="003C1AE2"/>
    <w:rsid w:val="003C1D97"/>
    <w:rsid w:val="003C1EB9"/>
    <w:rsid w:val="003C2136"/>
    <w:rsid w:val="003C2382"/>
    <w:rsid w:val="003C24A0"/>
    <w:rsid w:val="003C24CA"/>
    <w:rsid w:val="003C24FB"/>
    <w:rsid w:val="003C2647"/>
    <w:rsid w:val="003C2701"/>
    <w:rsid w:val="003C275C"/>
    <w:rsid w:val="003C2975"/>
    <w:rsid w:val="003C29B7"/>
    <w:rsid w:val="003C29E5"/>
    <w:rsid w:val="003C2DB0"/>
    <w:rsid w:val="003C3170"/>
    <w:rsid w:val="003C3253"/>
    <w:rsid w:val="003C32D3"/>
    <w:rsid w:val="003C338F"/>
    <w:rsid w:val="003C3393"/>
    <w:rsid w:val="003C33B5"/>
    <w:rsid w:val="003C3473"/>
    <w:rsid w:val="003C3622"/>
    <w:rsid w:val="003C3699"/>
    <w:rsid w:val="003C38D3"/>
    <w:rsid w:val="003C3AA6"/>
    <w:rsid w:val="003C3AD1"/>
    <w:rsid w:val="003C3AFF"/>
    <w:rsid w:val="003C3B4C"/>
    <w:rsid w:val="003C3E69"/>
    <w:rsid w:val="003C3E8A"/>
    <w:rsid w:val="003C40DA"/>
    <w:rsid w:val="003C4411"/>
    <w:rsid w:val="003C45E9"/>
    <w:rsid w:val="003C4A51"/>
    <w:rsid w:val="003C4BE7"/>
    <w:rsid w:val="003C4E27"/>
    <w:rsid w:val="003C4E71"/>
    <w:rsid w:val="003C4E73"/>
    <w:rsid w:val="003C4FD3"/>
    <w:rsid w:val="003C5552"/>
    <w:rsid w:val="003C5601"/>
    <w:rsid w:val="003C59B6"/>
    <w:rsid w:val="003C59CE"/>
    <w:rsid w:val="003C5D42"/>
    <w:rsid w:val="003C5D78"/>
    <w:rsid w:val="003C5FA7"/>
    <w:rsid w:val="003C6334"/>
    <w:rsid w:val="003C63E0"/>
    <w:rsid w:val="003C64CC"/>
    <w:rsid w:val="003C65FF"/>
    <w:rsid w:val="003C69A3"/>
    <w:rsid w:val="003C6B51"/>
    <w:rsid w:val="003C6BB8"/>
    <w:rsid w:val="003C6C17"/>
    <w:rsid w:val="003C6C22"/>
    <w:rsid w:val="003C6DB0"/>
    <w:rsid w:val="003C6F0D"/>
    <w:rsid w:val="003C7340"/>
    <w:rsid w:val="003C735A"/>
    <w:rsid w:val="003C73BC"/>
    <w:rsid w:val="003C77CD"/>
    <w:rsid w:val="003C7871"/>
    <w:rsid w:val="003C7995"/>
    <w:rsid w:val="003C7A94"/>
    <w:rsid w:val="003C7C14"/>
    <w:rsid w:val="003C7CCF"/>
    <w:rsid w:val="003C7CFD"/>
    <w:rsid w:val="003C7FE2"/>
    <w:rsid w:val="003D019D"/>
    <w:rsid w:val="003D0299"/>
    <w:rsid w:val="003D0301"/>
    <w:rsid w:val="003D04F9"/>
    <w:rsid w:val="003D05D2"/>
    <w:rsid w:val="003D0853"/>
    <w:rsid w:val="003D08EA"/>
    <w:rsid w:val="003D0B85"/>
    <w:rsid w:val="003D0BA7"/>
    <w:rsid w:val="003D0CD0"/>
    <w:rsid w:val="003D0D47"/>
    <w:rsid w:val="003D0E1C"/>
    <w:rsid w:val="003D1167"/>
    <w:rsid w:val="003D1252"/>
    <w:rsid w:val="003D134E"/>
    <w:rsid w:val="003D159D"/>
    <w:rsid w:val="003D177D"/>
    <w:rsid w:val="003D18F3"/>
    <w:rsid w:val="003D1B34"/>
    <w:rsid w:val="003D1C04"/>
    <w:rsid w:val="003D1C05"/>
    <w:rsid w:val="003D1E6E"/>
    <w:rsid w:val="003D1ECD"/>
    <w:rsid w:val="003D20A6"/>
    <w:rsid w:val="003D2393"/>
    <w:rsid w:val="003D291C"/>
    <w:rsid w:val="003D2B44"/>
    <w:rsid w:val="003D2D3C"/>
    <w:rsid w:val="003D2DA1"/>
    <w:rsid w:val="003D35C8"/>
    <w:rsid w:val="003D360B"/>
    <w:rsid w:val="003D3A9B"/>
    <w:rsid w:val="003D3AFB"/>
    <w:rsid w:val="003D3DAC"/>
    <w:rsid w:val="003D4079"/>
    <w:rsid w:val="003D40D7"/>
    <w:rsid w:val="003D423E"/>
    <w:rsid w:val="003D425A"/>
    <w:rsid w:val="003D45DB"/>
    <w:rsid w:val="003D46DE"/>
    <w:rsid w:val="003D46F7"/>
    <w:rsid w:val="003D48D6"/>
    <w:rsid w:val="003D4C31"/>
    <w:rsid w:val="003D4C55"/>
    <w:rsid w:val="003D4DAF"/>
    <w:rsid w:val="003D4E4D"/>
    <w:rsid w:val="003D4E8D"/>
    <w:rsid w:val="003D52C2"/>
    <w:rsid w:val="003D530E"/>
    <w:rsid w:val="003D545C"/>
    <w:rsid w:val="003D5504"/>
    <w:rsid w:val="003D55CE"/>
    <w:rsid w:val="003D55CF"/>
    <w:rsid w:val="003D55E8"/>
    <w:rsid w:val="003D5612"/>
    <w:rsid w:val="003D5703"/>
    <w:rsid w:val="003D58C6"/>
    <w:rsid w:val="003D5C7E"/>
    <w:rsid w:val="003D5EE8"/>
    <w:rsid w:val="003D5F7A"/>
    <w:rsid w:val="003D5F85"/>
    <w:rsid w:val="003D5F94"/>
    <w:rsid w:val="003D602A"/>
    <w:rsid w:val="003D6453"/>
    <w:rsid w:val="003D67BD"/>
    <w:rsid w:val="003D6846"/>
    <w:rsid w:val="003D68ED"/>
    <w:rsid w:val="003D6A11"/>
    <w:rsid w:val="003D6B8B"/>
    <w:rsid w:val="003D7285"/>
    <w:rsid w:val="003D72C3"/>
    <w:rsid w:val="003D762D"/>
    <w:rsid w:val="003D7636"/>
    <w:rsid w:val="003D7D14"/>
    <w:rsid w:val="003D7ED6"/>
    <w:rsid w:val="003D7FB5"/>
    <w:rsid w:val="003E006B"/>
    <w:rsid w:val="003E00C2"/>
    <w:rsid w:val="003E0152"/>
    <w:rsid w:val="003E01D9"/>
    <w:rsid w:val="003E0365"/>
    <w:rsid w:val="003E042C"/>
    <w:rsid w:val="003E04DF"/>
    <w:rsid w:val="003E056C"/>
    <w:rsid w:val="003E062B"/>
    <w:rsid w:val="003E09B4"/>
    <w:rsid w:val="003E0A9C"/>
    <w:rsid w:val="003E0B62"/>
    <w:rsid w:val="003E0B93"/>
    <w:rsid w:val="003E107B"/>
    <w:rsid w:val="003E10FB"/>
    <w:rsid w:val="003E11A4"/>
    <w:rsid w:val="003E128D"/>
    <w:rsid w:val="003E13C3"/>
    <w:rsid w:val="003E1443"/>
    <w:rsid w:val="003E17F6"/>
    <w:rsid w:val="003E1B17"/>
    <w:rsid w:val="003E1C66"/>
    <w:rsid w:val="003E2129"/>
    <w:rsid w:val="003E25BC"/>
    <w:rsid w:val="003E275A"/>
    <w:rsid w:val="003E2C0D"/>
    <w:rsid w:val="003E35B3"/>
    <w:rsid w:val="003E35C8"/>
    <w:rsid w:val="003E3618"/>
    <w:rsid w:val="003E37B3"/>
    <w:rsid w:val="003E37EC"/>
    <w:rsid w:val="003E37F4"/>
    <w:rsid w:val="003E393C"/>
    <w:rsid w:val="003E3AE7"/>
    <w:rsid w:val="003E3AF5"/>
    <w:rsid w:val="003E3B1F"/>
    <w:rsid w:val="003E3B6D"/>
    <w:rsid w:val="003E3C80"/>
    <w:rsid w:val="003E3F3A"/>
    <w:rsid w:val="003E3FDA"/>
    <w:rsid w:val="003E40A8"/>
    <w:rsid w:val="003E40D0"/>
    <w:rsid w:val="003E41B1"/>
    <w:rsid w:val="003E4266"/>
    <w:rsid w:val="003E43B6"/>
    <w:rsid w:val="003E44EB"/>
    <w:rsid w:val="003E469B"/>
    <w:rsid w:val="003E472B"/>
    <w:rsid w:val="003E47D7"/>
    <w:rsid w:val="003E4AB8"/>
    <w:rsid w:val="003E4E4E"/>
    <w:rsid w:val="003E4EF2"/>
    <w:rsid w:val="003E4F59"/>
    <w:rsid w:val="003E51FB"/>
    <w:rsid w:val="003E5341"/>
    <w:rsid w:val="003E5365"/>
    <w:rsid w:val="003E5BB1"/>
    <w:rsid w:val="003E5DA2"/>
    <w:rsid w:val="003E5E55"/>
    <w:rsid w:val="003E5F76"/>
    <w:rsid w:val="003E6512"/>
    <w:rsid w:val="003E69BC"/>
    <w:rsid w:val="003E6A63"/>
    <w:rsid w:val="003E6AA7"/>
    <w:rsid w:val="003E6CBE"/>
    <w:rsid w:val="003E7282"/>
    <w:rsid w:val="003E76F1"/>
    <w:rsid w:val="003E770D"/>
    <w:rsid w:val="003E776F"/>
    <w:rsid w:val="003E7AB0"/>
    <w:rsid w:val="003E7DE7"/>
    <w:rsid w:val="003E7E08"/>
    <w:rsid w:val="003E7FB7"/>
    <w:rsid w:val="003E7FFC"/>
    <w:rsid w:val="003F00B2"/>
    <w:rsid w:val="003F043E"/>
    <w:rsid w:val="003F0681"/>
    <w:rsid w:val="003F06D9"/>
    <w:rsid w:val="003F0906"/>
    <w:rsid w:val="003F09BD"/>
    <w:rsid w:val="003F0AEF"/>
    <w:rsid w:val="003F0DDF"/>
    <w:rsid w:val="003F0E0A"/>
    <w:rsid w:val="003F0FA3"/>
    <w:rsid w:val="003F0FC9"/>
    <w:rsid w:val="003F1037"/>
    <w:rsid w:val="003F117F"/>
    <w:rsid w:val="003F1197"/>
    <w:rsid w:val="003F13C7"/>
    <w:rsid w:val="003F1510"/>
    <w:rsid w:val="003F1562"/>
    <w:rsid w:val="003F1632"/>
    <w:rsid w:val="003F1806"/>
    <w:rsid w:val="003F19A0"/>
    <w:rsid w:val="003F1E7F"/>
    <w:rsid w:val="003F1F98"/>
    <w:rsid w:val="003F2018"/>
    <w:rsid w:val="003F2059"/>
    <w:rsid w:val="003F211D"/>
    <w:rsid w:val="003F2337"/>
    <w:rsid w:val="003F2399"/>
    <w:rsid w:val="003F24EF"/>
    <w:rsid w:val="003F267E"/>
    <w:rsid w:val="003F2703"/>
    <w:rsid w:val="003F27B7"/>
    <w:rsid w:val="003F2B2F"/>
    <w:rsid w:val="003F2B8F"/>
    <w:rsid w:val="003F2DCC"/>
    <w:rsid w:val="003F2E41"/>
    <w:rsid w:val="003F313A"/>
    <w:rsid w:val="003F3191"/>
    <w:rsid w:val="003F31EE"/>
    <w:rsid w:val="003F32B4"/>
    <w:rsid w:val="003F33C9"/>
    <w:rsid w:val="003F37D1"/>
    <w:rsid w:val="003F38CD"/>
    <w:rsid w:val="003F3C06"/>
    <w:rsid w:val="003F3D19"/>
    <w:rsid w:val="003F3D3B"/>
    <w:rsid w:val="003F3DDF"/>
    <w:rsid w:val="003F4123"/>
    <w:rsid w:val="003F4153"/>
    <w:rsid w:val="003F4178"/>
    <w:rsid w:val="003F4401"/>
    <w:rsid w:val="003F449F"/>
    <w:rsid w:val="003F44A8"/>
    <w:rsid w:val="003F452A"/>
    <w:rsid w:val="003F48D7"/>
    <w:rsid w:val="003F48E1"/>
    <w:rsid w:val="003F49DB"/>
    <w:rsid w:val="003F4A90"/>
    <w:rsid w:val="003F4BC1"/>
    <w:rsid w:val="003F4D50"/>
    <w:rsid w:val="003F4DEC"/>
    <w:rsid w:val="003F5058"/>
    <w:rsid w:val="003F520E"/>
    <w:rsid w:val="003F52ED"/>
    <w:rsid w:val="003F577E"/>
    <w:rsid w:val="003F57D6"/>
    <w:rsid w:val="003F58AF"/>
    <w:rsid w:val="003F5A42"/>
    <w:rsid w:val="003F5A90"/>
    <w:rsid w:val="003F5AC5"/>
    <w:rsid w:val="003F5C2E"/>
    <w:rsid w:val="003F5E6E"/>
    <w:rsid w:val="003F6027"/>
    <w:rsid w:val="003F66EB"/>
    <w:rsid w:val="003F6AA3"/>
    <w:rsid w:val="003F6CCB"/>
    <w:rsid w:val="003F6D00"/>
    <w:rsid w:val="003F6E6F"/>
    <w:rsid w:val="003F6EDC"/>
    <w:rsid w:val="003F6EE6"/>
    <w:rsid w:val="003F6FCA"/>
    <w:rsid w:val="003F7058"/>
    <w:rsid w:val="003F710B"/>
    <w:rsid w:val="003F71A8"/>
    <w:rsid w:val="003F722B"/>
    <w:rsid w:val="003F78A4"/>
    <w:rsid w:val="003F78DF"/>
    <w:rsid w:val="003F7C33"/>
    <w:rsid w:val="00400069"/>
    <w:rsid w:val="004000B1"/>
    <w:rsid w:val="0040061B"/>
    <w:rsid w:val="00400658"/>
    <w:rsid w:val="00400A16"/>
    <w:rsid w:val="00400B7B"/>
    <w:rsid w:val="00400DEF"/>
    <w:rsid w:val="00400EB9"/>
    <w:rsid w:val="0040131B"/>
    <w:rsid w:val="004013E0"/>
    <w:rsid w:val="004013FD"/>
    <w:rsid w:val="00401443"/>
    <w:rsid w:val="0040158A"/>
    <w:rsid w:val="004015EE"/>
    <w:rsid w:val="00401657"/>
    <w:rsid w:val="00401689"/>
    <w:rsid w:val="004016A4"/>
    <w:rsid w:val="00401941"/>
    <w:rsid w:val="00401C2E"/>
    <w:rsid w:val="00401CC7"/>
    <w:rsid w:val="00401E75"/>
    <w:rsid w:val="00401EB5"/>
    <w:rsid w:val="00402224"/>
    <w:rsid w:val="00402252"/>
    <w:rsid w:val="00402409"/>
    <w:rsid w:val="00402523"/>
    <w:rsid w:val="00402562"/>
    <w:rsid w:val="00402A8F"/>
    <w:rsid w:val="00402B3B"/>
    <w:rsid w:val="00402E98"/>
    <w:rsid w:val="00402FD0"/>
    <w:rsid w:val="004030DE"/>
    <w:rsid w:val="00403278"/>
    <w:rsid w:val="004032EF"/>
    <w:rsid w:val="00403449"/>
    <w:rsid w:val="004035C3"/>
    <w:rsid w:val="004036FC"/>
    <w:rsid w:val="00403739"/>
    <w:rsid w:val="004038C7"/>
    <w:rsid w:val="004038CE"/>
    <w:rsid w:val="00403B0F"/>
    <w:rsid w:val="00403F38"/>
    <w:rsid w:val="0040420D"/>
    <w:rsid w:val="004042E7"/>
    <w:rsid w:val="00404327"/>
    <w:rsid w:val="00404340"/>
    <w:rsid w:val="00404356"/>
    <w:rsid w:val="0040447B"/>
    <w:rsid w:val="004046CB"/>
    <w:rsid w:val="00404738"/>
    <w:rsid w:val="00404772"/>
    <w:rsid w:val="00404BDF"/>
    <w:rsid w:val="00404BF0"/>
    <w:rsid w:val="00404C6D"/>
    <w:rsid w:val="00404E02"/>
    <w:rsid w:val="00404FDA"/>
    <w:rsid w:val="00405057"/>
    <w:rsid w:val="004051BA"/>
    <w:rsid w:val="0040530B"/>
    <w:rsid w:val="004054F3"/>
    <w:rsid w:val="004058A1"/>
    <w:rsid w:val="00405968"/>
    <w:rsid w:val="00405B44"/>
    <w:rsid w:val="00405B51"/>
    <w:rsid w:val="004060F2"/>
    <w:rsid w:val="00406389"/>
    <w:rsid w:val="004064F1"/>
    <w:rsid w:val="004068FA"/>
    <w:rsid w:val="00406936"/>
    <w:rsid w:val="00406A09"/>
    <w:rsid w:val="00406A46"/>
    <w:rsid w:val="00406A8E"/>
    <w:rsid w:val="00406ADF"/>
    <w:rsid w:val="00406AEF"/>
    <w:rsid w:val="00406D06"/>
    <w:rsid w:val="00406D91"/>
    <w:rsid w:val="00406DA8"/>
    <w:rsid w:val="00406DC6"/>
    <w:rsid w:val="00406E7F"/>
    <w:rsid w:val="00407082"/>
    <w:rsid w:val="00407145"/>
    <w:rsid w:val="00407208"/>
    <w:rsid w:val="004072A3"/>
    <w:rsid w:val="004073F6"/>
    <w:rsid w:val="0040759A"/>
    <w:rsid w:val="004077AF"/>
    <w:rsid w:val="004078D4"/>
    <w:rsid w:val="00407AFB"/>
    <w:rsid w:val="00407BA4"/>
    <w:rsid w:val="00407E55"/>
    <w:rsid w:val="00410293"/>
    <w:rsid w:val="00410400"/>
    <w:rsid w:val="00410424"/>
    <w:rsid w:val="00410688"/>
    <w:rsid w:val="00410748"/>
    <w:rsid w:val="00410796"/>
    <w:rsid w:val="004107BC"/>
    <w:rsid w:val="00410822"/>
    <w:rsid w:val="00410A04"/>
    <w:rsid w:val="00410B27"/>
    <w:rsid w:val="00410D0E"/>
    <w:rsid w:val="00411043"/>
    <w:rsid w:val="004112B2"/>
    <w:rsid w:val="004114C7"/>
    <w:rsid w:val="0041159F"/>
    <w:rsid w:val="00411639"/>
    <w:rsid w:val="004119A5"/>
    <w:rsid w:val="00411A3A"/>
    <w:rsid w:val="00411CF4"/>
    <w:rsid w:val="00411DD0"/>
    <w:rsid w:val="0041228D"/>
    <w:rsid w:val="004122BB"/>
    <w:rsid w:val="004123B5"/>
    <w:rsid w:val="00412559"/>
    <w:rsid w:val="00412B33"/>
    <w:rsid w:val="00412CCF"/>
    <w:rsid w:val="00413600"/>
    <w:rsid w:val="0041370E"/>
    <w:rsid w:val="00413732"/>
    <w:rsid w:val="0041376A"/>
    <w:rsid w:val="004138CF"/>
    <w:rsid w:val="004138F6"/>
    <w:rsid w:val="004139DC"/>
    <w:rsid w:val="00413D64"/>
    <w:rsid w:val="00413D89"/>
    <w:rsid w:val="00413D90"/>
    <w:rsid w:val="00413EA9"/>
    <w:rsid w:val="0041408B"/>
    <w:rsid w:val="0041410C"/>
    <w:rsid w:val="004141B4"/>
    <w:rsid w:val="0041459F"/>
    <w:rsid w:val="0041473B"/>
    <w:rsid w:val="004147FF"/>
    <w:rsid w:val="00414880"/>
    <w:rsid w:val="00414AE2"/>
    <w:rsid w:val="00414BE4"/>
    <w:rsid w:val="00414D12"/>
    <w:rsid w:val="00414F1D"/>
    <w:rsid w:val="00415293"/>
    <w:rsid w:val="0041544B"/>
    <w:rsid w:val="00415AA8"/>
    <w:rsid w:val="00415E46"/>
    <w:rsid w:val="0041621B"/>
    <w:rsid w:val="00416351"/>
    <w:rsid w:val="004163B4"/>
    <w:rsid w:val="004163B9"/>
    <w:rsid w:val="00416591"/>
    <w:rsid w:val="00416731"/>
    <w:rsid w:val="004167AC"/>
    <w:rsid w:val="00416A97"/>
    <w:rsid w:val="00416C1A"/>
    <w:rsid w:val="00416CB6"/>
    <w:rsid w:val="00416CE7"/>
    <w:rsid w:val="004173DC"/>
    <w:rsid w:val="00417407"/>
    <w:rsid w:val="004174EA"/>
    <w:rsid w:val="004175FC"/>
    <w:rsid w:val="00417624"/>
    <w:rsid w:val="004177A9"/>
    <w:rsid w:val="00417A3F"/>
    <w:rsid w:val="00417A95"/>
    <w:rsid w:val="00417B94"/>
    <w:rsid w:val="00417C1E"/>
    <w:rsid w:val="00417D4B"/>
    <w:rsid w:val="00417F8C"/>
    <w:rsid w:val="0042026C"/>
    <w:rsid w:val="004203A8"/>
    <w:rsid w:val="00420516"/>
    <w:rsid w:val="0042052B"/>
    <w:rsid w:val="00420567"/>
    <w:rsid w:val="00420B46"/>
    <w:rsid w:val="00420BBD"/>
    <w:rsid w:val="00420CB4"/>
    <w:rsid w:val="00420D01"/>
    <w:rsid w:val="00420E82"/>
    <w:rsid w:val="00420ED5"/>
    <w:rsid w:val="004214B6"/>
    <w:rsid w:val="00421770"/>
    <w:rsid w:val="004218BF"/>
    <w:rsid w:val="00421A4A"/>
    <w:rsid w:val="00421ABB"/>
    <w:rsid w:val="00421B98"/>
    <w:rsid w:val="00421F02"/>
    <w:rsid w:val="00421FB1"/>
    <w:rsid w:val="0042217C"/>
    <w:rsid w:val="0042245F"/>
    <w:rsid w:val="004224EF"/>
    <w:rsid w:val="0042265E"/>
    <w:rsid w:val="0042282F"/>
    <w:rsid w:val="00422AF3"/>
    <w:rsid w:val="00422B2B"/>
    <w:rsid w:val="00422B4D"/>
    <w:rsid w:val="00422F5F"/>
    <w:rsid w:val="00423352"/>
    <w:rsid w:val="0042341E"/>
    <w:rsid w:val="00423545"/>
    <w:rsid w:val="00423810"/>
    <w:rsid w:val="00423995"/>
    <w:rsid w:val="00423AC4"/>
    <w:rsid w:val="00423B80"/>
    <w:rsid w:val="00423BFC"/>
    <w:rsid w:val="00423DA4"/>
    <w:rsid w:val="0042446C"/>
    <w:rsid w:val="00424847"/>
    <w:rsid w:val="00424872"/>
    <w:rsid w:val="00424C16"/>
    <w:rsid w:val="00424E3E"/>
    <w:rsid w:val="00424EED"/>
    <w:rsid w:val="004253AC"/>
    <w:rsid w:val="004254DF"/>
    <w:rsid w:val="0042551B"/>
    <w:rsid w:val="00425754"/>
    <w:rsid w:val="004259A5"/>
    <w:rsid w:val="00425A61"/>
    <w:rsid w:val="00425B96"/>
    <w:rsid w:val="00425BCF"/>
    <w:rsid w:val="00426A52"/>
    <w:rsid w:val="00426A76"/>
    <w:rsid w:val="00426D3B"/>
    <w:rsid w:val="00426E51"/>
    <w:rsid w:val="0042703E"/>
    <w:rsid w:val="004270B9"/>
    <w:rsid w:val="00427131"/>
    <w:rsid w:val="004273BD"/>
    <w:rsid w:val="00427428"/>
    <w:rsid w:val="0042770C"/>
    <w:rsid w:val="0042770D"/>
    <w:rsid w:val="0042782F"/>
    <w:rsid w:val="00427850"/>
    <w:rsid w:val="00427B45"/>
    <w:rsid w:val="00427F5A"/>
    <w:rsid w:val="0043014D"/>
    <w:rsid w:val="00430167"/>
    <w:rsid w:val="0043021F"/>
    <w:rsid w:val="00430309"/>
    <w:rsid w:val="004303C5"/>
    <w:rsid w:val="00430502"/>
    <w:rsid w:val="004305D9"/>
    <w:rsid w:val="004307A1"/>
    <w:rsid w:val="0043098B"/>
    <w:rsid w:val="004309A8"/>
    <w:rsid w:val="00430B73"/>
    <w:rsid w:val="00430E7E"/>
    <w:rsid w:val="004310E9"/>
    <w:rsid w:val="004310FE"/>
    <w:rsid w:val="00431263"/>
    <w:rsid w:val="004313B8"/>
    <w:rsid w:val="004316BD"/>
    <w:rsid w:val="00431800"/>
    <w:rsid w:val="00431D10"/>
    <w:rsid w:val="00431E60"/>
    <w:rsid w:val="00432182"/>
    <w:rsid w:val="004323B6"/>
    <w:rsid w:val="00432467"/>
    <w:rsid w:val="00432608"/>
    <w:rsid w:val="00432634"/>
    <w:rsid w:val="00432BDB"/>
    <w:rsid w:val="00432DAC"/>
    <w:rsid w:val="00432DE2"/>
    <w:rsid w:val="00432EB1"/>
    <w:rsid w:val="00432ED1"/>
    <w:rsid w:val="00432F0C"/>
    <w:rsid w:val="00433387"/>
    <w:rsid w:val="00433529"/>
    <w:rsid w:val="00433591"/>
    <w:rsid w:val="00433769"/>
    <w:rsid w:val="00433AD0"/>
    <w:rsid w:val="00433D4B"/>
    <w:rsid w:val="00433DE8"/>
    <w:rsid w:val="00433EA9"/>
    <w:rsid w:val="00433EB0"/>
    <w:rsid w:val="00434161"/>
    <w:rsid w:val="0043470B"/>
    <w:rsid w:val="0043487A"/>
    <w:rsid w:val="00434D2C"/>
    <w:rsid w:val="00435003"/>
    <w:rsid w:val="004350DC"/>
    <w:rsid w:val="004351F4"/>
    <w:rsid w:val="0043522E"/>
    <w:rsid w:val="0043526D"/>
    <w:rsid w:val="00435628"/>
    <w:rsid w:val="004356AB"/>
    <w:rsid w:val="00435861"/>
    <w:rsid w:val="00435BD7"/>
    <w:rsid w:val="00435DFB"/>
    <w:rsid w:val="00436095"/>
    <w:rsid w:val="004361B6"/>
    <w:rsid w:val="00436345"/>
    <w:rsid w:val="0043648F"/>
    <w:rsid w:val="004366CF"/>
    <w:rsid w:val="004369F2"/>
    <w:rsid w:val="00436DA3"/>
    <w:rsid w:val="00437138"/>
    <w:rsid w:val="004374B3"/>
    <w:rsid w:val="004375D5"/>
    <w:rsid w:val="004376D6"/>
    <w:rsid w:val="00437893"/>
    <w:rsid w:val="00437912"/>
    <w:rsid w:val="00437967"/>
    <w:rsid w:val="004379CC"/>
    <w:rsid w:val="00437C53"/>
    <w:rsid w:val="00437D64"/>
    <w:rsid w:val="004401F2"/>
    <w:rsid w:val="0044028F"/>
    <w:rsid w:val="00440544"/>
    <w:rsid w:val="0044072D"/>
    <w:rsid w:val="00440970"/>
    <w:rsid w:val="00440E46"/>
    <w:rsid w:val="00440EB4"/>
    <w:rsid w:val="00440FC2"/>
    <w:rsid w:val="0044106A"/>
    <w:rsid w:val="0044126D"/>
    <w:rsid w:val="00441291"/>
    <w:rsid w:val="00441499"/>
    <w:rsid w:val="0044166F"/>
    <w:rsid w:val="00441920"/>
    <w:rsid w:val="00441DC5"/>
    <w:rsid w:val="00441E4D"/>
    <w:rsid w:val="00441F23"/>
    <w:rsid w:val="00441F36"/>
    <w:rsid w:val="00442278"/>
    <w:rsid w:val="004423BE"/>
    <w:rsid w:val="0044270E"/>
    <w:rsid w:val="00442982"/>
    <w:rsid w:val="004429AC"/>
    <w:rsid w:val="00442B1B"/>
    <w:rsid w:val="00442C9F"/>
    <w:rsid w:val="00442DDE"/>
    <w:rsid w:val="00442EB2"/>
    <w:rsid w:val="00442F18"/>
    <w:rsid w:val="00443162"/>
    <w:rsid w:val="004434A9"/>
    <w:rsid w:val="00443529"/>
    <w:rsid w:val="00443586"/>
    <w:rsid w:val="0044363F"/>
    <w:rsid w:val="0044393D"/>
    <w:rsid w:val="00443FB6"/>
    <w:rsid w:val="00444086"/>
    <w:rsid w:val="00444108"/>
    <w:rsid w:val="00444A4F"/>
    <w:rsid w:val="00444B38"/>
    <w:rsid w:val="00444EBC"/>
    <w:rsid w:val="004451C2"/>
    <w:rsid w:val="0044529A"/>
    <w:rsid w:val="004456AB"/>
    <w:rsid w:val="0044576B"/>
    <w:rsid w:val="00445848"/>
    <w:rsid w:val="00445954"/>
    <w:rsid w:val="00445975"/>
    <w:rsid w:val="00445A27"/>
    <w:rsid w:val="00445A2B"/>
    <w:rsid w:val="00445A79"/>
    <w:rsid w:val="00445B11"/>
    <w:rsid w:val="00445B45"/>
    <w:rsid w:val="00445D06"/>
    <w:rsid w:val="0044601D"/>
    <w:rsid w:val="004465B2"/>
    <w:rsid w:val="00446666"/>
    <w:rsid w:val="0044671C"/>
    <w:rsid w:val="004468A6"/>
    <w:rsid w:val="00446BB6"/>
    <w:rsid w:val="00446F6D"/>
    <w:rsid w:val="004473B7"/>
    <w:rsid w:val="004474F1"/>
    <w:rsid w:val="00447C5E"/>
    <w:rsid w:val="00447CB8"/>
    <w:rsid w:val="00447D5E"/>
    <w:rsid w:val="00447ECE"/>
    <w:rsid w:val="00450192"/>
    <w:rsid w:val="00450208"/>
    <w:rsid w:val="00450217"/>
    <w:rsid w:val="00450350"/>
    <w:rsid w:val="004504FF"/>
    <w:rsid w:val="00450577"/>
    <w:rsid w:val="00450624"/>
    <w:rsid w:val="0045066D"/>
    <w:rsid w:val="00450744"/>
    <w:rsid w:val="00450967"/>
    <w:rsid w:val="00450B9F"/>
    <w:rsid w:val="00450D0E"/>
    <w:rsid w:val="0045107F"/>
    <w:rsid w:val="0045111C"/>
    <w:rsid w:val="0045122E"/>
    <w:rsid w:val="0045122F"/>
    <w:rsid w:val="00451480"/>
    <w:rsid w:val="004515F7"/>
    <w:rsid w:val="0045169B"/>
    <w:rsid w:val="0045170E"/>
    <w:rsid w:val="0045191F"/>
    <w:rsid w:val="00451BDF"/>
    <w:rsid w:val="00451BFE"/>
    <w:rsid w:val="00451D20"/>
    <w:rsid w:val="00451E43"/>
    <w:rsid w:val="00451F3E"/>
    <w:rsid w:val="00451FAB"/>
    <w:rsid w:val="004521DF"/>
    <w:rsid w:val="00452397"/>
    <w:rsid w:val="00452535"/>
    <w:rsid w:val="00452549"/>
    <w:rsid w:val="004528AA"/>
    <w:rsid w:val="00453262"/>
    <w:rsid w:val="0045329E"/>
    <w:rsid w:val="004534F5"/>
    <w:rsid w:val="004535E5"/>
    <w:rsid w:val="00453B21"/>
    <w:rsid w:val="00453B3A"/>
    <w:rsid w:val="00453DBD"/>
    <w:rsid w:val="00453E9C"/>
    <w:rsid w:val="00454267"/>
    <w:rsid w:val="00454653"/>
    <w:rsid w:val="004547C6"/>
    <w:rsid w:val="00454941"/>
    <w:rsid w:val="00454962"/>
    <w:rsid w:val="00454AE6"/>
    <w:rsid w:val="00454C3C"/>
    <w:rsid w:val="00454D37"/>
    <w:rsid w:val="004552B5"/>
    <w:rsid w:val="004554C5"/>
    <w:rsid w:val="004554E5"/>
    <w:rsid w:val="00455539"/>
    <w:rsid w:val="00455638"/>
    <w:rsid w:val="004559A8"/>
    <w:rsid w:val="00455A41"/>
    <w:rsid w:val="00455B26"/>
    <w:rsid w:val="00455CD8"/>
    <w:rsid w:val="00455D6D"/>
    <w:rsid w:val="00456115"/>
    <w:rsid w:val="0045628F"/>
    <w:rsid w:val="004562E7"/>
    <w:rsid w:val="00456896"/>
    <w:rsid w:val="00456A5F"/>
    <w:rsid w:val="00456CB7"/>
    <w:rsid w:val="00456EE3"/>
    <w:rsid w:val="00456F41"/>
    <w:rsid w:val="004570BE"/>
    <w:rsid w:val="00457189"/>
    <w:rsid w:val="00457275"/>
    <w:rsid w:val="0045736B"/>
    <w:rsid w:val="004573C7"/>
    <w:rsid w:val="00457495"/>
    <w:rsid w:val="00457537"/>
    <w:rsid w:val="0045780A"/>
    <w:rsid w:val="0045793B"/>
    <w:rsid w:val="00457A66"/>
    <w:rsid w:val="00457BAC"/>
    <w:rsid w:val="00457C23"/>
    <w:rsid w:val="00457E87"/>
    <w:rsid w:val="0046017A"/>
    <w:rsid w:val="004604BF"/>
    <w:rsid w:val="00460533"/>
    <w:rsid w:val="00460616"/>
    <w:rsid w:val="00460660"/>
    <w:rsid w:val="004607BA"/>
    <w:rsid w:val="00461010"/>
    <w:rsid w:val="0046117F"/>
    <w:rsid w:val="004612D2"/>
    <w:rsid w:val="004613DF"/>
    <w:rsid w:val="00461410"/>
    <w:rsid w:val="0046152A"/>
    <w:rsid w:val="004615B6"/>
    <w:rsid w:val="00461957"/>
    <w:rsid w:val="00461B07"/>
    <w:rsid w:val="00461FE5"/>
    <w:rsid w:val="004620B8"/>
    <w:rsid w:val="00462184"/>
    <w:rsid w:val="0046221D"/>
    <w:rsid w:val="004622FC"/>
    <w:rsid w:val="00462441"/>
    <w:rsid w:val="00462539"/>
    <w:rsid w:val="00462562"/>
    <w:rsid w:val="0046275F"/>
    <w:rsid w:val="00462787"/>
    <w:rsid w:val="004628C8"/>
    <w:rsid w:val="00462974"/>
    <w:rsid w:val="00462A39"/>
    <w:rsid w:val="00462B1B"/>
    <w:rsid w:val="00462B3C"/>
    <w:rsid w:val="00462CFC"/>
    <w:rsid w:val="00462EFF"/>
    <w:rsid w:val="00463091"/>
    <w:rsid w:val="004630DB"/>
    <w:rsid w:val="004631D3"/>
    <w:rsid w:val="0046366B"/>
    <w:rsid w:val="00463815"/>
    <w:rsid w:val="00463A13"/>
    <w:rsid w:val="00463EE7"/>
    <w:rsid w:val="0046409D"/>
    <w:rsid w:val="0046417C"/>
    <w:rsid w:val="00464257"/>
    <w:rsid w:val="004649AA"/>
    <w:rsid w:val="00464ADC"/>
    <w:rsid w:val="00464B12"/>
    <w:rsid w:val="00464C58"/>
    <w:rsid w:val="00464D80"/>
    <w:rsid w:val="00464E8F"/>
    <w:rsid w:val="00465063"/>
    <w:rsid w:val="004652C1"/>
    <w:rsid w:val="004654D1"/>
    <w:rsid w:val="00465504"/>
    <w:rsid w:val="004655D6"/>
    <w:rsid w:val="0046560B"/>
    <w:rsid w:val="00465649"/>
    <w:rsid w:val="004656A9"/>
    <w:rsid w:val="004656DF"/>
    <w:rsid w:val="0046588B"/>
    <w:rsid w:val="00465C37"/>
    <w:rsid w:val="00465D0B"/>
    <w:rsid w:val="004662D4"/>
    <w:rsid w:val="00466511"/>
    <w:rsid w:val="004665D7"/>
    <w:rsid w:val="004665DB"/>
    <w:rsid w:val="00466634"/>
    <w:rsid w:val="00466912"/>
    <w:rsid w:val="004669C2"/>
    <w:rsid w:val="00466C45"/>
    <w:rsid w:val="00466CB5"/>
    <w:rsid w:val="00466E37"/>
    <w:rsid w:val="00466EDE"/>
    <w:rsid w:val="0046726F"/>
    <w:rsid w:val="004673D2"/>
    <w:rsid w:val="0046783B"/>
    <w:rsid w:val="004678A6"/>
    <w:rsid w:val="004678D5"/>
    <w:rsid w:val="00467AC7"/>
    <w:rsid w:val="00467BF9"/>
    <w:rsid w:val="00467D75"/>
    <w:rsid w:val="00467F05"/>
    <w:rsid w:val="00470419"/>
    <w:rsid w:val="004704E5"/>
    <w:rsid w:val="004706E7"/>
    <w:rsid w:val="0047095A"/>
    <w:rsid w:val="0047099F"/>
    <w:rsid w:val="00470AEB"/>
    <w:rsid w:val="00470AF1"/>
    <w:rsid w:val="00470C4F"/>
    <w:rsid w:val="00470C77"/>
    <w:rsid w:val="00470DD7"/>
    <w:rsid w:val="00470FCE"/>
    <w:rsid w:val="00470FFE"/>
    <w:rsid w:val="004719DC"/>
    <w:rsid w:val="00471B0B"/>
    <w:rsid w:val="00471D21"/>
    <w:rsid w:val="00471D3B"/>
    <w:rsid w:val="00471EBF"/>
    <w:rsid w:val="0047204C"/>
    <w:rsid w:val="00472423"/>
    <w:rsid w:val="004726B4"/>
    <w:rsid w:val="004726E7"/>
    <w:rsid w:val="00472A7B"/>
    <w:rsid w:val="00472B06"/>
    <w:rsid w:val="00472B35"/>
    <w:rsid w:val="00472B75"/>
    <w:rsid w:val="00472E93"/>
    <w:rsid w:val="00473001"/>
    <w:rsid w:val="004730C0"/>
    <w:rsid w:val="004731B2"/>
    <w:rsid w:val="004731C5"/>
    <w:rsid w:val="004732C2"/>
    <w:rsid w:val="004732C7"/>
    <w:rsid w:val="004732EA"/>
    <w:rsid w:val="00473402"/>
    <w:rsid w:val="0047349E"/>
    <w:rsid w:val="00473545"/>
    <w:rsid w:val="004736E1"/>
    <w:rsid w:val="004738F3"/>
    <w:rsid w:val="00473A94"/>
    <w:rsid w:val="00473AB4"/>
    <w:rsid w:val="00473BC4"/>
    <w:rsid w:val="00473D27"/>
    <w:rsid w:val="00473E77"/>
    <w:rsid w:val="004740D4"/>
    <w:rsid w:val="00474194"/>
    <w:rsid w:val="004742A1"/>
    <w:rsid w:val="00474590"/>
    <w:rsid w:val="004745A1"/>
    <w:rsid w:val="004745FA"/>
    <w:rsid w:val="00474739"/>
    <w:rsid w:val="004747D7"/>
    <w:rsid w:val="004748D5"/>
    <w:rsid w:val="00474939"/>
    <w:rsid w:val="00474969"/>
    <w:rsid w:val="00474AE7"/>
    <w:rsid w:val="00474F77"/>
    <w:rsid w:val="0047503A"/>
    <w:rsid w:val="004752CD"/>
    <w:rsid w:val="0047534D"/>
    <w:rsid w:val="0047547D"/>
    <w:rsid w:val="00475856"/>
    <w:rsid w:val="0047590C"/>
    <w:rsid w:val="004759A2"/>
    <w:rsid w:val="00475F7D"/>
    <w:rsid w:val="0047621D"/>
    <w:rsid w:val="004764C2"/>
    <w:rsid w:val="0047652D"/>
    <w:rsid w:val="004767D1"/>
    <w:rsid w:val="00476801"/>
    <w:rsid w:val="00476AEC"/>
    <w:rsid w:val="00476B00"/>
    <w:rsid w:val="004774F8"/>
    <w:rsid w:val="00477694"/>
    <w:rsid w:val="004776C8"/>
    <w:rsid w:val="00477968"/>
    <w:rsid w:val="00477CFE"/>
    <w:rsid w:val="00477F9D"/>
    <w:rsid w:val="00477FA6"/>
    <w:rsid w:val="00477FAA"/>
    <w:rsid w:val="00477FC8"/>
    <w:rsid w:val="0048047D"/>
    <w:rsid w:val="004806E8"/>
    <w:rsid w:val="00480A6E"/>
    <w:rsid w:val="00480A73"/>
    <w:rsid w:val="00480AE9"/>
    <w:rsid w:val="00480C17"/>
    <w:rsid w:val="004811A1"/>
    <w:rsid w:val="00481266"/>
    <w:rsid w:val="00481490"/>
    <w:rsid w:val="00481597"/>
    <w:rsid w:val="004819A7"/>
    <w:rsid w:val="004819CD"/>
    <w:rsid w:val="00481A2C"/>
    <w:rsid w:val="00481BDE"/>
    <w:rsid w:val="00481C68"/>
    <w:rsid w:val="00481D04"/>
    <w:rsid w:val="0048215C"/>
    <w:rsid w:val="00482270"/>
    <w:rsid w:val="0048233B"/>
    <w:rsid w:val="004823CA"/>
    <w:rsid w:val="0048244B"/>
    <w:rsid w:val="00482468"/>
    <w:rsid w:val="00482696"/>
    <w:rsid w:val="00482801"/>
    <w:rsid w:val="00482948"/>
    <w:rsid w:val="00482956"/>
    <w:rsid w:val="00482B16"/>
    <w:rsid w:val="00482CAF"/>
    <w:rsid w:val="00482D26"/>
    <w:rsid w:val="00482D2C"/>
    <w:rsid w:val="00482D73"/>
    <w:rsid w:val="00482D81"/>
    <w:rsid w:val="004830A9"/>
    <w:rsid w:val="00483267"/>
    <w:rsid w:val="0048343A"/>
    <w:rsid w:val="00483693"/>
    <w:rsid w:val="00483AA8"/>
    <w:rsid w:val="00483C15"/>
    <w:rsid w:val="00483E2A"/>
    <w:rsid w:val="004840FE"/>
    <w:rsid w:val="004842A0"/>
    <w:rsid w:val="00484662"/>
    <w:rsid w:val="004847A1"/>
    <w:rsid w:val="00484920"/>
    <w:rsid w:val="00484B10"/>
    <w:rsid w:val="00484FDA"/>
    <w:rsid w:val="00484FEE"/>
    <w:rsid w:val="004853CC"/>
    <w:rsid w:val="0048541C"/>
    <w:rsid w:val="004856FE"/>
    <w:rsid w:val="00485791"/>
    <w:rsid w:val="004857CB"/>
    <w:rsid w:val="004857F0"/>
    <w:rsid w:val="00485940"/>
    <w:rsid w:val="00485982"/>
    <w:rsid w:val="00485A08"/>
    <w:rsid w:val="00485DBF"/>
    <w:rsid w:val="00485FFF"/>
    <w:rsid w:val="004861BB"/>
    <w:rsid w:val="004861FC"/>
    <w:rsid w:val="0048668A"/>
    <w:rsid w:val="00486912"/>
    <w:rsid w:val="00486B36"/>
    <w:rsid w:val="00486E88"/>
    <w:rsid w:val="00486F90"/>
    <w:rsid w:val="004872D5"/>
    <w:rsid w:val="004872D9"/>
    <w:rsid w:val="00487433"/>
    <w:rsid w:val="00487450"/>
    <w:rsid w:val="004874CD"/>
    <w:rsid w:val="0048763F"/>
    <w:rsid w:val="00487EA1"/>
    <w:rsid w:val="00487FF6"/>
    <w:rsid w:val="004900DC"/>
    <w:rsid w:val="0049017D"/>
    <w:rsid w:val="004901D8"/>
    <w:rsid w:val="00490625"/>
    <w:rsid w:val="00490757"/>
    <w:rsid w:val="00490BAD"/>
    <w:rsid w:val="00490BD1"/>
    <w:rsid w:val="00490C50"/>
    <w:rsid w:val="00490E3F"/>
    <w:rsid w:val="0049115B"/>
    <w:rsid w:val="00491563"/>
    <w:rsid w:val="00491886"/>
    <w:rsid w:val="00491CDD"/>
    <w:rsid w:val="00491D9C"/>
    <w:rsid w:val="00491DDA"/>
    <w:rsid w:val="00491E5F"/>
    <w:rsid w:val="00491E7D"/>
    <w:rsid w:val="00491EB5"/>
    <w:rsid w:val="0049223B"/>
    <w:rsid w:val="004923A7"/>
    <w:rsid w:val="004923FA"/>
    <w:rsid w:val="0049245F"/>
    <w:rsid w:val="004924B6"/>
    <w:rsid w:val="0049257F"/>
    <w:rsid w:val="004926DC"/>
    <w:rsid w:val="004928EE"/>
    <w:rsid w:val="004929C5"/>
    <w:rsid w:val="00492AFA"/>
    <w:rsid w:val="00492E8E"/>
    <w:rsid w:val="00492F43"/>
    <w:rsid w:val="00493348"/>
    <w:rsid w:val="004933E0"/>
    <w:rsid w:val="00493430"/>
    <w:rsid w:val="004934AE"/>
    <w:rsid w:val="00493695"/>
    <w:rsid w:val="004939CE"/>
    <w:rsid w:val="00493B91"/>
    <w:rsid w:val="00493C02"/>
    <w:rsid w:val="00493D5D"/>
    <w:rsid w:val="00493E20"/>
    <w:rsid w:val="00493ECE"/>
    <w:rsid w:val="004943A1"/>
    <w:rsid w:val="00494C0A"/>
    <w:rsid w:val="00494C42"/>
    <w:rsid w:val="00494D35"/>
    <w:rsid w:val="0049514B"/>
    <w:rsid w:val="0049548D"/>
    <w:rsid w:val="00495736"/>
    <w:rsid w:val="004957D2"/>
    <w:rsid w:val="00495AD8"/>
    <w:rsid w:val="00495DCE"/>
    <w:rsid w:val="00495E77"/>
    <w:rsid w:val="00495FFB"/>
    <w:rsid w:val="004964C6"/>
    <w:rsid w:val="0049669A"/>
    <w:rsid w:val="00496938"/>
    <w:rsid w:val="00496A45"/>
    <w:rsid w:val="00496BC9"/>
    <w:rsid w:val="00496C54"/>
    <w:rsid w:val="00496F5C"/>
    <w:rsid w:val="00496FE1"/>
    <w:rsid w:val="00497003"/>
    <w:rsid w:val="00497031"/>
    <w:rsid w:val="00497078"/>
    <w:rsid w:val="00497325"/>
    <w:rsid w:val="0049745B"/>
    <w:rsid w:val="004976F2"/>
    <w:rsid w:val="004979A1"/>
    <w:rsid w:val="00497A06"/>
    <w:rsid w:val="00497F55"/>
    <w:rsid w:val="004A0175"/>
    <w:rsid w:val="004A02FC"/>
    <w:rsid w:val="004A03F3"/>
    <w:rsid w:val="004A04D2"/>
    <w:rsid w:val="004A0686"/>
    <w:rsid w:val="004A06CE"/>
    <w:rsid w:val="004A0A7A"/>
    <w:rsid w:val="004A0D9C"/>
    <w:rsid w:val="004A0F7A"/>
    <w:rsid w:val="004A1097"/>
    <w:rsid w:val="004A1189"/>
    <w:rsid w:val="004A11CE"/>
    <w:rsid w:val="004A1BD5"/>
    <w:rsid w:val="004A1EE5"/>
    <w:rsid w:val="004A2056"/>
    <w:rsid w:val="004A20BC"/>
    <w:rsid w:val="004A2293"/>
    <w:rsid w:val="004A27C6"/>
    <w:rsid w:val="004A2CAC"/>
    <w:rsid w:val="004A31A3"/>
    <w:rsid w:val="004A3405"/>
    <w:rsid w:val="004A3812"/>
    <w:rsid w:val="004A3817"/>
    <w:rsid w:val="004A3844"/>
    <w:rsid w:val="004A38EF"/>
    <w:rsid w:val="004A3A32"/>
    <w:rsid w:val="004A3B4F"/>
    <w:rsid w:val="004A3CFC"/>
    <w:rsid w:val="004A3EFC"/>
    <w:rsid w:val="004A3F27"/>
    <w:rsid w:val="004A42AA"/>
    <w:rsid w:val="004A4436"/>
    <w:rsid w:val="004A4632"/>
    <w:rsid w:val="004A496E"/>
    <w:rsid w:val="004A4B78"/>
    <w:rsid w:val="004A4BC5"/>
    <w:rsid w:val="004A4DF3"/>
    <w:rsid w:val="004A4EF0"/>
    <w:rsid w:val="004A5048"/>
    <w:rsid w:val="004A5055"/>
    <w:rsid w:val="004A5714"/>
    <w:rsid w:val="004A57BD"/>
    <w:rsid w:val="004A57EF"/>
    <w:rsid w:val="004A58DA"/>
    <w:rsid w:val="004A5A82"/>
    <w:rsid w:val="004A5C6A"/>
    <w:rsid w:val="004A649C"/>
    <w:rsid w:val="004A64AD"/>
    <w:rsid w:val="004A6604"/>
    <w:rsid w:val="004A66DC"/>
    <w:rsid w:val="004A6720"/>
    <w:rsid w:val="004A6724"/>
    <w:rsid w:val="004A68A9"/>
    <w:rsid w:val="004A6939"/>
    <w:rsid w:val="004A6A01"/>
    <w:rsid w:val="004A6A95"/>
    <w:rsid w:val="004A6C4A"/>
    <w:rsid w:val="004A6C9F"/>
    <w:rsid w:val="004A6DB3"/>
    <w:rsid w:val="004A6DDA"/>
    <w:rsid w:val="004A6EEF"/>
    <w:rsid w:val="004A7101"/>
    <w:rsid w:val="004A7257"/>
    <w:rsid w:val="004A728E"/>
    <w:rsid w:val="004A737E"/>
    <w:rsid w:val="004A73C0"/>
    <w:rsid w:val="004A770B"/>
    <w:rsid w:val="004A78A4"/>
    <w:rsid w:val="004A7A05"/>
    <w:rsid w:val="004A7A29"/>
    <w:rsid w:val="004A7B26"/>
    <w:rsid w:val="004A7B60"/>
    <w:rsid w:val="004B00B5"/>
    <w:rsid w:val="004B0163"/>
    <w:rsid w:val="004B01B7"/>
    <w:rsid w:val="004B0318"/>
    <w:rsid w:val="004B0354"/>
    <w:rsid w:val="004B03F3"/>
    <w:rsid w:val="004B0535"/>
    <w:rsid w:val="004B0557"/>
    <w:rsid w:val="004B075A"/>
    <w:rsid w:val="004B08C9"/>
    <w:rsid w:val="004B0981"/>
    <w:rsid w:val="004B09BA"/>
    <w:rsid w:val="004B0FBA"/>
    <w:rsid w:val="004B106B"/>
    <w:rsid w:val="004B16CD"/>
    <w:rsid w:val="004B18CD"/>
    <w:rsid w:val="004B1D0C"/>
    <w:rsid w:val="004B1D54"/>
    <w:rsid w:val="004B1E3A"/>
    <w:rsid w:val="004B2161"/>
    <w:rsid w:val="004B2477"/>
    <w:rsid w:val="004B2AF5"/>
    <w:rsid w:val="004B2C3D"/>
    <w:rsid w:val="004B2C5E"/>
    <w:rsid w:val="004B2FF1"/>
    <w:rsid w:val="004B30F0"/>
    <w:rsid w:val="004B30F4"/>
    <w:rsid w:val="004B317D"/>
    <w:rsid w:val="004B3182"/>
    <w:rsid w:val="004B331A"/>
    <w:rsid w:val="004B3350"/>
    <w:rsid w:val="004B34A5"/>
    <w:rsid w:val="004B360F"/>
    <w:rsid w:val="004B398F"/>
    <w:rsid w:val="004B39A4"/>
    <w:rsid w:val="004B3B74"/>
    <w:rsid w:val="004B3D72"/>
    <w:rsid w:val="004B418F"/>
    <w:rsid w:val="004B41F0"/>
    <w:rsid w:val="004B4360"/>
    <w:rsid w:val="004B43B9"/>
    <w:rsid w:val="004B44CD"/>
    <w:rsid w:val="004B4598"/>
    <w:rsid w:val="004B45B8"/>
    <w:rsid w:val="004B4716"/>
    <w:rsid w:val="004B4733"/>
    <w:rsid w:val="004B476F"/>
    <w:rsid w:val="004B4B22"/>
    <w:rsid w:val="004B4B49"/>
    <w:rsid w:val="004B4CBB"/>
    <w:rsid w:val="004B4D1D"/>
    <w:rsid w:val="004B4D76"/>
    <w:rsid w:val="004B4D93"/>
    <w:rsid w:val="004B4DAA"/>
    <w:rsid w:val="004B4E24"/>
    <w:rsid w:val="004B4FC6"/>
    <w:rsid w:val="004B54CB"/>
    <w:rsid w:val="004B5634"/>
    <w:rsid w:val="004B5681"/>
    <w:rsid w:val="004B56BB"/>
    <w:rsid w:val="004B56F0"/>
    <w:rsid w:val="004B5984"/>
    <w:rsid w:val="004B5B21"/>
    <w:rsid w:val="004B5FA9"/>
    <w:rsid w:val="004B62D0"/>
    <w:rsid w:val="004B6425"/>
    <w:rsid w:val="004B65F0"/>
    <w:rsid w:val="004B6A6A"/>
    <w:rsid w:val="004B7068"/>
    <w:rsid w:val="004B7139"/>
    <w:rsid w:val="004B7146"/>
    <w:rsid w:val="004B71BA"/>
    <w:rsid w:val="004B7555"/>
    <w:rsid w:val="004B78F6"/>
    <w:rsid w:val="004B79DD"/>
    <w:rsid w:val="004B7A54"/>
    <w:rsid w:val="004B7C8F"/>
    <w:rsid w:val="004B7D93"/>
    <w:rsid w:val="004B7E3E"/>
    <w:rsid w:val="004B7F86"/>
    <w:rsid w:val="004C02EA"/>
    <w:rsid w:val="004C08FB"/>
    <w:rsid w:val="004C092D"/>
    <w:rsid w:val="004C0D99"/>
    <w:rsid w:val="004C0F83"/>
    <w:rsid w:val="004C117D"/>
    <w:rsid w:val="004C1214"/>
    <w:rsid w:val="004C125D"/>
    <w:rsid w:val="004C12E6"/>
    <w:rsid w:val="004C1570"/>
    <w:rsid w:val="004C1AF7"/>
    <w:rsid w:val="004C1CD1"/>
    <w:rsid w:val="004C1CD6"/>
    <w:rsid w:val="004C1CE1"/>
    <w:rsid w:val="004C1FA4"/>
    <w:rsid w:val="004C1FE3"/>
    <w:rsid w:val="004C2091"/>
    <w:rsid w:val="004C2150"/>
    <w:rsid w:val="004C21AF"/>
    <w:rsid w:val="004C23CF"/>
    <w:rsid w:val="004C2433"/>
    <w:rsid w:val="004C2437"/>
    <w:rsid w:val="004C2439"/>
    <w:rsid w:val="004C245D"/>
    <w:rsid w:val="004C297F"/>
    <w:rsid w:val="004C29F4"/>
    <w:rsid w:val="004C2BDF"/>
    <w:rsid w:val="004C2C9C"/>
    <w:rsid w:val="004C2D74"/>
    <w:rsid w:val="004C2EAE"/>
    <w:rsid w:val="004C2FF5"/>
    <w:rsid w:val="004C3627"/>
    <w:rsid w:val="004C38A8"/>
    <w:rsid w:val="004C3978"/>
    <w:rsid w:val="004C3E65"/>
    <w:rsid w:val="004C3ED3"/>
    <w:rsid w:val="004C3ED8"/>
    <w:rsid w:val="004C3EEE"/>
    <w:rsid w:val="004C41A3"/>
    <w:rsid w:val="004C42EC"/>
    <w:rsid w:val="004C4388"/>
    <w:rsid w:val="004C471B"/>
    <w:rsid w:val="004C47C5"/>
    <w:rsid w:val="004C47DE"/>
    <w:rsid w:val="004C47E3"/>
    <w:rsid w:val="004C483E"/>
    <w:rsid w:val="004C4A1B"/>
    <w:rsid w:val="004C4B17"/>
    <w:rsid w:val="004C4C0B"/>
    <w:rsid w:val="004C4CBE"/>
    <w:rsid w:val="004C4D26"/>
    <w:rsid w:val="004C4E02"/>
    <w:rsid w:val="004C5020"/>
    <w:rsid w:val="004C5120"/>
    <w:rsid w:val="004C51DB"/>
    <w:rsid w:val="004C5364"/>
    <w:rsid w:val="004C549F"/>
    <w:rsid w:val="004C578D"/>
    <w:rsid w:val="004C57CB"/>
    <w:rsid w:val="004C587F"/>
    <w:rsid w:val="004C59E9"/>
    <w:rsid w:val="004C5A11"/>
    <w:rsid w:val="004C5CF2"/>
    <w:rsid w:val="004C5DFE"/>
    <w:rsid w:val="004C5E3D"/>
    <w:rsid w:val="004C5E47"/>
    <w:rsid w:val="004C5E91"/>
    <w:rsid w:val="004C5FAA"/>
    <w:rsid w:val="004C64AB"/>
    <w:rsid w:val="004C6A06"/>
    <w:rsid w:val="004C6A28"/>
    <w:rsid w:val="004C6E5D"/>
    <w:rsid w:val="004C71AD"/>
    <w:rsid w:val="004C726C"/>
    <w:rsid w:val="004C730A"/>
    <w:rsid w:val="004C73CD"/>
    <w:rsid w:val="004C740E"/>
    <w:rsid w:val="004C7727"/>
    <w:rsid w:val="004C7C30"/>
    <w:rsid w:val="004C7F82"/>
    <w:rsid w:val="004D00C7"/>
    <w:rsid w:val="004D0398"/>
    <w:rsid w:val="004D049D"/>
    <w:rsid w:val="004D0553"/>
    <w:rsid w:val="004D0974"/>
    <w:rsid w:val="004D0B90"/>
    <w:rsid w:val="004D10BF"/>
    <w:rsid w:val="004D14B1"/>
    <w:rsid w:val="004D1567"/>
    <w:rsid w:val="004D15E5"/>
    <w:rsid w:val="004D1710"/>
    <w:rsid w:val="004D1A73"/>
    <w:rsid w:val="004D1A7A"/>
    <w:rsid w:val="004D1C75"/>
    <w:rsid w:val="004D1DE4"/>
    <w:rsid w:val="004D1F31"/>
    <w:rsid w:val="004D1FDF"/>
    <w:rsid w:val="004D2041"/>
    <w:rsid w:val="004D2171"/>
    <w:rsid w:val="004D2221"/>
    <w:rsid w:val="004D2AA4"/>
    <w:rsid w:val="004D2B6A"/>
    <w:rsid w:val="004D2C93"/>
    <w:rsid w:val="004D2CD7"/>
    <w:rsid w:val="004D2DBE"/>
    <w:rsid w:val="004D2F95"/>
    <w:rsid w:val="004D300C"/>
    <w:rsid w:val="004D308E"/>
    <w:rsid w:val="004D3494"/>
    <w:rsid w:val="004D39E5"/>
    <w:rsid w:val="004D4066"/>
    <w:rsid w:val="004D407E"/>
    <w:rsid w:val="004D4271"/>
    <w:rsid w:val="004D4512"/>
    <w:rsid w:val="004D457E"/>
    <w:rsid w:val="004D463B"/>
    <w:rsid w:val="004D47D2"/>
    <w:rsid w:val="004D47F9"/>
    <w:rsid w:val="004D4942"/>
    <w:rsid w:val="004D49BF"/>
    <w:rsid w:val="004D4A44"/>
    <w:rsid w:val="004D4B54"/>
    <w:rsid w:val="004D4E3F"/>
    <w:rsid w:val="004D4EC1"/>
    <w:rsid w:val="004D5096"/>
    <w:rsid w:val="004D5431"/>
    <w:rsid w:val="004D549A"/>
    <w:rsid w:val="004D549C"/>
    <w:rsid w:val="004D54D8"/>
    <w:rsid w:val="004D554A"/>
    <w:rsid w:val="004D595B"/>
    <w:rsid w:val="004D59E8"/>
    <w:rsid w:val="004D5D4F"/>
    <w:rsid w:val="004D5DB6"/>
    <w:rsid w:val="004D60C6"/>
    <w:rsid w:val="004D62CD"/>
    <w:rsid w:val="004D63B8"/>
    <w:rsid w:val="004D648C"/>
    <w:rsid w:val="004D6580"/>
    <w:rsid w:val="004D676F"/>
    <w:rsid w:val="004D67D1"/>
    <w:rsid w:val="004D6800"/>
    <w:rsid w:val="004D6B68"/>
    <w:rsid w:val="004D6BCF"/>
    <w:rsid w:val="004D6C34"/>
    <w:rsid w:val="004D6D4E"/>
    <w:rsid w:val="004D6FAF"/>
    <w:rsid w:val="004D7024"/>
    <w:rsid w:val="004D7050"/>
    <w:rsid w:val="004D7112"/>
    <w:rsid w:val="004D7145"/>
    <w:rsid w:val="004D7229"/>
    <w:rsid w:val="004D7234"/>
    <w:rsid w:val="004D753A"/>
    <w:rsid w:val="004D779C"/>
    <w:rsid w:val="004D7886"/>
    <w:rsid w:val="004D7888"/>
    <w:rsid w:val="004D78B5"/>
    <w:rsid w:val="004D7940"/>
    <w:rsid w:val="004D7B0B"/>
    <w:rsid w:val="004D7F16"/>
    <w:rsid w:val="004E0305"/>
    <w:rsid w:val="004E03AA"/>
    <w:rsid w:val="004E045D"/>
    <w:rsid w:val="004E0699"/>
    <w:rsid w:val="004E0937"/>
    <w:rsid w:val="004E148A"/>
    <w:rsid w:val="004E1716"/>
    <w:rsid w:val="004E1879"/>
    <w:rsid w:val="004E19CA"/>
    <w:rsid w:val="004E1AC5"/>
    <w:rsid w:val="004E1C05"/>
    <w:rsid w:val="004E1D60"/>
    <w:rsid w:val="004E1E2B"/>
    <w:rsid w:val="004E1F3F"/>
    <w:rsid w:val="004E1FDB"/>
    <w:rsid w:val="004E211B"/>
    <w:rsid w:val="004E26BA"/>
    <w:rsid w:val="004E27C3"/>
    <w:rsid w:val="004E2970"/>
    <w:rsid w:val="004E2C7B"/>
    <w:rsid w:val="004E2DE7"/>
    <w:rsid w:val="004E2EFB"/>
    <w:rsid w:val="004E30B2"/>
    <w:rsid w:val="004E31A9"/>
    <w:rsid w:val="004E3405"/>
    <w:rsid w:val="004E34C9"/>
    <w:rsid w:val="004E34D7"/>
    <w:rsid w:val="004E35FF"/>
    <w:rsid w:val="004E3611"/>
    <w:rsid w:val="004E38C6"/>
    <w:rsid w:val="004E3997"/>
    <w:rsid w:val="004E39CB"/>
    <w:rsid w:val="004E3A64"/>
    <w:rsid w:val="004E3AB6"/>
    <w:rsid w:val="004E3B5D"/>
    <w:rsid w:val="004E42C2"/>
    <w:rsid w:val="004E431D"/>
    <w:rsid w:val="004E480E"/>
    <w:rsid w:val="004E530C"/>
    <w:rsid w:val="004E5431"/>
    <w:rsid w:val="004E55BA"/>
    <w:rsid w:val="004E55F2"/>
    <w:rsid w:val="004E55F4"/>
    <w:rsid w:val="004E568B"/>
    <w:rsid w:val="004E56FC"/>
    <w:rsid w:val="004E582F"/>
    <w:rsid w:val="004E5910"/>
    <w:rsid w:val="004E5996"/>
    <w:rsid w:val="004E5A6E"/>
    <w:rsid w:val="004E621A"/>
    <w:rsid w:val="004E694D"/>
    <w:rsid w:val="004E6968"/>
    <w:rsid w:val="004E6A29"/>
    <w:rsid w:val="004E6B58"/>
    <w:rsid w:val="004E6DE3"/>
    <w:rsid w:val="004E6F59"/>
    <w:rsid w:val="004E72B8"/>
    <w:rsid w:val="004E7455"/>
    <w:rsid w:val="004E74A4"/>
    <w:rsid w:val="004E76E2"/>
    <w:rsid w:val="004E786F"/>
    <w:rsid w:val="004E78B3"/>
    <w:rsid w:val="004E7905"/>
    <w:rsid w:val="004E7973"/>
    <w:rsid w:val="004F0703"/>
    <w:rsid w:val="004F079C"/>
    <w:rsid w:val="004F07F6"/>
    <w:rsid w:val="004F094C"/>
    <w:rsid w:val="004F0F77"/>
    <w:rsid w:val="004F0FBA"/>
    <w:rsid w:val="004F1377"/>
    <w:rsid w:val="004F151E"/>
    <w:rsid w:val="004F1522"/>
    <w:rsid w:val="004F18DD"/>
    <w:rsid w:val="004F198A"/>
    <w:rsid w:val="004F1BCD"/>
    <w:rsid w:val="004F1C45"/>
    <w:rsid w:val="004F1D11"/>
    <w:rsid w:val="004F1DB0"/>
    <w:rsid w:val="004F1E97"/>
    <w:rsid w:val="004F1F80"/>
    <w:rsid w:val="004F20BA"/>
    <w:rsid w:val="004F2399"/>
    <w:rsid w:val="004F249C"/>
    <w:rsid w:val="004F2531"/>
    <w:rsid w:val="004F2937"/>
    <w:rsid w:val="004F2989"/>
    <w:rsid w:val="004F2C22"/>
    <w:rsid w:val="004F2CE7"/>
    <w:rsid w:val="004F2D4B"/>
    <w:rsid w:val="004F3187"/>
    <w:rsid w:val="004F32C2"/>
    <w:rsid w:val="004F3343"/>
    <w:rsid w:val="004F3780"/>
    <w:rsid w:val="004F3984"/>
    <w:rsid w:val="004F3A71"/>
    <w:rsid w:val="004F3BCF"/>
    <w:rsid w:val="004F3C96"/>
    <w:rsid w:val="004F3F40"/>
    <w:rsid w:val="004F4691"/>
    <w:rsid w:val="004F4DBA"/>
    <w:rsid w:val="004F4EBC"/>
    <w:rsid w:val="004F520F"/>
    <w:rsid w:val="004F5318"/>
    <w:rsid w:val="004F5322"/>
    <w:rsid w:val="004F56D0"/>
    <w:rsid w:val="004F56FA"/>
    <w:rsid w:val="004F57A7"/>
    <w:rsid w:val="004F58ED"/>
    <w:rsid w:val="004F59B3"/>
    <w:rsid w:val="004F5C5C"/>
    <w:rsid w:val="004F5D23"/>
    <w:rsid w:val="004F5DDC"/>
    <w:rsid w:val="004F5E53"/>
    <w:rsid w:val="004F619D"/>
    <w:rsid w:val="004F61B5"/>
    <w:rsid w:val="004F633D"/>
    <w:rsid w:val="004F6350"/>
    <w:rsid w:val="004F6625"/>
    <w:rsid w:val="004F664C"/>
    <w:rsid w:val="004F682B"/>
    <w:rsid w:val="004F692C"/>
    <w:rsid w:val="004F6996"/>
    <w:rsid w:val="004F6AE0"/>
    <w:rsid w:val="004F6F18"/>
    <w:rsid w:val="004F6F22"/>
    <w:rsid w:val="004F7065"/>
    <w:rsid w:val="004F7220"/>
    <w:rsid w:val="004F74DD"/>
    <w:rsid w:val="004F756F"/>
    <w:rsid w:val="004F7671"/>
    <w:rsid w:val="004F794D"/>
    <w:rsid w:val="004F7A00"/>
    <w:rsid w:val="004F7A3F"/>
    <w:rsid w:val="004F7ABD"/>
    <w:rsid w:val="004F7DEE"/>
    <w:rsid w:val="004F7F29"/>
    <w:rsid w:val="00500317"/>
    <w:rsid w:val="00500450"/>
    <w:rsid w:val="005007BA"/>
    <w:rsid w:val="00500936"/>
    <w:rsid w:val="00500E8F"/>
    <w:rsid w:val="005012D6"/>
    <w:rsid w:val="00501585"/>
    <w:rsid w:val="005015AF"/>
    <w:rsid w:val="00501726"/>
    <w:rsid w:val="00501AA2"/>
    <w:rsid w:val="00501ACA"/>
    <w:rsid w:val="00501B06"/>
    <w:rsid w:val="00501B31"/>
    <w:rsid w:val="00501B68"/>
    <w:rsid w:val="00501CB5"/>
    <w:rsid w:val="00501D1F"/>
    <w:rsid w:val="00501D5E"/>
    <w:rsid w:val="00501D74"/>
    <w:rsid w:val="00501D9A"/>
    <w:rsid w:val="00501EAB"/>
    <w:rsid w:val="0050222D"/>
    <w:rsid w:val="0050229B"/>
    <w:rsid w:val="00502888"/>
    <w:rsid w:val="0050288B"/>
    <w:rsid w:val="005029BB"/>
    <w:rsid w:val="005029F3"/>
    <w:rsid w:val="00502B2F"/>
    <w:rsid w:val="00502CFD"/>
    <w:rsid w:val="0050356E"/>
    <w:rsid w:val="00503580"/>
    <w:rsid w:val="005037BB"/>
    <w:rsid w:val="0050393F"/>
    <w:rsid w:val="00503AD6"/>
    <w:rsid w:val="00503C1C"/>
    <w:rsid w:val="00503D8E"/>
    <w:rsid w:val="00503F6F"/>
    <w:rsid w:val="00503FB1"/>
    <w:rsid w:val="00503FE7"/>
    <w:rsid w:val="0050418E"/>
    <w:rsid w:val="0050426D"/>
    <w:rsid w:val="005043EB"/>
    <w:rsid w:val="00504517"/>
    <w:rsid w:val="0050458E"/>
    <w:rsid w:val="005046D6"/>
    <w:rsid w:val="00504713"/>
    <w:rsid w:val="00504913"/>
    <w:rsid w:val="00504C8A"/>
    <w:rsid w:val="00505265"/>
    <w:rsid w:val="005052B0"/>
    <w:rsid w:val="005053FB"/>
    <w:rsid w:val="00505691"/>
    <w:rsid w:val="00505850"/>
    <w:rsid w:val="00505907"/>
    <w:rsid w:val="00505936"/>
    <w:rsid w:val="00505A12"/>
    <w:rsid w:val="00505C09"/>
    <w:rsid w:val="00505CD0"/>
    <w:rsid w:val="00505E70"/>
    <w:rsid w:val="00505FB8"/>
    <w:rsid w:val="005060DA"/>
    <w:rsid w:val="005063E2"/>
    <w:rsid w:val="00506483"/>
    <w:rsid w:val="005064D6"/>
    <w:rsid w:val="00506692"/>
    <w:rsid w:val="005068C8"/>
    <w:rsid w:val="005068D3"/>
    <w:rsid w:val="0050695A"/>
    <w:rsid w:val="00506A47"/>
    <w:rsid w:val="00506ABB"/>
    <w:rsid w:val="00506E5A"/>
    <w:rsid w:val="00506E90"/>
    <w:rsid w:val="00506EFF"/>
    <w:rsid w:val="00506FB9"/>
    <w:rsid w:val="005073F5"/>
    <w:rsid w:val="00507692"/>
    <w:rsid w:val="005077D2"/>
    <w:rsid w:val="00507A02"/>
    <w:rsid w:val="00507A05"/>
    <w:rsid w:val="00507A78"/>
    <w:rsid w:val="00507B23"/>
    <w:rsid w:val="00507B27"/>
    <w:rsid w:val="00507D65"/>
    <w:rsid w:val="005104D6"/>
    <w:rsid w:val="0051055E"/>
    <w:rsid w:val="005105AD"/>
    <w:rsid w:val="0051077C"/>
    <w:rsid w:val="00510975"/>
    <w:rsid w:val="005109C9"/>
    <w:rsid w:val="00510A47"/>
    <w:rsid w:val="00510AE6"/>
    <w:rsid w:val="00510BB6"/>
    <w:rsid w:val="00510BE3"/>
    <w:rsid w:val="00510C62"/>
    <w:rsid w:val="00510F33"/>
    <w:rsid w:val="005110B7"/>
    <w:rsid w:val="00511201"/>
    <w:rsid w:val="0051122E"/>
    <w:rsid w:val="00511343"/>
    <w:rsid w:val="005116FB"/>
    <w:rsid w:val="00511A14"/>
    <w:rsid w:val="00511BA5"/>
    <w:rsid w:val="00511EF8"/>
    <w:rsid w:val="00512308"/>
    <w:rsid w:val="00512332"/>
    <w:rsid w:val="005126F8"/>
    <w:rsid w:val="00512841"/>
    <w:rsid w:val="005128C7"/>
    <w:rsid w:val="00512A8A"/>
    <w:rsid w:val="00512B6B"/>
    <w:rsid w:val="00512D32"/>
    <w:rsid w:val="00512D7B"/>
    <w:rsid w:val="00512D8D"/>
    <w:rsid w:val="0051327D"/>
    <w:rsid w:val="005132B3"/>
    <w:rsid w:val="00513426"/>
    <w:rsid w:val="00513584"/>
    <w:rsid w:val="00513598"/>
    <w:rsid w:val="00513649"/>
    <w:rsid w:val="005136A8"/>
    <w:rsid w:val="0051375B"/>
    <w:rsid w:val="00513797"/>
    <w:rsid w:val="005139C5"/>
    <w:rsid w:val="00513CE0"/>
    <w:rsid w:val="00514000"/>
    <w:rsid w:val="00514091"/>
    <w:rsid w:val="005143CA"/>
    <w:rsid w:val="00514495"/>
    <w:rsid w:val="00514AB0"/>
    <w:rsid w:val="00514D89"/>
    <w:rsid w:val="00514F9D"/>
    <w:rsid w:val="005151B1"/>
    <w:rsid w:val="005152B6"/>
    <w:rsid w:val="005158EF"/>
    <w:rsid w:val="00515AA5"/>
    <w:rsid w:val="00515B7A"/>
    <w:rsid w:val="00515CC3"/>
    <w:rsid w:val="00515CDD"/>
    <w:rsid w:val="00516043"/>
    <w:rsid w:val="0051629F"/>
    <w:rsid w:val="0051650B"/>
    <w:rsid w:val="005168F1"/>
    <w:rsid w:val="0051695D"/>
    <w:rsid w:val="00516A6D"/>
    <w:rsid w:val="00516C09"/>
    <w:rsid w:val="00516DFB"/>
    <w:rsid w:val="00516F0C"/>
    <w:rsid w:val="005175DD"/>
    <w:rsid w:val="0051767B"/>
    <w:rsid w:val="005176C3"/>
    <w:rsid w:val="00517A68"/>
    <w:rsid w:val="00517BD9"/>
    <w:rsid w:val="00517C0F"/>
    <w:rsid w:val="00520390"/>
    <w:rsid w:val="0052085C"/>
    <w:rsid w:val="005209DE"/>
    <w:rsid w:val="00520B82"/>
    <w:rsid w:val="00520CF8"/>
    <w:rsid w:val="00520DE5"/>
    <w:rsid w:val="00521086"/>
    <w:rsid w:val="005214C5"/>
    <w:rsid w:val="005214EB"/>
    <w:rsid w:val="005216A7"/>
    <w:rsid w:val="00521715"/>
    <w:rsid w:val="00521788"/>
    <w:rsid w:val="00521926"/>
    <w:rsid w:val="00521984"/>
    <w:rsid w:val="00521B06"/>
    <w:rsid w:val="00522298"/>
    <w:rsid w:val="00522317"/>
    <w:rsid w:val="00522485"/>
    <w:rsid w:val="005224D8"/>
    <w:rsid w:val="00522529"/>
    <w:rsid w:val="00522752"/>
    <w:rsid w:val="005227A4"/>
    <w:rsid w:val="00522DE3"/>
    <w:rsid w:val="00522E84"/>
    <w:rsid w:val="00523593"/>
    <w:rsid w:val="00523614"/>
    <w:rsid w:val="00523836"/>
    <w:rsid w:val="005238F4"/>
    <w:rsid w:val="00523B8C"/>
    <w:rsid w:val="00523C25"/>
    <w:rsid w:val="00524065"/>
    <w:rsid w:val="0052437A"/>
    <w:rsid w:val="00524639"/>
    <w:rsid w:val="005247D6"/>
    <w:rsid w:val="00524D34"/>
    <w:rsid w:val="00525051"/>
    <w:rsid w:val="00525174"/>
    <w:rsid w:val="005252FB"/>
    <w:rsid w:val="0052542C"/>
    <w:rsid w:val="0052599D"/>
    <w:rsid w:val="00525B90"/>
    <w:rsid w:val="00525DC8"/>
    <w:rsid w:val="00525F3F"/>
    <w:rsid w:val="00526032"/>
    <w:rsid w:val="00526379"/>
    <w:rsid w:val="00526740"/>
    <w:rsid w:val="00526814"/>
    <w:rsid w:val="00526EBA"/>
    <w:rsid w:val="00526F97"/>
    <w:rsid w:val="005272AA"/>
    <w:rsid w:val="00527768"/>
    <w:rsid w:val="005277E0"/>
    <w:rsid w:val="00527961"/>
    <w:rsid w:val="005279B3"/>
    <w:rsid w:val="00527B88"/>
    <w:rsid w:val="00527D36"/>
    <w:rsid w:val="00527ED9"/>
    <w:rsid w:val="0053028D"/>
    <w:rsid w:val="005304E7"/>
    <w:rsid w:val="00530AAE"/>
    <w:rsid w:val="00531167"/>
    <w:rsid w:val="005312C0"/>
    <w:rsid w:val="005314DC"/>
    <w:rsid w:val="005314FC"/>
    <w:rsid w:val="00531C1C"/>
    <w:rsid w:val="00531C9A"/>
    <w:rsid w:val="00531E38"/>
    <w:rsid w:val="005322F3"/>
    <w:rsid w:val="00532407"/>
    <w:rsid w:val="0053282D"/>
    <w:rsid w:val="00532B4C"/>
    <w:rsid w:val="00532BA1"/>
    <w:rsid w:val="00532CB2"/>
    <w:rsid w:val="00532F88"/>
    <w:rsid w:val="005334FE"/>
    <w:rsid w:val="005335D0"/>
    <w:rsid w:val="005336E0"/>
    <w:rsid w:val="005339B2"/>
    <w:rsid w:val="00533A93"/>
    <w:rsid w:val="00533AE8"/>
    <w:rsid w:val="00533C90"/>
    <w:rsid w:val="00533D2D"/>
    <w:rsid w:val="00533E16"/>
    <w:rsid w:val="0053439B"/>
    <w:rsid w:val="0053457E"/>
    <w:rsid w:val="00534600"/>
    <w:rsid w:val="0053472B"/>
    <w:rsid w:val="00534A55"/>
    <w:rsid w:val="00534ACE"/>
    <w:rsid w:val="00534B43"/>
    <w:rsid w:val="00534B74"/>
    <w:rsid w:val="00534BE9"/>
    <w:rsid w:val="00534E77"/>
    <w:rsid w:val="00534ED7"/>
    <w:rsid w:val="0053504A"/>
    <w:rsid w:val="00535089"/>
    <w:rsid w:val="00535194"/>
    <w:rsid w:val="005351EB"/>
    <w:rsid w:val="005352D3"/>
    <w:rsid w:val="00535445"/>
    <w:rsid w:val="0053557E"/>
    <w:rsid w:val="00535650"/>
    <w:rsid w:val="00535658"/>
    <w:rsid w:val="00535878"/>
    <w:rsid w:val="005358C8"/>
    <w:rsid w:val="00535A98"/>
    <w:rsid w:val="00535CB6"/>
    <w:rsid w:val="00535ECE"/>
    <w:rsid w:val="00536038"/>
    <w:rsid w:val="00536111"/>
    <w:rsid w:val="0053630A"/>
    <w:rsid w:val="00536919"/>
    <w:rsid w:val="00536A1B"/>
    <w:rsid w:val="00536F8B"/>
    <w:rsid w:val="00537501"/>
    <w:rsid w:val="00537523"/>
    <w:rsid w:val="00537678"/>
    <w:rsid w:val="005376FD"/>
    <w:rsid w:val="005377B0"/>
    <w:rsid w:val="005379D9"/>
    <w:rsid w:val="005379EB"/>
    <w:rsid w:val="00537B36"/>
    <w:rsid w:val="00537BAC"/>
    <w:rsid w:val="00537D07"/>
    <w:rsid w:val="00537E5A"/>
    <w:rsid w:val="00540098"/>
    <w:rsid w:val="0054060D"/>
    <w:rsid w:val="0054060F"/>
    <w:rsid w:val="005408A8"/>
    <w:rsid w:val="0054093F"/>
    <w:rsid w:val="00540F47"/>
    <w:rsid w:val="00540FCD"/>
    <w:rsid w:val="00540FF1"/>
    <w:rsid w:val="005412F0"/>
    <w:rsid w:val="00541431"/>
    <w:rsid w:val="00541995"/>
    <w:rsid w:val="005419A3"/>
    <w:rsid w:val="00541BE9"/>
    <w:rsid w:val="00541CB2"/>
    <w:rsid w:val="00541DC1"/>
    <w:rsid w:val="00541E04"/>
    <w:rsid w:val="005422E6"/>
    <w:rsid w:val="00542307"/>
    <w:rsid w:val="00542345"/>
    <w:rsid w:val="00542794"/>
    <w:rsid w:val="005427C3"/>
    <w:rsid w:val="005427C9"/>
    <w:rsid w:val="005428DC"/>
    <w:rsid w:val="005429F4"/>
    <w:rsid w:val="00542B1D"/>
    <w:rsid w:val="00542C16"/>
    <w:rsid w:val="00542D3A"/>
    <w:rsid w:val="00542DA8"/>
    <w:rsid w:val="00542E9F"/>
    <w:rsid w:val="0054317A"/>
    <w:rsid w:val="00543214"/>
    <w:rsid w:val="00543286"/>
    <w:rsid w:val="005435E1"/>
    <w:rsid w:val="00543674"/>
    <w:rsid w:val="00543980"/>
    <w:rsid w:val="00543E28"/>
    <w:rsid w:val="005440BD"/>
    <w:rsid w:val="00544120"/>
    <w:rsid w:val="00544343"/>
    <w:rsid w:val="00544363"/>
    <w:rsid w:val="005443CF"/>
    <w:rsid w:val="005443DA"/>
    <w:rsid w:val="00544616"/>
    <w:rsid w:val="005446F3"/>
    <w:rsid w:val="00544A6A"/>
    <w:rsid w:val="00544B5A"/>
    <w:rsid w:val="00544B79"/>
    <w:rsid w:val="00544CA9"/>
    <w:rsid w:val="00544EC8"/>
    <w:rsid w:val="0054572C"/>
    <w:rsid w:val="00545AC1"/>
    <w:rsid w:val="00545D0E"/>
    <w:rsid w:val="00545D31"/>
    <w:rsid w:val="00545DD2"/>
    <w:rsid w:val="00545E38"/>
    <w:rsid w:val="00545F42"/>
    <w:rsid w:val="00546024"/>
    <w:rsid w:val="005461D5"/>
    <w:rsid w:val="0054663B"/>
    <w:rsid w:val="0054666D"/>
    <w:rsid w:val="00546C83"/>
    <w:rsid w:val="005470E8"/>
    <w:rsid w:val="0054744E"/>
    <w:rsid w:val="0054747F"/>
    <w:rsid w:val="005474FC"/>
    <w:rsid w:val="005475EA"/>
    <w:rsid w:val="00547665"/>
    <w:rsid w:val="00547731"/>
    <w:rsid w:val="0054796F"/>
    <w:rsid w:val="00547DCC"/>
    <w:rsid w:val="00547E10"/>
    <w:rsid w:val="00547EB2"/>
    <w:rsid w:val="00547F15"/>
    <w:rsid w:val="00547FED"/>
    <w:rsid w:val="00550082"/>
    <w:rsid w:val="00550466"/>
    <w:rsid w:val="00550559"/>
    <w:rsid w:val="005507B5"/>
    <w:rsid w:val="00550991"/>
    <w:rsid w:val="00550A53"/>
    <w:rsid w:val="00550BD1"/>
    <w:rsid w:val="00550D7D"/>
    <w:rsid w:val="00550E46"/>
    <w:rsid w:val="00550FA1"/>
    <w:rsid w:val="005511A8"/>
    <w:rsid w:val="0055136C"/>
    <w:rsid w:val="00551C89"/>
    <w:rsid w:val="00551C9D"/>
    <w:rsid w:val="00551CCC"/>
    <w:rsid w:val="00551DEA"/>
    <w:rsid w:val="005525DD"/>
    <w:rsid w:val="005525EA"/>
    <w:rsid w:val="00552EC4"/>
    <w:rsid w:val="00553082"/>
    <w:rsid w:val="005531E1"/>
    <w:rsid w:val="00553210"/>
    <w:rsid w:val="005532A0"/>
    <w:rsid w:val="005533C9"/>
    <w:rsid w:val="00553400"/>
    <w:rsid w:val="0055349D"/>
    <w:rsid w:val="00553558"/>
    <w:rsid w:val="00553958"/>
    <w:rsid w:val="00553B77"/>
    <w:rsid w:val="00553D6B"/>
    <w:rsid w:val="00553E2A"/>
    <w:rsid w:val="005541F8"/>
    <w:rsid w:val="00554207"/>
    <w:rsid w:val="00554275"/>
    <w:rsid w:val="00554936"/>
    <w:rsid w:val="005549D6"/>
    <w:rsid w:val="00554CA5"/>
    <w:rsid w:val="005558C8"/>
    <w:rsid w:val="00555954"/>
    <w:rsid w:val="00555978"/>
    <w:rsid w:val="00555D87"/>
    <w:rsid w:val="00556308"/>
    <w:rsid w:val="0055646F"/>
    <w:rsid w:val="005567E2"/>
    <w:rsid w:val="00556883"/>
    <w:rsid w:val="00556A18"/>
    <w:rsid w:val="00556ACC"/>
    <w:rsid w:val="00557183"/>
    <w:rsid w:val="005577F9"/>
    <w:rsid w:val="00557935"/>
    <w:rsid w:val="0055796A"/>
    <w:rsid w:val="00557A55"/>
    <w:rsid w:val="00557B18"/>
    <w:rsid w:val="00557EE6"/>
    <w:rsid w:val="00560037"/>
    <w:rsid w:val="005601BC"/>
    <w:rsid w:val="00560253"/>
    <w:rsid w:val="0056074F"/>
    <w:rsid w:val="005609DF"/>
    <w:rsid w:val="00560F86"/>
    <w:rsid w:val="005612A7"/>
    <w:rsid w:val="00561444"/>
    <w:rsid w:val="0056145B"/>
    <w:rsid w:val="00561516"/>
    <w:rsid w:val="00561600"/>
    <w:rsid w:val="00561AB9"/>
    <w:rsid w:val="00561BD8"/>
    <w:rsid w:val="00561C16"/>
    <w:rsid w:val="00561E36"/>
    <w:rsid w:val="005620B3"/>
    <w:rsid w:val="00562263"/>
    <w:rsid w:val="0056226B"/>
    <w:rsid w:val="0056237A"/>
    <w:rsid w:val="00562540"/>
    <w:rsid w:val="00562D94"/>
    <w:rsid w:val="00562F24"/>
    <w:rsid w:val="00562F6E"/>
    <w:rsid w:val="00563533"/>
    <w:rsid w:val="00563652"/>
    <w:rsid w:val="00563923"/>
    <w:rsid w:val="00563CBC"/>
    <w:rsid w:val="00563E46"/>
    <w:rsid w:val="00563FCB"/>
    <w:rsid w:val="00564356"/>
    <w:rsid w:val="0056455D"/>
    <w:rsid w:val="00564610"/>
    <w:rsid w:val="0056469A"/>
    <w:rsid w:val="005649AE"/>
    <w:rsid w:val="00564B7F"/>
    <w:rsid w:val="0056506B"/>
    <w:rsid w:val="0056525E"/>
    <w:rsid w:val="0056525F"/>
    <w:rsid w:val="00565448"/>
    <w:rsid w:val="0056564A"/>
    <w:rsid w:val="005657A5"/>
    <w:rsid w:val="0056595C"/>
    <w:rsid w:val="00565BF7"/>
    <w:rsid w:val="00565EC9"/>
    <w:rsid w:val="00565FEB"/>
    <w:rsid w:val="00566008"/>
    <w:rsid w:val="0056607E"/>
    <w:rsid w:val="00566201"/>
    <w:rsid w:val="00566407"/>
    <w:rsid w:val="0056647D"/>
    <w:rsid w:val="005665C9"/>
    <w:rsid w:val="005665F8"/>
    <w:rsid w:val="00566F48"/>
    <w:rsid w:val="00567115"/>
    <w:rsid w:val="0056714D"/>
    <w:rsid w:val="0056739C"/>
    <w:rsid w:val="005676F5"/>
    <w:rsid w:val="00567718"/>
    <w:rsid w:val="00567ACC"/>
    <w:rsid w:val="00567C87"/>
    <w:rsid w:val="00567E3D"/>
    <w:rsid w:val="00570150"/>
    <w:rsid w:val="005701EF"/>
    <w:rsid w:val="00570479"/>
    <w:rsid w:val="0057049B"/>
    <w:rsid w:val="005706C2"/>
    <w:rsid w:val="0057076A"/>
    <w:rsid w:val="005707C3"/>
    <w:rsid w:val="00570817"/>
    <w:rsid w:val="00570ECD"/>
    <w:rsid w:val="00571140"/>
    <w:rsid w:val="0057159C"/>
    <w:rsid w:val="00571753"/>
    <w:rsid w:val="00571804"/>
    <w:rsid w:val="005719CA"/>
    <w:rsid w:val="00571A8F"/>
    <w:rsid w:val="00571B00"/>
    <w:rsid w:val="00571C98"/>
    <w:rsid w:val="005725E5"/>
    <w:rsid w:val="00572C0C"/>
    <w:rsid w:val="00572ED1"/>
    <w:rsid w:val="00573059"/>
    <w:rsid w:val="005733BF"/>
    <w:rsid w:val="00573431"/>
    <w:rsid w:val="0057370A"/>
    <w:rsid w:val="005739F0"/>
    <w:rsid w:val="00573E18"/>
    <w:rsid w:val="00574032"/>
    <w:rsid w:val="0057405D"/>
    <w:rsid w:val="005740FA"/>
    <w:rsid w:val="00574131"/>
    <w:rsid w:val="0057436C"/>
    <w:rsid w:val="0057476A"/>
    <w:rsid w:val="00574857"/>
    <w:rsid w:val="005748B4"/>
    <w:rsid w:val="00574A11"/>
    <w:rsid w:val="00574A71"/>
    <w:rsid w:val="00574E88"/>
    <w:rsid w:val="00574F34"/>
    <w:rsid w:val="00575655"/>
    <w:rsid w:val="00575A9B"/>
    <w:rsid w:val="00575B99"/>
    <w:rsid w:val="00575E90"/>
    <w:rsid w:val="0057608F"/>
    <w:rsid w:val="00576297"/>
    <w:rsid w:val="00576326"/>
    <w:rsid w:val="005764D2"/>
    <w:rsid w:val="005764E0"/>
    <w:rsid w:val="005767AD"/>
    <w:rsid w:val="005768EA"/>
    <w:rsid w:val="00576A94"/>
    <w:rsid w:val="00576FC3"/>
    <w:rsid w:val="0057700A"/>
    <w:rsid w:val="005771F4"/>
    <w:rsid w:val="0057721D"/>
    <w:rsid w:val="005775CD"/>
    <w:rsid w:val="0057786D"/>
    <w:rsid w:val="00577903"/>
    <w:rsid w:val="00577A6D"/>
    <w:rsid w:val="00577F07"/>
    <w:rsid w:val="0058022E"/>
    <w:rsid w:val="00580607"/>
    <w:rsid w:val="00580780"/>
    <w:rsid w:val="00580C9A"/>
    <w:rsid w:val="00580D28"/>
    <w:rsid w:val="00580DDA"/>
    <w:rsid w:val="00580DE5"/>
    <w:rsid w:val="00580ED3"/>
    <w:rsid w:val="00580FC0"/>
    <w:rsid w:val="005810EA"/>
    <w:rsid w:val="0058138F"/>
    <w:rsid w:val="005814CC"/>
    <w:rsid w:val="005814E0"/>
    <w:rsid w:val="005817D9"/>
    <w:rsid w:val="00581898"/>
    <w:rsid w:val="005819CB"/>
    <w:rsid w:val="00581A67"/>
    <w:rsid w:val="00581BE3"/>
    <w:rsid w:val="00581C39"/>
    <w:rsid w:val="00581CC1"/>
    <w:rsid w:val="00581D49"/>
    <w:rsid w:val="00582188"/>
    <w:rsid w:val="0058267E"/>
    <w:rsid w:val="005827E4"/>
    <w:rsid w:val="00582C62"/>
    <w:rsid w:val="00582FCF"/>
    <w:rsid w:val="00583086"/>
    <w:rsid w:val="005830E5"/>
    <w:rsid w:val="005831B4"/>
    <w:rsid w:val="00583236"/>
    <w:rsid w:val="005833FA"/>
    <w:rsid w:val="0058381B"/>
    <w:rsid w:val="005839AF"/>
    <w:rsid w:val="00583DB8"/>
    <w:rsid w:val="00583DD7"/>
    <w:rsid w:val="00583E47"/>
    <w:rsid w:val="00583EE4"/>
    <w:rsid w:val="00583F5A"/>
    <w:rsid w:val="0058405E"/>
    <w:rsid w:val="005840AE"/>
    <w:rsid w:val="00584124"/>
    <w:rsid w:val="00584126"/>
    <w:rsid w:val="0058414C"/>
    <w:rsid w:val="00584179"/>
    <w:rsid w:val="005842C5"/>
    <w:rsid w:val="00584311"/>
    <w:rsid w:val="005845D4"/>
    <w:rsid w:val="00584613"/>
    <w:rsid w:val="00584A3E"/>
    <w:rsid w:val="00584C1F"/>
    <w:rsid w:val="00584E37"/>
    <w:rsid w:val="005851DD"/>
    <w:rsid w:val="005852C1"/>
    <w:rsid w:val="005853D5"/>
    <w:rsid w:val="005854D1"/>
    <w:rsid w:val="005855CF"/>
    <w:rsid w:val="00585AB5"/>
    <w:rsid w:val="00585B2F"/>
    <w:rsid w:val="00585CFD"/>
    <w:rsid w:val="00585FA3"/>
    <w:rsid w:val="00586013"/>
    <w:rsid w:val="005863A2"/>
    <w:rsid w:val="005863D7"/>
    <w:rsid w:val="00586659"/>
    <w:rsid w:val="00586662"/>
    <w:rsid w:val="00586767"/>
    <w:rsid w:val="005870AA"/>
    <w:rsid w:val="005874D7"/>
    <w:rsid w:val="005875BA"/>
    <w:rsid w:val="00587774"/>
    <w:rsid w:val="005877DA"/>
    <w:rsid w:val="00587A34"/>
    <w:rsid w:val="00587C50"/>
    <w:rsid w:val="00587DC5"/>
    <w:rsid w:val="0059010A"/>
    <w:rsid w:val="005901F0"/>
    <w:rsid w:val="00590245"/>
    <w:rsid w:val="0059035D"/>
    <w:rsid w:val="0059054F"/>
    <w:rsid w:val="0059077C"/>
    <w:rsid w:val="005907E1"/>
    <w:rsid w:val="0059088D"/>
    <w:rsid w:val="005909FA"/>
    <w:rsid w:val="00590AC1"/>
    <w:rsid w:val="00590B8A"/>
    <w:rsid w:val="00590D2B"/>
    <w:rsid w:val="00590EBF"/>
    <w:rsid w:val="00590F34"/>
    <w:rsid w:val="00591018"/>
    <w:rsid w:val="00591148"/>
    <w:rsid w:val="00591174"/>
    <w:rsid w:val="00591675"/>
    <w:rsid w:val="00591A0A"/>
    <w:rsid w:val="00591A44"/>
    <w:rsid w:val="0059257F"/>
    <w:rsid w:val="0059264F"/>
    <w:rsid w:val="00592724"/>
    <w:rsid w:val="00592E71"/>
    <w:rsid w:val="00592F6E"/>
    <w:rsid w:val="005932CD"/>
    <w:rsid w:val="0059382E"/>
    <w:rsid w:val="005938F4"/>
    <w:rsid w:val="00593AE5"/>
    <w:rsid w:val="00593CD9"/>
    <w:rsid w:val="00593DC7"/>
    <w:rsid w:val="0059403A"/>
    <w:rsid w:val="0059429D"/>
    <w:rsid w:val="005942BD"/>
    <w:rsid w:val="00594304"/>
    <w:rsid w:val="00594420"/>
    <w:rsid w:val="005944AE"/>
    <w:rsid w:val="005944E8"/>
    <w:rsid w:val="00594527"/>
    <w:rsid w:val="0059458D"/>
    <w:rsid w:val="005945B0"/>
    <w:rsid w:val="005945F8"/>
    <w:rsid w:val="005948C3"/>
    <w:rsid w:val="00594A49"/>
    <w:rsid w:val="00594AC4"/>
    <w:rsid w:val="00595047"/>
    <w:rsid w:val="0059522F"/>
    <w:rsid w:val="005952D3"/>
    <w:rsid w:val="005957F8"/>
    <w:rsid w:val="00595A97"/>
    <w:rsid w:val="00595AD6"/>
    <w:rsid w:val="00595B8D"/>
    <w:rsid w:val="00595C46"/>
    <w:rsid w:val="00595CD6"/>
    <w:rsid w:val="00595F54"/>
    <w:rsid w:val="00595F6C"/>
    <w:rsid w:val="00596026"/>
    <w:rsid w:val="005962CA"/>
    <w:rsid w:val="005963A7"/>
    <w:rsid w:val="005963AB"/>
    <w:rsid w:val="00596460"/>
    <w:rsid w:val="0059648E"/>
    <w:rsid w:val="00596681"/>
    <w:rsid w:val="0059669A"/>
    <w:rsid w:val="005969C1"/>
    <w:rsid w:val="00596ED9"/>
    <w:rsid w:val="005971DA"/>
    <w:rsid w:val="005972CD"/>
    <w:rsid w:val="005973C2"/>
    <w:rsid w:val="00597469"/>
    <w:rsid w:val="005974EA"/>
    <w:rsid w:val="00597563"/>
    <w:rsid w:val="005975AB"/>
    <w:rsid w:val="005976D7"/>
    <w:rsid w:val="00597980"/>
    <w:rsid w:val="00597C43"/>
    <w:rsid w:val="00597DAC"/>
    <w:rsid w:val="005A0083"/>
    <w:rsid w:val="005A020E"/>
    <w:rsid w:val="005A033D"/>
    <w:rsid w:val="005A03DB"/>
    <w:rsid w:val="005A0680"/>
    <w:rsid w:val="005A0B3F"/>
    <w:rsid w:val="005A0CE8"/>
    <w:rsid w:val="005A0E00"/>
    <w:rsid w:val="005A0E16"/>
    <w:rsid w:val="005A0E54"/>
    <w:rsid w:val="005A0F5B"/>
    <w:rsid w:val="005A0FE5"/>
    <w:rsid w:val="005A1265"/>
    <w:rsid w:val="005A14DF"/>
    <w:rsid w:val="005A154C"/>
    <w:rsid w:val="005A1A49"/>
    <w:rsid w:val="005A1AD4"/>
    <w:rsid w:val="005A1EC5"/>
    <w:rsid w:val="005A20C0"/>
    <w:rsid w:val="005A20E6"/>
    <w:rsid w:val="005A2144"/>
    <w:rsid w:val="005A2231"/>
    <w:rsid w:val="005A239F"/>
    <w:rsid w:val="005A248B"/>
    <w:rsid w:val="005A24AD"/>
    <w:rsid w:val="005A2699"/>
    <w:rsid w:val="005A2C02"/>
    <w:rsid w:val="005A2D4D"/>
    <w:rsid w:val="005A2E6D"/>
    <w:rsid w:val="005A2ECA"/>
    <w:rsid w:val="005A3002"/>
    <w:rsid w:val="005A319D"/>
    <w:rsid w:val="005A3466"/>
    <w:rsid w:val="005A38C8"/>
    <w:rsid w:val="005A3BF1"/>
    <w:rsid w:val="005A413B"/>
    <w:rsid w:val="005A41BC"/>
    <w:rsid w:val="005A427E"/>
    <w:rsid w:val="005A444E"/>
    <w:rsid w:val="005A44B0"/>
    <w:rsid w:val="005A46AC"/>
    <w:rsid w:val="005A4817"/>
    <w:rsid w:val="005A4B2A"/>
    <w:rsid w:val="005A4BA1"/>
    <w:rsid w:val="005A4F83"/>
    <w:rsid w:val="005A5099"/>
    <w:rsid w:val="005A53CC"/>
    <w:rsid w:val="005A561A"/>
    <w:rsid w:val="005A5625"/>
    <w:rsid w:val="005A562F"/>
    <w:rsid w:val="005A5702"/>
    <w:rsid w:val="005A5776"/>
    <w:rsid w:val="005A592A"/>
    <w:rsid w:val="005A5A16"/>
    <w:rsid w:val="005A5A8F"/>
    <w:rsid w:val="005A5AEC"/>
    <w:rsid w:val="005A5DA6"/>
    <w:rsid w:val="005A5F0E"/>
    <w:rsid w:val="005A63E5"/>
    <w:rsid w:val="005A6415"/>
    <w:rsid w:val="005A6776"/>
    <w:rsid w:val="005A6D53"/>
    <w:rsid w:val="005A6DEF"/>
    <w:rsid w:val="005A711F"/>
    <w:rsid w:val="005A7193"/>
    <w:rsid w:val="005A7301"/>
    <w:rsid w:val="005A7318"/>
    <w:rsid w:val="005A73BA"/>
    <w:rsid w:val="005A74D2"/>
    <w:rsid w:val="005A7619"/>
    <w:rsid w:val="005A774A"/>
    <w:rsid w:val="005A797B"/>
    <w:rsid w:val="005A7A1C"/>
    <w:rsid w:val="005A7A63"/>
    <w:rsid w:val="005A7D0C"/>
    <w:rsid w:val="005B05CE"/>
    <w:rsid w:val="005B06D4"/>
    <w:rsid w:val="005B06DA"/>
    <w:rsid w:val="005B087B"/>
    <w:rsid w:val="005B09F1"/>
    <w:rsid w:val="005B0C8D"/>
    <w:rsid w:val="005B0F98"/>
    <w:rsid w:val="005B1012"/>
    <w:rsid w:val="005B1F0B"/>
    <w:rsid w:val="005B23B6"/>
    <w:rsid w:val="005B2496"/>
    <w:rsid w:val="005B2A67"/>
    <w:rsid w:val="005B2D04"/>
    <w:rsid w:val="005B2D2D"/>
    <w:rsid w:val="005B2D99"/>
    <w:rsid w:val="005B2EE8"/>
    <w:rsid w:val="005B2F13"/>
    <w:rsid w:val="005B2F8E"/>
    <w:rsid w:val="005B2F92"/>
    <w:rsid w:val="005B34DC"/>
    <w:rsid w:val="005B3697"/>
    <w:rsid w:val="005B3AE0"/>
    <w:rsid w:val="005B3BBC"/>
    <w:rsid w:val="005B3C7F"/>
    <w:rsid w:val="005B3CA0"/>
    <w:rsid w:val="005B3DCE"/>
    <w:rsid w:val="005B444A"/>
    <w:rsid w:val="005B449C"/>
    <w:rsid w:val="005B46DC"/>
    <w:rsid w:val="005B4735"/>
    <w:rsid w:val="005B486E"/>
    <w:rsid w:val="005B4CF8"/>
    <w:rsid w:val="005B4D17"/>
    <w:rsid w:val="005B4D62"/>
    <w:rsid w:val="005B4D8A"/>
    <w:rsid w:val="005B4DB9"/>
    <w:rsid w:val="005B4E96"/>
    <w:rsid w:val="005B5042"/>
    <w:rsid w:val="005B50F1"/>
    <w:rsid w:val="005B51C1"/>
    <w:rsid w:val="005B51CA"/>
    <w:rsid w:val="005B5647"/>
    <w:rsid w:val="005B571E"/>
    <w:rsid w:val="005B57FE"/>
    <w:rsid w:val="005B58D2"/>
    <w:rsid w:val="005B58DC"/>
    <w:rsid w:val="005B5922"/>
    <w:rsid w:val="005B5A37"/>
    <w:rsid w:val="005B5F61"/>
    <w:rsid w:val="005B6191"/>
    <w:rsid w:val="005B63AE"/>
    <w:rsid w:val="005B6617"/>
    <w:rsid w:val="005B6734"/>
    <w:rsid w:val="005B6778"/>
    <w:rsid w:val="005B68C8"/>
    <w:rsid w:val="005B69E0"/>
    <w:rsid w:val="005B6A45"/>
    <w:rsid w:val="005B6CD7"/>
    <w:rsid w:val="005B6D15"/>
    <w:rsid w:val="005B6DEB"/>
    <w:rsid w:val="005B7663"/>
    <w:rsid w:val="005B79A2"/>
    <w:rsid w:val="005B7B39"/>
    <w:rsid w:val="005B7B45"/>
    <w:rsid w:val="005B7B4E"/>
    <w:rsid w:val="005B7C2E"/>
    <w:rsid w:val="005C003E"/>
    <w:rsid w:val="005C0822"/>
    <w:rsid w:val="005C08CB"/>
    <w:rsid w:val="005C094E"/>
    <w:rsid w:val="005C0D85"/>
    <w:rsid w:val="005C0D9B"/>
    <w:rsid w:val="005C0EB6"/>
    <w:rsid w:val="005C113B"/>
    <w:rsid w:val="005C11D1"/>
    <w:rsid w:val="005C12C8"/>
    <w:rsid w:val="005C12D8"/>
    <w:rsid w:val="005C1A31"/>
    <w:rsid w:val="005C1A87"/>
    <w:rsid w:val="005C1CB7"/>
    <w:rsid w:val="005C1CF4"/>
    <w:rsid w:val="005C1DED"/>
    <w:rsid w:val="005C1E41"/>
    <w:rsid w:val="005C1E68"/>
    <w:rsid w:val="005C2013"/>
    <w:rsid w:val="005C217F"/>
    <w:rsid w:val="005C2186"/>
    <w:rsid w:val="005C23D8"/>
    <w:rsid w:val="005C2414"/>
    <w:rsid w:val="005C24ED"/>
    <w:rsid w:val="005C2970"/>
    <w:rsid w:val="005C2DA6"/>
    <w:rsid w:val="005C2F02"/>
    <w:rsid w:val="005C3298"/>
    <w:rsid w:val="005C32B4"/>
    <w:rsid w:val="005C3473"/>
    <w:rsid w:val="005C3688"/>
    <w:rsid w:val="005C3848"/>
    <w:rsid w:val="005C39D5"/>
    <w:rsid w:val="005C39FF"/>
    <w:rsid w:val="005C3A80"/>
    <w:rsid w:val="005C3C07"/>
    <w:rsid w:val="005C3C9E"/>
    <w:rsid w:val="005C3D05"/>
    <w:rsid w:val="005C3D89"/>
    <w:rsid w:val="005C4146"/>
    <w:rsid w:val="005C41D6"/>
    <w:rsid w:val="005C43E3"/>
    <w:rsid w:val="005C4680"/>
    <w:rsid w:val="005C4709"/>
    <w:rsid w:val="005C47B1"/>
    <w:rsid w:val="005C47FC"/>
    <w:rsid w:val="005C49A1"/>
    <w:rsid w:val="005C4D5E"/>
    <w:rsid w:val="005C4DC2"/>
    <w:rsid w:val="005C4FAB"/>
    <w:rsid w:val="005C5141"/>
    <w:rsid w:val="005C515F"/>
    <w:rsid w:val="005C5210"/>
    <w:rsid w:val="005C524D"/>
    <w:rsid w:val="005C52AE"/>
    <w:rsid w:val="005C5546"/>
    <w:rsid w:val="005C5630"/>
    <w:rsid w:val="005C584B"/>
    <w:rsid w:val="005C58DE"/>
    <w:rsid w:val="005C5916"/>
    <w:rsid w:val="005C5ACA"/>
    <w:rsid w:val="005C5B17"/>
    <w:rsid w:val="005C5C2F"/>
    <w:rsid w:val="005C5CEE"/>
    <w:rsid w:val="005C5FAA"/>
    <w:rsid w:val="005C6552"/>
    <w:rsid w:val="005C690C"/>
    <w:rsid w:val="005C6B40"/>
    <w:rsid w:val="005C6BF4"/>
    <w:rsid w:val="005C6D75"/>
    <w:rsid w:val="005C6DD5"/>
    <w:rsid w:val="005C6E43"/>
    <w:rsid w:val="005C70D1"/>
    <w:rsid w:val="005C746C"/>
    <w:rsid w:val="005C7857"/>
    <w:rsid w:val="005C7D29"/>
    <w:rsid w:val="005C7D87"/>
    <w:rsid w:val="005C7DCF"/>
    <w:rsid w:val="005C7E5E"/>
    <w:rsid w:val="005C7F07"/>
    <w:rsid w:val="005C7F77"/>
    <w:rsid w:val="005D0266"/>
    <w:rsid w:val="005D037E"/>
    <w:rsid w:val="005D04F9"/>
    <w:rsid w:val="005D07AE"/>
    <w:rsid w:val="005D09E5"/>
    <w:rsid w:val="005D09FC"/>
    <w:rsid w:val="005D0AC7"/>
    <w:rsid w:val="005D0D47"/>
    <w:rsid w:val="005D0D72"/>
    <w:rsid w:val="005D0E77"/>
    <w:rsid w:val="005D1073"/>
    <w:rsid w:val="005D1091"/>
    <w:rsid w:val="005D12E1"/>
    <w:rsid w:val="005D1367"/>
    <w:rsid w:val="005D145C"/>
    <w:rsid w:val="005D15EA"/>
    <w:rsid w:val="005D1610"/>
    <w:rsid w:val="005D1653"/>
    <w:rsid w:val="005D1731"/>
    <w:rsid w:val="005D1750"/>
    <w:rsid w:val="005D188F"/>
    <w:rsid w:val="005D1A3A"/>
    <w:rsid w:val="005D1A89"/>
    <w:rsid w:val="005D1F0D"/>
    <w:rsid w:val="005D2037"/>
    <w:rsid w:val="005D208C"/>
    <w:rsid w:val="005D253A"/>
    <w:rsid w:val="005D2593"/>
    <w:rsid w:val="005D2714"/>
    <w:rsid w:val="005D295C"/>
    <w:rsid w:val="005D2B40"/>
    <w:rsid w:val="005D2BB7"/>
    <w:rsid w:val="005D2DAC"/>
    <w:rsid w:val="005D2DEC"/>
    <w:rsid w:val="005D2E83"/>
    <w:rsid w:val="005D36D8"/>
    <w:rsid w:val="005D3790"/>
    <w:rsid w:val="005D3BF6"/>
    <w:rsid w:val="005D3C27"/>
    <w:rsid w:val="005D3CB5"/>
    <w:rsid w:val="005D3EB0"/>
    <w:rsid w:val="005D4081"/>
    <w:rsid w:val="005D41CE"/>
    <w:rsid w:val="005D43AC"/>
    <w:rsid w:val="005D43CB"/>
    <w:rsid w:val="005D4403"/>
    <w:rsid w:val="005D443E"/>
    <w:rsid w:val="005D446A"/>
    <w:rsid w:val="005D4471"/>
    <w:rsid w:val="005D4536"/>
    <w:rsid w:val="005D46F7"/>
    <w:rsid w:val="005D4790"/>
    <w:rsid w:val="005D4992"/>
    <w:rsid w:val="005D49BF"/>
    <w:rsid w:val="005D514F"/>
    <w:rsid w:val="005D5725"/>
    <w:rsid w:val="005D58F0"/>
    <w:rsid w:val="005D5950"/>
    <w:rsid w:val="005D5997"/>
    <w:rsid w:val="005D5D27"/>
    <w:rsid w:val="005D5E70"/>
    <w:rsid w:val="005D5EB7"/>
    <w:rsid w:val="005D5FDF"/>
    <w:rsid w:val="005D6040"/>
    <w:rsid w:val="005D617A"/>
    <w:rsid w:val="005D62E6"/>
    <w:rsid w:val="005D6590"/>
    <w:rsid w:val="005D6795"/>
    <w:rsid w:val="005D6A22"/>
    <w:rsid w:val="005D6B30"/>
    <w:rsid w:val="005D6C24"/>
    <w:rsid w:val="005D6CA6"/>
    <w:rsid w:val="005D6CD2"/>
    <w:rsid w:val="005D6F00"/>
    <w:rsid w:val="005D717D"/>
    <w:rsid w:val="005D7371"/>
    <w:rsid w:val="005D7B4D"/>
    <w:rsid w:val="005D7DE5"/>
    <w:rsid w:val="005D7E21"/>
    <w:rsid w:val="005E0135"/>
    <w:rsid w:val="005E0BDC"/>
    <w:rsid w:val="005E0C86"/>
    <w:rsid w:val="005E1040"/>
    <w:rsid w:val="005E1101"/>
    <w:rsid w:val="005E115D"/>
    <w:rsid w:val="005E1173"/>
    <w:rsid w:val="005E130A"/>
    <w:rsid w:val="005E13C5"/>
    <w:rsid w:val="005E164F"/>
    <w:rsid w:val="005E16FA"/>
    <w:rsid w:val="005E18ED"/>
    <w:rsid w:val="005E1C82"/>
    <w:rsid w:val="005E1DE6"/>
    <w:rsid w:val="005E1EE8"/>
    <w:rsid w:val="005E1F2A"/>
    <w:rsid w:val="005E2053"/>
    <w:rsid w:val="005E2274"/>
    <w:rsid w:val="005E25BD"/>
    <w:rsid w:val="005E2839"/>
    <w:rsid w:val="005E29B1"/>
    <w:rsid w:val="005E2CB7"/>
    <w:rsid w:val="005E2DC9"/>
    <w:rsid w:val="005E3163"/>
    <w:rsid w:val="005E33CD"/>
    <w:rsid w:val="005E345C"/>
    <w:rsid w:val="005E39A6"/>
    <w:rsid w:val="005E3D31"/>
    <w:rsid w:val="005E3F66"/>
    <w:rsid w:val="005E405E"/>
    <w:rsid w:val="005E41B9"/>
    <w:rsid w:val="005E41E2"/>
    <w:rsid w:val="005E41F3"/>
    <w:rsid w:val="005E422B"/>
    <w:rsid w:val="005E42C4"/>
    <w:rsid w:val="005E46AF"/>
    <w:rsid w:val="005E46F9"/>
    <w:rsid w:val="005E48D0"/>
    <w:rsid w:val="005E4918"/>
    <w:rsid w:val="005E4DD7"/>
    <w:rsid w:val="005E502A"/>
    <w:rsid w:val="005E5611"/>
    <w:rsid w:val="005E5661"/>
    <w:rsid w:val="005E56EE"/>
    <w:rsid w:val="005E5769"/>
    <w:rsid w:val="005E57C8"/>
    <w:rsid w:val="005E5A19"/>
    <w:rsid w:val="005E5B5B"/>
    <w:rsid w:val="005E5C7F"/>
    <w:rsid w:val="005E5D4A"/>
    <w:rsid w:val="005E5D96"/>
    <w:rsid w:val="005E5DC8"/>
    <w:rsid w:val="005E60C1"/>
    <w:rsid w:val="005E6381"/>
    <w:rsid w:val="005E64A3"/>
    <w:rsid w:val="005E6512"/>
    <w:rsid w:val="005E6635"/>
    <w:rsid w:val="005E671B"/>
    <w:rsid w:val="005E691A"/>
    <w:rsid w:val="005E6999"/>
    <w:rsid w:val="005E6F34"/>
    <w:rsid w:val="005E709B"/>
    <w:rsid w:val="005E719F"/>
    <w:rsid w:val="005E7244"/>
    <w:rsid w:val="005E748D"/>
    <w:rsid w:val="005E75CA"/>
    <w:rsid w:val="005E7639"/>
    <w:rsid w:val="005E7666"/>
    <w:rsid w:val="005E789D"/>
    <w:rsid w:val="005E78F2"/>
    <w:rsid w:val="005E793D"/>
    <w:rsid w:val="005E7D37"/>
    <w:rsid w:val="005E7E71"/>
    <w:rsid w:val="005F0114"/>
    <w:rsid w:val="005F02E2"/>
    <w:rsid w:val="005F033A"/>
    <w:rsid w:val="005F04E6"/>
    <w:rsid w:val="005F0777"/>
    <w:rsid w:val="005F0AF5"/>
    <w:rsid w:val="005F0D68"/>
    <w:rsid w:val="005F0D6C"/>
    <w:rsid w:val="005F0D90"/>
    <w:rsid w:val="005F10BD"/>
    <w:rsid w:val="005F125B"/>
    <w:rsid w:val="005F12DC"/>
    <w:rsid w:val="005F13AC"/>
    <w:rsid w:val="005F1427"/>
    <w:rsid w:val="005F1459"/>
    <w:rsid w:val="005F14C8"/>
    <w:rsid w:val="005F15F4"/>
    <w:rsid w:val="005F16E5"/>
    <w:rsid w:val="005F177D"/>
    <w:rsid w:val="005F17C4"/>
    <w:rsid w:val="005F196D"/>
    <w:rsid w:val="005F1AB4"/>
    <w:rsid w:val="005F224E"/>
    <w:rsid w:val="005F22D6"/>
    <w:rsid w:val="005F2698"/>
    <w:rsid w:val="005F28D9"/>
    <w:rsid w:val="005F2A58"/>
    <w:rsid w:val="005F2A9B"/>
    <w:rsid w:val="005F2C2C"/>
    <w:rsid w:val="005F2CEA"/>
    <w:rsid w:val="005F2D8A"/>
    <w:rsid w:val="005F2DC7"/>
    <w:rsid w:val="005F2E97"/>
    <w:rsid w:val="005F2F83"/>
    <w:rsid w:val="005F3045"/>
    <w:rsid w:val="005F3513"/>
    <w:rsid w:val="005F38E6"/>
    <w:rsid w:val="005F3938"/>
    <w:rsid w:val="005F3B02"/>
    <w:rsid w:val="005F3D47"/>
    <w:rsid w:val="005F4004"/>
    <w:rsid w:val="005F416C"/>
    <w:rsid w:val="005F41A0"/>
    <w:rsid w:val="005F42EA"/>
    <w:rsid w:val="005F46F1"/>
    <w:rsid w:val="005F4CFB"/>
    <w:rsid w:val="005F4D00"/>
    <w:rsid w:val="005F4FBA"/>
    <w:rsid w:val="005F5063"/>
    <w:rsid w:val="005F5664"/>
    <w:rsid w:val="005F575D"/>
    <w:rsid w:val="005F5948"/>
    <w:rsid w:val="005F59F9"/>
    <w:rsid w:val="005F5B63"/>
    <w:rsid w:val="005F5C58"/>
    <w:rsid w:val="005F5F97"/>
    <w:rsid w:val="005F5FBA"/>
    <w:rsid w:val="005F5FCE"/>
    <w:rsid w:val="005F629A"/>
    <w:rsid w:val="005F6356"/>
    <w:rsid w:val="005F6641"/>
    <w:rsid w:val="005F6910"/>
    <w:rsid w:val="005F6B87"/>
    <w:rsid w:val="005F6C94"/>
    <w:rsid w:val="005F710E"/>
    <w:rsid w:val="005F711E"/>
    <w:rsid w:val="005F7179"/>
    <w:rsid w:val="005F72CB"/>
    <w:rsid w:val="005F7322"/>
    <w:rsid w:val="005F7392"/>
    <w:rsid w:val="005F77EE"/>
    <w:rsid w:val="005F78EB"/>
    <w:rsid w:val="005F7D0E"/>
    <w:rsid w:val="005F7D75"/>
    <w:rsid w:val="005F7EF9"/>
    <w:rsid w:val="005F7F0D"/>
    <w:rsid w:val="005F7F99"/>
    <w:rsid w:val="00600074"/>
    <w:rsid w:val="0060076A"/>
    <w:rsid w:val="006008D4"/>
    <w:rsid w:val="00600972"/>
    <w:rsid w:val="00600A88"/>
    <w:rsid w:val="00600E59"/>
    <w:rsid w:val="00600E83"/>
    <w:rsid w:val="00600F91"/>
    <w:rsid w:val="00600FD5"/>
    <w:rsid w:val="006011F1"/>
    <w:rsid w:val="00601740"/>
    <w:rsid w:val="006017CE"/>
    <w:rsid w:val="006019FE"/>
    <w:rsid w:val="00601A93"/>
    <w:rsid w:val="00601B46"/>
    <w:rsid w:val="00601CA1"/>
    <w:rsid w:val="00601EC7"/>
    <w:rsid w:val="00601EFD"/>
    <w:rsid w:val="00601FA1"/>
    <w:rsid w:val="00602036"/>
    <w:rsid w:val="0060216A"/>
    <w:rsid w:val="006021D5"/>
    <w:rsid w:val="00602345"/>
    <w:rsid w:val="0060263A"/>
    <w:rsid w:val="00602770"/>
    <w:rsid w:val="00602790"/>
    <w:rsid w:val="0060281F"/>
    <w:rsid w:val="00602862"/>
    <w:rsid w:val="0060286B"/>
    <w:rsid w:val="006029E7"/>
    <w:rsid w:val="00602C12"/>
    <w:rsid w:val="00602DA3"/>
    <w:rsid w:val="00602F77"/>
    <w:rsid w:val="00603017"/>
    <w:rsid w:val="006032BF"/>
    <w:rsid w:val="0060333F"/>
    <w:rsid w:val="006036B6"/>
    <w:rsid w:val="0060375A"/>
    <w:rsid w:val="00603766"/>
    <w:rsid w:val="0060381F"/>
    <w:rsid w:val="00603B7D"/>
    <w:rsid w:val="00603F44"/>
    <w:rsid w:val="00603F4E"/>
    <w:rsid w:val="00603F59"/>
    <w:rsid w:val="00603F98"/>
    <w:rsid w:val="00603FEA"/>
    <w:rsid w:val="0060431B"/>
    <w:rsid w:val="00604405"/>
    <w:rsid w:val="006046F7"/>
    <w:rsid w:val="00604702"/>
    <w:rsid w:val="0060486C"/>
    <w:rsid w:val="006048D8"/>
    <w:rsid w:val="00604FCA"/>
    <w:rsid w:val="00605036"/>
    <w:rsid w:val="0060521B"/>
    <w:rsid w:val="006055F0"/>
    <w:rsid w:val="00605613"/>
    <w:rsid w:val="006058C6"/>
    <w:rsid w:val="00605BB1"/>
    <w:rsid w:val="00605CE0"/>
    <w:rsid w:val="00605D9B"/>
    <w:rsid w:val="00605DEC"/>
    <w:rsid w:val="00605F72"/>
    <w:rsid w:val="00605FF6"/>
    <w:rsid w:val="00606061"/>
    <w:rsid w:val="00606686"/>
    <w:rsid w:val="0060671A"/>
    <w:rsid w:val="00606929"/>
    <w:rsid w:val="00606B69"/>
    <w:rsid w:val="00606BA8"/>
    <w:rsid w:val="00606BC7"/>
    <w:rsid w:val="00606C6E"/>
    <w:rsid w:val="00606DBA"/>
    <w:rsid w:val="00606F2A"/>
    <w:rsid w:val="00606F56"/>
    <w:rsid w:val="00606FB2"/>
    <w:rsid w:val="0060702E"/>
    <w:rsid w:val="00607260"/>
    <w:rsid w:val="006074FB"/>
    <w:rsid w:val="0060763B"/>
    <w:rsid w:val="00607730"/>
    <w:rsid w:val="00607B95"/>
    <w:rsid w:val="00607BC4"/>
    <w:rsid w:val="00607C55"/>
    <w:rsid w:val="00610025"/>
    <w:rsid w:val="0061021D"/>
    <w:rsid w:val="00610246"/>
    <w:rsid w:val="006103DF"/>
    <w:rsid w:val="006104EF"/>
    <w:rsid w:val="006108E6"/>
    <w:rsid w:val="00610CF8"/>
    <w:rsid w:val="00610DD6"/>
    <w:rsid w:val="00610EF8"/>
    <w:rsid w:val="00610F8A"/>
    <w:rsid w:val="006113D3"/>
    <w:rsid w:val="00611531"/>
    <w:rsid w:val="006115F8"/>
    <w:rsid w:val="00611B3D"/>
    <w:rsid w:val="00611C83"/>
    <w:rsid w:val="00611D03"/>
    <w:rsid w:val="00611D65"/>
    <w:rsid w:val="00611DE9"/>
    <w:rsid w:val="006125B5"/>
    <w:rsid w:val="006125BB"/>
    <w:rsid w:val="0061267A"/>
    <w:rsid w:val="00612788"/>
    <w:rsid w:val="006127B9"/>
    <w:rsid w:val="00612925"/>
    <w:rsid w:val="0061292F"/>
    <w:rsid w:val="00612A10"/>
    <w:rsid w:val="00612AA0"/>
    <w:rsid w:val="00612BA5"/>
    <w:rsid w:val="00612E76"/>
    <w:rsid w:val="0061316F"/>
    <w:rsid w:val="00613482"/>
    <w:rsid w:val="00613599"/>
    <w:rsid w:val="006138D1"/>
    <w:rsid w:val="00613AAF"/>
    <w:rsid w:val="00613D20"/>
    <w:rsid w:val="00613E59"/>
    <w:rsid w:val="00614097"/>
    <w:rsid w:val="006140C4"/>
    <w:rsid w:val="0061420D"/>
    <w:rsid w:val="0061421F"/>
    <w:rsid w:val="0061439B"/>
    <w:rsid w:val="00614674"/>
    <w:rsid w:val="006147C8"/>
    <w:rsid w:val="006147D9"/>
    <w:rsid w:val="006148F6"/>
    <w:rsid w:val="00614B2A"/>
    <w:rsid w:val="00614CBD"/>
    <w:rsid w:val="00614E08"/>
    <w:rsid w:val="00614F4F"/>
    <w:rsid w:val="006153E4"/>
    <w:rsid w:val="00615AE0"/>
    <w:rsid w:val="00615CB6"/>
    <w:rsid w:val="00615F15"/>
    <w:rsid w:val="00616208"/>
    <w:rsid w:val="006164FC"/>
    <w:rsid w:val="00616A05"/>
    <w:rsid w:val="00616BA4"/>
    <w:rsid w:val="00616C73"/>
    <w:rsid w:val="00616D38"/>
    <w:rsid w:val="006170A2"/>
    <w:rsid w:val="0061725E"/>
    <w:rsid w:val="006172BA"/>
    <w:rsid w:val="00617367"/>
    <w:rsid w:val="00617452"/>
    <w:rsid w:val="006174D5"/>
    <w:rsid w:val="00617715"/>
    <w:rsid w:val="00617854"/>
    <w:rsid w:val="00617A31"/>
    <w:rsid w:val="00617ADC"/>
    <w:rsid w:val="00617C2F"/>
    <w:rsid w:val="00617CEF"/>
    <w:rsid w:val="00617E1D"/>
    <w:rsid w:val="00617EFC"/>
    <w:rsid w:val="00620127"/>
    <w:rsid w:val="00620167"/>
    <w:rsid w:val="006202D8"/>
    <w:rsid w:val="006203C8"/>
    <w:rsid w:val="0062053B"/>
    <w:rsid w:val="006205E1"/>
    <w:rsid w:val="00620800"/>
    <w:rsid w:val="00620C01"/>
    <w:rsid w:val="00620E3B"/>
    <w:rsid w:val="00620F11"/>
    <w:rsid w:val="0062108E"/>
    <w:rsid w:val="00621158"/>
    <w:rsid w:val="0062127B"/>
    <w:rsid w:val="0062178B"/>
    <w:rsid w:val="006218D0"/>
    <w:rsid w:val="00621989"/>
    <w:rsid w:val="0062198C"/>
    <w:rsid w:val="006219A9"/>
    <w:rsid w:val="00621BCD"/>
    <w:rsid w:val="00621F65"/>
    <w:rsid w:val="00622024"/>
    <w:rsid w:val="0062208F"/>
    <w:rsid w:val="006222EF"/>
    <w:rsid w:val="0062278B"/>
    <w:rsid w:val="00622823"/>
    <w:rsid w:val="0062297C"/>
    <w:rsid w:val="00622A49"/>
    <w:rsid w:val="00622C0A"/>
    <w:rsid w:val="00622C2C"/>
    <w:rsid w:val="00622D8F"/>
    <w:rsid w:val="00622E32"/>
    <w:rsid w:val="00622EAE"/>
    <w:rsid w:val="00622FE1"/>
    <w:rsid w:val="0062317A"/>
    <w:rsid w:val="006231C6"/>
    <w:rsid w:val="00623434"/>
    <w:rsid w:val="00623498"/>
    <w:rsid w:val="00623596"/>
    <w:rsid w:val="006235DF"/>
    <w:rsid w:val="0062377C"/>
    <w:rsid w:val="006237E3"/>
    <w:rsid w:val="00623AFD"/>
    <w:rsid w:val="00623C3B"/>
    <w:rsid w:val="00623C47"/>
    <w:rsid w:val="00623C5E"/>
    <w:rsid w:val="00623DD6"/>
    <w:rsid w:val="0062450C"/>
    <w:rsid w:val="0062458D"/>
    <w:rsid w:val="00624F0C"/>
    <w:rsid w:val="00624F18"/>
    <w:rsid w:val="00625207"/>
    <w:rsid w:val="006254D2"/>
    <w:rsid w:val="006255AB"/>
    <w:rsid w:val="00625753"/>
    <w:rsid w:val="00625DA4"/>
    <w:rsid w:val="00625E33"/>
    <w:rsid w:val="006266A4"/>
    <w:rsid w:val="00626845"/>
    <w:rsid w:val="00626889"/>
    <w:rsid w:val="006269C0"/>
    <w:rsid w:val="00626B4A"/>
    <w:rsid w:val="00626BEB"/>
    <w:rsid w:val="00626E45"/>
    <w:rsid w:val="00626EFF"/>
    <w:rsid w:val="0062703E"/>
    <w:rsid w:val="00627150"/>
    <w:rsid w:val="00627201"/>
    <w:rsid w:val="0062731D"/>
    <w:rsid w:val="00627669"/>
    <w:rsid w:val="00627B73"/>
    <w:rsid w:val="00627BD8"/>
    <w:rsid w:val="00627CC4"/>
    <w:rsid w:val="00627D7C"/>
    <w:rsid w:val="00627EB3"/>
    <w:rsid w:val="006300D1"/>
    <w:rsid w:val="0063010C"/>
    <w:rsid w:val="0063022D"/>
    <w:rsid w:val="0063029B"/>
    <w:rsid w:val="00630401"/>
    <w:rsid w:val="00630435"/>
    <w:rsid w:val="00630660"/>
    <w:rsid w:val="006308A7"/>
    <w:rsid w:val="00630CD5"/>
    <w:rsid w:val="00630D3B"/>
    <w:rsid w:val="00630E17"/>
    <w:rsid w:val="00631040"/>
    <w:rsid w:val="00631553"/>
    <w:rsid w:val="006315D4"/>
    <w:rsid w:val="006316FE"/>
    <w:rsid w:val="00631774"/>
    <w:rsid w:val="00631869"/>
    <w:rsid w:val="0063198C"/>
    <w:rsid w:val="006319D0"/>
    <w:rsid w:val="00631A51"/>
    <w:rsid w:val="00631AC3"/>
    <w:rsid w:val="00631B73"/>
    <w:rsid w:val="00631E5B"/>
    <w:rsid w:val="0063204E"/>
    <w:rsid w:val="00632116"/>
    <w:rsid w:val="006322A0"/>
    <w:rsid w:val="00632935"/>
    <w:rsid w:val="00632A96"/>
    <w:rsid w:val="00632BF3"/>
    <w:rsid w:val="00632FA5"/>
    <w:rsid w:val="00632FB8"/>
    <w:rsid w:val="00633058"/>
    <w:rsid w:val="0063311D"/>
    <w:rsid w:val="0063317B"/>
    <w:rsid w:val="00633274"/>
    <w:rsid w:val="00633405"/>
    <w:rsid w:val="00633594"/>
    <w:rsid w:val="00633861"/>
    <w:rsid w:val="006339D1"/>
    <w:rsid w:val="00633A09"/>
    <w:rsid w:val="00633F44"/>
    <w:rsid w:val="00633F59"/>
    <w:rsid w:val="00634439"/>
    <w:rsid w:val="00634701"/>
    <w:rsid w:val="00634932"/>
    <w:rsid w:val="00634C20"/>
    <w:rsid w:val="00634C6F"/>
    <w:rsid w:val="00634D35"/>
    <w:rsid w:val="00634DFA"/>
    <w:rsid w:val="00634E3B"/>
    <w:rsid w:val="00634ED2"/>
    <w:rsid w:val="006350FB"/>
    <w:rsid w:val="0063531D"/>
    <w:rsid w:val="00635370"/>
    <w:rsid w:val="00635399"/>
    <w:rsid w:val="00635494"/>
    <w:rsid w:val="00635659"/>
    <w:rsid w:val="00635B37"/>
    <w:rsid w:val="00635D33"/>
    <w:rsid w:val="00635E0F"/>
    <w:rsid w:val="0063618C"/>
    <w:rsid w:val="006361AE"/>
    <w:rsid w:val="0063626E"/>
    <w:rsid w:val="00636441"/>
    <w:rsid w:val="0063645B"/>
    <w:rsid w:val="00636506"/>
    <w:rsid w:val="00636596"/>
    <w:rsid w:val="006365A5"/>
    <w:rsid w:val="006365C2"/>
    <w:rsid w:val="006369C7"/>
    <w:rsid w:val="00636B52"/>
    <w:rsid w:val="00636D4B"/>
    <w:rsid w:val="00636F2A"/>
    <w:rsid w:val="00637061"/>
    <w:rsid w:val="0063711F"/>
    <w:rsid w:val="006371E1"/>
    <w:rsid w:val="006371F2"/>
    <w:rsid w:val="00637251"/>
    <w:rsid w:val="00637423"/>
    <w:rsid w:val="00637447"/>
    <w:rsid w:val="006375A1"/>
    <w:rsid w:val="00637D92"/>
    <w:rsid w:val="00637ED0"/>
    <w:rsid w:val="00637EED"/>
    <w:rsid w:val="0063AEBE"/>
    <w:rsid w:val="00640C48"/>
    <w:rsid w:val="00640F89"/>
    <w:rsid w:val="0064106D"/>
    <w:rsid w:val="006410C4"/>
    <w:rsid w:val="006413A6"/>
    <w:rsid w:val="0064147F"/>
    <w:rsid w:val="0064179E"/>
    <w:rsid w:val="00641922"/>
    <w:rsid w:val="00641972"/>
    <w:rsid w:val="00641A52"/>
    <w:rsid w:val="00641BDB"/>
    <w:rsid w:val="00641C7A"/>
    <w:rsid w:val="00641C95"/>
    <w:rsid w:val="00641D3F"/>
    <w:rsid w:val="00641DDE"/>
    <w:rsid w:val="00642008"/>
    <w:rsid w:val="00642032"/>
    <w:rsid w:val="00642324"/>
    <w:rsid w:val="006423B6"/>
    <w:rsid w:val="006423F9"/>
    <w:rsid w:val="006425A3"/>
    <w:rsid w:val="00642662"/>
    <w:rsid w:val="0064286F"/>
    <w:rsid w:val="00642976"/>
    <w:rsid w:val="00642A50"/>
    <w:rsid w:val="00642A9C"/>
    <w:rsid w:val="00642B47"/>
    <w:rsid w:val="00642BEF"/>
    <w:rsid w:val="00642D41"/>
    <w:rsid w:val="00642D7A"/>
    <w:rsid w:val="00643061"/>
    <w:rsid w:val="00643168"/>
    <w:rsid w:val="0064353B"/>
    <w:rsid w:val="006435B3"/>
    <w:rsid w:val="006435D7"/>
    <w:rsid w:val="00643AFA"/>
    <w:rsid w:val="00643B3C"/>
    <w:rsid w:val="00643B8D"/>
    <w:rsid w:val="00643C78"/>
    <w:rsid w:val="0064401F"/>
    <w:rsid w:val="006440A9"/>
    <w:rsid w:val="006445B5"/>
    <w:rsid w:val="00644823"/>
    <w:rsid w:val="00644941"/>
    <w:rsid w:val="00644994"/>
    <w:rsid w:val="00644ED2"/>
    <w:rsid w:val="00644FE5"/>
    <w:rsid w:val="00645126"/>
    <w:rsid w:val="0064527F"/>
    <w:rsid w:val="00645301"/>
    <w:rsid w:val="00645320"/>
    <w:rsid w:val="006453C7"/>
    <w:rsid w:val="0064546B"/>
    <w:rsid w:val="00645591"/>
    <w:rsid w:val="00645615"/>
    <w:rsid w:val="00645708"/>
    <w:rsid w:val="00645AF1"/>
    <w:rsid w:val="00645B2A"/>
    <w:rsid w:val="00645C35"/>
    <w:rsid w:val="00645D08"/>
    <w:rsid w:val="00645E37"/>
    <w:rsid w:val="00645E7E"/>
    <w:rsid w:val="00646024"/>
    <w:rsid w:val="006461DF"/>
    <w:rsid w:val="0064648F"/>
    <w:rsid w:val="006467BB"/>
    <w:rsid w:val="006467C4"/>
    <w:rsid w:val="006468B8"/>
    <w:rsid w:val="00646928"/>
    <w:rsid w:val="006469ED"/>
    <w:rsid w:val="00646B53"/>
    <w:rsid w:val="00646CD5"/>
    <w:rsid w:val="00647217"/>
    <w:rsid w:val="00647236"/>
    <w:rsid w:val="00647BA4"/>
    <w:rsid w:val="00647BE0"/>
    <w:rsid w:val="00647CB9"/>
    <w:rsid w:val="0065002C"/>
    <w:rsid w:val="00650049"/>
    <w:rsid w:val="006502FF"/>
    <w:rsid w:val="00650618"/>
    <w:rsid w:val="00650738"/>
    <w:rsid w:val="0065081D"/>
    <w:rsid w:val="00650843"/>
    <w:rsid w:val="00650854"/>
    <w:rsid w:val="00650977"/>
    <w:rsid w:val="006509FE"/>
    <w:rsid w:val="00650C8C"/>
    <w:rsid w:val="006512F9"/>
    <w:rsid w:val="006514E7"/>
    <w:rsid w:val="0065159B"/>
    <w:rsid w:val="006515E4"/>
    <w:rsid w:val="00651992"/>
    <w:rsid w:val="00651A21"/>
    <w:rsid w:val="00651A33"/>
    <w:rsid w:val="00651BFF"/>
    <w:rsid w:val="00651C2E"/>
    <w:rsid w:val="00651E64"/>
    <w:rsid w:val="006524A9"/>
    <w:rsid w:val="0065272B"/>
    <w:rsid w:val="00652792"/>
    <w:rsid w:val="0065284D"/>
    <w:rsid w:val="00652CE4"/>
    <w:rsid w:val="00652DF3"/>
    <w:rsid w:val="006531F2"/>
    <w:rsid w:val="0065326D"/>
    <w:rsid w:val="006536EB"/>
    <w:rsid w:val="0065374F"/>
    <w:rsid w:val="006537B2"/>
    <w:rsid w:val="006537E5"/>
    <w:rsid w:val="0065396F"/>
    <w:rsid w:val="00653C65"/>
    <w:rsid w:val="00653CA5"/>
    <w:rsid w:val="00653FA2"/>
    <w:rsid w:val="0065401F"/>
    <w:rsid w:val="0065417D"/>
    <w:rsid w:val="006543A8"/>
    <w:rsid w:val="00654710"/>
    <w:rsid w:val="0065485D"/>
    <w:rsid w:val="00654870"/>
    <w:rsid w:val="00654CDC"/>
    <w:rsid w:val="00655020"/>
    <w:rsid w:val="00655120"/>
    <w:rsid w:val="00655177"/>
    <w:rsid w:val="0065529F"/>
    <w:rsid w:val="0065542D"/>
    <w:rsid w:val="006555D0"/>
    <w:rsid w:val="00655610"/>
    <w:rsid w:val="006558DE"/>
    <w:rsid w:val="00655929"/>
    <w:rsid w:val="00655CE1"/>
    <w:rsid w:val="00655DA0"/>
    <w:rsid w:val="00655E21"/>
    <w:rsid w:val="00655EB4"/>
    <w:rsid w:val="006561F3"/>
    <w:rsid w:val="006567C3"/>
    <w:rsid w:val="006568D9"/>
    <w:rsid w:val="00656A9A"/>
    <w:rsid w:val="00656C36"/>
    <w:rsid w:val="00656E63"/>
    <w:rsid w:val="00656F19"/>
    <w:rsid w:val="00657119"/>
    <w:rsid w:val="006571B1"/>
    <w:rsid w:val="00657298"/>
    <w:rsid w:val="006572F0"/>
    <w:rsid w:val="0065733B"/>
    <w:rsid w:val="0065736C"/>
    <w:rsid w:val="006573FF"/>
    <w:rsid w:val="0065766F"/>
    <w:rsid w:val="006576E1"/>
    <w:rsid w:val="006577B7"/>
    <w:rsid w:val="00657A68"/>
    <w:rsid w:val="00657D21"/>
    <w:rsid w:val="0066005E"/>
    <w:rsid w:val="006600E3"/>
    <w:rsid w:val="0066027A"/>
    <w:rsid w:val="006604EF"/>
    <w:rsid w:val="00660597"/>
    <w:rsid w:val="006607EF"/>
    <w:rsid w:val="006608D2"/>
    <w:rsid w:val="00660939"/>
    <w:rsid w:val="00660A17"/>
    <w:rsid w:val="00660B10"/>
    <w:rsid w:val="00660CF9"/>
    <w:rsid w:val="00660F55"/>
    <w:rsid w:val="006611A9"/>
    <w:rsid w:val="0066193A"/>
    <w:rsid w:val="00661963"/>
    <w:rsid w:val="00661AB8"/>
    <w:rsid w:val="00661BFB"/>
    <w:rsid w:val="00661CDA"/>
    <w:rsid w:val="00662735"/>
    <w:rsid w:val="00662831"/>
    <w:rsid w:val="00662919"/>
    <w:rsid w:val="00662926"/>
    <w:rsid w:val="0066299B"/>
    <w:rsid w:val="00662D10"/>
    <w:rsid w:val="00662FB4"/>
    <w:rsid w:val="00663146"/>
    <w:rsid w:val="0066337F"/>
    <w:rsid w:val="00663438"/>
    <w:rsid w:val="00663503"/>
    <w:rsid w:val="006635A4"/>
    <w:rsid w:val="0066361E"/>
    <w:rsid w:val="00663C6A"/>
    <w:rsid w:val="00663CE4"/>
    <w:rsid w:val="00663F4E"/>
    <w:rsid w:val="00664148"/>
    <w:rsid w:val="00664211"/>
    <w:rsid w:val="0066427D"/>
    <w:rsid w:val="00664673"/>
    <w:rsid w:val="00664758"/>
    <w:rsid w:val="00664846"/>
    <w:rsid w:val="00664C12"/>
    <w:rsid w:val="00664CDC"/>
    <w:rsid w:val="0066513B"/>
    <w:rsid w:val="00665465"/>
    <w:rsid w:val="006654E2"/>
    <w:rsid w:val="0066579C"/>
    <w:rsid w:val="00665B6F"/>
    <w:rsid w:val="00665B97"/>
    <w:rsid w:val="00665BE5"/>
    <w:rsid w:val="00665EA8"/>
    <w:rsid w:val="00665EB7"/>
    <w:rsid w:val="00665EE9"/>
    <w:rsid w:val="00665F81"/>
    <w:rsid w:val="00666250"/>
    <w:rsid w:val="00666336"/>
    <w:rsid w:val="006664BA"/>
    <w:rsid w:val="00666508"/>
    <w:rsid w:val="00666655"/>
    <w:rsid w:val="00666AF5"/>
    <w:rsid w:val="00666BEC"/>
    <w:rsid w:val="00666C60"/>
    <w:rsid w:val="00666C65"/>
    <w:rsid w:val="00666D44"/>
    <w:rsid w:val="00666E84"/>
    <w:rsid w:val="00667237"/>
    <w:rsid w:val="00667636"/>
    <w:rsid w:val="00667776"/>
    <w:rsid w:val="00667BF3"/>
    <w:rsid w:val="00667CAA"/>
    <w:rsid w:val="00667E62"/>
    <w:rsid w:val="00667F9A"/>
    <w:rsid w:val="00670033"/>
    <w:rsid w:val="00670084"/>
    <w:rsid w:val="00670107"/>
    <w:rsid w:val="00670217"/>
    <w:rsid w:val="0067022B"/>
    <w:rsid w:val="00670383"/>
    <w:rsid w:val="00670461"/>
    <w:rsid w:val="00670795"/>
    <w:rsid w:val="00670895"/>
    <w:rsid w:val="00670D88"/>
    <w:rsid w:val="00670FB3"/>
    <w:rsid w:val="00670FE2"/>
    <w:rsid w:val="00671505"/>
    <w:rsid w:val="0067150A"/>
    <w:rsid w:val="00671AC4"/>
    <w:rsid w:val="00671B95"/>
    <w:rsid w:val="006721B3"/>
    <w:rsid w:val="00672452"/>
    <w:rsid w:val="00672526"/>
    <w:rsid w:val="006726A1"/>
    <w:rsid w:val="006729AB"/>
    <w:rsid w:val="00672A79"/>
    <w:rsid w:val="00673476"/>
    <w:rsid w:val="00673621"/>
    <w:rsid w:val="006737F5"/>
    <w:rsid w:val="00673A88"/>
    <w:rsid w:val="00673BD2"/>
    <w:rsid w:val="00673C52"/>
    <w:rsid w:val="00673F79"/>
    <w:rsid w:val="006740C8"/>
    <w:rsid w:val="00674382"/>
    <w:rsid w:val="006743CB"/>
    <w:rsid w:val="006745BD"/>
    <w:rsid w:val="006747B2"/>
    <w:rsid w:val="0067485F"/>
    <w:rsid w:val="00674B7B"/>
    <w:rsid w:val="00674CC0"/>
    <w:rsid w:val="00674DCA"/>
    <w:rsid w:val="00674DFA"/>
    <w:rsid w:val="00674E67"/>
    <w:rsid w:val="00674F33"/>
    <w:rsid w:val="006751F6"/>
    <w:rsid w:val="00675294"/>
    <w:rsid w:val="00675630"/>
    <w:rsid w:val="00675865"/>
    <w:rsid w:val="0067597F"/>
    <w:rsid w:val="00675995"/>
    <w:rsid w:val="00675C2C"/>
    <w:rsid w:val="00676001"/>
    <w:rsid w:val="00676015"/>
    <w:rsid w:val="006760B4"/>
    <w:rsid w:val="006760CD"/>
    <w:rsid w:val="0067622F"/>
    <w:rsid w:val="006763B6"/>
    <w:rsid w:val="0067661C"/>
    <w:rsid w:val="0067661F"/>
    <w:rsid w:val="00676627"/>
    <w:rsid w:val="006769DC"/>
    <w:rsid w:val="00676D54"/>
    <w:rsid w:val="00676E76"/>
    <w:rsid w:val="006773E2"/>
    <w:rsid w:val="00677449"/>
    <w:rsid w:val="00677629"/>
    <w:rsid w:val="0067788B"/>
    <w:rsid w:val="00677929"/>
    <w:rsid w:val="00677A69"/>
    <w:rsid w:val="00680136"/>
    <w:rsid w:val="0068019E"/>
    <w:rsid w:val="00680269"/>
    <w:rsid w:val="0068038D"/>
    <w:rsid w:val="006804B8"/>
    <w:rsid w:val="00680570"/>
    <w:rsid w:val="006805ED"/>
    <w:rsid w:val="0068069D"/>
    <w:rsid w:val="00680748"/>
    <w:rsid w:val="006807F0"/>
    <w:rsid w:val="00680815"/>
    <w:rsid w:val="00680970"/>
    <w:rsid w:val="00680B41"/>
    <w:rsid w:val="00680BBC"/>
    <w:rsid w:val="00680DCD"/>
    <w:rsid w:val="00680DE6"/>
    <w:rsid w:val="00680E7D"/>
    <w:rsid w:val="00681226"/>
    <w:rsid w:val="00681377"/>
    <w:rsid w:val="0068142C"/>
    <w:rsid w:val="0068161D"/>
    <w:rsid w:val="00681675"/>
    <w:rsid w:val="006817C9"/>
    <w:rsid w:val="006818E2"/>
    <w:rsid w:val="00681B77"/>
    <w:rsid w:val="00681D3E"/>
    <w:rsid w:val="0068205D"/>
    <w:rsid w:val="006821D8"/>
    <w:rsid w:val="006821E6"/>
    <w:rsid w:val="006821F8"/>
    <w:rsid w:val="00682325"/>
    <w:rsid w:val="00682464"/>
    <w:rsid w:val="006825B8"/>
    <w:rsid w:val="006827B5"/>
    <w:rsid w:val="00682B96"/>
    <w:rsid w:val="00682CE9"/>
    <w:rsid w:val="00682D78"/>
    <w:rsid w:val="00682DA9"/>
    <w:rsid w:val="00682E84"/>
    <w:rsid w:val="006830A8"/>
    <w:rsid w:val="006830F1"/>
    <w:rsid w:val="0068311C"/>
    <w:rsid w:val="006831B2"/>
    <w:rsid w:val="006832A3"/>
    <w:rsid w:val="006836C4"/>
    <w:rsid w:val="00683A3E"/>
    <w:rsid w:val="00684279"/>
    <w:rsid w:val="00684A1C"/>
    <w:rsid w:val="00684A6A"/>
    <w:rsid w:val="00684CD7"/>
    <w:rsid w:val="00684D9E"/>
    <w:rsid w:val="00684EB6"/>
    <w:rsid w:val="00684F93"/>
    <w:rsid w:val="00685035"/>
    <w:rsid w:val="00685073"/>
    <w:rsid w:val="006851A4"/>
    <w:rsid w:val="0068535B"/>
    <w:rsid w:val="00685B72"/>
    <w:rsid w:val="00685CFF"/>
    <w:rsid w:val="00685ED0"/>
    <w:rsid w:val="0068603A"/>
    <w:rsid w:val="00686116"/>
    <w:rsid w:val="00686270"/>
    <w:rsid w:val="006862D6"/>
    <w:rsid w:val="00686435"/>
    <w:rsid w:val="00686700"/>
    <w:rsid w:val="00686B27"/>
    <w:rsid w:val="00686E26"/>
    <w:rsid w:val="00686FB2"/>
    <w:rsid w:val="006870B7"/>
    <w:rsid w:val="00687328"/>
    <w:rsid w:val="0068734A"/>
    <w:rsid w:val="006874D9"/>
    <w:rsid w:val="00687BC3"/>
    <w:rsid w:val="00687D37"/>
    <w:rsid w:val="00687D8C"/>
    <w:rsid w:val="00687E04"/>
    <w:rsid w:val="00687F88"/>
    <w:rsid w:val="00687FBB"/>
    <w:rsid w:val="00690319"/>
    <w:rsid w:val="006904AF"/>
    <w:rsid w:val="00690504"/>
    <w:rsid w:val="006908AF"/>
    <w:rsid w:val="00690AC6"/>
    <w:rsid w:val="00690B00"/>
    <w:rsid w:val="006912D1"/>
    <w:rsid w:val="006914C8"/>
    <w:rsid w:val="00691763"/>
    <w:rsid w:val="00691932"/>
    <w:rsid w:val="00691958"/>
    <w:rsid w:val="00691C45"/>
    <w:rsid w:val="00691C57"/>
    <w:rsid w:val="00691D37"/>
    <w:rsid w:val="00691F4A"/>
    <w:rsid w:val="006921A6"/>
    <w:rsid w:val="006922D5"/>
    <w:rsid w:val="00692486"/>
    <w:rsid w:val="0069255F"/>
    <w:rsid w:val="00692592"/>
    <w:rsid w:val="00692895"/>
    <w:rsid w:val="00692A1B"/>
    <w:rsid w:val="00692C54"/>
    <w:rsid w:val="00692D5B"/>
    <w:rsid w:val="00693000"/>
    <w:rsid w:val="00693129"/>
    <w:rsid w:val="00693358"/>
    <w:rsid w:val="00693507"/>
    <w:rsid w:val="00693640"/>
    <w:rsid w:val="006938DA"/>
    <w:rsid w:val="006938F0"/>
    <w:rsid w:val="00693A8D"/>
    <w:rsid w:val="00693AEC"/>
    <w:rsid w:val="00693CE1"/>
    <w:rsid w:val="00694516"/>
    <w:rsid w:val="00694532"/>
    <w:rsid w:val="00694564"/>
    <w:rsid w:val="00694692"/>
    <w:rsid w:val="00694741"/>
    <w:rsid w:val="0069491C"/>
    <w:rsid w:val="00694A46"/>
    <w:rsid w:val="00694F47"/>
    <w:rsid w:val="00694FA6"/>
    <w:rsid w:val="00695166"/>
    <w:rsid w:val="006958B7"/>
    <w:rsid w:val="006958F7"/>
    <w:rsid w:val="00695D5F"/>
    <w:rsid w:val="00695DE7"/>
    <w:rsid w:val="00695F5F"/>
    <w:rsid w:val="006960C0"/>
    <w:rsid w:val="00696220"/>
    <w:rsid w:val="0069637B"/>
    <w:rsid w:val="006968AF"/>
    <w:rsid w:val="006968B8"/>
    <w:rsid w:val="00696950"/>
    <w:rsid w:val="006969A5"/>
    <w:rsid w:val="00696A10"/>
    <w:rsid w:val="00696A80"/>
    <w:rsid w:val="00696AEB"/>
    <w:rsid w:val="00696B85"/>
    <w:rsid w:val="00696CB5"/>
    <w:rsid w:val="00696D79"/>
    <w:rsid w:val="00696F0F"/>
    <w:rsid w:val="00696F5C"/>
    <w:rsid w:val="006972CE"/>
    <w:rsid w:val="006972DB"/>
    <w:rsid w:val="006978DC"/>
    <w:rsid w:val="00697B8A"/>
    <w:rsid w:val="00697C2E"/>
    <w:rsid w:val="006A05F7"/>
    <w:rsid w:val="006A08FF"/>
    <w:rsid w:val="006A0CC0"/>
    <w:rsid w:val="006A0DDE"/>
    <w:rsid w:val="006A0DFC"/>
    <w:rsid w:val="006A0EB2"/>
    <w:rsid w:val="006A1031"/>
    <w:rsid w:val="006A148D"/>
    <w:rsid w:val="006A1521"/>
    <w:rsid w:val="006A1862"/>
    <w:rsid w:val="006A1881"/>
    <w:rsid w:val="006A1A84"/>
    <w:rsid w:val="006A1BD4"/>
    <w:rsid w:val="006A1E68"/>
    <w:rsid w:val="006A2265"/>
    <w:rsid w:val="006A24B0"/>
    <w:rsid w:val="006A2629"/>
    <w:rsid w:val="006A26CB"/>
    <w:rsid w:val="006A26CC"/>
    <w:rsid w:val="006A2A6E"/>
    <w:rsid w:val="006A2CB6"/>
    <w:rsid w:val="006A2D7F"/>
    <w:rsid w:val="006A2DBF"/>
    <w:rsid w:val="006A2DDB"/>
    <w:rsid w:val="006A2F4E"/>
    <w:rsid w:val="006A3182"/>
    <w:rsid w:val="006A31B3"/>
    <w:rsid w:val="006A3257"/>
    <w:rsid w:val="006A32D5"/>
    <w:rsid w:val="006A35B0"/>
    <w:rsid w:val="006A35CB"/>
    <w:rsid w:val="006A36D3"/>
    <w:rsid w:val="006A36F7"/>
    <w:rsid w:val="006A39AC"/>
    <w:rsid w:val="006A407A"/>
    <w:rsid w:val="006A41AD"/>
    <w:rsid w:val="006A42D3"/>
    <w:rsid w:val="006A42FC"/>
    <w:rsid w:val="006A435D"/>
    <w:rsid w:val="006A440D"/>
    <w:rsid w:val="006A44B4"/>
    <w:rsid w:val="006A49F1"/>
    <w:rsid w:val="006A4ACE"/>
    <w:rsid w:val="006A5010"/>
    <w:rsid w:val="006A53B8"/>
    <w:rsid w:val="006A5849"/>
    <w:rsid w:val="006A5954"/>
    <w:rsid w:val="006A5985"/>
    <w:rsid w:val="006A5BC2"/>
    <w:rsid w:val="006A5C90"/>
    <w:rsid w:val="006A5D68"/>
    <w:rsid w:val="006A5E6E"/>
    <w:rsid w:val="006A5F8D"/>
    <w:rsid w:val="006A6683"/>
    <w:rsid w:val="006A67BE"/>
    <w:rsid w:val="006A69AC"/>
    <w:rsid w:val="006A6AA1"/>
    <w:rsid w:val="006A6AAD"/>
    <w:rsid w:val="006A6D55"/>
    <w:rsid w:val="006A6D5A"/>
    <w:rsid w:val="006A7393"/>
    <w:rsid w:val="006A73DE"/>
    <w:rsid w:val="006A799C"/>
    <w:rsid w:val="006A7B1D"/>
    <w:rsid w:val="006A7FD1"/>
    <w:rsid w:val="006B0205"/>
    <w:rsid w:val="006B02CF"/>
    <w:rsid w:val="006B03F0"/>
    <w:rsid w:val="006B0BBA"/>
    <w:rsid w:val="006B0F77"/>
    <w:rsid w:val="006B1148"/>
    <w:rsid w:val="006B11A9"/>
    <w:rsid w:val="006B12C9"/>
    <w:rsid w:val="006B1773"/>
    <w:rsid w:val="006B1A15"/>
    <w:rsid w:val="006B1B9F"/>
    <w:rsid w:val="006B1E57"/>
    <w:rsid w:val="006B1FD7"/>
    <w:rsid w:val="006B20B8"/>
    <w:rsid w:val="006B222A"/>
    <w:rsid w:val="006B23B8"/>
    <w:rsid w:val="006B24BE"/>
    <w:rsid w:val="006B2C8C"/>
    <w:rsid w:val="006B2D47"/>
    <w:rsid w:val="006B2E42"/>
    <w:rsid w:val="006B2F36"/>
    <w:rsid w:val="006B3394"/>
    <w:rsid w:val="006B34F6"/>
    <w:rsid w:val="006B37C9"/>
    <w:rsid w:val="006B387B"/>
    <w:rsid w:val="006B3B36"/>
    <w:rsid w:val="006B3C23"/>
    <w:rsid w:val="006B3E54"/>
    <w:rsid w:val="006B3F47"/>
    <w:rsid w:val="006B409C"/>
    <w:rsid w:val="006B43A7"/>
    <w:rsid w:val="006B43BA"/>
    <w:rsid w:val="006B4633"/>
    <w:rsid w:val="006B4755"/>
    <w:rsid w:val="006B48F5"/>
    <w:rsid w:val="006B4942"/>
    <w:rsid w:val="006B4969"/>
    <w:rsid w:val="006B4B3A"/>
    <w:rsid w:val="006B4D02"/>
    <w:rsid w:val="006B4FB2"/>
    <w:rsid w:val="006B5143"/>
    <w:rsid w:val="006B5604"/>
    <w:rsid w:val="006B5833"/>
    <w:rsid w:val="006B5CA1"/>
    <w:rsid w:val="006B60E2"/>
    <w:rsid w:val="006B6278"/>
    <w:rsid w:val="006B6415"/>
    <w:rsid w:val="006B6441"/>
    <w:rsid w:val="006B6602"/>
    <w:rsid w:val="006B67C1"/>
    <w:rsid w:val="006B67D7"/>
    <w:rsid w:val="006B6833"/>
    <w:rsid w:val="006B69E2"/>
    <w:rsid w:val="006B6DA5"/>
    <w:rsid w:val="006B714E"/>
    <w:rsid w:val="006B74DB"/>
    <w:rsid w:val="006B7567"/>
    <w:rsid w:val="006B7632"/>
    <w:rsid w:val="006B775C"/>
    <w:rsid w:val="006B79DA"/>
    <w:rsid w:val="006B7AB3"/>
    <w:rsid w:val="006B7B89"/>
    <w:rsid w:val="006B7D60"/>
    <w:rsid w:val="006B7FDB"/>
    <w:rsid w:val="006C00A6"/>
    <w:rsid w:val="006C013D"/>
    <w:rsid w:val="006C0423"/>
    <w:rsid w:val="006C05CF"/>
    <w:rsid w:val="006C06D4"/>
    <w:rsid w:val="006C0831"/>
    <w:rsid w:val="006C0DB7"/>
    <w:rsid w:val="006C1479"/>
    <w:rsid w:val="006C15E5"/>
    <w:rsid w:val="006C16FF"/>
    <w:rsid w:val="006C179F"/>
    <w:rsid w:val="006C1C4C"/>
    <w:rsid w:val="006C1D5B"/>
    <w:rsid w:val="006C2065"/>
    <w:rsid w:val="006C232E"/>
    <w:rsid w:val="006C23BC"/>
    <w:rsid w:val="006C261F"/>
    <w:rsid w:val="006C2652"/>
    <w:rsid w:val="006C27D3"/>
    <w:rsid w:val="006C2A1F"/>
    <w:rsid w:val="006C2ED1"/>
    <w:rsid w:val="006C2ED5"/>
    <w:rsid w:val="006C34F7"/>
    <w:rsid w:val="006C378E"/>
    <w:rsid w:val="006C392C"/>
    <w:rsid w:val="006C3A7F"/>
    <w:rsid w:val="006C3AED"/>
    <w:rsid w:val="006C3BD4"/>
    <w:rsid w:val="006C3E65"/>
    <w:rsid w:val="006C4120"/>
    <w:rsid w:val="006C4554"/>
    <w:rsid w:val="006C4CDB"/>
    <w:rsid w:val="006C504A"/>
    <w:rsid w:val="006C50AD"/>
    <w:rsid w:val="006C5145"/>
    <w:rsid w:val="006C5614"/>
    <w:rsid w:val="006C57C5"/>
    <w:rsid w:val="006C58CF"/>
    <w:rsid w:val="006C5AD7"/>
    <w:rsid w:val="006C5AFD"/>
    <w:rsid w:val="006C5B67"/>
    <w:rsid w:val="006C5C01"/>
    <w:rsid w:val="006C5F9B"/>
    <w:rsid w:val="006C602C"/>
    <w:rsid w:val="006C6076"/>
    <w:rsid w:val="006C607D"/>
    <w:rsid w:val="006C6146"/>
    <w:rsid w:val="006C6373"/>
    <w:rsid w:val="006C658D"/>
    <w:rsid w:val="006C670A"/>
    <w:rsid w:val="006C683E"/>
    <w:rsid w:val="006C698E"/>
    <w:rsid w:val="006C6D55"/>
    <w:rsid w:val="006C716D"/>
    <w:rsid w:val="006C71A4"/>
    <w:rsid w:val="006C773B"/>
    <w:rsid w:val="006C7774"/>
    <w:rsid w:val="006C79D9"/>
    <w:rsid w:val="006C7A2E"/>
    <w:rsid w:val="006C7BCE"/>
    <w:rsid w:val="006C7C53"/>
    <w:rsid w:val="006C7DEE"/>
    <w:rsid w:val="006D0032"/>
    <w:rsid w:val="006D00F8"/>
    <w:rsid w:val="006D0186"/>
    <w:rsid w:val="006D055C"/>
    <w:rsid w:val="006D07A8"/>
    <w:rsid w:val="006D07EE"/>
    <w:rsid w:val="006D0919"/>
    <w:rsid w:val="006D0A5D"/>
    <w:rsid w:val="006D0D7C"/>
    <w:rsid w:val="006D0E13"/>
    <w:rsid w:val="006D0E6C"/>
    <w:rsid w:val="006D0EFE"/>
    <w:rsid w:val="006D0F5A"/>
    <w:rsid w:val="006D121B"/>
    <w:rsid w:val="006D147F"/>
    <w:rsid w:val="006D156F"/>
    <w:rsid w:val="006D15CE"/>
    <w:rsid w:val="006D1D91"/>
    <w:rsid w:val="006D1DAE"/>
    <w:rsid w:val="006D1F8A"/>
    <w:rsid w:val="006D1FDF"/>
    <w:rsid w:val="006D2072"/>
    <w:rsid w:val="006D22F6"/>
    <w:rsid w:val="006D23A4"/>
    <w:rsid w:val="006D24A3"/>
    <w:rsid w:val="006D29E5"/>
    <w:rsid w:val="006D2C82"/>
    <w:rsid w:val="006D2EF0"/>
    <w:rsid w:val="006D3280"/>
    <w:rsid w:val="006D388E"/>
    <w:rsid w:val="006D3F89"/>
    <w:rsid w:val="006D4064"/>
    <w:rsid w:val="006D4084"/>
    <w:rsid w:val="006D46D3"/>
    <w:rsid w:val="006D4836"/>
    <w:rsid w:val="006D485F"/>
    <w:rsid w:val="006D49F1"/>
    <w:rsid w:val="006D4DD3"/>
    <w:rsid w:val="006D527C"/>
    <w:rsid w:val="006D52EC"/>
    <w:rsid w:val="006D530F"/>
    <w:rsid w:val="006D53E8"/>
    <w:rsid w:val="006D57C8"/>
    <w:rsid w:val="006D57D2"/>
    <w:rsid w:val="006D58E4"/>
    <w:rsid w:val="006D5B27"/>
    <w:rsid w:val="006D6578"/>
    <w:rsid w:val="006D6CCB"/>
    <w:rsid w:val="006D70A7"/>
    <w:rsid w:val="006D7143"/>
    <w:rsid w:val="006D73D1"/>
    <w:rsid w:val="006D7406"/>
    <w:rsid w:val="006D755F"/>
    <w:rsid w:val="006D78C8"/>
    <w:rsid w:val="006D796B"/>
    <w:rsid w:val="006D7A30"/>
    <w:rsid w:val="006D7AB5"/>
    <w:rsid w:val="006D7C21"/>
    <w:rsid w:val="006D7D27"/>
    <w:rsid w:val="006D7F92"/>
    <w:rsid w:val="006E008F"/>
    <w:rsid w:val="006E019F"/>
    <w:rsid w:val="006E022D"/>
    <w:rsid w:val="006E0302"/>
    <w:rsid w:val="006E0543"/>
    <w:rsid w:val="006E0643"/>
    <w:rsid w:val="006E09DE"/>
    <w:rsid w:val="006E0A2C"/>
    <w:rsid w:val="006E0C6F"/>
    <w:rsid w:val="006E0D14"/>
    <w:rsid w:val="006E10E5"/>
    <w:rsid w:val="006E1336"/>
    <w:rsid w:val="006E13BD"/>
    <w:rsid w:val="006E165E"/>
    <w:rsid w:val="006E176F"/>
    <w:rsid w:val="006E177B"/>
    <w:rsid w:val="006E18EC"/>
    <w:rsid w:val="006E1ABE"/>
    <w:rsid w:val="006E1B00"/>
    <w:rsid w:val="006E1DBD"/>
    <w:rsid w:val="006E20CE"/>
    <w:rsid w:val="006E2114"/>
    <w:rsid w:val="006E2187"/>
    <w:rsid w:val="006E250E"/>
    <w:rsid w:val="006E2582"/>
    <w:rsid w:val="006E264F"/>
    <w:rsid w:val="006E27C2"/>
    <w:rsid w:val="006E296B"/>
    <w:rsid w:val="006E298C"/>
    <w:rsid w:val="006E2BC9"/>
    <w:rsid w:val="006E2F6B"/>
    <w:rsid w:val="006E2F84"/>
    <w:rsid w:val="006E2F9F"/>
    <w:rsid w:val="006E30CA"/>
    <w:rsid w:val="006E3383"/>
    <w:rsid w:val="006E33A8"/>
    <w:rsid w:val="006E3505"/>
    <w:rsid w:val="006E35E2"/>
    <w:rsid w:val="006E3603"/>
    <w:rsid w:val="006E3916"/>
    <w:rsid w:val="006E3E02"/>
    <w:rsid w:val="006E3F26"/>
    <w:rsid w:val="006E4298"/>
    <w:rsid w:val="006E45CC"/>
    <w:rsid w:val="006E4D74"/>
    <w:rsid w:val="006E4E3A"/>
    <w:rsid w:val="006E4FB4"/>
    <w:rsid w:val="006E51B5"/>
    <w:rsid w:val="006E52BC"/>
    <w:rsid w:val="006E537B"/>
    <w:rsid w:val="006E5404"/>
    <w:rsid w:val="006E54CF"/>
    <w:rsid w:val="006E5645"/>
    <w:rsid w:val="006E5693"/>
    <w:rsid w:val="006E57F6"/>
    <w:rsid w:val="006E5AFC"/>
    <w:rsid w:val="006E5B54"/>
    <w:rsid w:val="006E5BB9"/>
    <w:rsid w:val="006E5C6F"/>
    <w:rsid w:val="006E5E16"/>
    <w:rsid w:val="006E5ECE"/>
    <w:rsid w:val="006E5F60"/>
    <w:rsid w:val="006E6014"/>
    <w:rsid w:val="006E625A"/>
    <w:rsid w:val="006E6311"/>
    <w:rsid w:val="006E6315"/>
    <w:rsid w:val="006E63E6"/>
    <w:rsid w:val="006E671B"/>
    <w:rsid w:val="006E689A"/>
    <w:rsid w:val="006E6A35"/>
    <w:rsid w:val="006E6A56"/>
    <w:rsid w:val="006E6A60"/>
    <w:rsid w:val="006E6C5A"/>
    <w:rsid w:val="006E6E67"/>
    <w:rsid w:val="006E7001"/>
    <w:rsid w:val="006E7012"/>
    <w:rsid w:val="006E71DC"/>
    <w:rsid w:val="006E733D"/>
    <w:rsid w:val="006E74A1"/>
    <w:rsid w:val="006E7654"/>
    <w:rsid w:val="006E7AB4"/>
    <w:rsid w:val="006E7B34"/>
    <w:rsid w:val="006E7C79"/>
    <w:rsid w:val="006E7CA0"/>
    <w:rsid w:val="006E7DB3"/>
    <w:rsid w:val="006E7EB1"/>
    <w:rsid w:val="006E7FFC"/>
    <w:rsid w:val="006F030E"/>
    <w:rsid w:val="006F03D2"/>
    <w:rsid w:val="006F04C7"/>
    <w:rsid w:val="006F065B"/>
    <w:rsid w:val="006F06BA"/>
    <w:rsid w:val="006F070B"/>
    <w:rsid w:val="006F094D"/>
    <w:rsid w:val="006F0EA3"/>
    <w:rsid w:val="006F1011"/>
    <w:rsid w:val="006F102B"/>
    <w:rsid w:val="006F116D"/>
    <w:rsid w:val="006F1276"/>
    <w:rsid w:val="006F1390"/>
    <w:rsid w:val="006F147D"/>
    <w:rsid w:val="006F18DB"/>
    <w:rsid w:val="006F1C70"/>
    <w:rsid w:val="006F1E2C"/>
    <w:rsid w:val="006F20DC"/>
    <w:rsid w:val="006F2410"/>
    <w:rsid w:val="006F27D5"/>
    <w:rsid w:val="006F2894"/>
    <w:rsid w:val="006F299B"/>
    <w:rsid w:val="006F2A9C"/>
    <w:rsid w:val="006F2B98"/>
    <w:rsid w:val="006F2CBF"/>
    <w:rsid w:val="006F30E7"/>
    <w:rsid w:val="006F315C"/>
    <w:rsid w:val="006F34C1"/>
    <w:rsid w:val="006F353A"/>
    <w:rsid w:val="006F35E7"/>
    <w:rsid w:val="006F3634"/>
    <w:rsid w:val="006F36C3"/>
    <w:rsid w:val="006F3A2A"/>
    <w:rsid w:val="006F4020"/>
    <w:rsid w:val="006F4348"/>
    <w:rsid w:val="006F451D"/>
    <w:rsid w:val="006F4703"/>
    <w:rsid w:val="006F484C"/>
    <w:rsid w:val="006F4859"/>
    <w:rsid w:val="006F4BB3"/>
    <w:rsid w:val="006F4CA1"/>
    <w:rsid w:val="006F4CDC"/>
    <w:rsid w:val="006F4D58"/>
    <w:rsid w:val="006F4ED0"/>
    <w:rsid w:val="006F5155"/>
    <w:rsid w:val="006F5219"/>
    <w:rsid w:val="006F52E7"/>
    <w:rsid w:val="006F566C"/>
    <w:rsid w:val="006F59BC"/>
    <w:rsid w:val="006F5CEE"/>
    <w:rsid w:val="006F5DED"/>
    <w:rsid w:val="006F5F8F"/>
    <w:rsid w:val="006F6019"/>
    <w:rsid w:val="006F622D"/>
    <w:rsid w:val="006F6302"/>
    <w:rsid w:val="006F659D"/>
    <w:rsid w:val="006F6B88"/>
    <w:rsid w:val="006F6CCA"/>
    <w:rsid w:val="006F724D"/>
    <w:rsid w:val="006F7569"/>
    <w:rsid w:val="006F7915"/>
    <w:rsid w:val="006F7A98"/>
    <w:rsid w:val="006F7C52"/>
    <w:rsid w:val="006F7FB5"/>
    <w:rsid w:val="00700149"/>
    <w:rsid w:val="0070018D"/>
    <w:rsid w:val="007001D5"/>
    <w:rsid w:val="0070058E"/>
    <w:rsid w:val="0070068B"/>
    <w:rsid w:val="00700759"/>
    <w:rsid w:val="007008FC"/>
    <w:rsid w:val="00700C19"/>
    <w:rsid w:val="00700D49"/>
    <w:rsid w:val="00700E02"/>
    <w:rsid w:val="00700F13"/>
    <w:rsid w:val="00700F9A"/>
    <w:rsid w:val="0070100B"/>
    <w:rsid w:val="00701091"/>
    <w:rsid w:val="007010DA"/>
    <w:rsid w:val="00701196"/>
    <w:rsid w:val="0070146C"/>
    <w:rsid w:val="0070155B"/>
    <w:rsid w:val="00701575"/>
    <w:rsid w:val="00701795"/>
    <w:rsid w:val="0070189F"/>
    <w:rsid w:val="00701912"/>
    <w:rsid w:val="00701958"/>
    <w:rsid w:val="00701DA4"/>
    <w:rsid w:val="00701F9C"/>
    <w:rsid w:val="00702099"/>
    <w:rsid w:val="00702116"/>
    <w:rsid w:val="0070216D"/>
    <w:rsid w:val="007021E2"/>
    <w:rsid w:val="0070223A"/>
    <w:rsid w:val="007022C1"/>
    <w:rsid w:val="0070249D"/>
    <w:rsid w:val="00702734"/>
    <w:rsid w:val="007028EC"/>
    <w:rsid w:val="007029CC"/>
    <w:rsid w:val="00702C2E"/>
    <w:rsid w:val="00702C56"/>
    <w:rsid w:val="00702CAA"/>
    <w:rsid w:val="00702E88"/>
    <w:rsid w:val="00702F06"/>
    <w:rsid w:val="007035D5"/>
    <w:rsid w:val="00703884"/>
    <w:rsid w:val="007038F8"/>
    <w:rsid w:val="00703A34"/>
    <w:rsid w:val="00703AD4"/>
    <w:rsid w:val="00703DCC"/>
    <w:rsid w:val="00703E15"/>
    <w:rsid w:val="0070414F"/>
    <w:rsid w:val="0070420D"/>
    <w:rsid w:val="00704240"/>
    <w:rsid w:val="0070435F"/>
    <w:rsid w:val="0070454B"/>
    <w:rsid w:val="007045D2"/>
    <w:rsid w:val="007045FA"/>
    <w:rsid w:val="00704813"/>
    <w:rsid w:val="007048A3"/>
    <w:rsid w:val="00704900"/>
    <w:rsid w:val="00704977"/>
    <w:rsid w:val="00704A78"/>
    <w:rsid w:val="00704C03"/>
    <w:rsid w:val="00704D61"/>
    <w:rsid w:val="00704E1A"/>
    <w:rsid w:val="007052B9"/>
    <w:rsid w:val="00705B08"/>
    <w:rsid w:val="00705BBC"/>
    <w:rsid w:val="00705E72"/>
    <w:rsid w:val="00705EE9"/>
    <w:rsid w:val="00705F4F"/>
    <w:rsid w:val="00706021"/>
    <w:rsid w:val="00706187"/>
    <w:rsid w:val="0070624E"/>
    <w:rsid w:val="0070639F"/>
    <w:rsid w:val="0070653D"/>
    <w:rsid w:val="0070675F"/>
    <w:rsid w:val="007068CF"/>
    <w:rsid w:val="007068E7"/>
    <w:rsid w:val="0070694D"/>
    <w:rsid w:val="00706B6B"/>
    <w:rsid w:val="00706E57"/>
    <w:rsid w:val="00706EBA"/>
    <w:rsid w:val="00707070"/>
    <w:rsid w:val="007073F0"/>
    <w:rsid w:val="00707528"/>
    <w:rsid w:val="007075A4"/>
    <w:rsid w:val="007076B9"/>
    <w:rsid w:val="007079E1"/>
    <w:rsid w:val="00707BDE"/>
    <w:rsid w:val="00707FD3"/>
    <w:rsid w:val="00710186"/>
    <w:rsid w:val="007101BE"/>
    <w:rsid w:val="007102A6"/>
    <w:rsid w:val="00710351"/>
    <w:rsid w:val="0071040D"/>
    <w:rsid w:val="00710575"/>
    <w:rsid w:val="0071057C"/>
    <w:rsid w:val="007107CB"/>
    <w:rsid w:val="00710879"/>
    <w:rsid w:val="0071098F"/>
    <w:rsid w:val="00710A34"/>
    <w:rsid w:val="00710B53"/>
    <w:rsid w:val="00710E1D"/>
    <w:rsid w:val="00710E62"/>
    <w:rsid w:val="00710F42"/>
    <w:rsid w:val="0071101D"/>
    <w:rsid w:val="00711102"/>
    <w:rsid w:val="00711116"/>
    <w:rsid w:val="007111EA"/>
    <w:rsid w:val="007115D7"/>
    <w:rsid w:val="00711643"/>
    <w:rsid w:val="00711646"/>
    <w:rsid w:val="007116E5"/>
    <w:rsid w:val="007117B9"/>
    <w:rsid w:val="00711C35"/>
    <w:rsid w:val="00711D71"/>
    <w:rsid w:val="00711D83"/>
    <w:rsid w:val="00711DB1"/>
    <w:rsid w:val="00711EE3"/>
    <w:rsid w:val="00711EEE"/>
    <w:rsid w:val="00712129"/>
    <w:rsid w:val="00712275"/>
    <w:rsid w:val="007122AB"/>
    <w:rsid w:val="00712522"/>
    <w:rsid w:val="007125AB"/>
    <w:rsid w:val="00712AF3"/>
    <w:rsid w:val="00712F5F"/>
    <w:rsid w:val="00713126"/>
    <w:rsid w:val="0071342D"/>
    <w:rsid w:val="00713497"/>
    <w:rsid w:val="007135A0"/>
    <w:rsid w:val="00713A24"/>
    <w:rsid w:val="00714115"/>
    <w:rsid w:val="007143C4"/>
    <w:rsid w:val="007144AB"/>
    <w:rsid w:val="00714526"/>
    <w:rsid w:val="007145E6"/>
    <w:rsid w:val="007147E9"/>
    <w:rsid w:val="0071480D"/>
    <w:rsid w:val="007149E4"/>
    <w:rsid w:val="00714B9B"/>
    <w:rsid w:val="00714B9C"/>
    <w:rsid w:val="00714BF3"/>
    <w:rsid w:val="00714D32"/>
    <w:rsid w:val="00714E4C"/>
    <w:rsid w:val="00714E62"/>
    <w:rsid w:val="0071502F"/>
    <w:rsid w:val="0071509C"/>
    <w:rsid w:val="007152C1"/>
    <w:rsid w:val="007154CE"/>
    <w:rsid w:val="007158D3"/>
    <w:rsid w:val="00715A2A"/>
    <w:rsid w:val="00715AF1"/>
    <w:rsid w:val="00715B8B"/>
    <w:rsid w:val="00715B8D"/>
    <w:rsid w:val="0071632A"/>
    <w:rsid w:val="00716542"/>
    <w:rsid w:val="007165C2"/>
    <w:rsid w:val="00716704"/>
    <w:rsid w:val="00716883"/>
    <w:rsid w:val="00716908"/>
    <w:rsid w:val="00716A6C"/>
    <w:rsid w:val="00716ADE"/>
    <w:rsid w:val="00716CBB"/>
    <w:rsid w:val="00716E96"/>
    <w:rsid w:val="00716F46"/>
    <w:rsid w:val="00717108"/>
    <w:rsid w:val="007172D2"/>
    <w:rsid w:val="0071772B"/>
    <w:rsid w:val="00717836"/>
    <w:rsid w:val="00717A6C"/>
    <w:rsid w:val="00717B14"/>
    <w:rsid w:val="00717C31"/>
    <w:rsid w:val="00717DD0"/>
    <w:rsid w:val="007201D3"/>
    <w:rsid w:val="00720208"/>
    <w:rsid w:val="0072021F"/>
    <w:rsid w:val="00720363"/>
    <w:rsid w:val="00720526"/>
    <w:rsid w:val="007205A6"/>
    <w:rsid w:val="007205CA"/>
    <w:rsid w:val="0072070A"/>
    <w:rsid w:val="0072073B"/>
    <w:rsid w:val="007207BE"/>
    <w:rsid w:val="00720837"/>
    <w:rsid w:val="00720884"/>
    <w:rsid w:val="0072093E"/>
    <w:rsid w:val="007209A0"/>
    <w:rsid w:val="00720A24"/>
    <w:rsid w:val="00720C5B"/>
    <w:rsid w:val="00720CE2"/>
    <w:rsid w:val="00721156"/>
    <w:rsid w:val="00721310"/>
    <w:rsid w:val="0072140F"/>
    <w:rsid w:val="00721735"/>
    <w:rsid w:val="00721836"/>
    <w:rsid w:val="00721885"/>
    <w:rsid w:val="00721F26"/>
    <w:rsid w:val="0072235E"/>
    <w:rsid w:val="00722717"/>
    <w:rsid w:val="00722A59"/>
    <w:rsid w:val="00722D3A"/>
    <w:rsid w:val="00722E08"/>
    <w:rsid w:val="00723030"/>
    <w:rsid w:val="00723124"/>
    <w:rsid w:val="00723157"/>
    <w:rsid w:val="00723281"/>
    <w:rsid w:val="007233B0"/>
    <w:rsid w:val="007233C5"/>
    <w:rsid w:val="007233FC"/>
    <w:rsid w:val="0072378B"/>
    <w:rsid w:val="007237F0"/>
    <w:rsid w:val="00723911"/>
    <w:rsid w:val="00723EBD"/>
    <w:rsid w:val="00724161"/>
    <w:rsid w:val="0072432B"/>
    <w:rsid w:val="00724360"/>
    <w:rsid w:val="00724441"/>
    <w:rsid w:val="007245E4"/>
    <w:rsid w:val="00724A1D"/>
    <w:rsid w:val="00724EFB"/>
    <w:rsid w:val="0072515E"/>
    <w:rsid w:val="007252BA"/>
    <w:rsid w:val="00725336"/>
    <w:rsid w:val="00725349"/>
    <w:rsid w:val="0072534E"/>
    <w:rsid w:val="00725379"/>
    <w:rsid w:val="0072570D"/>
    <w:rsid w:val="0072589A"/>
    <w:rsid w:val="00725B09"/>
    <w:rsid w:val="00725BCA"/>
    <w:rsid w:val="00725DDA"/>
    <w:rsid w:val="00725F28"/>
    <w:rsid w:val="00726380"/>
    <w:rsid w:val="007265DE"/>
    <w:rsid w:val="00726600"/>
    <w:rsid w:val="00726A03"/>
    <w:rsid w:val="00726B8A"/>
    <w:rsid w:val="00726D2B"/>
    <w:rsid w:val="007271BF"/>
    <w:rsid w:val="00727252"/>
    <w:rsid w:val="00727593"/>
    <w:rsid w:val="0072775C"/>
    <w:rsid w:val="00727BC4"/>
    <w:rsid w:val="00727E8D"/>
    <w:rsid w:val="00727F23"/>
    <w:rsid w:val="0073032B"/>
    <w:rsid w:val="007304F9"/>
    <w:rsid w:val="0073070E"/>
    <w:rsid w:val="00730A7C"/>
    <w:rsid w:val="00731077"/>
    <w:rsid w:val="00731219"/>
    <w:rsid w:val="00731244"/>
    <w:rsid w:val="007313A4"/>
    <w:rsid w:val="007315A4"/>
    <w:rsid w:val="007315DB"/>
    <w:rsid w:val="007316ED"/>
    <w:rsid w:val="007318F6"/>
    <w:rsid w:val="00731A0D"/>
    <w:rsid w:val="00731ADE"/>
    <w:rsid w:val="00731B2C"/>
    <w:rsid w:val="00731C65"/>
    <w:rsid w:val="00731E13"/>
    <w:rsid w:val="00731E97"/>
    <w:rsid w:val="00731F06"/>
    <w:rsid w:val="00731FEB"/>
    <w:rsid w:val="0073214A"/>
    <w:rsid w:val="007323C8"/>
    <w:rsid w:val="007326A9"/>
    <w:rsid w:val="007326CF"/>
    <w:rsid w:val="007327EB"/>
    <w:rsid w:val="00732846"/>
    <w:rsid w:val="00732860"/>
    <w:rsid w:val="00732A54"/>
    <w:rsid w:val="00732B1B"/>
    <w:rsid w:val="00732D44"/>
    <w:rsid w:val="007330AD"/>
    <w:rsid w:val="007333B0"/>
    <w:rsid w:val="0073344F"/>
    <w:rsid w:val="0073384E"/>
    <w:rsid w:val="00733BC2"/>
    <w:rsid w:val="00733C9F"/>
    <w:rsid w:val="00733F98"/>
    <w:rsid w:val="00734095"/>
    <w:rsid w:val="007341EF"/>
    <w:rsid w:val="00734584"/>
    <w:rsid w:val="00734615"/>
    <w:rsid w:val="00734739"/>
    <w:rsid w:val="00734C60"/>
    <w:rsid w:val="00734D2E"/>
    <w:rsid w:val="00734F06"/>
    <w:rsid w:val="00735072"/>
    <w:rsid w:val="007350F7"/>
    <w:rsid w:val="0073514B"/>
    <w:rsid w:val="00735228"/>
    <w:rsid w:val="00735706"/>
    <w:rsid w:val="00735B86"/>
    <w:rsid w:val="00735C46"/>
    <w:rsid w:val="00735FCF"/>
    <w:rsid w:val="007360D5"/>
    <w:rsid w:val="007360E3"/>
    <w:rsid w:val="00736133"/>
    <w:rsid w:val="0073628A"/>
    <w:rsid w:val="007362C8"/>
    <w:rsid w:val="00736450"/>
    <w:rsid w:val="007364F7"/>
    <w:rsid w:val="00736C2A"/>
    <w:rsid w:val="00736CCA"/>
    <w:rsid w:val="00736F3F"/>
    <w:rsid w:val="00737136"/>
    <w:rsid w:val="00737165"/>
    <w:rsid w:val="00737481"/>
    <w:rsid w:val="00737642"/>
    <w:rsid w:val="00737CE7"/>
    <w:rsid w:val="00740103"/>
    <w:rsid w:val="007401CE"/>
    <w:rsid w:val="007402EB"/>
    <w:rsid w:val="00740326"/>
    <w:rsid w:val="00740379"/>
    <w:rsid w:val="007403B8"/>
    <w:rsid w:val="007405FD"/>
    <w:rsid w:val="00740959"/>
    <w:rsid w:val="00740A4D"/>
    <w:rsid w:val="00740AE1"/>
    <w:rsid w:val="00740EE8"/>
    <w:rsid w:val="00740F30"/>
    <w:rsid w:val="00740F83"/>
    <w:rsid w:val="007411CB"/>
    <w:rsid w:val="00741214"/>
    <w:rsid w:val="00741323"/>
    <w:rsid w:val="007413BC"/>
    <w:rsid w:val="0074141A"/>
    <w:rsid w:val="007417A4"/>
    <w:rsid w:val="007417D4"/>
    <w:rsid w:val="00741E47"/>
    <w:rsid w:val="00741F27"/>
    <w:rsid w:val="00741F2F"/>
    <w:rsid w:val="00741FD5"/>
    <w:rsid w:val="00742329"/>
    <w:rsid w:val="0074237F"/>
    <w:rsid w:val="00742399"/>
    <w:rsid w:val="007426FC"/>
    <w:rsid w:val="0074296C"/>
    <w:rsid w:val="00742E94"/>
    <w:rsid w:val="00743134"/>
    <w:rsid w:val="00743380"/>
    <w:rsid w:val="00743487"/>
    <w:rsid w:val="00743751"/>
    <w:rsid w:val="00743835"/>
    <w:rsid w:val="00743863"/>
    <w:rsid w:val="007439B4"/>
    <w:rsid w:val="00743C66"/>
    <w:rsid w:val="00743E27"/>
    <w:rsid w:val="00743ECB"/>
    <w:rsid w:val="00743ED9"/>
    <w:rsid w:val="00743F2F"/>
    <w:rsid w:val="00744168"/>
    <w:rsid w:val="007446FC"/>
    <w:rsid w:val="00744C88"/>
    <w:rsid w:val="00744E49"/>
    <w:rsid w:val="007450BA"/>
    <w:rsid w:val="007451A7"/>
    <w:rsid w:val="00745254"/>
    <w:rsid w:val="0074534D"/>
    <w:rsid w:val="00745468"/>
    <w:rsid w:val="00745761"/>
    <w:rsid w:val="00745DB0"/>
    <w:rsid w:val="00745F56"/>
    <w:rsid w:val="00745FF4"/>
    <w:rsid w:val="00746084"/>
    <w:rsid w:val="0074673E"/>
    <w:rsid w:val="00746C0D"/>
    <w:rsid w:val="00746DC6"/>
    <w:rsid w:val="00747217"/>
    <w:rsid w:val="007473FF"/>
    <w:rsid w:val="0074749A"/>
    <w:rsid w:val="007474E0"/>
    <w:rsid w:val="00747B91"/>
    <w:rsid w:val="00747C86"/>
    <w:rsid w:val="00747E20"/>
    <w:rsid w:val="00747E5C"/>
    <w:rsid w:val="00747ED9"/>
    <w:rsid w:val="00747FEF"/>
    <w:rsid w:val="00750164"/>
    <w:rsid w:val="007504DB"/>
    <w:rsid w:val="00750529"/>
    <w:rsid w:val="00750758"/>
    <w:rsid w:val="00750775"/>
    <w:rsid w:val="0075077D"/>
    <w:rsid w:val="007508EF"/>
    <w:rsid w:val="00750C70"/>
    <w:rsid w:val="00750D20"/>
    <w:rsid w:val="00750DF1"/>
    <w:rsid w:val="007512CE"/>
    <w:rsid w:val="0075135E"/>
    <w:rsid w:val="007516BE"/>
    <w:rsid w:val="007516E1"/>
    <w:rsid w:val="00751C1F"/>
    <w:rsid w:val="00751DFB"/>
    <w:rsid w:val="007529CC"/>
    <w:rsid w:val="00752DDA"/>
    <w:rsid w:val="00752E6F"/>
    <w:rsid w:val="00753086"/>
    <w:rsid w:val="007530A4"/>
    <w:rsid w:val="007530FF"/>
    <w:rsid w:val="00753164"/>
    <w:rsid w:val="007532CA"/>
    <w:rsid w:val="0075335E"/>
    <w:rsid w:val="00753974"/>
    <w:rsid w:val="00753A85"/>
    <w:rsid w:val="00753AA3"/>
    <w:rsid w:val="00753AF1"/>
    <w:rsid w:val="00753B2A"/>
    <w:rsid w:val="00753CD6"/>
    <w:rsid w:val="00754406"/>
    <w:rsid w:val="00754603"/>
    <w:rsid w:val="00754780"/>
    <w:rsid w:val="00754889"/>
    <w:rsid w:val="00754963"/>
    <w:rsid w:val="0075499D"/>
    <w:rsid w:val="00754AC7"/>
    <w:rsid w:val="00754B28"/>
    <w:rsid w:val="00754D1B"/>
    <w:rsid w:val="00754D3C"/>
    <w:rsid w:val="00754E24"/>
    <w:rsid w:val="00754EDD"/>
    <w:rsid w:val="00755085"/>
    <w:rsid w:val="0075544B"/>
    <w:rsid w:val="007554BB"/>
    <w:rsid w:val="00755577"/>
    <w:rsid w:val="0075558A"/>
    <w:rsid w:val="0075558F"/>
    <w:rsid w:val="00755855"/>
    <w:rsid w:val="00755ECA"/>
    <w:rsid w:val="007561EC"/>
    <w:rsid w:val="007562B7"/>
    <w:rsid w:val="00756343"/>
    <w:rsid w:val="0075638F"/>
    <w:rsid w:val="00756684"/>
    <w:rsid w:val="007567DC"/>
    <w:rsid w:val="00756983"/>
    <w:rsid w:val="00756B60"/>
    <w:rsid w:val="00756C83"/>
    <w:rsid w:val="00756DCC"/>
    <w:rsid w:val="00756E2D"/>
    <w:rsid w:val="00756E75"/>
    <w:rsid w:val="00757004"/>
    <w:rsid w:val="007571E8"/>
    <w:rsid w:val="007572DE"/>
    <w:rsid w:val="00757330"/>
    <w:rsid w:val="007574CF"/>
    <w:rsid w:val="00757579"/>
    <w:rsid w:val="007575FD"/>
    <w:rsid w:val="00757644"/>
    <w:rsid w:val="007576D0"/>
    <w:rsid w:val="00757A7D"/>
    <w:rsid w:val="00757B0F"/>
    <w:rsid w:val="00757C12"/>
    <w:rsid w:val="00757E7D"/>
    <w:rsid w:val="007601C7"/>
    <w:rsid w:val="0076041A"/>
    <w:rsid w:val="007608A4"/>
    <w:rsid w:val="007608CF"/>
    <w:rsid w:val="00760B70"/>
    <w:rsid w:val="00760C73"/>
    <w:rsid w:val="00760D58"/>
    <w:rsid w:val="00760F4E"/>
    <w:rsid w:val="00760F5E"/>
    <w:rsid w:val="00760FBD"/>
    <w:rsid w:val="00761536"/>
    <w:rsid w:val="007617EB"/>
    <w:rsid w:val="00761A4C"/>
    <w:rsid w:val="00761A99"/>
    <w:rsid w:val="00761B81"/>
    <w:rsid w:val="00761C32"/>
    <w:rsid w:val="00761C3C"/>
    <w:rsid w:val="00761DD1"/>
    <w:rsid w:val="00761E08"/>
    <w:rsid w:val="00761E20"/>
    <w:rsid w:val="00761FCF"/>
    <w:rsid w:val="00762400"/>
    <w:rsid w:val="007626BC"/>
    <w:rsid w:val="0076282A"/>
    <w:rsid w:val="00762A01"/>
    <w:rsid w:val="00762A2E"/>
    <w:rsid w:val="00762CFD"/>
    <w:rsid w:val="00762D2F"/>
    <w:rsid w:val="0076311E"/>
    <w:rsid w:val="0076349E"/>
    <w:rsid w:val="00763507"/>
    <w:rsid w:val="00763643"/>
    <w:rsid w:val="007637C0"/>
    <w:rsid w:val="0076385F"/>
    <w:rsid w:val="00763870"/>
    <w:rsid w:val="007639C4"/>
    <w:rsid w:val="00763A49"/>
    <w:rsid w:val="00763A66"/>
    <w:rsid w:val="00763AB3"/>
    <w:rsid w:val="00763D75"/>
    <w:rsid w:val="00764007"/>
    <w:rsid w:val="00764233"/>
    <w:rsid w:val="00764263"/>
    <w:rsid w:val="007642D3"/>
    <w:rsid w:val="0076446B"/>
    <w:rsid w:val="00764519"/>
    <w:rsid w:val="0076455A"/>
    <w:rsid w:val="00764818"/>
    <w:rsid w:val="00764A68"/>
    <w:rsid w:val="00764BBB"/>
    <w:rsid w:val="00764D18"/>
    <w:rsid w:val="00764D6A"/>
    <w:rsid w:val="00764ED5"/>
    <w:rsid w:val="00765080"/>
    <w:rsid w:val="00765298"/>
    <w:rsid w:val="007652BB"/>
    <w:rsid w:val="007655FA"/>
    <w:rsid w:val="0076579F"/>
    <w:rsid w:val="00765817"/>
    <w:rsid w:val="007658BE"/>
    <w:rsid w:val="00765C0A"/>
    <w:rsid w:val="00765DD6"/>
    <w:rsid w:val="00765E5B"/>
    <w:rsid w:val="00765E6E"/>
    <w:rsid w:val="00765F7F"/>
    <w:rsid w:val="00765F8A"/>
    <w:rsid w:val="00766116"/>
    <w:rsid w:val="007663E8"/>
    <w:rsid w:val="007663E9"/>
    <w:rsid w:val="00766524"/>
    <w:rsid w:val="007665B8"/>
    <w:rsid w:val="00766A33"/>
    <w:rsid w:val="00766E8F"/>
    <w:rsid w:val="00767058"/>
    <w:rsid w:val="007670A4"/>
    <w:rsid w:val="00767105"/>
    <w:rsid w:val="0076719E"/>
    <w:rsid w:val="00767308"/>
    <w:rsid w:val="00767599"/>
    <w:rsid w:val="00767771"/>
    <w:rsid w:val="00767893"/>
    <w:rsid w:val="00767A10"/>
    <w:rsid w:val="00767D08"/>
    <w:rsid w:val="00767D35"/>
    <w:rsid w:val="00767D3D"/>
    <w:rsid w:val="007701E7"/>
    <w:rsid w:val="00770481"/>
    <w:rsid w:val="0077061A"/>
    <w:rsid w:val="00770715"/>
    <w:rsid w:val="0077071A"/>
    <w:rsid w:val="007707F7"/>
    <w:rsid w:val="00770A79"/>
    <w:rsid w:val="00770C31"/>
    <w:rsid w:val="007712E1"/>
    <w:rsid w:val="00771465"/>
    <w:rsid w:val="00771881"/>
    <w:rsid w:val="007718F4"/>
    <w:rsid w:val="00771AF4"/>
    <w:rsid w:val="00771B9F"/>
    <w:rsid w:val="00771C6C"/>
    <w:rsid w:val="00771CD0"/>
    <w:rsid w:val="00771E41"/>
    <w:rsid w:val="00772317"/>
    <w:rsid w:val="00772362"/>
    <w:rsid w:val="0077236D"/>
    <w:rsid w:val="00772470"/>
    <w:rsid w:val="007726A8"/>
    <w:rsid w:val="007726B5"/>
    <w:rsid w:val="0077271D"/>
    <w:rsid w:val="00772B50"/>
    <w:rsid w:val="00772C31"/>
    <w:rsid w:val="00772DE4"/>
    <w:rsid w:val="00772E63"/>
    <w:rsid w:val="00772FA7"/>
    <w:rsid w:val="00773056"/>
    <w:rsid w:val="007730F7"/>
    <w:rsid w:val="007731D7"/>
    <w:rsid w:val="00773577"/>
    <w:rsid w:val="00773686"/>
    <w:rsid w:val="00773696"/>
    <w:rsid w:val="0077382C"/>
    <w:rsid w:val="00773889"/>
    <w:rsid w:val="007739C8"/>
    <w:rsid w:val="00773A6A"/>
    <w:rsid w:val="00773D1D"/>
    <w:rsid w:val="00773FE2"/>
    <w:rsid w:val="00773FFD"/>
    <w:rsid w:val="00774416"/>
    <w:rsid w:val="007744DF"/>
    <w:rsid w:val="007748B3"/>
    <w:rsid w:val="007749B0"/>
    <w:rsid w:val="00774AC9"/>
    <w:rsid w:val="00774D78"/>
    <w:rsid w:val="00774E56"/>
    <w:rsid w:val="00775117"/>
    <w:rsid w:val="00775132"/>
    <w:rsid w:val="007753A2"/>
    <w:rsid w:val="00775E25"/>
    <w:rsid w:val="00775F85"/>
    <w:rsid w:val="00776183"/>
    <w:rsid w:val="0077625E"/>
    <w:rsid w:val="007763F9"/>
    <w:rsid w:val="007763FB"/>
    <w:rsid w:val="00776594"/>
    <w:rsid w:val="007767F2"/>
    <w:rsid w:val="007768B5"/>
    <w:rsid w:val="00776E2C"/>
    <w:rsid w:val="0077709B"/>
    <w:rsid w:val="007771D3"/>
    <w:rsid w:val="007772E4"/>
    <w:rsid w:val="007772F3"/>
    <w:rsid w:val="007773B1"/>
    <w:rsid w:val="0077747B"/>
    <w:rsid w:val="007777D0"/>
    <w:rsid w:val="007779B2"/>
    <w:rsid w:val="00777AEC"/>
    <w:rsid w:val="00777CE9"/>
    <w:rsid w:val="00777F2B"/>
    <w:rsid w:val="00777FD7"/>
    <w:rsid w:val="007800D2"/>
    <w:rsid w:val="00780337"/>
    <w:rsid w:val="007803B6"/>
    <w:rsid w:val="0078041D"/>
    <w:rsid w:val="0078042F"/>
    <w:rsid w:val="007806D2"/>
    <w:rsid w:val="007806D9"/>
    <w:rsid w:val="00780776"/>
    <w:rsid w:val="007812FC"/>
    <w:rsid w:val="007813C6"/>
    <w:rsid w:val="00781522"/>
    <w:rsid w:val="00781626"/>
    <w:rsid w:val="007817AA"/>
    <w:rsid w:val="00781985"/>
    <w:rsid w:val="00781E49"/>
    <w:rsid w:val="00781F57"/>
    <w:rsid w:val="00781F83"/>
    <w:rsid w:val="00782082"/>
    <w:rsid w:val="00782325"/>
    <w:rsid w:val="007823BF"/>
    <w:rsid w:val="007825F9"/>
    <w:rsid w:val="0078289F"/>
    <w:rsid w:val="007828A5"/>
    <w:rsid w:val="007828C4"/>
    <w:rsid w:val="00782911"/>
    <w:rsid w:val="007830DF"/>
    <w:rsid w:val="00783319"/>
    <w:rsid w:val="0078352F"/>
    <w:rsid w:val="007835D7"/>
    <w:rsid w:val="00783A4F"/>
    <w:rsid w:val="00783CE9"/>
    <w:rsid w:val="00783EF8"/>
    <w:rsid w:val="007843B4"/>
    <w:rsid w:val="0078450E"/>
    <w:rsid w:val="00784946"/>
    <w:rsid w:val="00784A22"/>
    <w:rsid w:val="00784A49"/>
    <w:rsid w:val="00784AEF"/>
    <w:rsid w:val="00784B76"/>
    <w:rsid w:val="00784E4D"/>
    <w:rsid w:val="00785037"/>
    <w:rsid w:val="00785502"/>
    <w:rsid w:val="00785AE4"/>
    <w:rsid w:val="00785C81"/>
    <w:rsid w:val="00785D69"/>
    <w:rsid w:val="007862F6"/>
    <w:rsid w:val="00786417"/>
    <w:rsid w:val="00786AFF"/>
    <w:rsid w:val="00786BD3"/>
    <w:rsid w:val="00786E43"/>
    <w:rsid w:val="00786E60"/>
    <w:rsid w:val="00786F13"/>
    <w:rsid w:val="00786F5F"/>
    <w:rsid w:val="00786FA9"/>
    <w:rsid w:val="00787183"/>
    <w:rsid w:val="00787276"/>
    <w:rsid w:val="00787280"/>
    <w:rsid w:val="0078730F"/>
    <w:rsid w:val="00787326"/>
    <w:rsid w:val="007873F9"/>
    <w:rsid w:val="0078747D"/>
    <w:rsid w:val="00787693"/>
    <w:rsid w:val="00787709"/>
    <w:rsid w:val="0078772C"/>
    <w:rsid w:val="007878B8"/>
    <w:rsid w:val="007878EE"/>
    <w:rsid w:val="00787B3F"/>
    <w:rsid w:val="00790183"/>
    <w:rsid w:val="00790210"/>
    <w:rsid w:val="00790233"/>
    <w:rsid w:val="007905A7"/>
    <w:rsid w:val="007908B9"/>
    <w:rsid w:val="00790C3D"/>
    <w:rsid w:val="00790C87"/>
    <w:rsid w:val="00790C9A"/>
    <w:rsid w:val="00790F1A"/>
    <w:rsid w:val="0079100D"/>
    <w:rsid w:val="0079130D"/>
    <w:rsid w:val="007914A2"/>
    <w:rsid w:val="00791523"/>
    <w:rsid w:val="00791B61"/>
    <w:rsid w:val="00791BAD"/>
    <w:rsid w:val="00791C90"/>
    <w:rsid w:val="00791CD5"/>
    <w:rsid w:val="00791F0C"/>
    <w:rsid w:val="00791F13"/>
    <w:rsid w:val="007924ED"/>
    <w:rsid w:val="0079257B"/>
    <w:rsid w:val="00792670"/>
    <w:rsid w:val="007926B5"/>
    <w:rsid w:val="007926BF"/>
    <w:rsid w:val="00792B01"/>
    <w:rsid w:val="00792C24"/>
    <w:rsid w:val="00792E19"/>
    <w:rsid w:val="007930ED"/>
    <w:rsid w:val="007933FA"/>
    <w:rsid w:val="00793714"/>
    <w:rsid w:val="00793716"/>
    <w:rsid w:val="00793A39"/>
    <w:rsid w:val="00793D85"/>
    <w:rsid w:val="00793F03"/>
    <w:rsid w:val="00793F7F"/>
    <w:rsid w:val="007944F0"/>
    <w:rsid w:val="00794896"/>
    <w:rsid w:val="007949EB"/>
    <w:rsid w:val="00794AA5"/>
    <w:rsid w:val="00794E47"/>
    <w:rsid w:val="00794E81"/>
    <w:rsid w:val="00794EDD"/>
    <w:rsid w:val="00794EDF"/>
    <w:rsid w:val="00794FB5"/>
    <w:rsid w:val="007954F7"/>
    <w:rsid w:val="00795500"/>
    <w:rsid w:val="00795524"/>
    <w:rsid w:val="007955D1"/>
    <w:rsid w:val="0079561C"/>
    <w:rsid w:val="00795A88"/>
    <w:rsid w:val="007962DC"/>
    <w:rsid w:val="00796312"/>
    <w:rsid w:val="007967A1"/>
    <w:rsid w:val="0079686D"/>
    <w:rsid w:val="00796E40"/>
    <w:rsid w:val="0079759D"/>
    <w:rsid w:val="007975C8"/>
    <w:rsid w:val="00797687"/>
    <w:rsid w:val="007976B7"/>
    <w:rsid w:val="00797B60"/>
    <w:rsid w:val="00797DEA"/>
    <w:rsid w:val="00797E31"/>
    <w:rsid w:val="00797EA6"/>
    <w:rsid w:val="00797FEC"/>
    <w:rsid w:val="007A01E4"/>
    <w:rsid w:val="007A0332"/>
    <w:rsid w:val="007A054D"/>
    <w:rsid w:val="007A066D"/>
    <w:rsid w:val="007A06D0"/>
    <w:rsid w:val="007A071A"/>
    <w:rsid w:val="007A0A60"/>
    <w:rsid w:val="007A0AB6"/>
    <w:rsid w:val="007A0C99"/>
    <w:rsid w:val="007A0DBA"/>
    <w:rsid w:val="007A1036"/>
    <w:rsid w:val="007A109B"/>
    <w:rsid w:val="007A109F"/>
    <w:rsid w:val="007A10A7"/>
    <w:rsid w:val="007A1230"/>
    <w:rsid w:val="007A142B"/>
    <w:rsid w:val="007A1744"/>
    <w:rsid w:val="007A1C6C"/>
    <w:rsid w:val="007A1E20"/>
    <w:rsid w:val="007A1E9A"/>
    <w:rsid w:val="007A2077"/>
    <w:rsid w:val="007A2B94"/>
    <w:rsid w:val="007A2CF8"/>
    <w:rsid w:val="007A2E2B"/>
    <w:rsid w:val="007A2F6E"/>
    <w:rsid w:val="007A3141"/>
    <w:rsid w:val="007A35CB"/>
    <w:rsid w:val="007A35FC"/>
    <w:rsid w:val="007A3651"/>
    <w:rsid w:val="007A37CC"/>
    <w:rsid w:val="007A38CC"/>
    <w:rsid w:val="007A3A0D"/>
    <w:rsid w:val="007A3A38"/>
    <w:rsid w:val="007A3AAB"/>
    <w:rsid w:val="007A3D28"/>
    <w:rsid w:val="007A3E26"/>
    <w:rsid w:val="007A415B"/>
    <w:rsid w:val="007A4A21"/>
    <w:rsid w:val="007A4A30"/>
    <w:rsid w:val="007A4D1F"/>
    <w:rsid w:val="007A5071"/>
    <w:rsid w:val="007A5278"/>
    <w:rsid w:val="007A52AE"/>
    <w:rsid w:val="007A55DA"/>
    <w:rsid w:val="007A5A89"/>
    <w:rsid w:val="007A5D10"/>
    <w:rsid w:val="007A5E30"/>
    <w:rsid w:val="007A5F6F"/>
    <w:rsid w:val="007A6010"/>
    <w:rsid w:val="007A60ED"/>
    <w:rsid w:val="007A61BE"/>
    <w:rsid w:val="007A6320"/>
    <w:rsid w:val="007A6361"/>
    <w:rsid w:val="007A6423"/>
    <w:rsid w:val="007A661F"/>
    <w:rsid w:val="007A66EB"/>
    <w:rsid w:val="007A6D10"/>
    <w:rsid w:val="007A6E52"/>
    <w:rsid w:val="007A6F33"/>
    <w:rsid w:val="007A6FA3"/>
    <w:rsid w:val="007A706E"/>
    <w:rsid w:val="007A71A4"/>
    <w:rsid w:val="007A71D5"/>
    <w:rsid w:val="007A71E9"/>
    <w:rsid w:val="007A72B3"/>
    <w:rsid w:val="007A7606"/>
    <w:rsid w:val="007A7639"/>
    <w:rsid w:val="007A7736"/>
    <w:rsid w:val="007A79D4"/>
    <w:rsid w:val="007A7A8F"/>
    <w:rsid w:val="007A7BBC"/>
    <w:rsid w:val="007A7C08"/>
    <w:rsid w:val="007B0087"/>
    <w:rsid w:val="007B039F"/>
    <w:rsid w:val="007B05E5"/>
    <w:rsid w:val="007B066B"/>
    <w:rsid w:val="007B0871"/>
    <w:rsid w:val="007B08CD"/>
    <w:rsid w:val="007B0A0E"/>
    <w:rsid w:val="007B0A86"/>
    <w:rsid w:val="007B0AB8"/>
    <w:rsid w:val="007B1028"/>
    <w:rsid w:val="007B11EC"/>
    <w:rsid w:val="007B12BA"/>
    <w:rsid w:val="007B1348"/>
    <w:rsid w:val="007B13AC"/>
    <w:rsid w:val="007B17C5"/>
    <w:rsid w:val="007B1B3A"/>
    <w:rsid w:val="007B1BA0"/>
    <w:rsid w:val="007B1C3E"/>
    <w:rsid w:val="007B1E23"/>
    <w:rsid w:val="007B1E5D"/>
    <w:rsid w:val="007B1F20"/>
    <w:rsid w:val="007B2272"/>
    <w:rsid w:val="007B22DD"/>
    <w:rsid w:val="007B2359"/>
    <w:rsid w:val="007B25FD"/>
    <w:rsid w:val="007B26F5"/>
    <w:rsid w:val="007B274B"/>
    <w:rsid w:val="007B27D2"/>
    <w:rsid w:val="007B28AD"/>
    <w:rsid w:val="007B2A28"/>
    <w:rsid w:val="007B2A41"/>
    <w:rsid w:val="007B2B08"/>
    <w:rsid w:val="007B2BC5"/>
    <w:rsid w:val="007B2C39"/>
    <w:rsid w:val="007B2CEA"/>
    <w:rsid w:val="007B2D7E"/>
    <w:rsid w:val="007B2E31"/>
    <w:rsid w:val="007B305B"/>
    <w:rsid w:val="007B32DE"/>
    <w:rsid w:val="007B3378"/>
    <w:rsid w:val="007B38E8"/>
    <w:rsid w:val="007B3957"/>
    <w:rsid w:val="007B3BD5"/>
    <w:rsid w:val="007B3D6B"/>
    <w:rsid w:val="007B3DA2"/>
    <w:rsid w:val="007B3F14"/>
    <w:rsid w:val="007B3F4B"/>
    <w:rsid w:val="007B4357"/>
    <w:rsid w:val="007B44B1"/>
    <w:rsid w:val="007B45CE"/>
    <w:rsid w:val="007B4776"/>
    <w:rsid w:val="007B4C1E"/>
    <w:rsid w:val="007B4CA0"/>
    <w:rsid w:val="007B4D0B"/>
    <w:rsid w:val="007B4F5C"/>
    <w:rsid w:val="007B4F7C"/>
    <w:rsid w:val="007B5187"/>
    <w:rsid w:val="007B5443"/>
    <w:rsid w:val="007B55C1"/>
    <w:rsid w:val="007B590C"/>
    <w:rsid w:val="007B5AFE"/>
    <w:rsid w:val="007B5B98"/>
    <w:rsid w:val="007B5C67"/>
    <w:rsid w:val="007B5E11"/>
    <w:rsid w:val="007B5EE8"/>
    <w:rsid w:val="007B5FFF"/>
    <w:rsid w:val="007B609D"/>
    <w:rsid w:val="007B60EE"/>
    <w:rsid w:val="007B6170"/>
    <w:rsid w:val="007B61B8"/>
    <w:rsid w:val="007B630C"/>
    <w:rsid w:val="007B6921"/>
    <w:rsid w:val="007B6F56"/>
    <w:rsid w:val="007B709A"/>
    <w:rsid w:val="007B716E"/>
    <w:rsid w:val="007B73D5"/>
    <w:rsid w:val="007B7424"/>
    <w:rsid w:val="007B74B0"/>
    <w:rsid w:val="007B75A2"/>
    <w:rsid w:val="007B7AB4"/>
    <w:rsid w:val="007B7B67"/>
    <w:rsid w:val="007B7C54"/>
    <w:rsid w:val="007B7F45"/>
    <w:rsid w:val="007C0757"/>
    <w:rsid w:val="007C09AA"/>
    <w:rsid w:val="007C0B23"/>
    <w:rsid w:val="007C0E5A"/>
    <w:rsid w:val="007C0EE3"/>
    <w:rsid w:val="007C102C"/>
    <w:rsid w:val="007C1208"/>
    <w:rsid w:val="007C124D"/>
    <w:rsid w:val="007C12AC"/>
    <w:rsid w:val="007C12E4"/>
    <w:rsid w:val="007C1338"/>
    <w:rsid w:val="007C1356"/>
    <w:rsid w:val="007C138D"/>
    <w:rsid w:val="007C1597"/>
    <w:rsid w:val="007C176E"/>
    <w:rsid w:val="007C1866"/>
    <w:rsid w:val="007C1892"/>
    <w:rsid w:val="007C199A"/>
    <w:rsid w:val="007C1A35"/>
    <w:rsid w:val="007C1A5A"/>
    <w:rsid w:val="007C1D25"/>
    <w:rsid w:val="007C1FF7"/>
    <w:rsid w:val="007C1FFE"/>
    <w:rsid w:val="007C249A"/>
    <w:rsid w:val="007C266E"/>
    <w:rsid w:val="007C26E6"/>
    <w:rsid w:val="007C2760"/>
    <w:rsid w:val="007C2936"/>
    <w:rsid w:val="007C2B9E"/>
    <w:rsid w:val="007C2DC6"/>
    <w:rsid w:val="007C2E6F"/>
    <w:rsid w:val="007C2E86"/>
    <w:rsid w:val="007C30B0"/>
    <w:rsid w:val="007C3224"/>
    <w:rsid w:val="007C3308"/>
    <w:rsid w:val="007C34C4"/>
    <w:rsid w:val="007C34FC"/>
    <w:rsid w:val="007C358A"/>
    <w:rsid w:val="007C3715"/>
    <w:rsid w:val="007C384A"/>
    <w:rsid w:val="007C39B4"/>
    <w:rsid w:val="007C3B31"/>
    <w:rsid w:val="007C3C81"/>
    <w:rsid w:val="007C3D1B"/>
    <w:rsid w:val="007C3D5C"/>
    <w:rsid w:val="007C3E8D"/>
    <w:rsid w:val="007C3F61"/>
    <w:rsid w:val="007C40ED"/>
    <w:rsid w:val="007C4479"/>
    <w:rsid w:val="007C4632"/>
    <w:rsid w:val="007C4C9F"/>
    <w:rsid w:val="007C4E52"/>
    <w:rsid w:val="007C4E94"/>
    <w:rsid w:val="007C4F81"/>
    <w:rsid w:val="007C5106"/>
    <w:rsid w:val="007C51DD"/>
    <w:rsid w:val="007C5313"/>
    <w:rsid w:val="007C5507"/>
    <w:rsid w:val="007C575A"/>
    <w:rsid w:val="007C5EAD"/>
    <w:rsid w:val="007C61A5"/>
    <w:rsid w:val="007C624B"/>
    <w:rsid w:val="007C6694"/>
    <w:rsid w:val="007C6821"/>
    <w:rsid w:val="007C682D"/>
    <w:rsid w:val="007C6989"/>
    <w:rsid w:val="007C6BD8"/>
    <w:rsid w:val="007C6CC3"/>
    <w:rsid w:val="007C6FDD"/>
    <w:rsid w:val="007C70A8"/>
    <w:rsid w:val="007C714E"/>
    <w:rsid w:val="007C721A"/>
    <w:rsid w:val="007C73A5"/>
    <w:rsid w:val="007C73DA"/>
    <w:rsid w:val="007C75C5"/>
    <w:rsid w:val="007C75FB"/>
    <w:rsid w:val="007C7659"/>
    <w:rsid w:val="007C77B8"/>
    <w:rsid w:val="007C7864"/>
    <w:rsid w:val="007C7869"/>
    <w:rsid w:val="007C78F2"/>
    <w:rsid w:val="007C7ABB"/>
    <w:rsid w:val="007C7E62"/>
    <w:rsid w:val="007C7E74"/>
    <w:rsid w:val="007C7F85"/>
    <w:rsid w:val="007D00C6"/>
    <w:rsid w:val="007D03EA"/>
    <w:rsid w:val="007D06FA"/>
    <w:rsid w:val="007D0779"/>
    <w:rsid w:val="007D0A9F"/>
    <w:rsid w:val="007D0EDC"/>
    <w:rsid w:val="007D1242"/>
    <w:rsid w:val="007D1298"/>
    <w:rsid w:val="007D141A"/>
    <w:rsid w:val="007D1514"/>
    <w:rsid w:val="007D151C"/>
    <w:rsid w:val="007D15CF"/>
    <w:rsid w:val="007D1BF0"/>
    <w:rsid w:val="007D1C91"/>
    <w:rsid w:val="007D22BA"/>
    <w:rsid w:val="007D2456"/>
    <w:rsid w:val="007D2873"/>
    <w:rsid w:val="007D2E8D"/>
    <w:rsid w:val="007D2E99"/>
    <w:rsid w:val="007D30A5"/>
    <w:rsid w:val="007D3190"/>
    <w:rsid w:val="007D327D"/>
    <w:rsid w:val="007D33E4"/>
    <w:rsid w:val="007D36A8"/>
    <w:rsid w:val="007D37B9"/>
    <w:rsid w:val="007D3B67"/>
    <w:rsid w:val="007D3B72"/>
    <w:rsid w:val="007D3CF8"/>
    <w:rsid w:val="007D46F1"/>
    <w:rsid w:val="007D49F9"/>
    <w:rsid w:val="007D4D20"/>
    <w:rsid w:val="007D4EF7"/>
    <w:rsid w:val="007D4FBC"/>
    <w:rsid w:val="007D5006"/>
    <w:rsid w:val="007D5D4F"/>
    <w:rsid w:val="007D5DFA"/>
    <w:rsid w:val="007D5E4C"/>
    <w:rsid w:val="007D65C9"/>
    <w:rsid w:val="007D685E"/>
    <w:rsid w:val="007D6925"/>
    <w:rsid w:val="007D6C07"/>
    <w:rsid w:val="007D6E01"/>
    <w:rsid w:val="007D6FCA"/>
    <w:rsid w:val="007D7096"/>
    <w:rsid w:val="007D7158"/>
    <w:rsid w:val="007D71C9"/>
    <w:rsid w:val="007D7358"/>
    <w:rsid w:val="007D73FC"/>
    <w:rsid w:val="007D7810"/>
    <w:rsid w:val="007D7839"/>
    <w:rsid w:val="007D7DB9"/>
    <w:rsid w:val="007E0126"/>
    <w:rsid w:val="007E02C5"/>
    <w:rsid w:val="007E0563"/>
    <w:rsid w:val="007E063C"/>
    <w:rsid w:val="007E0697"/>
    <w:rsid w:val="007E06E9"/>
    <w:rsid w:val="007E07C9"/>
    <w:rsid w:val="007E0A1E"/>
    <w:rsid w:val="007E0A78"/>
    <w:rsid w:val="007E0DE1"/>
    <w:rsid w:val="007E0DE6"/>
    <w:rsid w:val="007E0E38"/>
    <w:rsid w:val="007E0EAC"/>
    <w:rsid w:val="007E0FFB"/>
    <w:rsid w:val="007E1061"/>
    <w:rsid w:val="007E1275"/>
    <w:rsid w:val="007E13C8"/>
    <w:rsid w:val="007E1708"/>
    <w:rsid w:val="007E1715"/>
    <w:rsid w:val="007E1851"/>
    <w:rsid w:val="007E1AF2"/>
    <w:rsid w:val="007E1BA0"/>
    <w:rsid w:val="007E1C3A"/>
    <w:rsid w:val="007E1C75"/>
    <w:rsid w:val="007E1DAA"/>
    <w:rsid w:val="007E1ED3"/>
    <w:rsid w:val="007E25E3"/>
    <w:rsid w:val="007E2660"/>
    <w:rsid w:val="007E288B"/>
    <w:rsid w:val="007E2A67"/>
    <w:rsid w:val="007E2A8D"/>
    <w:rsid w:val="007E2BFF"/>
    <w:rsid w:val="007E2CA0"/>
    <w:rsid w:val="007E2CF6"/>
    <w:rsid w:val="007E2F1E"/>
    <w:rsid w:val="007E2F82"/>
    <w:rsid w:val="007E30E0"/>
    <w:rsid w:val="007E32C4"/>
    <w:rsid w:val="007E33BB"/>
    <w:rsid w:val="007E34E7"/>
    <w:rsid w:val="007E3721"/>
    <w:rsid w:val="007E3900"/>
    <w:rsid w:val="007E3A40"/>
    <w:rsid w:val="007E3B52"/>
    <w:rsid w:val="007E3BBB"/>
    <w:rsid w:val="007E3DE9"/>
    <w:rsid w:val="007E407E"/>
    <w:rsid w:val="007E4108"/>
    <w:rsid w:val="007E413B"/>
    <w:rsid w:val="007E41AA"/>
    <w:rsid w:val="007E499F"/>
    <w:rsid w:val="007E4C79"/>
    <w:rsid w:val="007E4D6D"/>
    <w:rsid w:val="007E5148"/>
    <w:rsid w:val="007E51BF"/>
    <w:rsid w:val="007E54AC"/>
    <w:rsid w:val="007E57C7"/>
    <w:rsid w:val="007E58AC"/>
    <w:rsid w:val="007E58DC"/>
    <w:rsid w:val="007E592D"/>
    <w:rsid w:val="007E59DF"/>
    <w:rsid w:val="007E5AA0"/>
    <w:rsid w:val="007E5BA2"/>
    <w:rsid w:val="007E5F7C"/>
    <w:rsid w:val="007E601D"/>
    <w:rsid w:val="007E6029"/>
    <w:rsid w:val="007E623E"/>
    <w:rsid w:val="007E642C"/>
    <w:rsid w:val="007E64BF"/>
    <w:rsid w:val="007E66B1"/>
    <w:rsid w:val="007E6720"/>
    <w:rsid w:val="007E673F"/>
    <w:rsid w:val="007E6839"/>
    <w:rsid w:val="007E69BF"/>
    <w:rsid w:val="007E69CC"/>
    <w:rsid w:val="007E6AFF"/>
    <w:rsid w:val="007E6B15"/>
    <w:rsid w:val="007E6C2F"/>
    <w:rsid w:val="007E6DBC"/>
    <w:rsid w:val="007E6FA4"/>
    <w:rsid w:val="007E7082"/>
    <w:rsid w:val="007E7206"/>
    <w:rsid w:val="007E7228"/>
    <w:rsid w:val="007E7373"/>
    <w:rsid w:val="007E7631"/>
    <w:rsid w:val="007E76F7"/>
    <w:rsid w:val="007E78E7"/>
    <w:rsid w:val="007E7C0E"/>
    <w:rsid w:val="007E7D75"/>
    <w:rsid w:val="007E7F34"/>
    <w:rsid w:val="007F0045"/>
    <w:rsid w:val="007F0049"/>
    <w:rsid w:val="007F0225"/>
    <w:rsid w:val="007F0599"/>
    <w:rsid w:val="007F076F"/>
    <w:rsid w:val="007F0898"/>
    <w:rsid w:val="007F09E9"/>
    <w:rsid w:val="007F0B5C"/>
    <w:rsid w:val="007F0CF1"/>
    <w:rsid w:val="007F0EB5"/>
    <w:rsid w:val="007F0F33"/>
    <w:rsid w:val="007F10F9"/>
    <w:rsid w:val="007F122F"/>
    <w:rsid w:val="007F1561"/>
    <w:rsid w:val="007F156C"/>
    <w:rsid w:val="007F15AE"/>
    <w:rsid w:val="007F1767"/>
    <w:rsid w:val="007F1781"/>
    <w:rsid w:val="007F197A"/>
    <w:rsid w:val="007F198C"/>
    <w:rsid w:val="007F198F"/>
    <w:rsid w:val="007F1A26"/>
    <w:rsid w:val="007F1ACC"/>
    <w:rsid w:val="007F1D66"/>
    <w:rsid w:val="007F1DC9"/>
    <w:rsid w:val="007F1ED3"/>
    <w:rsid w:val="007F22CE"/>
    <w:rsid w:val="007F24A1"/>
    <w:rsid w:val="007F25AD"/>
    <w:rsid w:val="007F265E"/>
    <w:rsid w:val="007F2669"/>
    <w:rsid w:val="007F2865"/>
    <w:rsid w:val="007F2A71"/>
    <w:rsid w:val="007F2C67"/>
    <w:rsid w:val="007F2CF0"/>
    <w:rsid w:val="007F3012"/>
    <w:rsid w:val="007F31D4"/>
    <w:rsid w:val="007F3262"/>
    <w:rsid w:val="007F344F"/>
    <w:rsid w:val="007F3529"/>
    <w:rsid w:val="007F359B"/>
    <w:rsid w:val="007F36F1"/>
    <w:rsid w:val="007F3714"/>
    <w:rsid w:val="007F39EF"/>
    <w:rsid w:val="007F3C1B"/>
    <w:rsid w:val="007F3FCD"/>
    <w:rsid w:val="007F401E"/>
    <w:rsid w:val="007F4106"/>
    <w:rsid w:val="007F4451"/>
    <w:rsid w:val="007F4826"/>
    <w:rsid w:val="007F4962"/>
    <w:rsid w:val="007F4AEA"/>
    <w:rsid w:val="007F4C1B"/>
    <w:rsid w:val="007F4F39"/>
    <w:rsid w:val="007F4F48"/>
    <w:rsid w:val="007F4F99"/>
    <w:rsid w:val="007F5149"/>
    <w:rsid w:val="007F5248"/>
    <w:rsid w:val="007F5571"/>
    <w:rsid w:val="007F559C"/>
    <w:rsid w:val="007F56CD"/>
    <w:rsid w:val="007F57CF"/>
    <w:rsid w:val="007F5866"/>
    <w:rsid w:val="007F5BF7"/>
    <w:rsid w:val="007F5C79"/>
    <w:rsid w:val="007F5CEE"/>
    <w:rsid w:val="007F6467"/>
    <w:rsid w:val="007F65B0"/>
    <w:rsid w:val="007F6607"/>
    <w:rsid w:val="007F6976"/>
    <w:rsid w:val="007F6DF5"/>
    <w:rsid w:val="007F6E9D"/>
    <w:rsid w:val="007F6FA2"/>
    <w:rsid w:val="007F71B8"/>
    <w:rsid w:val="007F71C6"/>
    <w:rsid w:val="007F7710"/>
    <w:rsid w:val="007F7725"/>
    <w:rsid w:val="007F7B74"/>
    <w:rsid w:val="007F7C88"/>
    <w:rsid w:val="007F7D34"/>
    <w:rsid w:val="007F7DAF"/>
    <w:rsid w:val="007F7E18"/>
    <w:rsid w:val="007F7E2D"/>
    <w:rsid w:val="007F7F92"/>
    <w:rsid w:val="00800017"/>
    <w:rsid w:val="008001F1"/>
    <w:rsid w:val="00800208"/>
    <w:rsid w:val="00800370"/>
    <w:rsid w:val="00800436"/>
    <w:rsid w:val="0080057E"/>
    <w:rsid w:val="0080084C"/>
    <w:rsid w:val="00800A76"/>
    <w:rsid w:val="00800B77"/>
    <w:rsid w:val="0080119B"/>
    <w:rsid w:val="00801683"/>
    <w:rsid w:val="008016FB"/>
    <w:rsid w:val="00801AF6"/>
    <w:rsid w:val="00801F3D"/>
    <w:rsid w:val="00801F59"/>
    <w:rsid w:val="00802407"/>
    <w:rsid w:val="008024D5"/>
    <w:rsid w:val="0080258B"/>
    <w:rsid w:val="00802B25"/>
    <w:rsid w:val="00802C99"/>
    <w:rsid w:val="00802EA9"/>
    <w:rsid w:val="00802F00"/>
    <w:rsid w:val="00803319"/>
    <w:rsid w:val="008034B7"/>
    <w:rsid w:val="008035F4"/>
    <w:rsid w:val="00803820"/>
    <w:rsid w:val="00803A38"/>
    <w:rsid w:val="00803B50"/>
    <w:rsid w:val="00803CD6"/>
    <w:rsid w:val="00803F3B"/>
    <w:rsid w:val="00804099"/>
    <w:rsid w:val="0080432F"/>
    <w:rsid w:val="00804BF0"/>
    <w:rsid w:val="00804CD8"/>
    <w:rsid w:val="00804F35"/>
    <w:rsid w:val="00804FCA"/>
    <w:rsid w:val="008051C1"/>
    <w:rsid w:val="00805368"/>
    <w:rsid w:val="00805397"/>
    <w:rsid w:val="0080569D"/>
    <w:rsid w:val="00805C30"/>
    <w:rsid w:val="00805C66"/>
    <w:rsid w:val="00805C83"/>
    <w:rsid w:val="00805CD4"/>
    <w:rsid w:val="00805D5C"/>
    <w:rsid w:val="00805D8D"/>
    <w:rsid w:val="00805F04"/>
    <w:rsid w:val="00806029"/>
    <w:rsid w:val="00806092"/>
    <w:rsid w:val="00806416"/>
    <w:rsid w:val="0080642F"/>
    <w:rsid w:val="0080671E"/>
    <w:rsid w:val="00806754"/>
    <w:rsid w:val="008067F8"/>
    <w:rsid w:val="0080685A"/>
    <w:rsid w:val="00806C9D"/>
    <w:rsid w:val="00806E64"/>
    <w:rsid w:val="008073D4"/>
    <w:rsid w:val="00807572"/>
    <w:rsid w:val="00807C0F"/>
    <w:rsid w:val="00807D20"/>
    <w:rsid w:val="00810134"/>
    <w:rsid w:val="00810186"/>
    <w:rsid w:val="0081039A"/>
    <w:rsid w:val="008104A4"/>
    <w:rsid w:val="00810D68"/>
    <w:rsid w:val="00810DB5"/>
    <w:rsid w:val="00810E0A"/>
    <w:rsid w:val="00810F91"/>
    <w:rsid w:val="008110EF"/>
    <w:rsid w:val="008113B9"/>
    <w:rsid w:val="00811679"/>
    <w:rsid w:val="00811791"/>
    <w:rsid w:val="008118CC"/>
    <w:rsid w:val="008118FC"/>
    <w:rsid w:val="00811CA4"/>
    <w:rsid w:val="00811D5D"/>
    <w:rsid w:val="0081212B"/>
    <w:rsid w:val="00812238"/>
    <w:rsid w:val="008124A4"/>
    <w:rsid w:val="0081261F"/>
    <w:rsid w:val="00812850"/>
    <w:rsid w:val="0081287A"/>
    <w:rsid w:val="008128C5"/>
    <w:rsid w:val="00812C3A"/>
    <w:rsid w:val="00812F98"/>
    <w:rsid w:val="0081341B"/>
    <w:rsid w:val="00813787"/>
    <w:rsid w:val="008137AD"/>
    <w:rsid w:val="008138BB"/>
    <w:rsid w:val="008138E9"/>
    <w:rsid w:val="008138FF"/>
    <w:rsid w:val="00813ADF"/>
    <w:rsid w:val="00813D84"/>
    <w:rsid w:val="00813FE6"/>
    <w:rsid w:val="00814278"/>
    <w:rsid w:val="00814405"/>
    <w:rsid w:val="008144FB"/>
    <w:rsid w:val="00814634"/>
    <w:rsid w:val="00814663"/>
    <w:rsid w:val="00814A45"/>
    <w:rsid w:val="00814A8D"/>
    <w:rsid w:val="00814D07"/>
    <w:rsid w:val="00814DD0"/>
    <w:rsid w:val="00814F00"/>
    <w:rsid w:val="0081531E"/>
    <w:rsid w:val="0081532B"/>
    <w:rsid w:val="00815364"/>
    <w:rsid w:val="00815376"/>
    <w:rsid w:val="008153C3"/>
    <w:rsid w:val="0081569A"/>
    <w:rsid w:val="008156BE"/>
    <w:rsid w:val="0081586F"/>
    <w:rsid w:val="00815C8F"/>
    <w:rsid w:val="00815D5E"/>
    <w:rsid w:val="0081605A"/>
    <w:rsid w:val="008160CA"/>
    <w:rsid w:val="00816206"/>
    <w:rsid w:val="0081666A"/>
    <w:rsid w:val="008166A6"/>
    <w:rsid w:val="00816A43"/>
    <w:rsid w:val="00816B27"/>
    <w:rsid w:val="00816B6D"/>
    <w:rsid w:val="00816C7B"/>
    <w:rsid w:val="00816C8B"/>
    <w:rsid w:val="00816D42"/>
    <w:rsid w:val="00816E7A"/>
    <w:rsid w:val="00816EDD"/>
    <w:rsid w:val="008170CF"/>
    <w:rsid w:val="00817248"/>
    <w:rsid w:val="008174C1"/>
    <w:rsid w:val="00817602"/>
    <w:rsid w:val="008176AE"/>
    <w:rsid w:val="0081771B"/>
    <w:rsid w:val="00817859"/>
    <w:rsid w:val="00817949"/>
    <w:rsid w:val="00817995"/>
    <w:rsid w:val="00817E99"/>
    <w:rsid w:val="00817F6E"/>
    <w:rsid w:val="00820258"/>
    <w:rsid w:val="00820355"/>
    <w:rsid w:val="008204B6"/>
    <w:rsid w:val="00820790"/>
    <w:rsid w:val="00820849"/>
    <w:rsid w:val="00820BCE"/>
    <w:rsid w:val="00820C54"/>
    <w:rsid w:val="00820C75"/>
    <w:rsid w:val="00820E52"/>
    <w:rsid w:val="00820F04"/>
    <w:rsid w:val="00820F45"/>
    <w:rsid w:val="00820FE6"/>
    <w:rsid w:val="008210F7"/>
    <w:rsid w:val="008211C0"/>
    <w:rsid w:val="008213AB"/>
    <w:rsid w:val="0082187F"/>
    <w:rsid w:val="00821A95"/>
    <w:rsid w:val="00821DBA"/>
    <w:rsid w:val="00821E5D"/>
    <w:rsid w:val="00821F43"/>
    <w:rsid w:val="00822008"/>
    <w:rsid w:val="0082238C"/>
    <w:rsid w:val="0082247C"/>
    <w:rsid w:val="008226B1"/>
    <w:rsid w:val="008228B3"/>
    <w:rsid w:val="0082299E"/>
    <w:rsid w:val="0082299F"/>
    <w:rsid w:val="00822CA6"/>
    <w:rsid w:val="00822D18"/>
    <w:rsid w:val="00822E9A"/>
    <w:rsid w:val="0082326B"/>
    <w:rsid w:val="008235CD"/>
    <w:rsid w:val="00823717"/>
    <w:rsid w:val="00823915"/>
    <w:rsid w:val="00823D5F"/>
    <w:rsid w:val="00823E4C"/>
    <w:rsid w:val="0082416F"/>
    <w:rsid w:val="0082423E"/>
    <w:rsid w:val="008242D5"/>
    <w:rsid w:val="0082450A"/>
    <w:rsid w:val="008247C2"/>
    <w:rsid w:val="00824935"/>
    <w:rsid w:val="00824972"/>
    <w:rsid w:val="00824CF8"/>
    <w:rsid w:val="00824DFE"/>
    <w:rsid w:val="00824E20"/>
    <w:rsid w:val="008251E7"/>
    <w:rsid w:val="008256AA"/>
    <w:rsid w:val="00825893"/>
    <w:rsid w:val="00825931"/>
    <w:rsid w:val="00825951"/>
    <w:rsid w:val="008259EE"/>
    <w:rsid w:val="00825DCE"/>
    <w:rsid w:val="00825EB9"/>
    <w:rsid w:val="00825F8B"/>
    <w:rsid w:val="008260ED"/>
    <w:rsid w:val="008264E8"/>
    <w:rsid w:val="00826590"/>
    <w:rsid w:val="00826745"/>
    <w:rsid w:val="00826CA5"/>
    <w:rsid w:val="00826E95"/>
    <w:rsid w:val="008270F6"/>
    <w:rsid w:val="0082719F"/>
    <w:rsid w:val="00827577"/>
    <w:rsid w:val="00827660"/>
    <w:rsid w:val="00827968"/>
    <w:rsid w:val="00827A34"/>
    <w:rsid w:val="00827A7D"/>
    <w:rsid w:val="00827AD3"/>
    <w:rsid w:val="00827E62"/>
    <w:rsid w:val="00830095"/>
    <w:rsid w:val="00830236"/>
    <w:rsid w:val="008305B8"/>
    <w:rsid w:val="008306BF"/>
    <w:rsid w:val="008306EF"/>
    <w:rsid w:val="008307F7"/>
    <w:rsid w:val="00830866"/>
    <w:rsid w:val="0083094E"/>
    <w:rsid w:val="00830C72"/>
    <w:rsid w:val="00830FDE"/>
    <w:rsid w:val="008311D4"/>
    <w:rsid w:val="0083156B"/>
    <w:rsid w:val="0083162D"/>
    <w:rsid w:val="008317EC"/>
    <w:rsid w:val="0083180C"/>
    <w:rsid w:val="00831C7E"/>
    <w:rsid w:val="00831E09"/>
    <w:rsid w:val="00831F7A"/>
    <w:rsid w:val="00832177"/>
    <w:rsid w:val="008324C5"/>
    <w:rsid w:val="0083279F"/>
    <w:rsid w:val="008327B7"/>
    <w:rsid w:val="0083283D"/>
    <w:rsid w:val="00832A93"/>
    <w:rsid w:val="00832BB5"/>
    <w:rsid w:val="00832F40"/>
    <w:rsid w:val="00832F7C"/>
    <w:rsid w:val="00832FB6"/>
    <w:rsid w:val="00833052"/>
    <w:rsid w:val="008330E6"/>
    <w:rsid w:val="0083314B"/>
    <w:rsid w:val="0083384B"/>
    <w:rsid w:val="00833AAA"/>
    <w:rsid w:val="00833AAE"/>
    <w:rsid w:val="00833B0E"/>
    <w:rsid w:val="00833E94"/>
    <w:rsid w:val="00833F5E"/>
    <w:rsid w:val="0083401D"/>
    <w:rsid w:val="00834188"/>
    <w:rsid w:val="008343DE"/>
    <w:rsid w:val="008346F9"/>
    <w:rsid w:val="008347A0"/>
    <w:rsid w:val="00834893"/>
    <w:rsid w:val="0083495B"/>
    <w:rsid w:val="00834C65"/>
    <w:rsid w:val="00834F9A"/>
    <w:rsid w:val="00834FCF"/>
    <w:rsid w:val="008350B7"/>
    <w:rsid w:val="00835199"/>
    <w:rsid w:val="00835202"/>
    <w:rsid w:val="0083541A"/>
    <w:rsid w:val="008356A7"/>
    <w:rsid w:val="00835817"/>
    <w:rsid w:val="00835B2C"/>
    <w:rsid w:val="00835F21"/>
    <w:rsid w:val="0083602C"/>
    <w:rsid w:val="008361E6"/>
    <w:rsid w:val="0083638D"/>
    <w:rsid w:val="008364F8"/>
    <w:rsid w:val="008366C9"/>
    <w:rsid w:val="008366FC"/>
    <w:rsid w:val="00836CE7"/>
    <w:rsid w:val="00836D35"/>
    <w:rsid w:val="00836E7F"/>
    <w:rsid w:val="00837199"/>
    <w:rsid w:val="00837723"/>
    <w:rsid w:val="008377DB"/>
    <w:rsid w:val="00837840"/>
    <w:rsid w:val="00837AEB"/>
    <w:rsid w:val="00837B1C"/>
    <w:rsid w:val="00837D09"/>
    <w:rsid w:val="00837E5F"/>
    <w:rsid w:val="008404F4"/>
    <w:rsid w:val="0084055F"/>
    <w:rsid w:val="00840885"/>
    <w:rsid w:val="00840904"/>
    <w:rsid w:val="0084098D"/>
    <w:rsid w:val="00840A85"/>
    <w:rsid w:val="00840AE2"/>
    <w:rsid w:val="00840E3C"/>
    <w:rsid w:val="00841071"/>
    <w:rsid w:val="008414D8"/>
    <w:rsid w:val="0084180C"/>
    <w:rsid w:val="00841AD7"/>
    <w:rsid w:val="00841B30"/>
    <w:rsid w:val="00841C3A"/>
    <w:rsid w:val="00841E14"/>
    <w:rsid w:val="00842307"/>
    <w:rsid w:val="00842349"/>
    <w:rsid w:val="008426A9"/>
    <w:rsid w:val="00842702"/>
    <w:rsid w:val="00842753"/>
    <w:rsid w:val="008427D5"/>
    <w:rsid w:val="0084282C"/>
    <w:rsid w:val="00842A73"/>
    <w:rsid w:val="00842B53"/>
    <w:rsid w:val="00842CC5"/>
    <w:rsid w:val="00842D84"/>
    <w:rsid w:val="0084314C"/>
    <w:rsid w:val="00843620"/>
    <w:rsid w:val="008436DD"/>
    <w:rsid w:val="00843E6C"/>
    <w:rsid w:val="0084417B"/>
    <w:rsid w:val="008443C2"/>
    <w:rsid w:val="00844526"/>
    <w:rsid w:val="0084477B"/>
    <w:rsid w:val="00844A8B"/>
    <w:rsid w:val="00844AE0"/>
    <w:rsid w:val="00844B42"/>
    <w:rsid w:val="00844B44"/>
    <w:rsid w:val="00844BA9"/>
    <w:rsid w:val="00844FFF"/>
    <w:rsid w:val="00845028"/>
    <w:rsid w:val="00845075"/>
    <w:rsid w:val="00845483"/>
    <w:rsid w:val="00845503"/>
    <w:rsid w:val="008456BF"/>
    <w:rsid w:val="008456E0"/>
    <w:rsid w:val="00845844"/>
    <w:rsid w:val="0084587C"/>
    <w:rsid w:val="00845CE2"/>
    <w:rsid w:val="00845E35"/>
    <w:rsid w:val="00845E55"/>
    <w:rsid w:val="00845E60"/>
    <w:rsid w:val="00845F28"/>
    <w:rsid w:val="0084605D"/>
    <w:rsid w:val="008462BE"/>
    <w:rsid w:val="00846453"/>
    <w:rsid w:val="008464C8"/>
    <w:rsid w:val="0084662A"/>
    <w:rsid w:val="008466B3"/>
    <w:rsid w:val="008466B9"/>
    <w:rsid w:val="00846A55"/>
    <w:rsid w:val="00846D97"/>
    <w:rsid w:val="00846F51"/>
    <w:rsid w:val="00846F5F"/>
    <w:rsid w:val="00846FF7"/>
    <w:rsid w:val="008474F0"/>
    <w:rsid w:val="008479B4"/>
    <w:rsid w:val="008479CC"/>
    <w:rsid w:val="00847E08"/>
    <w:rsid w:val="0085034A"/>
    <w:rsid w:val="00850381"/>
    <w:rsid w:val="00850493"/>
    <w:rsid w:val="0085066D"/>
    <w:rsid w:val="00850688"/>
    <w:rsid w:val="00850D8D"/>
    <w:rsid w:val="00850E57"/>
    <w:rsid w:val="00851176"/>
    <w:rsid w:val="008511EF"/>
    <w:rsid w:val="008515A3"/>
    <w:rsid w:val="008516AD"/>
    <w:rsid w:val="008516C0"/>
    <w:rsid w:val="008517F9"/>
    <w:rsid w:val="0085195E"/>
    <w:rsid w:val="00851AD5"/>
    <w:rsid w:val="00851B95"/>
    <w:rsid w:val="00851C61"/>
    <w:rsid w:val="00851FBF"/>
    <w:rsid w:val="008521BC"/>
    <w:rsid w:val="0085238E"/>
    <w:rsid w:val="008523CE"/>
    <w:rsid w:val="00852584"/>
    <w:rsid w:val="008525B4"/>
    <w:rsid w:val="00852686"/>
    <w:rsid w:val="00852722"/>
    <w:rsid w:val="008527E0"/>
    <w:rsid w:val="00852B15"/>
    <w:rsid w:val="00852B84"/>
    <w:rsid w:val="00852BD9"/>
    <w:rsid w:val="00852C17"/>
    <w:rsid w:val="00852C1D"/>
    <w:rsid w:val="00852D6B"/>
    <w:rsid w:val="00852E12"/>
    <w:rsid w:val="00853036"/>
    <w:rsid w:val="0085330D"/>
    <w:rsid w:val="008533D9"/>
    <w:rsid w:val="008534AA"/>
    <w:rsid w:val="00853505"/>
    <w:rsid w:val="00853594"/>
    <w:rsid w:val="008535A3"/>
    <w:rsid w:val="00853664"/>
    <w:rsid w:val="00853874"/>
    <w:rsid w:val="00853A62"/>
    <w:rsid w:val="00853E86"/>
    <w:rsid w:val="00853F65"/>
    <w:rsid w:val="008540BE"/>
    <w:rsid w:val="0085431E"/>
    <w:rsid w:val="008544D5"/>
    <w:rsid w:val="0085457E"/>
    <w:rsid w:val="00854694"/>
    <w:rsid w:val="008546D6"/>
    <w:rsid w:val="00854A4A"/>
    <w:rsid w:val="00854FA0"/>
    <w:rsid w:val="00855407"/>
    <w:rsid w:val="00855640"/>
    <w:rsid w:val="00855718"/>
    <w:rsid w:val="008557FB"/>
    <w:rsid w:val="00855A50"/>
    <w:rsid w:val="00855CA4"/>
    <w:rsid w:val="008563A5"/>
    <w:rsid w:val="0085651E"/>
    <w:rsid w:val="00856538"/>
    <w:rsid w:val="00856667"/>
    <w:rsid w:val="008569AE"/>
    <w:rsid w:val="00856A2C"/>
    <w:rsid w:val="00856ED0"/>
    <w:rsid w:val="00856F8C"/>
    <w:rsid w:val="008573B2"/>
    <w:rsid w:val="00857502"/>
    <w:rsid w:val="00857832"/>
    <w:rsid w:val="0085792C"/>
    <w:rsid w:val="008579FF"/>
    <w:rsid w:val="00857B1E"/>
    <w:rsid w:val="00857C64"/>
    <w:rsid w:val="00857DEB"/>
    <w:rsid w:val="00860070"/>
    <w:rsid w:val="008601AF"/>
    <w:rsid w:val="00860336"/>
    <w:rsid w:val="008605EA"/>
    <w:rsid w:val="00860CAD"/>
    <w:rsid w:val="00860DE9"/>
    <w:rsid w:val="00860E98"/>
    <w:rsid w:val="00860F0F"/>
    <w:rsid w:val="00861130"/>
    <w:rsid w:val="00861365"/>
    <w:rsid w:val="008615F3"/>
    <w:rsid w:val="008617A6"/>
    <w:rsid w:val="00861820"/>
    <w:rsid w:val="008618B4"/>
    <w:rsid w:val="00861996"/>
    <w:rsid w:val="00861A01"/>
    <w:rsid w:val="00861A2C"/>
    <w:rsid w:val="00861D91"/>
    <w:rsid w:val="00861F8E"/>
    <w:rsid w:val="008620FF"/>
    <w:rsid w:val="00862233"/>
    <w:rsid w:val="00862AB7"/>
    <w:rsid w:val="00862DDF"/>
    <w:rsid w:val="00862E0D"/>
    <w:rsid w:val="00862FBC"/>
    <w:rsid w:val="00863132"/>
    <w:rsid w:val="008631C6"/>
    <w:rsid w:val="00863503"/>
    <w:rsid w:val="008635BA"/>
    <w:rsid w:val="0086365E"/>
    <w:rsid w:val="00863886"/>
    <w:rsid w:val="008638D7"/>
    <w:rsid w:val="00863910"/>
    <w:rsid w:val="00863C6D"/>
    <w:rsid w:val="00863D3B"/>
    <w:rsid w:val="00863E40"/>
    <w:rsid w:val="00864042"/>
    <w:rsid w:val="00864487"/>
    <w:rsid w:val="00864543"/>
    <w:rsid w:val="00864A17"/>
    <w:rsid w:val="00864D42"/>
    <w:rsid w:val="00864D88"/>
    <w:rsid w:val="00864E4C"/>
    <w:rsid w:val="00864F83"/>
    <w:rsid w:val="0086571E"/>
    <w:rsid w:val="00865CAA"/>
    <w:rsid w:val="00865CE7"/>
    <w:rsid w:val="00865D05"/>
    <w:rsid w:val="00865D57"/>
    <w:rsid w:val="00865DAD"/>
    <w:rsid w:val="00865DF5"/>
    <w:rsid w:val="00865E96"/>
    <w:rsid w:val="00865FA7"/>
    <w:rsid w:val="00866449"/>
    <w:rsid w:val="008664DF"/>
    <w:rsid w:val="00866591"/>
    <w:rsid w:val="008666CE"/>
    <w:rsid w:val="008668FB"/>
    <w:rsid w:val="0086696B"/>
    <w:rsid w:val="00866B5C"/>
    <w:rsid w:val="00866BAB"/>
    <w:rsid w:val="00866C37"/>
    <w:rsid w:val="00866CCF"/>
    <w:rsid w:val="00866E0D"/>
    <w:rsid w:val="00866EBE"/>
    <w:rsid w:val="008670C9"/>
    <w:rsid w:val="00867225"/>
    <w:rsid w:val="00867362"/>
    <w:rsid w:val="00867399"/>
    <w:rsid w:val="008673D4"/>
    <w:rsid w:val="008675DF"/>
    <w:rsid w:val="00867738"/>
    <w:rsid w:val="008677C2"/>
    <w:rsid w:val="00867832"/>
    <w:rsid w:val="008678EE"/>
    <w:rsid w:val="008679D5"/>
    <w:rsid w:val="00867A11"/>
    <w:rsid w:val="00867B4B"/>
    <w:rsid w:val="00867B6E"/>
    <w:rsid w:val="00867C58"/>
    <w:rsid w:val="00867DF8"/>
    <w:rsid w:val="00867DFC"/>
    <w:rsid w:val="008701C3"/>
    <w:rsid w:val="008703DB"/>
    <w:rsid w:val="008704D2"/>
    <w:rsid w:val="008705A5"/>
    <w:rsid w:val="00870612"/>
    <w:rsid w:val="00870668"/>
    <w:rsid w:val="00870811"/>
    <w:rsid w:val="00870ADD"/>
    <w:rsid w:val="00870DF1"/>
    <w:rsid w:val="00870F94"/>
    <w:rsid w:val="008710AF"/>
    <w:rsid w:val="0087140E"/>
    <w:rsid w:val="008714D0"/>
    <w:rsid w:val="00871525"/>
    <w:rsid w:val="008715C3"/>
    <w:rsid w:val="008717A5"/>
    <w:rsid w:val="00871A75"/>
    <w:rsid w:val="00871B77"/>
    <w:rsid w:val="00871D35"/>
    <w:rsid w:val="00871ED3"/>
    <w:rsid w:val="00871EEC"/>
    <w:rsid w:val="00872047"/>
    <w:rsid w:val="008720B6"/>
    <w:rsid w:val="00872219"/>
    <w:rsid w:val="0087243E"/>
    <w:rsid w:val="0087249F"/>
    <w:rsid w:val="00872666"/>
    <w:rsid w:val="008729AE"/>
    <w:rsid w:val="00872E59"/>
    <w:rsid w:val="00872E6E"/>
    <w:rsid w:val="00872FB7"/>
    <w:rsid w:val="00873143"/>
    <w:rsid w:val="00873C5D"/>
    <w:rsid w:val="00873DB5"/>
    <w:rsid w:val="00873F23"/>
    <w:rsid w:val="00873FC8"/>
    <w:rsid w:val="00874432"/>
    <w:rsid w:val="00874551"/>
    <w:rsid w:val="0087461B"/>
    <w:rsid w:val="00874C69"/>
    <w:rsid w:val="00874D38"/>
    <w:rsid w:val="00874D4F"/>
    <w:rsid w:val="00874D96"/>
    <w:rsid w:val="00874DC4"/>
    <w:rsid w:val="00874F06"/>
    <w:rsid w:val="0087534C"/>
    <w:rsid w:val="00875390"/>
    <w:rsid w:val="0087547A"/>
    <w:rsid w:val="00875572"/>
    <w:rsid w:val="00875A51"/>
    <w:rsid w:val="00875BC6"/>
    <w:rsid w:val="00875C20"/>
    <w:rsid w:val="00875C7A"/>
    <w:rsid w:val="00876112"/>
    <w:rsid w:val="0087617B"/>
    <w:rsid w:val="00876435"/>
    <w:rsid w:val="0087665F"/>
    <w:rsid w:val="0087686E"/>
    <w:rsid w:val="00876A87"/>
    <w:rsid w:val="00876D25"/>
    <w:rsid w:val="00877192"/>
    <w:rsid w:val="00877541"/>
    <w:rsid w:val="008776D4"/>
    <w:rsid w:val="0087785D"/>
    <w:rsid w:val="00877B0E"/>
    <w:rsid w:val="00877CC2"/>
    <w:rsid w:val="00877E7B"/>
    <w:rsid w:val="00877F13"/>
    <w:rsid w:val="00877F97"/>
    <w:rsid w:val="00877FB3"/>
    <w:rsid w:val="00880001"/>
    <w:rsid w:val="008804E8"/>
    <w:rsid w:val="008804F1"/>
    <w:rsid w:val="00880553"/>
    <w:rsid w:val="008808AA"/>
    <w:rsid w:val="00880BF9"/>
    <w:rsid w:val="00880E1F"/>
    <w:rsid w:val="00880F46"/>
    <w:rsid w:val="00880F5C"/>
    <w:rsid w:val="00880FD9"/>
    <w:rsid w:val="0088168D"/>
    <w:rsid w:val="00881708"/>
    <w:rsid w:val="008818BA"/>
    <w:rsid w:val="00881AA9"/>
    <w:rsid w:val="00881C16"/>
    <w:rsid w:val="0088257A"/>
    <w:rsid w:val="00882648"/>
    <w:rsid w:val="00882BB2"/>
    <w:rsid w:val="00882D71"/>
    <w:rsid w:val="00882DDA"/>
    <w:rsid w:val="00882DF5"/>
    <w:rsid w:val="00883107"/>
    <w:rsid w:val="0088327F"/>
    <w:rsid w:val="00883604"/>
    <w:rsid w:val="0088365D"/>
    <w:rsid w:val="00883757"/>
    <w:rsid w:val="00883866"/>
    <w:rsid w:val="008839C7"/>
    <w:rsid w:val="00883B0E"/>
    <w:rsid w:val="00883E57"/>
    <w:rsid w:val="00883F99"/>
    <w:rsid w:val="008842C2"/>
    <w:rsid w:val="0088445A"/>
    <w:rsid w:val="00884507"/>
    <w:rsid w:val="00884662"/>
    <w:rsid w:val="008848A4"/>
    <w:rsid w:val="008848CA"/>
    <w:rsid w:val="00884A92"/>
    <w:rsid w:val="00884C48"/>
    <w:rsid w:val="00884E3A"/>
    <w:rsid w:val="00884F41"/>
    <w:rsid w:val="00884F60"/>
    <w:rsid w:val="008850A2"/>
    <w:rsid w:val="008851D0"/>
    <w:rsid w:val="008851EC"/>
    <w:rsid w:val="00885248"/>
    <w:rsid w:val="008852CD"/>
    <w:rsid w:val="00885351"/>
    <w:rsid w:val="00885A54"/>
    <w:rsid w:val="00885D5A"/>
    <w:rsid w:val="00885E2B"/>
    <w:rsid w:val="00885E8B"/>
    <w:rsid w:val="00885EBF"/>
    <w:rsid w:val="00885F13"/>
    <w:rsid w:val="00885F6A"/>
    <w:rsid w:val="0088602B"/>
    <w:rsid w:val="00886061"/>
    <w:rsid w:val="008861A5"/>
    <w:rsid w:val="00886272"/>
    <w:rsid w:val="0088627E"/>
    <w:rsid w:val="008864B6"/>
    <w:rsid w:val="0088653D"/>
    <w:rsid w:val="00886551"/>
    <w:rsid w:val="0088656F"/>
    <w:rsid w:val="008865AC"/>
    <w:rsid w:val="008867DC"/>
    <w:rsid w:val="00886895"/>
    <w:rsid w:val="00886B2F"/>
    <w:rsid w:val="00886D27"/>
    <w:rsid w:val="00886E5F"/>
    <w:rsid w:val="00886F22"/>
    <w:rsid w:val="00886FBB"/>
    <w:rsid w:val="00887080"/>
    <w:rsid w:val="008872BF"/>
    <w:rsid w:val="008872DF"/>
    <w:rsid w:val="0088752A"/>
    <w:rsid w:val="0088799C"/>
    <w:rsid w:val="0089033A"/>
    <w:rsid w:val="00890366"/>
    <w:rsid w:val="00890452"/>
    <w:rsid w:val="008904A6"/>
    <w:rsid w:val="00890678"/>
    <w:rsid w:val="008907B0"/>
    <w:rsid w:val="008908BA"/>
    <w:rsid w:val="00890A27"/>
    <w:rsid w:val="00890BA6"/>
    <w:rsid w:val="00890DDB"/>
    <w:rsid w:val="00891006"/>
    <w:rsid w:val="00891047"/>
    <w:rsid w:val="00891075"/>
    <w:rsid w:val="0089108A"/>
    <w:rsid w:val="00891432"/>
    <w:rsid w:val="0089165B"/>
    <w:rsid w:val="00891898"/>
    <w:rsid w:val="00891934"/>
    <w:rsid w:val="00891CD3"/>
    <w:rsid w:val="00891DA8"/>
    <w:rsid w:val="00891E1B"/>
    <w:rsid w:val="00891EC7"/>
    <w:rsid w:val="00892132"/>
    <w:rsid w:val="008922D2"/>
    <w:rsid w:val="00892403"/>
    <w:rsid w:val="00892C03"/>
    <w:rsid w:val="00892CC1"/>
    <w:rsid w:val="00892E38"/>
    <w:rsid w:val="0089338D"/>
    <w:rsid w:val="008933F0"/>
    <w:rsid w:val="00893400"/>
    <w:rsid w:val="0089351F"/>
    <w:rsid w:val="00893879"/>
    <w:rsid w:val="00893A82"/>
    <w:rsid w:val="00893B90"/>
    <w:rsid w:val="00893C9A"/>
    <w:rsid w:val="00893DA3"/>
    <w:rsid w:val="00893EAB"/>
    <w:rsid w:val="00894098"/>
    <w:rsid w:val="0089422E"/>
    <w:rsid w:val="008945FE"/>
    <w:rsid w:val="0089460E"/>
    <w:rsid w:val="0089469D"/>
    <w:rsid w:val="0089485B"/>
    <w:rsid w:val="00894AD1"/>
    <w:rsid w:val="00894AFB"/>
    <w:rsid w:val="00894C1D"/>
    <w:rsid w:val="00894F9C"/>
    <w:rsid w:val="00894FED"/>
    <w:rsid w:val="0089519E"/>
    <w:rsid w:val="00895456"/>
    <w:rsid w:val="00895970"/>
    <w:rsid w:val="00895B10"/>
    <w:rsid w:val="00895B19"/>
    <w:rsid w:val="00895B25"/>
    <w:rsid w:val="00895D9B"/>
    <w:rsid w:val="00895E3F"/>
    <w:rsid w:val="00895EC3"/>
    <w:rsid w:val="0089664C"/>
    <w:rsid w:val="0089668E"/>
    <w:rsid w:val="0089679D"/>
    <w:rsid w:val="00896A23"/>
    <w:rsid w:val="00896D65"/>
    <w:rsid w:val="00896D9C"/>
    <w:rsid w:val="00896F8D"/>
    <w:rsid w:val="00896FD2"/>
    <w:rsid w:val="008971B7"/>
    <w:rsid w:val="0089731D"/>
    <w:rsid w:val="00897A82"/>
    <w:rsid w:val="00897B8E"/>
    <w:rsid w:val="008A0028"/>
    <w:rsid w:val="008A009D"/>
    <w:rsid w:val="008A0280"/>
    <w:rsid w:val="008A0335"/>
    <w:rsid w:val="008A0343"/>
    <w:rsid w:val="008A04E5"/>
    <w:rsid w:val="008A07A4"/>
    <w:rsid w:val="008A08AB"/>
    <w:rsid w:val="008A08B6"/>
    <w:rsid w:val="008A0D52"/>
    <w:rsid w:val="008A0EC8"/>
    <w:rsid w:val="008A0EE3"/>
    <w:rsid w:val="008A136E"/>
    <w:rsid w:val="008A171D"/>
    <w:rsid w:val="008A17F3"/>
    <w:rsid w:val="008A1938"/>
    <w:rsid w:val="008A1A11"/>
    <w:rsid w:val="008A1AC5"/>
    <w:rsid w:val="008A1B37"/>
    <w:rsid w:val="008A1BB5"/>
    <w:rsid w:val="008A1C97"/>
    <w:rsid w:val="008A1FFB"/>
    <w:rsid w:val="008A2535"/>
    <w:rsid w:val="008A25E2"/>
    <w:rsid w:val="008A2757"/>
    <w:rsid w:val="008A28F5"/>
    <w:rsid w:val="008A2A39"/>
    <w:rsid w:val="008A2AFD"/>
    <w:rsid w:val="008A2DD6"/>
    <w:rsid w:val="008A2DE7"/>
    <w:rsid w:val="008A2F4E"/>
    <w:rsid w:val="008A2F7E"/>
    <w:rsid w:val="008A3202"/>
    <w:rsid w:val="008A34CA"/>
    <w:rsid w:val="008A3505"/>
    <w:rsid w:val="008A357E"/>
    <w:rsid w:val="008A35BB"/>
    <w:rsid w:val="008A3730"/>
    <w:rsid w:val="008A37F1"/>
    <w:rsid w:val="008A384B"/>
    <w:rsid w:val="008A39FA"/>
    <w:rsid w:val="008A3A00"/>
    <w:rsid w:val="008A3AEE"/>
    <w:rsid w:val="008A3B26"/>
    <w:rsid w:val="008A3C6F"/>
    <w:rsid w:val="008A3E65"/>
    <w:rsid w:val="008A3FB7"/>
    <w:rsid w:val="008A3FCB"/>
    <w:rsid w:val="008A420D"/>
    <w:rsid w:val="008A436B"/>
    <w:rsid w:val="008A43E0"/>
    <w:rsid w:val="008A46E2"/>
    <w:rsid w:val="008A48B4"/>
    <w:rsid w:val="008A4BA8"/>
    <w:rsid w:val="008A4C9A"/>
    <w:rsid w:val="008A4CBC"/>
    <w:rsid w:val="008A5363"/>
    <w:rsid w:val="008A53F4"/>
    <w:rsid w:val="008A550D"/>
    <w:rsid w:val="008A57AB"/>
    <w:rsid w:val="008A5868"/>
    <w:rsid w:val="008A5A45"/>
    <w:rsid w:val="008A5B65"/>
    <w:rsid w:val="008A60AD"/>
    <w:rsid w:val="008A624B"/>
    <w:rsid w:val="008A63CF"/>
    <w:rsid w:val="008A65BF"/>
    <w:rsid w:val="008A675C"/>
    <w:rsid w:val="008A68A7"/>
    <w:rsid w:val="008A7037"/>
    <w:rsid w:val="008A7201"/>
    <w:rsid w:val="008A73A1"/>
    <w:rsid w:val="008A765F"/>
    <w:rsid w:val="008A7772"/>
    <w:rsid w:val="008A778D"/>
    <w:rsid w:val="008A780E"/>
    <w:rsid w:val="008A783F"/>
    <w:rsid w:val="008A7881"/>
    <w:rsid w:val="008A79A8"/>
    <w:rsid w:val="008B0018"/>
    <w:rsid w:val="008B0368"/>
    <w:rsid w:val="008B067C"/>
    <w:rsid w:val="008B0781"/>
    <w:rsid w:val="008B07C4"/>
    <w:rsid w:val="008B0823"/>
    <w:rsid w:val="008B0A8F"/>
    <w:rsid w:val="008B0DAF"/>
    <w:rsid w:val="008B0E76"/>
    <w:rsid w:val="008B0F29"/>
    <w:rsid w:val="008B1A15"/>
    <w:rsid w:val="008B2016"/>
    <w:rsid w:val="008B2064"/>
    <w:rsid w:val="008B2068"/>
    <w:rsid w:val="008B21D1"/>
    <w:rsid w:val="008B2310"/>
    <w:rsid w:val="008B25EB"/>
    <w:rsid w:val="008B2747"/>
    <w:rsid w:val="008B27B5"/>
    <w:rsid w:val="008B2A64"/>
    <w:rsid w:val="008B2B60"/>
    <w:rsid w:val="008B2BFF"/>
    <w:rsid w:val="008B2C0C"/>
    <w:rsid w:val="008B2E7E"/>
    <w:rsid w:val="008B3195"/>
    <w:rsid w:val="008B32A2"/>
    <w:rsid w:val="008B3575"/>
    <w:rsid w:val="008B3918"/>
    <w:rsid w:val="008B3AE7"/>
    <w:rsid w:val="008B3AED"/>
    <w:rsid w:val="008B3B0B"/>
    <w:rsid w:val="008B4111"/>
    <w:rsid w:val="008B4368"/>
    <w:rsid w:val="008B43DB"/>
    <w:rsid w:val="008B4820"/>
    <w:rsid w:val="008B4CA7"/>
    <w:rsid w:val="008B4CF8"/>
    <w:rsid w:val="008B4E26"/>
    <w:rsid w:val="008B4EA9"/>
    <w:rsid w:val="008B503A"/>
    <w:rsid w:val="008B5092"/>
    <w:rsid w:val="008B534D"/>
    <w:rsid w:val="008B588C"/>
    <w:rsid w:val="008B58C1"/>
    <w:rsid w:val="008B59B2"/>
    <w:rsid w:val="008B5B71"/>
    <w:rsid w:val="008B5FB9"/>
    <w:rsid w:val="008B603C"/>
    <w:rsid w:val="008B60B7"/>
    <w:rsid w:val="008B60CE"/>
    <w:rsid w:val="008B6160"/>
    <w:rsid w:val="008B619F"/>
    <w:rsid w:val="008B624A"/>
    <w:rsid w:val="008B6851"/>
    <w:rsid w:val="008B6A2C"/>
    <w:rsid w:val="008B6AA3"/>
    <w:rsid w:val="008B6E13"/>
    <w:rsid w:val="008B6F05"/>
    <w:rsid w:val="008B7012"/>
    <w:rsid w:val="008B7171"/>
    <w:rsid w:val="008B7186"/>
    <w:rsid w:val="008B73B0"/>
    <w:rsid w:val="008B7440"/>
    <w:rsid w:val="008B760E"/>
    <w:rsid w:val="008B763F"/>
    <w:rsid w:val="008B797D"/>
    <w:rsid w:val="008B7AA8"/>
    <w:rsid w:val="008B7AB4"/>
    <w:rsid w:val="008C0040"/>
    <w:rsid w:val="008C0189"/>
    <w:rsid w:val="008C02F4"/>
    <w:rsid w:val="008C0600"/>
    <w:rsid w:val="008C07EB"/>
    <w:rsid w:val="008C082D"/>
    <w:rsid w:val="008C0874"/>
    <w:rsid w:val="008C09D1"/>
    <w:rsid w:val="008C0B6B"/>
    <w:rsid w:val="008C0D6A"/>
    <w:rsid w:val="008C0E5D"/>
    <w:rsid w:val="008C140C"/>
    <w:rsid w:val="008C1430"/>
    <w:rsid w:val="008C14E6"/>
    <w:rsid w:val="008C1810"/>
    <w:rsid w:val="008C1856"/>
    <w:rsid w:val="008C1D39"/>
    <w:rsid w:val="008C1DCF"/>
    <w:rsid w:val="008C1ED5"/>
    <w:rsid w:val="008C20E7"/>
    <w:rsid w:val="008C21D1"/>
    <w:rsid w:val="008C264D"/>
    <w:rsid w:val="008C26BA"/>
    <w:rsid w:val="008C2748"/>
    <w:rsid w:val="008C2B7B"/>
    <w:rsid w:val="008C2B94"/>
    <w:rsid w:val="008C2BDC"/>
    <w:rsid w:val="008C2E2C"/>
    <w:rsid w:val="008C2E44"/>
    <w:rsid w:val="008C3117"/>
    <w:rsid w:val="008C31B0"/>
    <w:rsid w:val="008C329C"/>
    <w:rsid w:val="008C3393"/>
    <w:rsid w:val="008C33CF"/>
    <w:rsid w:val="008C3929"/>
    <w:rsid w:val="008C3A1E"/>
    <w:rsid w:val="008C3FE7"/>
    <w:rsid w:val="008C44F6"/>
    <w:rsid w:val="008C47AF"/>
    <w:rsid w:val="008C4A71"/>
    <w:rsid w:val="008C4AA2"/>
    <w:rsid w:val="008C4C6A"/>
    <w:rsid w:val="008C4DAB"/>
    <w:rsid w:val="008C4F21"/>
    <w:rsid w:val="008C502E"/>
    <w:rsid w:val="008C5170"/>
    <w:rsid w:val="008C5536"/>
    <w:rsid w:val="008C5730"/>
    <w:rsid w:val="008C58D2"/>
    <w:rsid w:val="008C5BE3"/>
    <w:rsid w:val="008C5C58"/>
    <w:rsid w:val="008C607B"/>
    <w:rsid w:val="008C60DB"/>
    <w:rsid w:val="008C64C1"/>
    <w:rsid w:val="008C6547"/>
    <w:rsid w:val="008C670B"/>
    <w:rsid w:val="008C6876"/>
    <w:rsid w:val="008C6886"/>
    <w:rsid w:val="008C68F1"/>
    <w:rsid w:val="008C6AB9"/>
    <w:rsid w:val="008C6D11"/>
    <w:rsid w:val="008C6E87"/>
    <w:rsid w:val="008C73FA"/>
    <w:rsid w:val="008C7556"/>
    <w:rsid w:val="008C7865"/>
    <w:rsid w:val="008C7E50"/>
    <w:rsid w:val="008D0140"/>
    <w:rsid w:val="008D05DB"/>
    <w:rsid w:val="008D06A1"/>
    <w:rsid w:val="008D06C4"/>
    <w:rsid w:val="008D06F4"/>
    <w:rsid w:val="008D098E"/>
    <w:rsid w:val="008D0D87"/>
    <w:rsid w:val="008D0E70"/>
    <w:rsid w:val="008D105C"/>
    <w:rsid w:val="008D1490"/>
    <w:rsid w:val="008D18C0"/>
    <w:rsid w:val="008D24EB"/>
    <w:rsid w:val="008D24F9"/>
    <w:rsid w:val="008D255A"/>
    <w:rsid w:val="008D261F"/>
    <w:rsid w:val="008D291E"/>
    <w:rsid w:val="008D2A05"/>
    <w:rsid w:val="008D334B"/>
    <w:rsid w:val="008D3486"/>
    <w:rsid w:val="008D35B2"/>
    <w:rsid w:val="008D3B88"/>
    <w:rsid w:val="008D3C8B"/>
    <w:rsid w:val="008D3DFD"/>
    <w:rsid w:val="008D407B"/>
    <w:rsid w:val="008D4091"/>
    <w:rsid w:val="008D4176"/>
    <w:rsid w:val="008D4184"/>
    <w:rsid w:val="008D423A"/>
    <w:rsid w:val="008D476B"/>
    <w:rsid w:val="008D4797"/>
    <w:rsid w:val="008D4804"/>
    <w:rsid w:val="008D4934"/>
    <w:rsid w:val="008D515F"/>
    <w:rsid w:val="008D5336"/>
    <w:rsid w:val="008D535D"/>
    <w:rsid w:val="008D5506"/>
    <w:rsid w:val="008D5509"/>
    <w:rsid w:val="008D56F8"/>
    <w:rsid w:val="008D57F0"/>
    <w:rsid w:val="008D5919"/>
    <w:rsid w:val="008D5928"/>
    <w:rsid w:val="008D5B00"/>
    <w:rsid w:val="008D5B26"/>
    <w:rsid w:val="008D5C8A"/>
    <w:rsid w:val="008D5DFC"/>
    <w:rsid w:val="008D5E8F"/>
    <w:rsid w:val="008D5F25"/>
    <w:rsid w:val="008D619B"/>
    <w:rsid w:val="008D6216"/>
    <w:rsid w:val="008D690D"/>
    <w:rsid w:val="008D6A14"/>
    <w:rsid w:val="008D6C6A"/>
    <w:rsid w:val="008D7464"/>
    <w:rsid w:val="008D7697"/>
    <w:rsid w:val="008D76CF"/>
    <w:rsid w:val="008D783D"/>
    <w:rsid w:val="008D787A"/>
    <w:rsid w:val="008D7A3E"/>
    <w:rsid w:val="008D7A41"/>
    <w:rsid w:val="008D7B8D"/>
    <w:rsid w:val="008E01C4"/>
    <w:rsid w:val="008E0254"/>
    <w:rsid w:val="008E02C8"/>
    <w:rsid w:val="008E02D9"/>
    <w:rsid w:val="008E02FB"/>
    <w:rsid w:val="008E0438"/>
    <w:rsid w:val="008E05FB"/>
    <w:rsid w:val="008E0623"/>
    <w:rsid w:val="008E0709"/>
    <w:rsid w:val="008E08EB"/>
    <w:rsid w:val="008E09C3"/>
    <w:rsid w:val="008E0AA3"/>
    <w:rsid w:val="008E0AC3"/>
    <w:rsid w:val="008E0B3E"/>
    <w:rsid w:val="008E0C3E"/>
    <w:rsid w:val="008E1145"/>
    <w:rsid w:val="008E1210"/>
    <w:rsid w:val="008E137D"/>
    <w:rsid w:val="008E14D9"/>
    <w:rsid w:val="008E1565"/>
    <w:rsid w:val="008E16D8"/>
    <w:rsid w:val="008E1877"/>
    <w:rsid w:val="008E190B"/>
    <w:rsid w:val="008E1C29"/>
    <w:rsid w:val="008E1D5A"/>
    <w:rsid w:val="008E1EE1"/>
    <w:rsid w:val="008E203A"/>
    <w:rsid w:val="008E20AC"/>
    <w:rsid w:val="008E20F3"/>
    <w:rsid w:val="008E219C"/>
    <w:rsid w:val="008E21C7"/>
    <w:rsid w:val="008E2272"/>
    <w:rsid w:val="008E2377"/>
    <w:rsid w:val="008E254E"/>
    <w:rsid w:val="008E2569"/>
    <w:rsid w:val="008E2987"/>
    <w:rsid w:val="008E31BD"/>
    <w:rsid w:val="008E31F9"/>
    <w:rsid w:val="008E3399"/>
    <w:rsid w:val="008E34B8"/>
    <w:rsid w:val="008E34E4"/>
    <w:rsid w:val="008E3530"/>
    <w:rsid w:val="008E3532"/>
    <w:rsid w:val="008E3895"/>
    <w:rsid w:val="008E398D"/>
    <w:rsid w:val="008E3B7C"/>
    <w:rsid w:val="008E3C0B"/>
    <w:rsid w:val="008E3DEE"/>
    <w:rsid w:val="008E3E82"/>
    <w:rsid w:val="008E3F4D"/>
    <w:rsid w:val="008E40AF"/>
    <w:rsid w:val="008E4116"/>
    <w:rsid w:val="008E462C"/>
    <w:rsid w:val="008E4652"/>
    <w:rsid w:val="008E48D7"/>
    <w:rsid w:val="008E4903"/>
    <w:rsid w:val="008E4941"/>
    <w:rsid w:val="008E4945"/>
    <w:rsid w:val="008E4A01"/>
    <w:rsid w:val="008E4A1A"/>
    <w:rsid w:val="008E4C5E"/>
    <w:rsid w:val="008E4C7D"/>
    <w:rsid w:val="008E4D54"/>
    <w:rsid w:val="008E4F46"/>
    <w:rsid w:val="008E558B"/>
    <w:rsid w:val="008E5742"/>
    <w:rsid w:val="008E580C"/>
    <w:rsid w:val="008E584E"/>
    <w:rsid w:val="008E5891"/>
    <w:rsid w:val="008E5992"/>
    <w:rsid w:val="008E5B3F"/>
    <w:rsid w:val="008E5E14"/>
    <w:rsid w:val="008E5E1C"/>
    <w:rsid w:val="008E628E"/>
    <w:rsid w:val="008E62E7"/>
    <w:rsid w:val="008E6342"/>
    <w:rsid w:val="008E64CF"/>
    <w:rsid w:val="008E6614"/>
    <w:rsid w:val="008E6A95"/>
    <w:rsid w:val="008E6D8D"/>
    <w:rsid w:val="008E6DF4"/>
    <w:rsid w:val="008E7179"/>
    <w:rsid w:val="008E728B"/>
    <w:rsid w:val="008E7329"/>
    <w:rsid w:val="008E77DD"/>
    <w:rsid w:val="008E793B"/>
    <w:rsid w:val="008E7A33"/>
    <w:rsid w:val="008E7B0E"/>
    <w:rsid w:val="008E7CC8"/>
    <w:rsid w:val="008E7E19"/>
    <w:rsid w:val="008E7E2C"/>
    <w:rsid w:val="008F017C"/>
    <w:rsid w:val="008F0214"/>
    <w:rsid w:val="008F02AF"/>
    <w:rsid w:val="008F03C9"/>
    <w:rsid w:val="008F04A0"/>
    <w:rsid w:val="008F06C5"/>
    <w:rsid w:val="008F0720"/>
    <w:rsid w:val="008F0792"/>
    <w:rsid w:val="008F07D5"/>
    <w:rsid w:val="008F08CF"/>
    <w:rsid w:val="008F0A0E"/>
    <w:rsid w:val="008F0BBB"/>
    <w:rsid w:val="008F0C11"/>
    <w:rsid w:val="008F0E75"/>
    <w:rsid w:val="008F0EF6"/>
    <w:rsid w:val="008F1136"/>
    <w:rsid w:val="008F1ABE"/>
    <w:rsid w:val="008F1CD6"/>
    <w:rsid w:val="008F1E35"/>
    <w:rsid w:val="008F1EF2"/>
    <w:rsid w:val="008F20B0"/>
    <w:rsid w:val="008F2454"/>
    <w:rsid w:val="008F263B"/>
    <w:rsid w:val="008F2946"/>
    <w:rsid w:val="008F2C2F"/>
    <w:rsid w:val="008F2C73"/>
    <w:rsid w:val="008F2DA9"/>
    <w:rsid w:val="008F2FCA"/>
    <w:rsid w:val="008F2FD1"/>
    <w:rsid w:val="008F3065"/>
    <w:rsid w:val="008F3098"/>
    <w:rsid w:val="008F30BD"/>
    <w:rsid w:val="008F326A"/>
    <w:rsid w:val="008F37A1"/>
    <w:rsid w:val="008F37EE"/>
    <w:rsid w:val="008F3881"/>
    <w:rsid w:val="008F39AE"/>
    <w:rsid w:val="008F3AFE"/>
    <w:rsid w:val="008F3F12"/>
    <w:rsid w:val="008F42AD"/>
    <w:rsid w:val="008F42D7"/>
    <w:rsid w:val="008F44D5"/>
    <w:rsid w:val="008F46FB"/>
    <w:rsid w:val="008F47BE"/>
    <w:rsid w:val="008F4BD8"/>
    <w:rsid w:val="008F4C33"/>
    <w:rsid w:val="008F4D36"/>
    <w:rsid w:val="008F504A"/>
    <w:rsid w:val="008F53C7"/>
    <w:rsid w:val="008F55B2"/>
    <w:rsid w:val="008F5742"/>
    <w:rsid w:val="008F578C"/>
    <w:rsid w:val="008F5AA2"/>
    <w:rsid w:val="008F5BCE"/>
    <w:rsid w:val="008F5C44"/>
    <w:rsid w:val="008F5D2D"/>
    <w:rsid w:val="008F5D53"/>
    <w:rsid w:val="008F5F44"/>
    <w:rsid w:val="008F63E1"/>
    <w:rsid w:val="008F6534"/>
    <w:rsid w:val="008F6582"/>
    <w:rsid w:val="008F661F"/>
    <w:rsid w:val="008F6981"/>
    <w:rsid w:val="008F6A14"/>
    <w:rsid w:val="008F6ADD"/>
    <w:rsid w:val="008F6DC8"/>
    <w:rsid w:val="008F6E7F"/>
    <w:rsid w:val="008F72BE"/>
    <w:rsid w:val="008F7339"/>
    <w:rsid w:val="008F748A"/>
    <w:rsid w:val="008F7542"/>
    <w:rsid w:val="008F76B7"/>
    <w:rsid w:val="008F7729"/>
    <w:rsid w:val="008F77B5"/>
    <w:rsid w:val="008F7B6B"/>
    <w:rsid w:val="009000E3"/>
    <w:rsid w:val="0090032E"/>
    <w:rsid w:val="009004FA"/>
    <w:rsid w:val="009008C6"/>
    <w:rsid w:val="00900D0A"/>
    <w:rsid w:val="00900E08"/>
    <w:rsid w:val="009011A5"/>
    <w:rsid w:val="009014C9"/>
    <w:rsid w:val="009015F3"/>
    <w:rsid w:val="00901C35"/>
    <w:rsid w:val="00901C83"/>
    <w:rsid w:val="00902033"/>
    <w:rsid w:val="00902226"/>
    <w:rsid w:val="0090223A"/>
    <w:rsid w:val="00902A28"/>
    <w:rsid w:val="00902ADB"/>
    <w:rsid w:val="00902E58"/>
    <w:rsid w:val="00902E9D"/>
    <w:rsid w:val="00903085"/>
    <w:rsid w:val="00903212"/>
    <w:rsid w:val="009032F3"/>
    <w:rsid w:val="0090355C"/>
    <w:rsid w:val="0090359A"/>
    <w:rsid w:val="00903643"/>
    <w:rsid w:val="009036BA"/>
    <w:rsid w:val="009038EC"/>
    <w:rsid w:val="00903A3A"/>
    <w:rsid w:val="00903A75"/>
    <w:rsid w:val="00903E21"/>
    <w:rsid w:val="00904172"/>
    <w:rsid w:val="0090428A"/>
    <w:rsid w:val="00904340"/>
    <w:rsid w:val="0090448C"/>
    <w:rsid w:val="009044C5"/>
    <w:rsid w:val="009045C6"/>
    <w:rsid w:val="00904874"/>
    <w:rsid w:val="009048E0"/>
    <w:rsid w:val="00904AA2"/>
    <w:rsid w:val="00905088"/>
    <w:rsid w:val="009052A1"/>
    <w:rsid w:val="009052CB"/>
    <w:rsid w:val="00905423"/>
    <w:rsid w:val="00905809"/>
    <w:rsid w:val="00905867"/>
    <w:rsid w:val="00905BB5"/>
    <w:rsid w:val="00905C24"/>
    <w:rsid w:val="00905E16"/>
    <w:rsid w:val="00906386"/>
    <w:rsid w:val="009065CD"/>
    <w:rsid w:val="00906804"/>
    <w:rsid w:val="00906AE1"/>
    <w:rsid w:val="00906CA7"/>
    <w:rsid w:val="00906E09"/>
    <w:rsid w:val="00906F47"/>
    <w:rsid w:val="009070FB"/>
    <w:rsid w:val="009071AA"/>
    <w:rsid w:val="00907442"/>
    <w:rsid w:val="00907515"/>
    <w:rsid w:val="00907559"/>
    <w:rsid w:val="00907791"/>
    <w:rsid w:val="00907A45"/>
    <w:rsid w:val="00907B43"/>
    <w:rsid w:val="009100FD"/>
    <w:rsid w:val="00910105"/>
    <w:rsid w:val="0091034A"/>
    <w:rsid w:val="00910CD4"/>
    <w:rsid w:val="00910CDA"/>
    <w:rsid w:val="00910D68"/>
    <w:rsid w:val="00910D70"/>
    <w:rsid w:val="00910DE1"/>
    <w:rsid w:val="00910FFA"/>
    <w:rsid w:val="0091137D"/>
    <w:rsid w:val="00911612"/>
    <w:rsid w:val="00911713"/>
    <w:rsid w:val="00911861"/>
    <w:rsid w:val="009118FF"/>
    <w:rsid w:val="009119AF"/>
    <w:rsid w:val="00911B39"/>
    <w:rsid w:val="00911CE6"/>
    <w:rsid w:val="00911EC3"/>
    <w:rsid w:val="0091231A"/>
    <w:rsid w:val="0091248D"/>
    <w:rsid w:val="00912683"/>
    <w:rsid w:val="009127C8"/>
    <w:rsid w:val="009128D2"/>
    <w:rsid w:val="009128F6"/>
    <w:rsid w:val="00912956"/>
    <w:rsid w:val="009129B4"/>
    <w:rsid w:val="00912A33"/>
    <w:rsid w:val="00912A5B"/>
    <w:rsid w:val="00912D34"/>
    <w:rsid w:val="0091338E"/>
    <w:rsid w:val="00913475"/>
    <w:rsid w:val="009135AD"/>
    <w:rsid w:val="009136E6"/>
    <w:rsid w:val="00913833"/>
    <w:rsid w:val="00913867"/>
    <w:rsid w:val="00913926"/>
    <w:rsid w:val="0091411D"/>
    <w:rsid w:val="00914354"/>
    <w:rsid w:val="00914391"/>
    <w:rsid w:val="009144FD"/>
    <w:rsid w:val="0091472B"/>
    <w:rsid w:val="00914AD1"/>
    <w:rsid w:val="00914D83"/>
    <w:rsid w:val="00914FB3"/>
    <w:rsid w:val="009156CA"/>
    <w:rsid w:val="00915ADE"/>
    <w:rsid w:val="00915B4B"/>
    <w:rsid w:val="00915D2E"/>
    <w:rsid w:val="00915F32"/>
    <w:rsid w:val="00916149"/>
    <w:rsid w:val="00916527"/>
    <w:rsid w:val="00916563"/>
    <w:rsid w:val="009166A1"/>
    <w:rsid w:val="009168C4"/>
    <w:rsid w:val="00916920"/>
    <w:rsid w:val="00916BE9"/>
    <w:rsid w:val="00916C4D"/>
    <w:rsid w:val="00916E7D"/>
    <w:rsid w:val="009174AA"/>
    <w:rsid w:val="009178D6"/>
    <w:rsid w:val="00917CEB"/>
    <w:rsid w:val="00917DCC"/>
    <w:rsid w:val="00917F07"/>
    <w:rsid w:val="00917FF3"/>
    <w:rsid w:val="00920001"/>
    <w:rsid w:val="009200DC"/>
    <w:rsid w:val="009202F6"/>
    <w:rsid w:val="00920653"/>
    <w:rsid w:val="00920767"/>
    <w:rsid w:val="009207B5"/>
    <w:rsid w:val="00920BE2"/>
    <w:rsid w:val="00920C63"/>
    <w:rsid w:val="00920E54"/>
    <w:rsid w:val="00920EE6"/>
    <w:rsid w:val="00920F03"/>
    <w:rsid w:val="0092113F"/>
    <w:rsid w:val="009211EC"/>
    <w:rsid w:val="00921213"/>
    <w:rsid w:val="009212F4"/>
    <w:rsid w:val="00921414"/>
    <w:rsid w:val="00921582"/>
    <w:rsid w:val="00921702"/>
    <w:rsid w:val="00921AB0"/>
    <w:rsid w:val="00921E6F"/>
    <w:rsid w:val="00921ED5"/>
    <w:rsid w:val="00921F85"/>
    <w:rsid w:val="00921FAF"/>
    <w:rsid w:val="00921FEA"/>
    <w:rsid w:val="009220CC"/>
    <w:rsid w:val="00922158"/>
    <w:rsid w:val="0092234A"/>
    <w:rsid w:val="00922475"/>
    <w:rsid w:val="00922504"/>
    <w:rsid w:val="00922806"/>
    <w:rsid w:val="00922947"/>
    <w:rsid w:val="0092294F"/>
    <w:rsid w:val="009229FF"/>
    <w:rsid w:val="00922D24"/>
    <w:rsid w:val="00923068"/>
    <w:rsid w:val="00923730"/>
    <w:rsid w:val="00923B33"/>
    <w:rsid w:val="00923C61"/>
    <w:rsid w:val="00923CC9"/>
    <w:rsid w:val="00923CD9"/>
    <w:rsid w:val="00923E2D"/>
    <w:rsid w:val="009241F9"/>
    <w:rsid w:val="009243FC"/>
    <w:rsid w:val="009246B2"/>
    <w:rsid w:val="009248B4"/>
    <w:rsid w:val="009248EB"/>
    <w:rsid w:val="00924AE2"/>
    <w:rsid w:val="00924C41"/>
    <w:rsid w:val="00924D78"/>
    <w:rsid w:val="009250BD"/>
    <w:rsid w:val="0092511E"/>
    <w:rsid w:val="009251EC"/>
    <w:rsid w:val="00925201"/>
    <w:rsid w:val="0092527B"/>
    <w:rsid w:val="00925428"/>
    <w:rsid w:val="0092553B"/>
    <w:rsid w:val="00925656"/>
    <w:rsid w:val="0092567C"/>
    <w:rsid w:val="00925998"/>
    <w:rsid w:val="00926107"/>
    <w:rsid w:val="009261C4"/>
    <w:rsid w:val="00926222"/>
    <w:rsid w:val="00926280"/>
    <w:rsid w:val="009262A7"/>
    <w:rsid w:val="009267A0"/>
    <w:rsid w:val="00926803"/>
    <w:rsid w:val="009269B9"/>
    <w:rsid w:val="00926B47"/>
    <w:rsid w:val="00926D57"/>
    <w:rsid w:val="00926DD5"/>
    <w:rsid w:val="009273B4"/>
    <w:rsid w:val="009274EE"/>
    <w:rsid w:val="009275C5"/>
    <w:rsid w:val="00927645"/>
    <w:rsid w:val="00927757"/>
    <w:rsid w:val="00927758"/>
    <w:rsid w:val="0092799A"/>
    <w:rsid w:val="00927A80"/>
    <w:rsid w:val="00927BAE"/>
    <w:rsid w:val="00927CE9"/>
    <w:rsid w:val="00927E6D"/>
    <w:rsid w:val="00927EC4"/>
    <w:rsid w:val="00927F87"/>
    <w:rsid w:val="00930648"/>
    <w:rsid w:val="009307DD"/>
    <w:rsid w:val="009308D3"/>
    <w:rsid w:val="00930B8A"/>
    <w:rsid w:val="00930B9E"/>
    <w:rsid w:val="00930C8F"/>
    <w:rsid w:val="00930CBA"/>
    <w:rsid w:val="00930D00"/>
    <w:rsid w:val="009311C3"/>
    <w:rsid w:val="00931513"/>
    <w:rsid w:val="0093154C"/>
    <w:rsid w:val="009317CE"/>
    <w:rsid w:val="00931806"/>
    <w:rsid w:val="00931B0A"/>
    <w:rsid w:val="00931DE0"/>
    <w:rsid w:val="00931DFE"/>
    <w:rsid w:val="00932026"/>
    <w:rsid w:val="009321B1"/>
    <w:rsid w:val="00932370"/>
    <w:rsid w:val="009323E3"/>
    <w:rsid w:val="0093240D"/>
    <w:rsid w:val="0093269A"/>
    <w:rsid w:val="0093277A"/>
    <w:rsid w:val="009328CA"/>
    <w:rsid w:val="009329EB"/>
    <w:rsid w:val="00932A0C"/>
    <w:rsid w:val="00932C89"/>
    <w:rsid w:val="0093304F"/>
    <w:rsid w:val="009330A1"/>
    <w:rsid w:val="00933609"/>
    <w:rsid w:val="00933727"/>
    <w:rsid w:val="0093398F"/>
    <w:rsid w:val="009339D9"/>
    <w:rsid w:val="00933A6C"/>
    <w:rsid w:val="00933AD2"/>
    <w:rsid w:val="0093402F"/>
    <w:rsid w:val="00934186"/>
    <w:rsid w:val="00934196"/>
    <w:rsid w:val="009341FC"/>
    <w:rsid w:val="009343B1"/>
    <w:rsid w:val="009344E4"/>
    <w:rsid w:val="00934579"/>
    <w:rsid w:val="009347ED"/>
    <w:rsid w:val="00934871"/>
    <w:rsid w:val="00934C1A"/>
    <w:rsid w:val="00934F34"/>
    <w:rsid w:val="00935010"/>
    <w:rsid w:val="00935132"/>
    <w:rsid w:val="009352BF"/>
    <w:rsid w:val="00935614"/>
    <w:rsid w:val="00935630"/>
    <w:rsid w:val="00935A55"/>
    <w:rsid w:val="00935AAA"/>
    <w:rsid w:val="00935B66"/>
    <w:rsid w:val="00935E5C"/>
    <w:rsid w:val="00935EE1"/>
    <w:rsid w:val="00936003"/>
    <w:rsid w:val="00936443"/>
    <w:rsid w:val="0093673C"/>
    <w:rsid w:val="00936925"/>
    <w:rsid w:val="00936946"/>
    <w:rsid w:val="00936F6F"/>
    <w:rsid w:val="00936F95"/>
    <w:rsid w:val="00937069"/>
    <w:rsid w:val="009374E4"/>
    <w:rsid w:val="009374F4"/>
    <w:rsid w:val="00937564"/>
    <w:rsid w:val="009376B9"/>
    <w:rsid w:val="009377A9"/>
    <w:rsid w:val="00937931"/>
    <w:rsid w:val="00937EE5"/>
    <w:rsid w:val="00937F28"/>
    <w:rsid w:val="00937F29"/>
    <w:rsid w:val="009400EB"/>
    <w:rsid w:val="0094043F"/>
    <w:rsid w:val="0094050B"/>
    <w:rsid w:val="00940570"/>
    <w:rsid w:val="009406EF"/>
    <w:rsid w:val="0094078D"/>
    <w:rsid w:val="00940CA4"/>
    <w:rsid w:val="00940CF4"/>
    <w:rsid w:val="00940E80"/>
    <w:rsid w:val="00940F64"/>
    <w:rsid w:val="00941125"/>
    <w:rsid w:val="00941260"/>
    <w:rsid w:val="0094168E"/>
    <w:rsid w:val="00941B35"/>
    <w:rsid w:val="00941CE7"/>
    <w:rsid w:val="00941D12"/>
    <w:rsid w:val="00941D5E"/>
    <w:rsid w:val="00941D7C"/>
    <w:rsid w:val="00941ECD"/>
    <w:rsid w:val="0094214C"/>
    <w:rsid w:val="009421E3"/>
    <w:rsid w:val="00942203"/>
    <w:rsid w:val="009423E6"/>
    <w:rsid w:val="009424F2"/>
    <w:rsid w:val="0094256D"/>
    <w:rsid w:val="00942637"/>
    <w:rsid w:val="009426C8"/>
    <w:rsid w:val="00942914"/>
    <w:rsid w:val="0094298C"/>
    <w:rsid w:val="00942A9B"/>
    <w:rsid w:val="00942BE2"/>
    <w:rsid w:val="00942CB9"/>
    <w:rsid w:val="00942FBA"/>
    <w:rsid w:val="0094310C"/>
    <w:rsid w:val="00943132"/>
    <w:rsid w:val="00943248"/>
    <w:rsid w:val="0094343F"/>
    <w:rsid w:val="00943A27"/>
    <w:rsid w:val="0094419E"/>
    <w:rsid w:val="0094431B"/>
    <w:rsid w:val="00944442"/>
    <w:rsid w:val="00944460"/>
    <w:rsid w:val="00944673"/>
    <w:rsid w:val="00944891"/>
    <w:rsid w:val="009448DB"/>
    <w:rsid w:val="009449A1"/>
    <w:rsid w:val="00944A52"/>
    <w:rsid w:val="00944ABB"/>
    <w:rsid w:val="00944BC7"/>
    <w:rsid w:val="00944C68"/>
    <w:rsid w:val="00944FF7"/>
    <w:rsid w:val="00945014"/>
    <w:rsid w:val="0094508E"/>
    <w:rsid w:val="0094510C"/>
    <w:rsid w:val="00945134"/>
    <w:rsid w:val="00945162"/>
    <w:rsid w:val="009453A8"/>
    <w:rsid w:val="009454B6"/>
    <w:rsid w:val="009456F6"/>
    <w:rsid w:val="009456F7"/>
    <w:rsid w:val="009457C0"/>
    <w:rsid w:val="00945817"/>
    <w:rsid w:val="009459B6"/>
    <w:rsid w:val="00945A92"/>
    <w:rsid w:val="00945AC0"/>
    <w:rsid w:val="00945B1F"/>
    <w:rsid w:val="00945B6D"/>
    <w:rsid w:val="00945CA6"/>
    <w:rsid w:val="00945DA7"/>
    <w:rsid w:val="00945ED4"/>
    <w:rsid w:val="009461A9"/>
    <w:rsid w:val="0094652C"/>
    <w:rsid w:val="00946576"/>
    <w:rsid w:val="00946596"/>
    <w:rsid w:val="00946796"/>
    <w:rsid w:val="00946967"/>
    <w:rsid w:val="00946A37"/>
    <w:rsid w:val="00946C7E"/>
    <w:rsid w:val="00946D69"/>
    <w:rsid w:val="00946FE2"/>
    <w:rsid w:val="009474CB"/>
    <w:rsid w:val="00947568"/>
    <w:rsid w:val="00947C6B"/>
    <w:rsid w:val="00947CBB"/>
    <w:rsid w:val="00947D0D"/>
    <w:rsid w:val="00947DF5"/>
    <w:rsid w:val="009505CE"/>
    <w:rsid w:val="009505F0"/>
    <w:rsid w:val="0095086A"/>
    <w:rsid w:val="00950B90"/>
    <w:rsid w:val="00950CBA"/>
    <w:rsid w:val="00950DDF"/>
    <w:rsid w:val="00950F5D"/>
    <w:rsid w:val="00950FDA"/>
    <w:rsid w:val="009518DC"/>
    <w:rsid w:val="00951B11"/>
    <w:rsid w:val="00951BAC"/>
    <w:rsid w:val="00951E3B"/>
    <w:rsid w:val="00952019"/>
    <w:rsid w:val="009523FA"/>
    <w:rsid w:val="00952722"/>
    <w:rsid w:val="00952825"/>
    <w:rsid w:val="0095288C"/>
    <w:rsid w:val="00952968"/>
    <w:rsid w:val="00952BBA"/>
    <w:rsid w:val="00952C5E"/>
    <w:rsid w:val="00952C61"/>
    <w:rsid w:val="00952CCB"/>
    <w:rsid w:val="00952DE3"/>
    <w:rsid w:val="00952EC7"/>
    <w:rsid w:val="009532B5"/>
    <w:rsid w:val="009532EC"/>
    <w:rsid w:val="009533DF"/>
    <w:rsid w:val="00953450"/>
    <w:rsid w:val="00953467"/>
    <w:rsid w:val="0095351B"/>
    <w:rsid w:val="009539EC"/>
    <w:rsid w:val="00953B94"/>
    <w:rsid w:val="00953EE0"/>
    <w:rsid w:val="00953F1B"/>
    <w:rsid w:val="00954129"/>
    <w:rsid w:val="0095419A"/>
    <w:rsid w:val="009541D9"/>
    <w:rsid w:val="0095423F"/>
    <w:rsid w:val="0095458F"/>
    <w:rsid w:val="00954AB4"/>
    <w:rsid w:val="00954BB9"/>
    <w:rsid w:val="00955008"/>
    <w:rsid w:val="00955031"/>
    <w:rsid w:val="0095516F"/>
    <w:rsid w:val="009553B2"/>
    <w:rsid w:val="009554BB"/>
    <w:rsid w:val="009556B0"/>
    <w:rsid w:val="00955774"/>
    <w:rsid w:val="009559C2"/>
    <w:rsid w:val="00955A9B"/>
    <w:rsid w:val="009560AD"/>
    <w:rsid w:val="0095611B"/>
    <w:rsid w:val="0095639A"/>
    <w:rsid w:val="00956480"/>
    <w:rsid w:val="0095691F"/>
    <w:rsid w:val="00956E1F"/>
    <w:rsid w:val="00956EFE"/>
    <w:rsid w:val="009570CD"/>
    <w:rsid w:val="00957130"/>
    <w:rsid w:val="009571AE"/>
    <w:rsid w:val="00957458"/>
    <w:rsid w:val="009574F8"/>
    <w:rsid w:val="00957749"/>
    <w:rsid w:val="0095778C"/>
    <w:rsid w:val="00957A77"/>
    <w:rsid w:val="00957C87"/>
    <w:rsid w:val="00960561"/>
    <w:rsid w:val="00960597"/>
    <w:rsid w:val="00960770"/>
    <w:rsid w:val="00960963"/>
    <w:rsid w:val="00960DFD"/>
    <w:rsid w:val="00960E09"/>
    <w:rsid w:val="00961125"/>
    <w:rsid w:val="009614D9"/>
    <w:rsid w:val="00961691"/>
    <w:rsid w:val="00961780"/>
    <w:rsid w:val="00961867"/>
    <w:rsid w:val="00961AB1"/>
    <w:rsid w:val="00961DBB"/>
    <w:rsid w:val="00961EA8"/>
    <w:rsid w:val="00962506"/>
    <w:rsid w:val="009629BC"/>
    <w:rsid w:val="00962ACA"/>
    <w:rsid w:val="00962EC4"/>
    <w:rsid w:val="009634F8"/>
    <w:rsid w:val="009639A2"/>
    <w:rsid w:val="009639CD"/>
    <w:rsid w:val="00963A09"/>
    <w:rsid w:val="00963B76"/>
    <w:rsid w:val="00963E0E"/>
    <w:rsid w:val="00963EAF"/>
    <w:rsid w:val="0096411C"/>
    <w:rsid w:val="009641D7"/>
    <w:rsid w:val="009643C2"/>
    <w:rsid w:val="009647A6"/>
    <w:rsid w:val="00964903"/>
    <w:rsid w:val="00964DF2"/>
    <w:rsid w:val="00964F16"/>
    <w:rsid w:val="00965375"/>
    <w:rsid w:val="009653C6"/>
    <w:rsid w:val="009653F8"/>
    <w:rsid w:val="00965521"/>
    <w:rsid w:val="0096555C"/>
    <w:rsid w:val="009657B6"/>
    <w:rsid w:val="0096591C"/>
    <w:rsid w:val="00965A3D"/>
    <w:rsid w:val="00965FE2"/>
    <w:rsid w:val="009661AF"/>
    <w:rsid w:val="00966259"/>
    <w:rsid w:val="0096631E"/>
    <w:rsid w:val="009667C1"/>
    <w:rsid w:val="009669A2"/>
    <w:rsid w:val="00966CD7"/>
    <w:rsid w:val="00966E20"/>
    <w:rsid w:val="00966FA2"/>
    <w:rsid w:val="00967397"/>
    <w:rsid w:val="009674EC"/>
    <w:rsid w:val="00967743"/>
    <w:rsid w:val="0096793E"/>
    <w:rsid w:val="00967B2C"/>
    <w:rsid w:val="00967B5B"/>
    <w:rsid w:val="00967FB4"/>
    <w:rsid w:val="009702EF"/>
    <w:rsid w:val="00970427"/>
    <w:rsid w:val="00970456"/>
    <w:rsid w:val="009704B8"/>
    <w:rsid w:val="00970733"/>
    <w:rsid w:val="0097075C"/>
    <w:rsid w:val="00970B00"/>
    <w:rsid w:val="00970B58"/>
    <w:rsid w:val="009710B4"/>
    <w:rsid w:val="0097141E"/>
    <w:rsid w:val="0097165A"/>
    <w:rsid w:val="009716E8"/>
    <w:rsid w:val="00971B2C"/>
    <w:rsid w:val="00971BC2"/>
    <w:rsid w:val="00971CD8"/>
    <w:rsid w:val="00971E2E"/>
    <w:rsid w:val="0097220D"/>
    <w:rsid w:val="009722CC"/>
    <w:rsid w:val="0097262B"/>
    <w:rsid w:val="00972C63"/>
    <w:rsid w:val="00972E39"/>
    <w:rsid w:val="00972F98"/>
    <w:rsid w:val="00973042"/>
    <w:rsid w:val="009730C6"/>
    <w:rsid w:val="0097320D"/>
    <w:rsid w:val="009733A5"/>
    <w:rsid w:val="00973462"/>
    <w:rsid w:val="00973476"/>
    <w:rsid w:val="009737C0"/>
    <w:rsid w:val="009738AD"/>
    <w:rsid w:val="00973AA5"/>
    <w:rsid w:val="00973E43"/>
    <w:rsid w:val="00974566"/>
    <w:rsid w:val="009745CE"/>
    <w:rsid w:val="00974711"/>
    <w:rsid w:val="0097481B"/>
    <w:rsid w:val="0097482D"/>
    <w:rsid w:val="00974B30"/>
    <w:rsid w:val="00974D4C"/>
    <w:rsid w:val="00974FE6"/>
    <w:rsid w:val="009754E9"/>
    <w:rsid w:val="00975D1F"/>
    <w:rsid w:val="00975D8D"/>
    <w:rsid w:val="00975E36"/>
    <w:rsid w:val="00975E47"/>
    <w:rsid w:val="00975F25"/>
    <w:rsid w:val="009761D4"/>
    <w:rsid w:val="00976252"/>
    <w:rsid w:val="00976364"/>
    <w:rsid w:val="009764DC"/>
    <w:rsid w:val="00976781"/>
    <w:rsid w:val="009767AA"/>
    <w:rsid w:val="0097688D"/>
    <w:rsid w:val="009768C6"/>
    <w:rsid w:val="00976B60"/>
    <w:rsid w:val="00976BA6"/>
    <w:rsid w:val="00976C42"/>
    <w:rsid w:val="00976D87"/>
    <w:rsid w:val="00977113"/>
    <w:rsid w:val="00977149"/>
    <w:rsid w:val="009771DA"/>
    <w:rsid w:val="00977273"/>
    <w:rsid w:val="0097728D"/>
    <w:rsid w:val="009772C1"/>
    <w:rsid w:val="009773E2"/>
    <w:rsid w:val="00977551"/>
    <w:rsid w:val="00977794"/>
    <w:rsid w:val="00977847"/>
    <w:rsid w:val="009779DB"/>
    <w:rsid w:val="00977C7C"/>
    <w:rsid w:val="00977CB5"/>
    <w:rsid w:val="00977CE7"/>
    <w:rsid w:val="00977D79"/>
    <w:rsid w:val="00977EEC"/>
    <w:rsid w:val="00977F1B"/>
    <w:rsid w:val="009801EC"/>
    <w:rsid w:val="0098022C"/>
    <w:rsid w:val="009803E8"/>
    <w:rsid w:val="009806F8"/>
    <w:rsid w:val="009807A1"/>
    <w:rsid w:val="009807F7"/>
    <w:rsid w:val="0098083C"/>
    <w:rsid w:val="00980924"/>
    <w:rsid w:val="00980954"/>
    <w:rsid w:val="00980C69"/>
    <w:rsid w:val="00980CA8"/>
    <w:rsid w:val="00980E8F"/>
    <w:rsid w:val="00981231"/>
    <w:rsid w:val="00981589"/>
    <w:rsid w:val="00981A9B"/>
    <w:rsid w:val="00981AB5"/>
    <w:rsid w:val="00981B16"/>
    <w:rsid w:val="00981C41"/>
    <w:rsid w:val="00981D5E"/>
    <w:rsid w:val="00981DD4"/>
    <w:rsid w:val="00981E8D"/>
    <w:rsid w:val="00981EE8"/>
    <w:rsid w:val="00981F65"/>
    <w:rsid w:val="009821A6"/>
    <w:rsid w:val="009822A2"/>
    <w:rsid w:val="00982598"/>
    <w:rsid w:val="009828C0"/>
    <w:rsid w:val="009829F7"/>
    <w:rsid w:val="00982A97"/>
    <w:rsid w:val="00982F03"/>
    <w:rsid w:val="00983147"/>
    <w:rsid w:val="009831FA"/>
    <w:rsid w:val="00983295"/>
    <w:rsid w:val="00983637"/>
    <w:rsid w:val="0098387E"/>
    <w:rsid w:val="00983984"/>
    <w:rsid w:val="00983A63"/>
    <w:rsid w:val="00983C18"/>
    <w:rsid w:val="00983D70"/>
    <w:rsid w:val="00983E1D"/>
    <w:rsid w:val="00983E7E"/>
    <w:rsid w:val="00983F3D"/>
    <w:rsid w:val="009841F4"/>
    <w:rsid w:val="009841F7"/>
    <w:rsid w:val="0098423F"/>
    <w:rsid w:val="00984562"/>
    <w:rsid w:val="00984579"/>
    <w:rsid w:val="0098480F"/>
    <w:rsid w:val="00984986"/>
    <w:rsid w:val="00984B3F"/>
    <w:rsid w:val="00984B8C"/>
    <w:rsid w:val="00984C2D"/>
    <w:rsid w:val="00984D15"/>
    <w:rsid w:val="00985072"/>
    <w:rsid w:val="009850A8"/>
    <w:rsid w:val="00985431"/>
    <w:rsid w:val="0098551B"/>
    <w:rsid w:val="0098562C"/>
    <w:rsid w:val="00985684"/>
    <w:rsid w:val="00985BAC"/>
    <w:rsid w:val="009861D9"/>
    <w:rsid w:val="00986468"/>
    <w:rsid w:val="0098658A"/>
    <w:rsid w:val="009866EA"/>
    <w:rsid w:val="00986808"/>
    <w:rsid w:val="009868DC"/>
    <w:rsid w:val="009869E5"/>
    <w:rsid w:val="00986EF3"/>
    <w:rsid w:val="0098752E"/>
    <w:rsid w:val="009877BB"/>
    <w:rsid w:val="00987912"/>
    <w:rsid w:val="0098794F"/>
    <w:rsid w:val="00987A36"/>
    <w:rsid w:val="00987B48"/>
    <w:rsid w:val="00987FB6"/>
    <w:rsid w:val="00990307"/>
    <w:rsid w:val="0099045B"/>
    <w:rsid w:val="009905EC"/>
    <w:rsid w:val="009905FE"/>
    <w:rsid w:val="00990684"/>
    <w:rsid w:val="009907CD"/>
    <w:rsid w:val="00990CBD"/>
    <w:rsid w:val="00990D2B"/>
    <w:rsid w:val="00990DF9"/>
    <w:rsid w:val="00990FB8"/>
    <w:rsid w:val="00991066"/>
    <w:rsid w:val="00991104"/>
    <w:rsid w:val="00991248"/>
    <w:rsid w:val="00991254"/>
    <w:rsid w:val="00991340"/>
    <w:rsid w:val="009916BC"/>
    <w:rsid w:val="00991976"/>
    <w:rsid w:val="00991EDF"/>
    <w:rsid w:val="009921DC"/>
    <w:rsid w:val="009922B4"/>
    <w:rsid w:val="009923A6"/>
    <w:rsid w:val="00992453"/>
    <w:rsid w:val="009925C8"/>
    <w:rsid w:val="0099276F"/>
    <w:rsid w:val="009928E0"/>
    <w:rsid w:val="0099290D"/>
    <w:rsid w:val="00992929"/>
    <w:rsid w:val="00992A85"/>
    <w:rsid w:val="00992E46"/>
    <w:rsid w:val="00992E62"/>
    <w:rsid w:val="00992E7E"/>
    <w:rsid w:val="0099308B"/>
    <w:rsid w:val="0099319C"/>
    <w:rsid w:val="009931C2"/>
    <w:rsid w:val="0099320F"/>
    <w:rsid w:val="0099322C"/>
    <w:rsid w:val="00993FEE"/>
    <w:rsid w:val="009940DF"/>
    <w:rsid w:val="00994186"/>
    <w:rsid w:val="00994399"/>
    <w:rsid w:val="00994636"/>
    <w:rsid w:val="009946E1"/>
    <w:rsid w:val="00994842"/>
    <w:rsid w:val="00994937"/>
    <w:rsid w:val="00994963"/>
    <w:rsid w:val="00994A95"/>
    <w:rsid w:val="00994B1C"/>
    <w:rsid w:val="00994C1A"/>
    <w:rsid w:val="00994CC6"/>
    <w:rsid w:val="00994CFD"/>
    <w:rsid w:val="00994FE8"/>
    <w:rsid w:val="0099505F"/>
    <w:rsid w:val="00995243"/>
    <w:rsid w:val="00995519"/>
    <w:rsid w:val="00995786"/>
    <w:rsid w:val="00995A4B"/>
    <w:rsid w:val="00995CA3"/>
    <w:rsid w:val="00995D93"/>
    <w:rsid w:val="0099603C"/>
    <w:rsid w:val="009960D3"/>
    <w:rsid w:val="009962C8"/>
    <w:rsid w:val="009967F5"/>
    <w:rsid w:val="009968CF"/>
    <w:rsid w:val="00996A38"/>
    <w:rsid w:val="00996A5F"/>
    <w:rsid w:val="00996D57"/>
    <w:rsid w:val="00996D6D"/>
    <w:rsid w:val="00996E63"/>
    <w:rsid w:val="00996E8A"/>
    <w:rsid w:val="00997317"/>
    <w:rsid w:val="0099765F"/>
    <w:rsid w:val="0099768F"/>
    <w:rsid w:val="0099778B"/>
    <w:rsid w:val="00997951"/>
    <w:rsid w:val="009979BC"/>
    <w:rsid w:val="00997A29"/>
    <w:rsid w:val="00997A47"/>
    <w:rsid w:val="00997C24"/>
    <w:rsid w:val="00997D61"/>
    <w:rsid w:val="00997D87"/>
    <w:rsid w:val="00997F0D"/>
    <w:rsid w:val="00997F4F"/>
    <w:rsid w:val="00997F7B"/>
    <w:rsid w:val="009A0051"/>
    <w:rsid w:val="009A0085"/>
    <w:rsid w:val="009A0224"/>
    <w:rsid w:val="009A030E"/>
    <w:rsid w:val="009A06D0"/>
    <w:rsid w:val="009A07FB"/>
    <w:rsid w:val="009A095E"/>
    <w:rsid w:val="009A0B77"/>
    <w:rsid w:val="009A0F33"/>
    <w:rsid w:val="009A0FCB"/>
    <w:rsid w:val="009A151D"/>
    <w:rsid w:val="009A1896"/>
    <w:rsid w:val="009A18CB"/>
    <w:rsid w:val="009A19BC"/>
    <w:rsid w:val="009A1A38"/>
    <w:rsid w:val="009A1F63"/>
    <w:rsid w:val="009A21FD"/>
    <w:rsid w:val="009A2245"/>
    <w:rsid w:val="009A263D"/>
    <w:rsid w:val="009A268E"/>
    <w:rsid w:val="009A2764"/>
    <w:rsid w:val="009A2D51"/>
    <w:rsid w:val="009A2E7A"/>
    <w:rsid w:val="009A2E9B"/>
    <w:rsid w:val="009A3107"/>
    <w:rsid w:val="009A32C2"/>
    <w:rsid w:val="009A37F9"/>
    <w:rsid w:val="009A3879"/>
    <w:rsid w:val="009A3B16"/>
    <w:rsid w:val="009A3B2A"/>
    <w:rsid w:val="009A3B39"/>
    <w:rsid w:val="009A3B3A"/>
    <w:rsid w:val="009A3BAA"/>
    <w:rsid w:val="009A3CE2"/>
    <w:rsid w:val="009A3E79"/>
    <w:rsid w:val="009A3FA2"/>
    <w:rsid w:val="009A3FEB"/>
    <w:rsid w:val="009A400E"/>
    <w:rsid w:val="009A445A"/>
    <w:rsid w:val="009A4696"/>
    <w:rsid w:val="009A4765"/>
    <w:rsid w:val="009A4985"/>
    <w:rsid w:val="009A49B8"/>
    <w:rsid w:val="009A49F2"/>
    <w:rsid w:val="009A4C14"/>
    <w:rsid w:val="009A4DF5"/>
    <w:rsid w:val="009A4E54"/>
    <w:rsid w:val="009A4F5E"/>
    <w:rsid w:val="009A4F69"/>
    <w:rsid w:val="009A4FE3"/>
    <w:rsid w:val="009A50A8"/>
    <w:rsid w:val="009A5276"/>
    <w:rsid w:val="009A5531"/>
    <w:rsid w:val="009A5763"/>
    <w:rsid w:val="009A59A6"/>
    <w:rsid w:val="009A5D1C"/>
    <w:rsid w:val="009A5D96"/>
    <w:rsid w:val="009A5F8A"/>
    <w:rsid w:val="009A62C1"/>
    <w:rsid w:val="009A668A"/>
    <w:rsid w:val="009A6E7C"/>
    <w:rsid w:val="009A6EDB"/>
    <w:rsid w:val="009A7049"/>
    <w:rsid w:val="009A718D"/>
    <w:rsid w:val="009A7E2C"/>
    <w:rsid w:val="009B002A"/>
    <w:rsid w:val="009B00D5"/>
    <w:rsid w:val="009B0306"/>
    <w:rsid w:val="009B0467"/>
    <w:rsid w:val="009B04F5"/>
    <w:rsid w:val="009B0530"/>
    <w:rsid w:val="009B05D0"/>
    <w:rsid w:val="009B06C6"/>
    <w:rsid w:val="009B0C2D"/>
    <w:rsid w:val="009B0C52"/>
    <w:rsid w:val="009B0E84"/>
    <w:rsid w:val="009B0EBE"/>
    <w:rsid w:val="009B1191"/>
    <w:rsid w:val="009B135B"/>
    <w:rsid w:val="009B1473"/>
    <w:rsid w:val="009B1530"/>
    <w:rsid w:val="009B1896"/>
    <w:rsid w:val="009B1AB8"/>
    <w:rsid w:val="009B1D62"/>
    <w:rsid w:val="009B1D9A"/>
    <w:rsid w:val="009B1E7C"/>
    <w:rsid w:val="009B1EED"/>
    <w:rsid w:val="009B1F41"/>
    <w:rsid w:val="009B1FC3"/>
    <w:rsid w:val="009B20C4"/>
    <w:rsid w:val="009B217D"/>
    <w:rsid w:val="009B2191"/>
    <w:rsid w:val="009B2593"/>
    <w:rsid w:val="009B2852"/>
    <w:rsid w:val="009B2E95"/>
    <w:rsid w:val="009B31CC"/>
    <w:rsid w:val="009B328B"/>
    <w:rsid w:val="009B352B"/>
    <w:rsid w:val="009B3637"/>
    <w:rsid w:val="009B3688"/>
    <w:rsid w:val="009B3690"/>
    <w:rsid w:val="009B37F1"/>
    <w:rsid w:val="009B3A5A"/>
    <w:rsid w:val="009B3B86"/>
    <w:rsid w:val="009B3BFE"/>
    <w:rsid w:val="009B3C20"/>
    <w:rsid w:val="009B3C5A"/>
    <w:rsid w:val="009B3D86"/>
    <w:rsid w:val="009B3DC8"/>
    <w:rsid w:val="009B3ECF"/>
    <w:rsid w:val="009B3FC6"/>
    <w:rsid w:val="009B4019"/>
    <w:rsid w:val="009B42ED"/>
    <w:rsid w:val="009B44D1"/>
    <w:rsid w:val="009B453A"/>
    <w:rsid w:val="009B4574"/>
    <w:rsid w:val="009B45B2"/>
    <w:rsid w:val="009B49DE"/>
    <w:rsid w:val="009B4A98"/>
    <w:rsid w:val="009B4AB3"/>
    <w:rsid w:val="009B4B4C"/>
    <w:rsid w:val="009B4BA6"/>
    <w:rsid w:val="009B4CE2"/>
    <w:rsid w:val="009B4E06"/>
    <w:rsid w:val="009B4EC5"/>
    <w:rsid w:val="009B4FEF"/>
    <w:rsid w:val="009B5239"/>
    <w:rsid w:val="009B5394"/>
    <w:rsid w:val="009B5477"/>
    <w:rsid w:val="009B5502"/>
    <w:rsid w:val="009B5682"/>
    <w:rsid w:val="009B589B"/>
    <w:rsid w:val="009B5AB7"/>
    <w:rsid w:val="009B5B2C"/>
    <w:rsid w:val="009B5C05"/>
    <w:rsid w:val="009B5CBE"/>
    <w:rsid w:val="009B5D80"/>
    <w:rsid w:val="009B5DAE"/>
    <w:rsid w:val="009B5F64"/>
    <w:rsid w:val="009B64AA"/>
    <w:rsid w:val="009B664D"/>
    <w:rsid w:val="009B668F"/>
    <w:rsid w:val="009B6753"/>
    <w:rsid w:val="009B6854"/>
    <w:rsid w:val="009B6B8C"/>
    <w:rsid w:val="009B7027"/>
    <w:rsid w:val="009B7140"/>
    <w:rsid w:val="009B7367"/>
    <w:rsid w:val="009B73F2"/>
    <w:rsid w:val="009B74DA"/>
    <w:rsid w:val="009B799A"/>
    <w:rsid w:val="009B7DA5"/>
    <w:rsid w:val="009C0088"/>
    <w:rsid w:val="009C00CA"/>
    <w:rsid w:val="009C0305"/>
    <w:rsid w:val="009C0937"/>
    <w:rsid w:val="009C0A53"/>
    <w:rsid w:val="009C0D01"/>
    <w:rsid w:val="009C101D"/>
    <w:rsid w:val="009C1151"/>
    <w:rsid w:val="009C1642"/>
    <w:rsid w:val="009C16D3"/>
    <w:rsid w:val="009C1739"/>
    <w:rsid w:val="009C173F"/>
    <w:rsid w:val="009C1B2A"/>
    <w:rsid w:val="009C203F"/>
    <w:rsid w:val="009C209E"/>
    <w:rsid w:val="009C214B"/>
    <w:rsid w:val="009C218F"/>
    <w:rsid w:val="009C245D"/>
    <w:rsid w:val="009C2846"/>
    <w:rsid w:val="009C28C2"/>
    <w:rsid w:val="009C2A50"/>
    <w:rsid w:val="009C2B15"/>
    <w:rsid w:val="009C2B25"/>
    <w:rsid w:val="009C2B42"/>
    <w:rsid w:val="009C2D46"/>
    <w:rsid w:val="009C2E2C"/>
    <w:rsid w:val="009C3050"/>
    <w:rsid w:val="009C386B"/>
    <w:rsid w:val="009C3C6F"/>
    <w:rsid w:val="009C3D5B"/>
    <w:rsid w:val="009C3E46"/>
    <w:rsid w:val="009C3E59"/>
    <w:rsid w:val="009C3F47"/>
    <w:rsid w:val="009C42A5"/>
    <w:rsid w:val="009C43F5"/>
    <w:rsid w:val="009C441C"/>
    <w:rsid w:val="009C45F2"/>
    <w:rsid w:val="009C46EF"/>
    <w:rsid w:val="009C4957"/>
    <w:rsid w:val="009C49A5"/>
    <w:rsid w:val="009C4A3A"/>
    <w:rsid w:val="009C4B04"/>
    <w:rsid w:val="009C4B76"/>
    <w:rsid w:val="009C4B99"/>
    <w:rsid w:val="009C4BAF"/>
    <w:rsid w:val="009C4D0D"/>
    <w:rsid w:val="009C4D32"/>
    <w:rsid w:val="009C4F8F"/>
    <w:rsid w:val="009C518B"/>
    <w:rsid w:val="009C56B4"/>
    <w:rsid w:val="009C570D"/>
    <w:rsid w:val="009C57F0"/>
    <w:rsid w:val="009C5872"/>
    <w:rsid w:val="009C59DF"/>
    <w:rsid w:val="009C5ABC"/>
    <w:rsid w:val="009C5C60"/>
    <w:rsid w:val="009C5D67"/>
    <w:rsid w:val="009C60C6"/>
    <w:rsid w:val="009C612E"/>
    <w:rsid w:val="009C6205"/>
    <w:rsid w:val="009C62BE"/>
    <w:rsid w:val="009C65ED"/>
    <w:rsid w:val="009C6ADD"/>
    <w:rsid w:val="009C6C26"/>
    <w:rsid w:val="009C6D12"/>
    <w:rsid w:val="009C732D"/>
    <w:rsid w:val="009C7A3D"/>
    <w:rsid w:val="009C7AFF"/>
    <w:rsid w:val="009C7BA6"/>
    <w:rsid w:val="009C7DA8"/>
    <w:rsid w:val="009C7DD5"/>
    <w:rsid w:val="009C7FF8"/>
    <w:rsid w:val="009D00BC"/>
    <w:rsid w:val="009D00D6"/>
    <w:rsid w:val="009D00E8"/>
    <w:rsid w:val="009D0118"/>
    <w:rsid w:val="009D01E0"/>
    <w:rsid w:val="009D026B"/>
    <w:rsid w:val="009D03BB"/>
    <w:rsid w:val="009D070F"/>
    <w:rsid w:val="009D0A3F"/>
    <w:rsid w:val="009D0A77"/>
    <w:rsid w:val="009D0C9A"/>
    <w:rsid w:val="009D0DEA"/>
    <w:rsid w:val="009D0E90"/>
    <w:rsid w:val="009D0F9C"/>
    <w:rsid w:val="009D14D4"/>
    <w:rsid w:val="009D1634"/>
    <w:rsid w:val="009D1923"/>
    <w:rsid w:val="009D1A83"/>
    <w:rsid w:val="009D1BDF"/>
    <w:rsid w:val="009D1C81"/>
    <w:rsid w:val="009D1FB4"/>
    <w:rsid w:val="009D201E"/>
    <w:rsid w:val="009D2066"/>
    <w:rsid w:val="009D20C7"/>
    <w:rsid w:val="009D20D8"/>
    <w:rsid w:val="009D2197"/>
    <w:rsid w:val="009D2233"/>
    <w:rsid w:val="009D228C"/>
    <w:rsid w:val="009D229F"/>
    <w:rsid w:val="009D2384"/>
    <w:rsid w:val="009D2689"/>
    <w:rsid w:val="009D2820"/>
    <w:rsid w:val="009D2890"/>
    <w:rsid w:val="009D28DB"/>
    <w:rsid w:val="009D29BE"/>
    <w:rsid w:val="009D29FA"/>
    <w:rsid w:val="009D2AA5"/>
    <w:rsid w:val="009D2B57"/>
    <w:rsid w:val="009D2C47"/>
    <w:rsid w:val="009D2D37"/>
    <w:rsid w:val="009D2D60"/>
    <w:rsid w:val="009D315A"/>
    <w:rsid w:val="009D3252"/>
    <w:rsid w:val="009D32F7"/>
    <w:rsid w:val="009D336C"/>
    <w:rsid w:val="009D367A"/>
    <w:rsid w:val="009D38DA"/>
    <w:rsid w:val="009D39EF"/>
    <w:rsid w:val="009D3BC7"/>
    <w:rsid w:val="009D3C40"/>
    <w:rsid w:val="009D3DB1"/>
    <w:rsid w:val="009D3F10"/>
    <w:rsid w:val="009D429F"/>
    <w:rsid w:val="009D43B6"/>
    <w:rsid w:val="009D443A"/>
    <w:rsid w:val="009D4629"/>
    <w:rsid w:val="009D463C"/>
    <w:rsid w:val="009D4704"/>
    <w:rsid w:val="009D4776"/>
    <w:rsid w:val="009D4783"/>
    <w:rsid w:val="009D4875"/>
    <w:rsid w:val="009D4F84"/>
    <w:rsid w:val="009D4FB9"/>
    <w:rsid w:val="009D5007"/>
    <w:rsid w:val="009D52CB"/>
    <w:rsid w:val="009D5378"/>
    <w:rsid w:val="009D569E"/>
    <w:rsid w:val="009D586D"/>
    <w:rsid w:val="009D5ABE"/>
    <w:rsid w:val="009D5ADE"/>
    <w:rsid w:val="009D5D15"/>
    <w:rsid w:val="009D5E21"/>
    <w:rsid w:val="009D5EC7"/>
    <w:rsid w:val="009D63E0"/>
    <w:rsid w:val="009D6413"/>
    <w:rsid w:val="009D6E57"/>
    <w:rsid w:val="009D6EB7"/>
    <w:rsid w:val="009D70DA"/>
    <w:rsid w:val="009D741D"/>
    <w:rsid w:val="009D745C"/>
    <w:rsid w:val="009D7723"/>
    <w:rsid w:val="009D78A3"/>
    <w:rsid w:val="009D7BFA"/>
    <w:rsid w:val="009D7C2C"/>
    <w:rsid w:val="009D7E06"/>
    <w:rsid w:val="009E0167"/>
    <w:rsid w:val="009E01C5"/>
    <w:rsid w:val="009E051F"/>
    <w:rsid w:val="009E06ED"/>
    <w:rsid w:val="009E074B"/>
    <w:rsid w:val="009E08D2"/>
    <w:rsid w:val="009E09FE"/>
    <w:rsid w:val="009E0D39"/>
    <w:rsid w:val="009E0FD7"/>
    <w:rsid w:val="009E1512"/>
    <w:rsid w:val="009E151C"/>
    <w:rsid w:val="009E16E1"/>
    <w:rsid w:val="009E177B"/>
    <w:rsid w:val="009E180C"/>
    <w:rsid w:val="009E1845"/>
    <w:rsid w:val="009E19E5"/>
    <w:rsid w:val="009E1CA4"/>
    <w:rsid w:val="009E2076"/>
    <w:rsid w:val="009E2220"/>
    <w:rsid w:val="009E2252"/>
    <w:rsid w:val="009E22ED"/>
    <w:rsid w:val="009E25FE"/>
    <w:rsid w:val="009E26A9"/>
    <w:rsid w:val="009E26F8"/>
    <w:rsid w:val="009E2823"/>
    <w:rsid w:val="009E29C6"/>
    <w:rsid w:val="009E2D80"/>
    <w:rsid w:val="009E2D84"/>
    <w:rsid w:val="009E314E"/>
    <w:rsid w:val="009E318F"/>
    <w:rsid w:val="009E3261"/>
    <w:rsid w:val="009E3422"/>
    <w:rsid w:val="009E36B6"/>
    <w:rsid w:val="009E36E4"/>
    <w:rsid w:val="009E36E9"/>
    <w:rsid w:val="009E37DD"/>
    <w:rsid w:val="009E396B"/>
    <w:rsid w:val="009E3B63"/>
    <w:rsid w:val="009E3BB9"/>
    <w:rsid w:val="009E3CFF"/>
    <w:rsid w:val="009E3D17"/>
    <w:rsid w:val="009E3FEA"/>
    <w:rsid w:val="009E4332"/>
    <w:rsid w:val="009E440C"/>
    <w:rsid w:val="009E457E"/>
    <w:rsid w:val="009E459A"/>
    <w:rsid w:val="009E4869"/>
    <w:rsid w:val="009E496B"/>
    <w:rsid w:val="009E4D00"/>
    <w:rsid w:val="009E4DAA"/>
    <w:rsid w:val="009E4E02"/>
    <w:rsid w:val="009E4E1B"/>
    <w:rsid w:val="009E4E7D"/>
    <w:rsid w:val="009E5059"/>
    <w:rsid w:val="009E506C"/>
    <w:rsid w:val="009E5440"/>
    <w:rsid w:val="009E55AA"/>
    <w:rsid w:val="009E55E2"/>
    <w:rsid w:val="009E56DC"/>
    <w:rsid w:val="009E5C32"/>
    <w:rsid w:val="009E5D3E"/>
    <w:rsid w:val="009E5E83"/>
    <w:rsid w:val="009E60EA"/>
    <w:rsid w:val="009E644E"/>
    <w:rsid w:val="009E64AC"/>
    <w:rsid w:val="009E657C"/>
    <w:rsid w:val="009E689D"/>
    <w:rsid w:val="009E6A70"/>
    <w:rsid w:val="009E6B1B"/>
    <w:rsid w:val="009E6D6A"/>
    <w:rsid w:val="009E719E"/>
    <w:rsid w:val="009E726C"/>
    <w:rsid w:val="009E731D"/>
    <w:rsid w:val="009E73F7"/>
    <w:rsid w:val="009E75AB"/>
    <w:rsid w:val="009E76DC"/>
    <w:rsid w:val="009E7BF6"/>
    <w:rsid w:val="009E7BFD"/>
    <w:rsid w:val="009F0010"/>
    <w:rsid w:val="009F0166"/>
    <w:rsid w:val="009F01EB"/>
    <w:rsid w:val="009F039F"/>
    <w:rsid w:val="009F08EA"/>
    <w:rsid w:val="009F099C"/>
    <w:rsid w:val="009F0AA9"/>
    <w:rsid w:val="009F0B4A"/>
    <w:rsid w:val="009F0B88"/>
    <w:rsid w:val="009F10D9"/>
    <w:rsid w:val="009F10EA"/>
    <w:rsid w:val="009F11CD"/>
    <w:rsid w:val="009F120D"/>
    <w:rsid w:val="009F1256"/>
    <w:rsid w:val="009F1424"/>
    <w:rsid w:val="009F1509"/>
    <w:rsid w:val="009F1566"/>
    <w:rsid w:val="009F1646"/>
    <w:rsid w:val="009F19CB"/>
    <w:rsid w:val="009F19EC"/>
    <w:rsid w:val="009F1B3B"/>
    <w:rsid w:val="009F1D1A"/>
    <w:rsid w:val="009F1EDD"/>
    <w:rsid w:val="009F1F84"/>
    <w:rsid w:val="009F2238"/>
    <w:rsid w:val="009F2302"/>
    <w:rsid w:val="009F2472"/>
    <w:rsid w:val="009F2845"/>
    <w:rsid w:val="009F28EB"/>
    <w:rsid w:val="009F2AAF"/>
    <w:rsid w:val="009F302E"/>
    <w:rsid w:val="009F310E"/>
    <w:rsid w:val="009F33F5"/>
    <w:rsid w:val="009F3602"/>
    <w:rsid w:val="009F3697"/>
    <w:rsid w:val="009F3922"/>
    <w:rsid w:val="009F3D57"/>
    <w:rsid w:val="009F3F56"/>
    <w:rsid w:val="009F4152"/>
    <w:rsid w:val="009F43C7"/>
    <w:rsid w:val="009F4504"/>
    <w:rsid w:val="009F46A9"/>
    <w:rsid w:val="009F46EC"/>
    <w:rsid w:val="009F4797"/>
    <w:rsid w:val="009F4A67"/>
    <w:rsid w:val="009F4A8D"/>
    <w:rsid w:val="009F4BA2"/>
    <w:rsid w:val="009F4ECB"/>
    <w:rsid w:val="009F5187"/>
    <w:rsid w:val="009F5209"/>
    <w:rsid w:val="009F5214"/>
    <w:rsid w:val="009F52E8"/>
    <w:rsid w:val="009F5372"/>
    <w:rsid w:val="009F56BF"/>
    <w:rsid w:val="009F5ACB"/>
    <w:rsid w:val="009F5B11"/>
    <w:rsid w:val="009F5D19"/>
    <w:rsid w:val="009F5FBB"/>
    <w:rsid w:val="009F61F1"/>
    <w:rsid w:val="009F661B"/>
    <w:rsid w:val="009F69C0"/>
    <w:rsid w:val="009F6A86"/>
    <w:rsid w:val="009F6AC0"/>
    <w:rsid w:val="009F6CBC"/>
    <w:rsid w:val="009F6CE8"/>
    <w:rsid w:val="009F6DE8"/>
    <w:rsid w:val="009F71A0"/>
    <w:rsid w:val="009F722F"/>
    <w:rsid w:val="009F7632"/>
    <w:rsid w:val="009F7760"/>
    <w:rsid w:val="009F7904"/>
    <w:rsid w:val="009F7A5A"/>
    <w:rsid w:val="009F7E26"/>
    <w:rsid w:val="00A0007F"/>
    <w:rsid w:val="00A00180"/>
    <w:rsid w:val="00A00195"/>
    <w:rsid w:val="00A00478"/>
    <w:rsid w:val="00A00827"/>
    <w:rsid w:val="00A009A1"/>
    <w:rsid w:val="00A00B0B"/>
    <w:rsid w:val="00A00B5B"/>
    <w:rsid w:val="00A00F06"/>
    <w:rsid w:val="00A01307"/>
    <w:rsid w:val="00A0133D"/>
    <w:rsid w:val="00A0157E"/>
    <w:rsid w:val="00A016AF"/>
    <w:rsid w:val="00A01728"/>
    <w:rsid w:val="00A017DF"/>
    <w:rsid w:val="00A01841"/>
    <w:rsid w:val="00A018C9"/>
    <w:rsid w:val="00A01B62"/>
    <w:rsid w:val="00A01D2D"/>
    <w:rsid w:val="00A0225A"/>
    <w:rsid w:val="00A02362"/>
    <w:rsid w:val="00A023BA"/>
    <w:rsid w:val="00A02598"/>
    <w:rsid w:val="00A0267B"/>
    <w:rsid w:val="00A02713"/>
    <w:rsid w:val="00A02733"/>
    <w:rsid w:val="00A029E4"/>
    <w:rsid w:val="00A02A3A"/>
    <w:rsid w:val="00A03217"/>
    <w:rsid w:val="00A035CC"/>
    <w:rsid w:val="00A03614"/>
    <w:rsid w:val="00A03B28"/>
    <w:rsid w:val="00A03D61"/>
    <w:rsid w:val="00A03D9E"/>
    <w:rsid w:val="00A03DD8"/>
    <w:rsid w:val="00A041BC"/>
    <w:rsid w:val="00A042D9"/>
    <w:rsid w:val="00A043BB"/>
    <w:rsid w:val="00A043D6"/>
    <w:rsid w:val="00A044A7"/>
    <w:rsid w:val="00A04800"/>
    <w:rsid w:val="00A048F1"/>
    <w:rsid w:val="00A049F0"/>
    <w:rsid w:val="00A04B7A"/>
    <w:rsid w:val="00A04D2E"/>
    <w:rsid w:val="00A05348"/>
    <w:rsid w:val="00A05353"/>
    <w:rsid w:val="00A05376"/>
    <w:rsid w:val="00A05473"/>
    <w:rsid w:val="00A05498"/>
    <w:rsid w:val="00A054DE"/>
    <w:rsid w:val="00A0552F"/>
    <w:rsid w:val="00A05EA5"/>
    <w:rsid w:val="00A06116"/>
    <w:rsid w:val="00A0611E"/>
    <w:rsid w:val="00A06311"/>
    <w:rsid w:val="00A063D2"/>
    <w:rsid w:val="00A06414"/>
    <w:rsid w:val="00A06514"/>
    <w:rsid w:val="00A068FA"/>
    <w:rsid w:val="00A06AFD"/>
    <w:rsid w:val="00A06BC1"/>
    <w:rsid w:val="00A06D0F"/>
    <w:rsid w:val="00A07037"/>
    <w:rsid w:val="00A07061"/>
    <w:rsid w:val="00A07110"/>
    <w:rsid w:val="00A0751A"/>
    <w:rsid w:val="00A075DE"/>
    <w:rsid w:val="00A07793"/>
    <w:rsid w:val="00A07808"/>
    <w:rsid w:val="00A07D8B"/>
    <w:rsid w:val="00A07E73"/>
    <w:rsid w:val="00A07E86"/>
    <w:rsid w:val="00A100EF"/>
    <w:rsid w:val="00A1066F"/>
    <w:rsid w:val="00A10745"/>
    <w:rsid w:val="00A108FF"/>
    <w:rsid w:val="00A109A3"/>
    <w:rsid w:val="00A109AC"/>
    <w:rsid w:val="00A10BA3"/>
    <w:rsid w:val="00A10C68"/>
    <w:rsid w:val="00A10D44"/>
    <w:rsid w:val="00A10D97"/>
    <w:rsid w:val="00A10F57"/>
    <w:rsid w:val="00A10F7B"/>
    <w:rsid w:val="00A110B3"/>
    <w:rsid w:val="00A11B70"/>
    <w:rsid w:val="00A11C9E"/>
    <w:rsid w:val="00A11E66"/>
    <w:rsid w:val="00A12348"/>
    <w:rsid w:val="00A12361"/>
    <w:rsid w:val="00A12570"/>
    <w:rsid w:val="00A12664"/>
    <w:rsid w:val="00A126AC"/>
    <w:rsid w:val="00A1272A"/>
    <w:rsid w:val="00A1286E"/>
    <w:rsid w:val="00A12AD6"/>
    <w:rsid w:val="00A12B32"/>
    <w:rsid w:val="00A12BAB"/>
    <w:rsid w:val="00A1303C"/>
    <w:rsid w:val="00A1316F"/>
    <w:rsid w:val="00A1324C"/>
    <w:rsid w:val="00A134E2"/>
    <w:rsid w:val="00A13611"/>
    <w:rsid w:val="00A13679"/>
    <w:rsid w:val="00A13811"/>
    <w:rsid w:val="00A13997"/>
    <w:rsid w:val="00A13A1D"/>
    <w:rsid w:val="00A13A7F"/>
    <w:rsid w:val="00A13A97"/>
    <w:rsid w:val="00A13AB7"/>
    <w:rsid w:val="00A13AE7"/>
    <w:rsid w:val="00A13AF2"/>
    <w:rsid w:val="00A13B59"/>
    <w:rsid w:val="00A13BAA"/>
    <w:rsid w:val="00A14219"/>
    <w:rsid w:val="00A14283"/>
    <w:rsid w:val="00A144CD"/>
    <w:rsid w:val="00A14724"/>
    <w:rsid w:val="00A148AA"/>
    <w:rsid w:val="00A149A7"/>
    <w:rsid w:val="00A14B37"/>
    <w:rsid w:val="00A14D45"/>
    <w:rsid w:val="00A15289"/>
    <w:rsid w:val="00A152AE"/>
    <w:rsid w:val="00A1534F"/>
    <w:rsid w:val="00A153A0"/>
    <w:rsid w:val="00A15699"/>
    <w:rsid w:val="00A15CD2"/>
    <w:rsid w:val="00A15DE2"/>
    <w:rsid w:val="00A15F37"/>
    <w:rsid w:val="00A1613F"/>
    <w:rsid w:val="00A162D9"/>
    <w:rsid w:val="00A16353"/>
    <w:rsid w:val="00A16565"/>
    <w:rsid w:val="00A16C37"/>
    <w:rsid w:val="00A16C70"/>
    <w:rsid w:val="00A16D07"/>
    <w:rsid w:val="00A16D4B"/>
    <w:rsid w:val="00A16ECB"/>
    <w:rsid w:val="00A170DB"/>
    <w:rsid w:val="00A1745B"/>
    <w:rsid w:val="00A1764C"/>
    <w:rsid w:val="00A176BC"/>
    <w:rsid w:val="00A177FF"/>
    <w:rsid w:val="00A17855"/>
    <w:rsid w:val="00A17883"/>
    <w:rsid w:val="00A17903"/>
    <w:rsid w:val="00A1793C"/>
    <w:rsid w:val="00A17EEF"/>
    <w:rsid w:val="00A17F4B"/>
    <w:rsid w:val="00A2016A"/>
    <w:rsid w:val="00A2059B"/>
    <w:rsid w:val="00A205CB"/>
    <w:rsid w:val="00A2080D"/>
    <w:rsid w:val="00A208CE"/>
    <w:rsid w:val="00A209A0"/>
    <w:rsid w:val="00A20C5E"/>
    <w:rsid w:val="00A20C75"/>
    <w:rsid w:val="00A20FC0"/>
    <w:rsid w:val="00A21042"/>
    <w:rsid w:val="00A2108D"/>
    <w:rsid w:val="00A2139A"/>
    <w:rsid w:val="00A213A9"/>
    <w:rsid w:val="00A215C1"/>
    <w:rsid w:val="00A21610"/>
    <w:rsid w:val="00A21635"/>
    <w:rsid w:val="00A21F37"/>
    <w:rsid w:val="00A21FA3"/>
    <w:rsid w:val="00A220AF"/>
    <w:rsid w:val="00A221D1"/>
    <w:rsid w:val="00A222BD"/>
    <w:rsid w:val="00A22850"/>
    <w:rsid w:val="00A229F2"/>
    <w:rsid w:val="00A22A2D"/>
    <w:rsid w:val="00A22A91"/>
    <w:rsid w:val="00A22B5F"/>
    <w:rsid w:val="00A22CB2"/>
    <w:rsid w:val="00A22CB7"/>
    <w:rsid w:val="00A22CBF"/>
    <w:rsid w:val="00A22D47"/>
    <w:rsid w:val="00A22E5D"/>
    <w:rsid w:val="00A22E75"/>
    <w:rsid w:val="00A22E93"/>
    <w:rsid w:val="00A231E3"/>
    <w:rsid w:val="00A23221"/>
    <w:rsid w:val="00A233DA"/>
    <w:rsid w:val="00A2387A"/>
    <w:rsid w:val="00A23967"/>
    <w:rsid w:val="00A23AEA"/>
    <w:rsid w:val="00A23BBA"/>
    <w:rsid w:val="00A23E2D"/>
    <w:rsid w:val="00A24161"/>
    <w:rsid w:val="00A24807"/>
    <w:rsid w:val="00A2485D"/>
    <w:rsid w:val="00A24885"/>
    <w:rsid w:val="00A24992"/>
    <w:rsid w:val="00A24AAA"/>
    <w:rsid w:val="00A24B3D"/>
    <w:rsid w:val="00A24C6F"/>
    <w:rsid w:val="00A24EB7"/>
    <w:rsid w:val="00A250EC"/>
    <w:rsid w:val="00A2511C"/>
    <w:rsid w:val="00A25560"/>
    <w:rsid w:val="00A25777"/>
    <w:rsid w:val="00A25996"/>
    <w:rsid w:val="00A25CDC"/>
    <w:rsid w:val="00A267F5"/>
    <w:rsid w:val="00A26D8A"/>
    <w:rsid w:val="00A26FB9"/>
    <w:rsid w:val="00A27172"/>
    <w:rsid w:val="00A27366"/>
    <w:rsid w:val="00A27382"/>
    <w:rsid w:val="00A273F6"/>
    <w:rsid w:val="00A275C9"/>
    <w:rsid w:val="00A27715"/>
    <w:rsid w:val="00A27739"/>
    <w:rsid w:val="00A27744"/>
    <w:rsid w:val="00A2791C"/>
    <w:rsid w:val="00A279A2"/>
    <w:rsid w:val="00A27C58"/>
    <w:rsid w:val="00A27D0E"/>
    <w:rsid w:val="00A27D5D"/>
    <w:rsid w:val="00A27EB7"/>
    <w:rsid w:val="00A30286"/>
    <w:rsid w:val="00A30483"/>
    <w:rsid w:val="00A304E4"/>
    <w:rsid w:val="00A30D5B"/>
    <w:rsid w:val="00A30E92"/>
    <w:rsid w:val="00A31073"/>
    <w:rsid w:val="00A31135"/>
    <w:rsid w:val="00A31588"/>
    <w:rsid w:val="00A315E7"/>
    <w:rsid w:val="00A3176E"/>
    <w:rsid w:val="00A317D6"/>
    <w:rsid w:val="00A31A6E"/>
    <w:rsid w:val="00A31D41"/>
    <w:rsid w:val="00A320EF"/>
    <w:rsid w:val="00A32152"/>
    <w:rsid w:val="00A322DA"/>
    <w:rsid w:val="00A323B1"/>
    <w:rsid w:val="00A32432"/>
    <w:rsid w:val="00A32462"/>
    <w:rsid w:val="00A328A6"/>
    <w:rsid w:val="00A32CE8"/>
    <w:rsid w:val="00A32CEC"/>
    <w:rsid w:val="00A32D58"/>
    <w:rsid w:val="00A32DE1"/>
    <w:rsid w:val="00A33085"/>
    <w:rsid w:val="00A33090"/>
    <w:rsid w:val="00A33264"/>
    <w:rsid w:val="00A3329A"/>
    <w:rsid w:val="00A332F5"/>
    <w:rsid w:val="00A33542"/>
    <w:rsid w:val="00A336B9"/>
    <w:rsid w:val="00A33A71"/>
    <w:rsid w:val="00A33A91"/>
    <w:rsid w:val="00A33B36"/>
    <w:rsid w:val="00A33E8E"/>
    <w:rsid w:val="00A33F8A"/>
    <w:rsid w:val="00A3405D"/>
    <w:rsid w:val="00A341DF"/>
    <w:rsid w:val="00A34350"/>
    <w:rsid w:val="00A3459E"/>
    <w:rsid w:val="00A345CD"/>
    <w:rsid w:val="00A34642"/>
    <w:rsid w:val="00A3475E"/>
    <w:rsid w:val="00A348FA"/>
    <w:rsid w:val="00A34C50"/>
    <w:rsid w:val="00A351B8"/>
    <w:rsid w:val="00A35371"/>
    <w:rsid w:val="00A353F8"/>
    <w:rsid w:val="00A356AA"/>
    <w:rsid w:val="00A357DE"/>
    <w:rsid w:val="00A35B0E"/>
    <w:rsid w:val="00A35C2F"/>
    <w:rsid w:val="00A35E85"/>
    <w:rsid w:val="00A35E8E"/>
    <w:rsid w:val="00A35F97"/>
    <w:rsid w:val="00A360F9"/>
    <w:rsid w:val="00A36DF1"/>
    <w:rsid w:val="00A36E2B"/>
    <w:rsid w:val="00A37130"/>
    <w:rsid w:val="00A37250"/>
    <w:rsid w:val="00A37326"/>
    <w:rsid w:val="00A3745D"/>
    <w:rsid w:val="00A374B1"/>
    <w:rsid w:val="00A374D7"/>
    <w:rsid w:val="00A37508"/>
    <w:rsid w:val="00A376C3"/>
    <w:rsid w:val="00A376FE"/>
    <w:rsid w:val="00A3775F"/>
    <w:rsid w:val="00A377BC"/>
    <w:rsid w:val="00A377C4"/>
    <w:rsid w:val="00A37B43"/>
    <w:rsid w:val="00A37D2D"/>
    <w:rsid w:val="00A37DD5"/>
    <w:rsid w:val="00A37EF9"/>
    <w:rsid w:val="00A37F1D"/>
    <w:rsid w:val="00A40138"/>
    <w:rsid w:val="00A404CE"/>
    <w:rsid w:val="00A4072D"/>
    <w:rsid w:val="00A407E2"/>
    <w:rsid w:val="00A40950"/>
    <w:rsid w:val="00A409C4"/>
    <w:rsid w:val="00A409FE"/>
    <w:rsid w:val="00A40A08"/>
    <w:rsid w:val="00A40A16"/>
    <w:rsid w:val="00A40A21"/>
    <w:rsid w:val="00A40A69"/>
    <w:rsid w:val="00A40C0E"/>
    <w:rsid w:val="00A40C26"/>
    <w:rsid w:val="00A40D65"/>
    <w:rsid w:val="00A40F7F"/>
    <w:rsid w:val="00A40F88"/>
    <w:rsid w:val="00A41513"/>
    <w:rsid w:val="00A417E8"/>
    <w:rsid w:val="00A418D6"/>
    <w:rsid w:val="00A41956"/>
    <w:rsid w:val="00A419FC"/>
    <w:rsid w:val="00A41FE8"/>
    <w:rsid w:val="00A42050"/>
    <w:rsid w:val="00A421CD"/>
    <w:rsid w:val="00A421F7"/>
    <w:rsid w:val="00A42407"/>
    <w:rsid w:val="00A4244C"/>
    <w:rsid w:val="00A4245A"/>
    <w:rsid w:val="00A426D9"/>
    <w:rsid w:val="00A42832"/>
    <w:rsid w:val="00A42A5F"/>
    <w:rsid w:val="00A42A7D"/>
    <w:rsid w:val="00A42AD7"/>
    <w:rsid w:val="00A42CAA"/>
    <w:rsid w:val="00A42CE6"/>
    <w:rsid w:val="00A42D47"/>
    <w:rsid w:val="00A42D69"/>
    <w:rsid w:val="00A43158"/>
    <w:rsid w:val="00A4318D"/>
    <w:rsid w:val="00A43219"/>
    <w:rsid w:val="00A43228"/>
    <w:rsid w:val="00A4341B"/>
    <w:rsid w:val="00A4349F"/>
    <w:rsid w:val="00A436BD"/>
    <w:rsid w:val="00A43821"/>
    <w:rsid w:val="00A43827"/>
    <w:rsid w:val="00A4393C"/>
    <w:rsid w:val="00A43CF2"/>
    <w:rsid w:val="00A43D56"/>
    <w:rsid w:val="00A43EE1"/>
    <w:rsid w:val="00A441B3"/>
    <w:rsid w:val="00A441C7"/>
    <w:rsid w:val="00A44511"/>
    <w:rsid w:val="00A44517"/>
    <w:rsid w:val="00A445EE"/>
    <w:rsid w:val="00A44622"/>
    <w:rsid w:val="00A44781"/>
    <w:rsid w:val="00A447F4"/>
    <w:rsid w:val="00A44A2E"/>
    <w:rsid w:val="00A452E5"/>
    <w:rsid w:val="00A453DA"/>
    <w:rsid w:val="00A454D7"/>
    <w:rsid w:val="00A45614"/>
    <w:rsid w:val="00A45A8E"/>
    <w:rsid w:val="00A45AA2"/>
    <w:rsid w:val="00A45B2B"/>
    <w:rsid w:val="00A45F88"/>
    <w:rsid w:val="00A45FFA"/>
    <w:rsid w:val="00A46194"/>
    <w:rsid w:val="00A461B8"/>
    <w:rsid w:val="00A4636A"/>
    <w:rsid w:val="00A463A5"/>
    <w:rsid w:val="00A4650A"/>
    <w:rsid w:val="00A4666A"/>
    <w:rsid w:val="00A468C1"/>
    <w:rsid w:val="00A469AB"/>
    <w:rsid w:val="00A469F6"/>
    <w:rsid w:val="00A46C01"/>
    <w:rsid w:val="00A476A5"/>
    <w:rsid w:val="00A4773A"/>
    <w:rsid w:val="00A4775F"/>
    <w:rsid w:val="00A477F9"/>
    <w:rsid w:val="00A47806"/>
    <w:rsid w:val="00A47979"/>
    <w:rsid w:val="00A47B52"/>
    <w:rsid w:val="00A47BDA"/>
    <w:rsid w:val="00A50075"/>
    <w:rsid w:val="00A507C0"/>
    <w:rsid w:val="00A508B4"/>
    <w:rsid w:val="00A50914"/>
    <w:rsid w:val="00A50AAB"/>
    <w:rsid w:val="00A50CCE"/>
    <w:rsid w:val="00A50CEE"/>
    <w:rsid w:val="00A50D43"/>
    <w:rsid w:val="00A50ECF"/>
    <w:rsid w:val="00A51312"/>
    <w:rsid w:val="00A51509"/>
    <w:rsid w:val="00A51604"/>
    <w:rsid w:val="00A5165A"/>
    <w:rsid w:val="00A51D7A"/>
    <w:rsid w:val="00A51E9A"/>
    <w:rsid w:val="00A520D3"/>
    <w:rsid w:val="00A52208"/>
    <w:rsid w:val="00A5223E"/>
    <w:rsid w:val="00A522A3"/>
    <w:rsid w:val="00A524F1"/>
    <w:rsid w:val="00A52503"/>
    <w:rsid w:val="00A5279C"/>
    <w:rsid w:val="00A527A9"/>
    <w:rsid w:val="00A52B13"/>
    <w:rsid w:val="00A52D4E"/>
    <w:rsid w:val="00A52EFE"/>
    <w:rsid w:val="00A530DC"/>
    <w:rsid w:val="00A532A7"/>
    <w:rsid w:val="00A532E4"/>
    <w:rsid w:val="00A53368"/>
    <w:rsid w:val="00A5355F"/>
    <w:rsid w:val="00A53602"/>
    <w:rsid w:val="00A53992"/>
    <w:rsid w:val="00A53AF1"/>
    <w:rsid w:val="00A53DD9"/>
    <w:rsid w:val="00A53F2F"/>
    <w:rsid w:val="00A5404F"/>
    <w:rsid w:val="00A542A7"/>
    <w:rsid w:val="00A5457A"/>
    <w:rsid w:val="00A5466B"/>
    <w:rsid w:val="00A54775"/>
    <w:rsid w:val="00A547C5"/>
    <w:rsid w:val="00A54883"/>
    <w:rsid w:val="00A5492F"/>
    <w:rsid w:val="00A5494F"/>
    <w:rsid w:val="00A5496A"/>
    <w:rsid w:val="00A54A0F"/>
    <w:rsid w:val="00A54A10"/>
    <w:rsid w:val="00A54BC7"/>
    <w:rsid w:val="00A54E5F"/>
    <w:rsid w:val="00A54F53"/>
    <w:rsid w:val="00A54FF1"/>
    <w:rsid w:val="00A5505A"/>
    <w:rsid w:val="00A5521A"/>
    <w:rsid w:val="00A5556A"/>
    <w:rsid w:val="00A5561D"/>
    <w:rsid w:val="00A55C6D"/>
    <w:rsid w:val="00A55D2A"/>
    <w:rsid w:val="00A55F0C"/>
    <w:rsid w:val="00A55F45"/>
    <w:rsid w:val="00A5605E"/>
    <w:rsid w:val="00A56424"/>
    <w:rsid w:val="00A5647D"/>
    <w:rsid w:val="00A56484"/>
    <w:rsid w:val="00A564BD"/>
    <w:rsid w:val="00A565CA"/>
    <w:rsid w:val="00A565F1"/>
    <w:rsid w:val="00A56619"/>
    <w:rsid w:val="00A566D8"/>
    <w:rsid w:val="00A56815"/>
    <w:rsid w:val="00A56928"/>
    <w:rsid w:val="00A5696D"/>
    <w:rsid w:val="00A56AE4"/>
    <w:rsid w:val="00A56B61"/>
    <w:rsid w:val="00A56D61"/>
    <w:rsid w:val="00A56D88"/>
    <w:rsid w:val="00A56ECF"/>
    <w:rsid w:val="00A5706B"/>
    <w:rsid w:val="00A57186"/>
    <w:rsid w:val="00A575C5"/>
    <w:rsid w:val="00A579D6"/>
    <w:rsid w:val="00A57A9F"/>
    <w:rsid w:val="00A57D40"/>
    <w:rsid w:val="00A57DF7"/>
    <w:rsid w:val="00A57F9F"/>
    <w:rsid w:val="00A6013D"/>
    <w:rsid w:val="00A604D7"/>
    <w:rsid w:val="00A60654"/>
    <w:rsid w:val="00A606D8"/>
    <w:rsid w:val="00A607AC"/>
    <w:rsid w:val="00A6083B"/>
    <w:rsid w:val="00A608A0"/>
    <w:rsid w:val="00A608A4"/>
    <w:rsid w:val="00A609C2"/>
    <w:rsid w:val="00A60A09"/>
    <w:rsid w:val="00A60FD2"/>
    <w:rsid w:val="00A6105B"/>
    <w:rsid w:val="00A613FD"/>
    <w:rsid w:val="00A6145D"/>
    <w:rsid w:val="00A61774"/>
    <w:rsid w:val="00A61838"/>
    <w:rsid w:val="00A61994"/>
    <w:rsid w:val="00A61A11"/>
    <w:rsid w:val="00A61A98"/>
    <w:rsid w:val="00A61B00"/>
    <w:rsid w:val="00A61B7F"/>
    <w:rsid w:val="00A61C91"/>
    <w:rsid w:val="00A61E61"/>
    <w:rsid w:val="00A622AB"/>
    <w:rsid w:val="00A6231A"/>
    <w:rsid w:val="00A62344"/>
    <w:rsid w:val="00A62572"/>
    <w:rsid w:val="00A626C5"/>
    <w:rsid w:val="00A62AE7"/>
    <w:rsid w:val="00A62D2A"/>
    <w:rsid w:val="00A63047"/>
    <w:rsid w:val="00A63101"/>
    <w:rsid w:val="00A633DA"/>
    <w:rsid w:val="00A634DC"/>
    <w:rsid w:val="00A63536"/>
    <w:rsid w:val="00A63569"/>
    <w:rsid w:val="00A63704"/>
    <w:rsid w:val="00A638AA"/>
    <w:rsid w:val="00A63FE9"/>
    <w:rsid w:val="00A64022"/>
    <w:rsid w:val="00A64183"/>
    <w:rsid w:val="00A64360"/>
    <w:rsid w:val="00A644DA"/>
    <w:rsid w:val="00A645B4"/>
    <w:rsid w:val="00A64A0A"/>
    <w:rsid w:val="00A64B5C"/>
    <w:rsid w:val="00A64B5E"/>
    <w:rsid w:val="00A64D22"/>
    <w:rsid w:val="00A64D58"/>
    <w:rsid w:val="00A64D76"/>
    <w:rsid w:val="00A64DE0"/>
    <w:rsid w:val="00A64E7D"/>
    <w:rsid w:val="00A65083"/>
    <w:rsid w:val="00A650A9"/>
    <w:rsid w:val="00A650BD"/>
    <w:rsid w:val="00A6518B"/>
    <w:rsid w:val="00A65201"/>
    <w:rsid w:val="00A6567E"/>
    <w:rsid w:val="00A6569E"/>
    <w:rsid w:val="00A65942"/>
    <w:rsid w:val="00A659FD"/>
    <w:rsid w:val="00A65B00"/>
    <w:rsid w:val="00A65C06"/>
    <w:rsid w:val="00A65C7D"/>
    <w:rsid w:val="00A65C9E"/>
    <w:rsid w:val="00A661AC"/>
    <w:rsid w:val="00A662C2"/>
    <w:rsid w:val="00A663C9"/>
    <w:rsid w:val="00A66555"/>
    <w:rsid w:val="00A667E8"/>
    <w:rsid w:val="00A66804"/>
    <w:rsid w:val="00A66A3C"/>
    <w:rsid w:val="00A66EA7"/>
    <w:rsid w:val="00A66F1B"/>
    <w:rsid w:val="00A66F3F"/>
    <w:rsid w:val="00A66F66"/>
    <w:rsid w:val="00A66F7E"/>
    <w:rsid w:val="00A673BF"/>
    <w:rsid w:val="00A67437"/>
    <w:rsid w:val="00A6750D"/>
    <w:rsid w:val="00A676BA"/>
    <w:rsid w:val="00A677A8"/>
    <w:rsid w:val="00A67C00"/>
    <w:rsid w:val="00A67D46"/>
    <w:rsid w:val="00A67F75"/>
    <w:rsid w:val="00A7026D"/>
    <w:rsid w:val="00A7086B"/>
    <w:rsid w:val="00A70B0D"/>
    <w:rsid w:val="00A70D26"/>
    <w:rsid w:val="00A70D58"/>
    <w:rsid w:val="00A70DB6"/>
    <w:rsid w:val="00A70FE3"/>
    <w:rsid w:val="00A711CB"/>
    <w:rsid w:val="00A712BD"/>
    <w:rsid w:val="00A71312"/>
    <w:rsid w:val="00A71396"/>
    <w:rsid w:val="00A713B5"/>
    <w:rsid w:val="00A7140A"/>
    <w:rsid w:val="00A71513"/>
    <w:rsid w:val="00A716F6"/>
    <w:rsid w:val="00A718D4"/>
    <w:rsid w:val="00A71B68"/>
    <w:rsid w:val="00A71F19"/>
    <w:rsid w:val="00A71FA5"/>
    <w:rsid w:val="00A721B8"/>
    <w:rsid w:val="00A72310"/>
    <w:rsid w:val="00A7246C"/>
    <w:rsid w:val="00A72476"/>
    <w:rsid w:val="00A725B1"/>
    <w:rsid w:val="00A725F7"/>
    <w:rsid w:val="00A7261B"/>
    <w:rsid w:val="00A727DA"/>
    <w:rsid w:val="00A72D0A"/>
    <w:rsid w:val="00A72E09"/>
    <w:rsid w:val="00A72FF2"/>
    <w:rsid w:val="00A73095"/>
    <w:rsid w:val="00A73173"/>
    <w:rsid w:val="00A73244"/>
    <w:rsid w:val="00A73289"/>
    <w:rsid w:val="00A7392A"/>
    <w:rsid w:val="00A739CB"/>
    <w:rsid w:val="00A73A9E"/>
    <w:rsid w:val="00A73BD4"/>
    <w:rsid w:val="00A73C21"/>
    <w:rsid w:val="00A73FA1"/>
    <w:rsid w:val="00A74089"/>
    <w:rsid w:val="00A740BB"/>
    <w:rsid w:val="00A74614"/>
    <w:rsid w:val="00A7462F"/>
    <w:rsid w:val="00A7481F"/>
    <w:rsid w:val="00A74913"/>
    <w:rsid w:val="00A74AAB"/>
    <w:rsid w:val="00A74B64"/>
    <w:rsid w:val="00A74CAE"/>
    <w:rsid w:val="00A74E96"/>
    <w:rsid w:val="00A74F3C"/>
    <w:rsid w:val="00A75082"/>
    <w:rsid w:val="00A7543E"/>
    <w:rsid w:val="00A7558E"/>
    <w:rsid w:val="00A755F6"/>
    <w:rsid w:val="00A75882"/>
    <w:rsid w:val="00A75A0C"/>
    <w:rsid w:val="00A75B07"/>
    <w:rsid w:val="00A75CC4"/>
    <w:rsid w:val="00A75D5F"/>
    <w:rsid w:val="00A7620A"/>
    <w:rsid w:val="00A76224"/>
    <w:rsid w:val="00A765C9"/>
    <w:rsid w:val="00A76607"/>
    <w:rsid w:val="00A766E9"/>
    <w:rsid w:val="00A7686B"/>
    <w:rsid w:val="00A76975"/>
    <w:rsid w:val="00A769E8"/>
    <w:rsid w:val="00A76B75"/>
    <w:rsid w:val="00A76FC9"/>
    <w:rsid w:val="00A771D4"/>
    <w:rsid w:val="00A772D0"/>
    <w:rsid w:val="00A7770E"/>
    <w:rsid w:val="00A7772C"/>
    <w:rsid w:val="00A77894"/>
    <w:rsid w:val="00A779EF"/>
    <w:rsid w:val="00A77A78"/>
    <w:rsid w:val="00A77FCD"/>
    <w:rsid w:val="00A80028"/>
    <w:rsid w:val="00A80063"/>
    <w:rsid w:val="00A80765"/>
    <w:rsid w:val="00A8078B"/>
    <w:rsid w:val="00A80820"/>
    <w:rsid w:val="00A80910"/>
    <w:rsid w:val="00A809B5"/>
    <w:rsid w:val="00A809BD"/>
    <w:rsid w:val="00A80D9A"/>
    <w:rsid w:val="00A810AD"/>
    <w:rsid w:val="00A81156"/>
    <w:rsid w:val="00A8128D"/>
    <w:rsid w:val="00A81401"/>
    <w:rsid w:val="00A81413"/>
    <w:rsid w:val="00A814D4"/>
    <w:rsid w:val="00A816A8"/>
    <w:rsid w:val="00A81DCF"/>
    <w:rsid w:val="00A81DF3"/>
    <w:rsid w:val="00A82066"/>
    <w:rsid w:val="00A8227A"/>
    <w:rsid w:val="00A82308"/>
    <w:rsid w:val="00A82515"/>
    <w:rsid w:val="00A827B7"/>
    <w:rsid w:val="00A828AD"/>
    <w:rsid w:val="00A828AE"/>
    <w:rsid w:val="00A82BBD"/>
    <w:rsid w:val="00A82CAB"/>
    <w:rsid w:val="00A82D03"/>
    <w:rsid w:val="00A82DD3"/>
    <w:rsid w:val="00A82ECC"/>
    <w:rsid w:val="00A82FFB"/>
    <w:rsid w:val="00A83514"/>
    <w:rsid w:val="00A838F7"/>
    <w:rsid w:val="00A8391E"/>
    <w:rsid w:val="00A83B8C"/>
    <w:rsid w:val="00A83C56"/>
    <w:rsid w:val="00A83C7B"/>
    <w:rsid w:val="00A83F5B"/>
    <w:rsid w:val="00A84306"/>
    <w:rsid w:val="00A8441E"/>
    <w:rsid w:val="00A84538"/>
    <w:rsid w:val="00A845A3"/>
    <w:rsid w:val="00A848B2"/>
    <w:rsid w:val="00A84962"/>
    <w:rsid w:val="00A84B9D"/>
    <w:rsid w:val="00A84D78"/>
    <w:rsid w:val="00A84D8B"/>
    <w:rsid w:val="00A84FAA"/>
    <w:rsid w:val="00A8515F"/>
    <w:rsid w:val="00A85245"/>
    <w:rsid w:val="00A8540F"/>
    <w:rsid w:val="00A8569F"/>
    <w:rsid w:val="00A85F3B"/>
    <w:rsid w:val="00A86260"/>
    <w:rsid w:val="00A865BB"/>
    <w:rsid w:val="00A8671C"/>
    <w:rsid w:val="00A8676C"/>
    <w:rsid w:val="00A868D7"/>
    <w:rsid w:val="00A86AF6"/>
    <w:rsid w:val="00A86B47"/>
    <w:rsid w:val="00A86BDD"/>
    <w:rsid w:val="00A86C80"/>
    <w:rsid w:val="00A86D17"/>
    <w:rsid w:val="00A86DD3"/>
    <w:rsid w:val="00A870F0"/>
    <w:rsid w:val="00A87413"/>
    <w:rsid w:val="00A87A05"/>
    <w:rsid w:val="00A87BFB"/>
    <w:rsid w:val="00A87C0B"/>
    <w:rsid w:val="00A87DEC"/>
    <w:rsid w:val="00A90098"/>
    <w:rsid w:val="00A900C3"/>
    <w:rsid w:val="00A90524"/>
    <w:rsid w:val="00A90682"/>
    <w:rsid w:val="00A908DA"/>
    <w:rsid w:val="00A909AD"/>
    <w:rsid w:val="00A909D2"/>
    <w:rsid w:val="00A90A03"/>
    <w:rsid w:val="00A90E4D"/>
    <w:rsid w:val="00A90EB5"/>
    <w:rsid w:val="00A90EE9"/>
    <w:rsid w:val="00A90F45"/>
    <w:rsid w:val="00A91307"/>
    <w:rsid w:val="00A9150F"/>
    <w:rsid w:val="00A91919"/>
    <w:rsid w:val="00A91A9D"/>
    <w:rsid w:val="00A91BCE"/>
    <w:rsid w:val="00A91E9C"/>
    <w:rsid w:val="00A92015"/>
    <w:rsid w:val="00A9205A"/>
    <w:rsid w:val="00A920B0"/>
    <w:rsid w:val="00A92106"/>
    <w:rsid w:val="00A92187"/>
    <w:rsid w:val="00A9218C"/>
    <w:rsid w:val="00A92670"/>
    <w:rsid w:val="00A927CD"/>
    <w:rsid w:val="00A9295E"/>
    <w:rsid w:val="00A929FC"/>
    <w:rsid w:val="00A92B58"/>
    <w:rsid w:val="00A92B5E"/>
    <w:rsid w:val="00A92C0E"/>
    <w:rsid w:val="00A93005"/>
    <w:rsid w:val="00A93013"/>
    <w:rsid w:val="00A934AA"/>
    <w:rsid w:val="00A934BB"/>
    <w:rsid w:val="00A9363A"/>
    <w:rsid w:val="00A9382A"/>
    <w:rsid w:val="00A94503"/>
    <w:rsid w:val="00A94671"/>
    <w:rsid w:val="00A946FB"/>
    <w:rsid w:val="00A94841"/>
    <w:rsid w:val="00A9492C"/>
    <w:rsid w:val="00A94C49"/>
    <w:rsid w:val="00A94EE9"/>
    <w:rsid w:val="00A94FAE"/>
    <w:rsid w:val="00A9500F"/>
    <w:rsid w:val="00A9510A"/>
    <w:rsid w:val="00A952C2"/>
    <w:rsid w:val="00A9539E"/>
    <w:rsid w:val="00A9542C"/>
    <w:rsid w:val="00A95474"/>
    <w:rsid w:val="00A9586E"/>
    <w:rsid w:val="00A95966"/>
    <w:rsid w:val="00A95A7C"/>
    <w:rsid w:val="00A95BF8"/>
    <w:rsid w:val="00A95C0E"/>
    <w:rsid w:val="00A95C67"/>
    <w:rsid w:val="00A95C6E"/>
    <w:rsid w:val="00A95FD5"/>
    <w:rsid w:val="00A96078"/>
    <w:rsid w:val="00A96276"/>
    <w:rsid w:val="00A96428"/>
    <w:rsid w:val="00A96690"/>
    <w:rsid w:val="00A96742"/>
    <w:rsid w:val="00A96849"/>
    <w:rsid w:val="00A96A12"/>
    <w:rsid w:val="00A96F9B"/>
    <w:rsid w:val="00A9730F"/>
    <w:rsid w:val="00A973A8"/>
    <w:rsid w:val="00A979C6"/>
    <w:rsid w:val="00A97BDC"/>
    <w:rsid w:val="00A97CC1"/>
    <w:rsid w:val="00AA0376"/>
    <w:rsid w:val="00AA08C3"/>
    <w:rsid w:val="00AA08F0"/>
    <w:rsid w:val="00AA0B54"/>
    <w:rsid w:val="00AA0EFF"/>
    <w:rsid w:val="00AA0FFE"/>
    <w:rsid w:val="00AA1128"/>
    <w:rsid w:val="00AA12E2"/>
    <w:rsid w:val="00AA137F"/>
    <w:rsid w:val="00AA14E8"/>
    <w:rsid w:val="00AA1B24"/>
    <w:rsid w:val="00AA1CE3"/>
    <w:rsid w:val="00AA1D7A"/>
    <w:rsid w:val="00AA1EB8"/>
    <w:rsid w:val="00AA2219"/>
    <w:rsid w:val="00AA22E9"/>
    <w:rsid w:val="00AA230F"/>
    <w:rsid w:val="00AA27C4"/>
    <w:rsid w:val="00AA2B8C"/>
    <w:rsid w:val="00AA2DF4"/>
    <w:rsid w:val="00AA2FB3"/>
    <w:rsid w:val="00AA309E"/>
    <w:rsid w:val="00AA3183"/>
    <w:rsid w:val="00AA3234"/>
    <w:rsid w:val="00AA3473"/>
    <w:rsid w:val="00AA3574"/>
    <w:rsid w:val="00AA35EE"/>
    <w:rsid w:val="00AA36AB"/>
    <w:rsid w:val="00AA4291"/>
    <w:rsid w:val="00AA4296"/>
    <w:rsid w:val="00AA42AB"/>
    <w:rsid w:val="00AA45B8"/>
    <w:rsid w:val="00AA4700"/>
    <w:rsid w:val="00AA4955"/>
    <w:rsid w:val="00AA4B2A"/>
    <w:rsid w:val="00AA4D67"/>
    <w:rsid w:val="00AA4E78"/>
    <w:rsid w:val="00AA5284"/>
    <w:rsid w:val="00AA54E5"/>
    <w:rsid w:val="00AA5504"/>
    <w:rsid w:val="00AA564B"/>
    <w:rsid w:val="00AA5686"/>
    <w:rsid w:val="00AA56BA"/>
    <w:rsid w:val="00AA5712"/>
    <w:rsid w:val="00AA590C"/>
    <w:rsid w:val="00AA59CF"/>
    <w:rsid w:val="00AA5D62"/>
    <w:rsid w:val="00AA5EAB"/>
    <w:rsid w:val="00AA6134"/>
    <w:rsid w:val="00AA634A"/>
    <w:rsid w:val="00AA6453"/>
    <w:rsid w:val="00AA656A"/>
    <w:rsid w:val="00AA65DB"/>
    <w:rsid w:val="00AA6607"/>
    <w:rsid w:val="00AA6742"/>
    <w:rsid w:val="00AA6A09"/>
    <w:rsid w:val="00AA6A27"/>
    <w:rsid w:val="00AA6D3A"/>
    <w:rsid w:val="00AA6E42"/>
    <w:rsid w:val="00AA6FB6"/>
    <w:rsid w:val="00AA6FBC"/>
    <w:rsid w:val="00AA7064"/>
    <w:rsid w:val="00AA70A3"/>
    <w:rsid w:val="00AA70BA"/>
    <w:rsid w:val="00AA70D7"/>
    <w:rsid w:val="00AA71DF"/>
    <w:rsid w:val="00AA722F"/>
    <w:rsid w:val="00AA7393"/>
    <w:rsid w:val="00AA7556"/>
    <w:rsid w:val="00AA77B3"/>
    <w:rsid w:val="00AA7A48"/>
    <w:rsid w:val="00AA7C93"/>
    <w:rsid w:val="00AA7E2C"/>
    <w:rsid w:val="00AB03D7"/>
    <w:rsid w:val="00AB03F3"/>
    <w:rsid w:val="00AB0983"/>
    <w:rsid w:val="00AB0BAE"/>
    <w:rsid w:val="00AB0DF8"/>
    <w:rsid w:val="00AB0F7B"/>
    <w:rsid w:val="00AB0FB9"/>
    <w:rsid w:val="00AB15A8"/>
    <w:rsid w:val="00AB1621"/>
    <w:rsid w:val="00AB1745"/>
    <w:rsid w:val="00AB17C9"/>
    <w:rsid w:val="00AB1A18"/>
    <w:rsid w:val="00AB1F21"/>
    <w:rsid w:val="00AB2790"/>
    <w:rsid w:val="00AB288F"/>
    <w:rsid w:val="00AB2894"/>
    <w:rsid w:val="00AB2CFB"/>
    <w:rsid w:val="00AB2D26"/>
    <w:rsid w:val="00AB2E01"/>
    <w:rsid w:val="00AB2F18"/>
    <w:rsid w:val="00AB31BD"/>
    <w:rsid w:val="00AB31F8"/>
    <w:rsid w:val="00AB3386"/>
    <w:rsid w:val="00AB3604"/>
    <w:rsid w:val="00AB3647"/>
    <w:rsid w:val="00AB3963"/>
    <w:rsid w:val="00AB4155"/>
    <w:rsid w:val="00AB416F"/>
    <w:rsid w:val="00AB4220"/>
    <w:rsid w:val="00AB433B"/>
    <w:rsid w:val="00AB4658"/>
    <w:rsid w:val="00AB4B0F"/>
    <w:rsid w:val="00AB4C2E"/>
    <w:rsid w:val="00AB4EA5"/>
    <w:rsid w:val="00AB5050"/>
    <w:rsid w:val="00AB52AD"/>
    <w:rsid w:val="00AB53BF"/>
    <w:rsid w:val="00AB54D4"/>
    <w:rsid w:val="00AB5537"/>
    <w:rsid w:val="00AB553B"/>
    <w:rsid w:val="00AB55BF"/>
    <w:rsid w:val="00AB579C"/>
    <w:rsid w:val="00AB5805"/>
    <w:rsid w:val="00AB5C3C"/>
    <w:rsid w:val="00AB5DC5"/>
    <w:rsid w:val="00AB5DE8"/>
    <w:rsid w:val="00AB5F05"/>
    <w:rsid w:val="00AB5F5D"/>
    <w:rsid w:val="00AB5F9F"/>
    <w:rsid w:val="00AB61D7"/>
    <w:rsid w:val="00AB61F2"/>
    <w:rsid w:val="00AB6234"/>
    <w:rsid w:val="00AB64A3"/>
    <w:rsid w:val="00AB655B"/>
    <w:rsid w:val="00AB66F6"/>
    <w:rsid w:val="00AB6981"/>
    <w:rsid w:val="00AB6B4E"/>
    <w:rsid w:val="00AB6D18"/>
    <w:rsid w:val="00AB6E28"/>
    <w:rsid w:val="00AB7147"/>
    <w:rsid w:val="00AB72E4"/>
    <w:rsid w:val="00AB7413"/>
    <w:rsid w:val="00AB767D"/>
    <w:rsid w:val="00AB770D"/>
    <w:rsid w:val="00AB7911"/>
    <w:rsid w:val="00AB7973"/>
    <w:rsid w:val="00AB79DC"/>
    <w:rsid w:val="00AB7BBA"/>
    <w:rsid w:val="00AB7F12"/>
    <w:rsid w:val="00AC0378"/>
    <w:rsid w:val="00AC0589"/>
    <w:rsid w:val="00AC0696"/>
    <w:rsid w:val="00AC0832"/>
    <w:rsid w:val="00AC0C52"/>
    <w:rsid w:val="00AC0C55"/>
    <w:rsid w:val="00AC1079"/>
    <w:rsid w:val="00AC11AB"/>
    <w:rsid w:val="00AC16AC"/>
    <w:rsid w:val="00AC172E"/>
    <w:rsid w:val="00AC1965"/>
    <w:rsid w:val="00AC1A66"/>
    <w:rsid w:val="00AC1C37"/>
    <w:rsid w:val="00AC1E8F"/>
    <w:rsid w:val="00AC1FFC"/>
    <w:rsid w:val="00AC20F8"/>
    <w:rsid w:val="00AC210A"/>
    <w:rsid w:val="00AC220F"/>
    <w:rsid w:val="00AC2510"/>
    <w:rsid w:val="00AC25B1"/>
    <w:rsid w:val="00AC25DA"/>
    <w:rsid w:val="00AC2680"/>
    <w:rsid w:val="00AC2A2B"/>
    <w:rsid w:val="00AC2CDC"/>
    <w:rsid w:val="00AC2D88"/>
    <w:rsid w:val="00AC2EA5"/>
    <w:rsid w:val="00AC30F0"/>
    <w:rsid w:val="00AC31BA"/>
    <w:rsid w:val="00AC3289"/>
    <w:rsid w:val="00AC3394"/>
    <w:rsid w:val="00AC35F5"/>
    <w:rsid w:val="00AC36EB"/>
    <w:rsid w:val="00AC372F"/>
    <w:rsid w:val="00AC3943"/>
    <w:rsid w:val="00AC3A9D"/>
    <w:rsid w:val="00AC3ABE"/>
    <w:rsid w:val="00AC3D25"/>
    <w:rsid w:val="00AC4178"/>
    <w:rsid w:val="00AC4333"/>
    <w:rsid w:val="00AC445B"/>
    <w:rsid w:val="00AC4BA8"/>
    <w:rsid w:val="00AC4BAB"/>
    <w:rsid w:val="00AC4CAC"/>
    <w:rsid w:val="00AC4EC3"/>
    <w:rsid w:val="00AC4F15"/>
    <w:rsid w:val="00AC50E5"/>
    <w:rsid w:val="00AC5273"/>
    <w:rsid w:val="00AC5430"/>
    <w:rsid w:val="00AC5590"/>
    <w:rsid w:val="00AC5772"/>
    <w:rsid w:val="00AC5950"/>
    <w:rsid w:val="00AC59CE"/>
    <w:rsid w:val="00AC5BCE"/>
    <w:rsid w:val="00AC5ED3"/>
    <w:rsid w:val="00AC600E"/>
    <w:rsid w:val="00AC6592"/>
    <w:rsid w:val="00AC669A"/>
    <w:rsid w:val="00AC6C97"/>
    <w:rsid w:val="00AC6DAF"/>
    <w:rsid w:val="00AC6EF3"/>
    <w:rsid w:val="00AC6F8D"/>
    <w:rsid w:val="00AC74B8"/>
    <w:rsid w:val="00AC7504"/>
    <w:rsid w:val="00AC7569"/>
    <w:rsid w:val="00AC795C"/>
    <w:rsid w:val="00AC79A8"/>
    <w:rsid w:val="00AC7A21"/>
    <w:rsid w:val="00AC7BA7"/>
    <w:rsid w:val="00AC7CF1"/>
    <w:rsid w:val="00AC7D96"/>
    <w:rsid w:val="00AC7DFF"/>
    <w:rsid w:val="00AD011D"/>
    <w:rsid w:val="00AD044A"/>
    <w:rsid w:val="00AD04F0"/>
    <w:rsid w:val="00AD07BA"/>
    <w:rsid w:val="00AD087A"/>
    <w:rsid w:val="00AD088B"/>
    <w:rsid w:val="00AD0B6C"/>
    <w:rsid w:val="00AD122F"/>
    <w:rsid w:val="00AD1426"/>
    <w:rsid w:val="00AD191E"/>
    <w:rsid w:val="00AD1AA8"/>
    <w:rsid w:val="00AD1AD9"/>
    <w:rsid w:val="00AD200E"/>
    <w:rsid w:val="00AD24EE"/>
    <w:rsid w:val="00AD3252"/>
    <w:rsid w:val="00AD3402"/>
    <w:rsid w:val="00AD35B1"/>
    <w:rsid w:val="00AD3601"/>
    <w:rsid w:val="00AD3682"/>
    <w:rsid w:val="00AD3759"/>
    <w:rsid w:val="00AD39F3"/>
    <w:rsid w:val="00AD3E0E"/>
    <w:rsid w:val="00AD3F81"/>
    <w:rsid w:val="00AD426D"/>
    <w:rsid w:val="00AD42AD"/>
    <w:rsid w:val="00AD44E1"/>
    <w:rsid w:val="00AD47E3"/>
    <w:rsid w:val="00AD49AE"/>
    <w:rsid w:val="00AD49BB"/>
    <w:rsid w:val="00AD4ABE"/>
    <w:rsid w:val="00AD4C7C"/>
    <w:rsid w:val="00AD4EDB"/>
    <w:rsid w:val="00AD519D"/>
    <w:rsid w:val="00AD53C8"/>
    <w:rsid w:val="00AD5439"/>
    <w:rsid w:val="00AD545B"/>
    <w:rsid w:val="00AD55BB"/>
    <w:rsid w:val="00AD56C3"/>
    <w:rsid w:val="00AD58FE"/>
    <w:rsid w:val="00AD5AD4"/>
    <w:rsid w:val="00AD5B89"/>
    <w:rsid w:val="00AD5CEA"/>
    <w:rsid w:val="00AD608C"/>
    <w:rsid w:val="00AD6303"/>
    <w:rsid w:val="00AD65C5"/>
    <w:rsid w:val="00AD6972"/>
    <w:rsid w:val="00AD6981"/>
    <w:rsid w:val="00AD6A43"/>
    <w:rsid w:val="00AD6B7E"/>
    <w:rsid w:val="00AD6D86"/>
    <w:rsid w:val="00AD6DC9"/>
    <w:rsid w:val="00AD71F6"/>
    <w:rsid w:val="00AD7324"/>
    <w:rsid w:val="00AD7405"/>
    <w:rsid w:val="00AD76BB"/>
    <w:rsid w:val="00AD779E"/>
    <w:rsid w:val="00AD7B0F"/>
    <w:rsid w:val="00AD7BB6"/>
    <w:rsid w:val="00AD7FB6"/>
    <w:rsid w:val="00AD7FD2"/>
    <w:rsid w:val="00AE0041"/>
    <w:rsid w:val="00AE0496"/>
    <w:rsid w:val="00AE067F"/>
    <w:rsid w:val="00AE06E4"/>
    <w:rsid w:val="00AE0722"/>
    <w:rsid w:val="00AE077D"/>
    <w:rsid w:val="00AE0932"/>
    <w:rsid w:val="00AE0B0A"/>
    <w:rsid w:val="00AE0D09"/>
    <w:rsid w:val="00AE0DB8"/>
    <w:rsid w:val="00AE0EA6"/>
    <w:rsid w:val="00AE106F"/>
    <w:rsid w:val="00AE127C"/>
    <w:rsid w:val="00AE13E3"/>
    <w:rsid w:val="00AE14D5"/>
    <w:rsid w:val="00AE163D"/>
    <w:rsid w:val="00AE17DA"/>
    <w:rsid w:val="00AE1A22"/>
    <w:rsid w:val="00AE1C53"/>
    <w:rsid w:val="00AE1D90"/>
    <w:rsid w:val="00AE1DD1"/>
    <w:rsid w:val="00AE1F53"/>
    <w:rsid w:val="00AE1F7A"/>
    <w:rsid w:val="00AE225E"/>
    <w:rsid w:val="00AE24C2"/>
    <w:rsid w:val="00AE2542"/>
    <w:rsid w:val="00AE281C"/>
    <w:rsid w:val="00AE283C"/>
    <w:rsid w:val="00AE2922"/>
    <w:rsid w:val="00AE292C"/>
    <w:rsid w:val="00AE2A5E"/>
    <w:rsid w:val="00AE2AAA"/>
    <w:rsid w:val="00AE2DDE"/>
    <w:rsid w:val="00AE30EA"/>
    <w:rsid w:val="00AE3351"/>
    <w:rsid w:val="00AE35BC"/>
    <w:rsid w:val="00AE383B"/>
    <w:rsid w:val="00AE3850"/>
    <w:rsid w:val="00AE392D"/>
    <w:rsid w:val="00AE3B1B"/>
    <w:rsid w:val="00AE3D5D"/>
    <w:rsid w:val="00AE3E1E"/>
    <w:rsid w:val="00AE415B"/>
    <w:rsid w:val="00AE4237"/>
    <w:rsid w:val="00AE42E6"/>
    <w:rsid w:val="00AE4602"/>
    <w:rsid w:val="00AE499E"/>
    <w:rsid w:val="00AE4C49"/>
    <w:rsid w:val="00AE4DC6"/>
    <w:rsid w:val="00AE5023"/>
    <w:rsid w:val="00AE5408"/>
    <w:rsid w:val="00AE5714"/>
    <w:rsid w:val="00AE572D"/>
    <w:rsid w:val="00AE5731"/>
    <w:rsid w:val="00AE5B9D"/>
    <w:rsid w:val="00AE5CE0"/>
    <w:rsid w:val="00AE5F02"/>
    <w:rsid w:val="00AE60BA"/>
    <w:rsid w:val="00AE61F7"/>
    <w:rsid w:val="00AE6218"/>
    <w:rsid w:val="00AE62C0"/>
    <w:rsid w:val="00AE63DF"/>
    <w:rsid w:val="00AE689E"/>
    <w:rsid w:val="00AE6A05"/>
    <w:rsid w:val="00AE6DFB"/>
    <w:rsid w:val="00AE6E3F"/>
    <w:rsid w:val="00AE6EEA"/>
    <w:rsid w:val="00AE7056"/>
    <w:rsid w:val="00AE7197"/>
    <w:rsid w:val="00AE748F"/>
    <w:rsid w:val="00AE753D"/>
    <w:rsid w:val="00AE7545"/>
    <w:rsid w:val="00AE7820"/>
    <w:rsid w:val="00AE7D9D"/>
    <w:rsid w:val="00AE7ED2"/>
    <w:rsid w:val="00AE7EDD"/>
    <w:rsid w:val="00AE7F1D"/>
    <w:rsid w:val="00AF01A3"/>
    <w:rsid w:val="00AF0290"/>
    <w:rsid w:val="00AF0609"/>
    <w:rsid w:val="00AF0634"/>
    <w:rsid w:val="00AF0995"/>
    <w:rsid w:val="00AF09A2"/>
    <w:rsid w:val="00AF0CEB"/>
    <w:rsid w:val="00AF0FDE"/>
    <w:rsid w:val="00AF0FFD"/>
    <w:rsid w:val="00AF11C8"/>
    <w:rsid w:val="00AF140D"/>
    <w:rsid w:val="00AF14BC"/>
    <w:rsid w:val="00AF19A3"/>
    <w:rsid w:val="00AF1A60"/>
    <w:rsid w:val="00AF1CAA"/>
    <w:rsid w:val="00AF1F95"/>
    <w:rsid w:val="00AF24F4"/>
    <w:rsid w:val="00AF25B2"/>
    <w:rsid w:val="00AF2699"/>
    <w:rsid w:val="00AF286C"/>
    <w:rsid w:val="00AF2C2D"/>
    <w:rsid w:val="00AF2FCE"/>
    <w:rsid w:val="00AF33FB"/>
    <w:rsid w:val="00AF3519"/>
    <w:rsid w:val="00AF35CA"/>
    <w:rsid w:val="00AF35D0"/>
    <w:rsid w:val="00AF3A58"/>
    <w:rsid w:val="00AF3E1D"/>
    <w:rsid w:val="00AF3F9C"/>
    <w:rsid w:val="00AF3FA9"/>
    <w:rsid w:val="00AF4102"/>
    <w:rsid w:val="00AF4144"/>
    <w:rsid w:val="00AF4334"/>
    <w:rsid w:val="00AF44B9"/>
    <w:rsid w:val="00AF4530"/>
    <w:rsid w:val="00AF49CF"/>
    <w:rsid w:val="00AF4E8F"/>
    <w:rsid w:val="00AF502E"/>
    <w:rsid w:val="00AF5548"/>
    <w:rsid w:val="00AF55E3"/>
    <w:rsid w:val="00AF565F"/>
    <w:rsid w:val="00AF572D"/>
    <w:rsid w:val="00AF575D"/>
    <w:rsid w:val="00AF5793"/>
    <w:rsid w:val="00AF5AFB"/>
    <w:rsid w:val="00AF5C53"/>
    <w:rsid w:val="00AF5CC3"/>
    <w:rsid w:val="00AF5F5F"/>
    <w:rsid w:val="00AF613B"/>
    <w:rsid w:val="00AF61B0"/>
    <w:rsid w:val="00AF61D0"/>
    <w:rsid w:val="00AF6258"/>
    <w:rsid w:val="00AF6410"/>
    <w:rsid w:val="00AF6526"/>
    <w:rsid w:val="00AF6755"/>
    <w:rsid w:val="00AF69F8"/>
    <w:rsid w:val="00AF6D46"/>
    <w:rsid w:val="00AF7149"/>
    <w:rsid w:val="00AF73EB"/>
    <w:rsid w:val="00AF748D"/>
    <w:rsid w:val="00AF75ED"/>
    <w:rsid w:val="00AF7823"/>
    <w:rsid w:val="00AF7A3C"/>
    <w:rsid w:val="00AF7B71"/>
    <w:rsid w:val="00AF7C64"/>
    <w:rsid w:val="00AF7DA2"/>
    <w:rsid w:val="00B00357"/>
    <w:rsid w:val="00B0041D"/>
    <w:rsid w:val="00B00605"/>
    <w:rsid w:val="00B00616"/>
    <w:rsid w:val="00B008E9"/>
    <w:rsid w:val="00B00915"/>
    <w:rsid w:val="00B00960"/>
    <w:rsid w:val="00B00995"/>
    <w:rsid w:val="00B00BBD"/>
    <w:rsid w:val="00B00D7F"/>
    <w:rsid w:val="00B00F5F"/>
    <w:rsid w:val="00B00FC8"/>
    <w:rsid w:val="00B01275"/>
    <w:rsid w:val="00B0133C"/>
    <w:rsid w:val="00B013FD"/>
    <w:rsid w:val="00B01411"/>
    <w:rsid w:val="00B014A8"/>
    <w:rsid w:val="00B014DD"/>
    <w:rsid w:val="00B01716"/>
    <w:rsid w:val="00B019AB"/>
    <w:rsid w:val="00B01A9F"/>
    <w:rsid w:val="00B01BF1"/>
    <w:rsid w:val="00B01D3F"/>
    <w:rsid w:val="00B01F4B"/>
    <w:rsid w:val="00B020AD"/>
    <w:rsid w:val="00B02204"/>
    <w:rsid w:val="00B0220C"/>
    <w:rsid w:val="00B0233C"/>
    <w:rsid w:val="00B02483"/>
    <w:rsid w:val="00B024F0"/>
    <w:rsid w:val="00B029D0"/>
    <w:rsid w:val="00B02A61"/>
    <w:rsid w:val="00B02B9B"/>
    <w:rsid w:val="00B02BE8"/>
    <w:rsid w:val="00B02D2B"/>
    <w:rsid w:val="00B02E40"/>
    <w:rsid w:val="00B03014"/>
    <w:rsid w:val="00B03185"/>
    <w:rsid w:val="00B035D6"/>
    <w:rsid w:val="00B0387A"/>
    <w:rsid w:val="00B03967"/>
    <w:rsid w:val="00B03C58"/>
    <w:rsid w:val="00B03DC7"/>
    <w:rsid w:val="00B03DF3"/>
    <w:rsid w:val="00B03F3A"/>
    <w:rsid w:val="00B04025"/>
    <w:rsid w:val="00B0402B"/>
    <w:rsid w:val="00B04535"/>
    <w:rsid w:val="00B0457E"/>
    <w:rsid w:val="00B045BF"/>
    <w:rsid w:val="00B047C3"/>
    <w:rsid w:val="00B04804"/>
    <w:rsid w:val="00B049E0"/>
    <w:rsid w:val="00B04A1D"/>
    <w:rsid w:val="00B04A4F"/>
    <w:rsid w:val="00B04AFE"/>
    <w:rsid w:val="00B04C8A"/>
    <w:rsid w:val="00B04CB1"/>
    <w:rsid w:val="00B04E3F"/>
    <w:rsid w:val="00B04F06"/>
    <w:rsid w:val="00B04F9A"/>
    <w:rsid w:val="00B050F6"/>
    <w:rsid w:val="00B0515F"/>
    <w:rsid w:val="00B053EB"/>
    <w:rsid w:val="00B05428"/>
    <w:rsid w:val="00B054A3"/>
    <w:rsid w:val="00B05716"/>
    <w:rsid w:val="00B0574E"/>
    <w:rsid w:val="00B05E49"/>
    <w:rsid w:val="00B0623C"/>
    <w:rsid w:val="00B06791"/>
    <w:rsid w:val="00B0695C"/>
    <w:rsid w:val="00B06A28"/>
    <w:rsid w:val="00B06C7C"/>
    <w:rsid w:val="00B0746C"/>
    <w:rsid w:val="00B07AE6"/>
    <w:rsid w:val="00B07D09"/>
    <w:rsid w:val="00B07E09"/>
    <w:rsid w:val="00B07E4D"/>
    <w:rsid w:val="00B07F85"/>
    <w:rsid w:val="00B10242"/>
    <w:rsid w:val="00B1025D"/>
    <w:rsid w:val="00B1043A"/>
    <w:rsid w:val="00B10A5E"/>
    <w:rsid w:val="00B10B56"/>
    <w:rsid w:val="00B10C47"/>
    <w:rsid w:val="00B10C9F"/>
    <w:rsid w:val="00B10D92"/>
    <w:rsid w:val="00B10F87"/>
    <w:rsid w:val="00B11378"/>
    <w:rsid w:val="00B11398"/>
    <w:rsid w:val="00B11490"/>
    <w:rsid w:val="00B11539"/>
    <w:rsid w:val="00B11618"/>
    <w:rsid w:val="00B1183A"/>
    <w:rsid w:val="00B11916"/>
    <w:rsid w:val="00B119B1"/>
    <w:rsid w:val="00B11B74"/>
    <w:rsid w:val="00B11BB3"/>
    <w:rsid w:val="00B11C52"/>
    <w:rsid w:val="00B12306"/>
    <w:rsid w:val="00B124CF"/>
    <w:rsid w:val="00B125A6"/>
    <w:rsid w:val="00B125D0"/>
    <w:rsid w:val="00B12600"/>
    <w:rsid w:val="00B126DA"/>
    <w:rsid w:val="00B12726"/>
    <w:rsid w:val="00B129D6"/>
    <w:rsid w:val="00B12B8E"/>
    <w:rsid w:val="00B12E70"/>
    <w:rsid w:val="00B1300D"/>
    <w:rsid w:val="00B13088"/>
    <w:rsid w:val="00B13517"/>
    <w:rsid w:val="00B1368B"/>
    <w:rsid w:val="00B1381F"/>
    <w:rsid w:val="00B13B63"/>
    <w:rsid w:val="00B13B77"/>
    <w:rsid w:val="00B13D1E"/>
    <w:rsid w:val="00B13FBD"/>
    <w:rsid w:val="00B140AF"/>
    <w:rsid w:val="00B14162"/>
    <w:rsid w:val="00B1438E"/>
    <w:rsid w:val="00B14454"/>
    <w:rsid w:val="00B144BA"/>
    <w:rsid w:val="00B14601"/>
    <w:rsid w:val="00B1461C"/>
    <w:rsid w:val="00B148FA"/>
    <w:rsid w:val="00B15000"/>
    <w:rsid w:val="00B1531D"/>
    <w:rsid w:val="00B15938"/>
    <w:rsid w:val="00B15999"/>
    <w:rsid w:val="00B159AE"/>
    <w:rsid w:val="00B15DB5"/>
    <w:rsid w:val="00B16376"/>
    <w:rsid w:val="00B16416"/>
    <w:rsid w:val="00B1642F"/>
    <w:rsid w:val="00B16E27"/>
    <w:rsid w:val="00B16FCA"/>
    <w:rsid w:val="00B17728"/>
    <w:rsid w:val="00B17744"/>
    <w:rsid w:val="00B177E5"/>
    <w:rsid w:val="00B1797B"/>
    <w:rsid w:val="00B17A44"/>
    <w:rsid w:val="00B17B20"/>
    <w:rsid w:val="00B17BF9"/>
    <w:rsid w:val="00B17DED"/>
    <w:rsid w:val="00B17F2E"/>
    <w:rsid w:val="00B200A1"/>
    <w:rsid w:val="00B20197"/>
    <w:rsid w:val="00B20260"/>
    <w:rsid w:val="00B202A8"/>
    <w:rsid w:val="00B20310"/>
    <w:rsid w:val="00B204A6"/>
    <w:rsid w:val="00B2060B"/>
    <w:rsid w:val="00B2067A"/>
    <w:rsid w:val="00B20837"/>
    <w:rsid w:val="00B209E4"/>
    <w:rsid w:val="00B20AA7"/>
    <w:rsid w:val="00B21037"/>
    <w:rsid w:val="00B2110B"/>
    <w:rsid w:val="00B21141"/>
    <w:rsid w:val="00B21241"/>
    <w:rsid w:val="00B21317"/>
    <w:rsid w:val="00B21723"/>
    <w:rsid w:val="00B21AC0"/>
    <w:rsid w:val="00B21ADF"/>
    <w:rsid w:val="00B21C0D"/>
    <w:rsid w:val="00B21E18"/>
    <w:rsid w:val="00B21E68"/>
    <w:rsid w:val="00B226CB"/>
    <w:rsid w:val="00B22A27"/>
    <w:rsid w:val="00B23000"/>
    <w:rsid w:val="00B23391"/>
    <w:rsid w:val="00B233E6"/>
    <w:rsid w:val="00B233ED"/>
    <w:rsid w:val="00B2353C"/>
    <w:rsid w:val="00B23684"/>
    <w:rsid w:val="00B23713"/>
    <w:rsid w:val="00B23836"/>
    <w:rsid w:val="00B2391E"/>
    <w:rsid w:val="00B2392A"/>
    <w:rsid w:val="00B23A30"/>
    <w:rsid w:val="00B23D75"/>
    <w:rsid w:val="00B23E32"/>
    <w:rsid w:val="00B2417D"/>
    <w:rsid w:val="00B24616"/>
    <w:rsid w:val="00B246E2"/>
    <w:rsid w:val="00B248A1"/>
    <w:rsid w:val="00B24B9E"/>
    <w:rsid w:val="00B24E17"/>
    <w:rsid w:val="00B25064"/>
    <w:rsid w:val="00B250DA"/>
    <w:rsid w:val="00B252FE"/>
    <w:rsid w:val="00B255DA"/>
    <w:rsid w:val="00B2568E"/>
    <w:rsid w:val="00B257C4"/>
    <w:rsid w:val="00B2585C"/>
    <w:rsid w:val="00B258DC"/>
    <w:rsid w:val="00B25941"/>
    <w:rsid w:val="00B25CFD"/>
    <w:rsid w:val="00B25D8D"/>
    <w:rsid w:val="00B25E56"/>
    <w:rsid w:val="00B25F8A"/>
    <w:rsid w:val="00B26156"/>
    <w:rsid w:val="00B263B9"/>
    <w:rsid w:val="00B264AF"/>
    <w:rsid w:val="00B26561"/>
    <w:rsid w:val="00B26900"/>
    <w:rsid w:val="00B26B18"/>
    <w:rsid w:val="00B26CFA"/>
    <w:rsid w:val="00B26ECE"/>
    <w:rsid w:val="00B27078"/>
    <w:rsid w:val="00B271A5"/>
    <w:rsid w:val="00B274AC"/>
    <w:rsid w:val="00B275CB"/>
    <w:rsid w:val="00B275D5"/>
    <w:rsid w:val="00B275DE"/>
    <w:rsid w:val="00B275EC"/>
    <w:rsid w:val="00B2763B"/>
    <w:rsid w:val="00B27B8E"/>
    <w:rsid w:val="00B27BA9"/>
    <w:rsid w:val="00B27E32"/>
    <w:rsid w:val="00B30018"/>
    <w:rsid w:val="00B30374"/>
    <w:rsid w:val="00B3077C"/>
    <w:rsid w:val="00B30925"/>
    <w:rsid w:val="00B3098F"/>
    <w:rsid w:val="00B30BBB"/>
    <w:rsid w:val="00B31129"/>
    <w:rsid w:val="00B31139"/>
    <w:rsid w:val="00B31329"/>
    <w:rsid w:val="00B31424"/>
    <w:rsid w:val="00B314FB"/>
    <w:rsid w:val="00B31556"/>
    <w:rsid w:val="00B315C6"/>
    <w:rsid w:val="00B31884"/>
    <w:rsid w:val="00B31C51"/>
    <w:rsid w:val="00B31D36"/>
    <w:rsid w:val="00B32237"/>
    <w:rsid w:val="00B32268"/>
    <w:rsid w:val="00B324B8"/>
    <w:rsid w:val="00B32640"/>
    <w:rsid w:val="00B3270A"/>
    <w:rsid w:val="00B32A21"/>
    <w:rsid w:val="00B32E7E"/>
    <w:rsid w:val="00B32EF1"/>
    <w:rsid w:val="00B32F70"/>
    <w:rsid w:val="00B32FFA"/>
    <w:rsid w:val="00B33084"/>
    <w:rsid w:val="00B33101"/>
    <w:rsid w:val="00B3314B"/>
    <w:rsid w:val="00B333DA"/>
    <w:rsid w:val="00B33676"/>
    <w:rsid w:val="00B337E3"/>
    <w:rsid w:val="00B338AB"/>
    <w:rsid w:val="00B338C3"/>
    <w:rsid w:val="00B33A3D"/>
    <w:rsid w:val="00B33BD3"/>
    <w:rsid w:val="00B33C27"/>
    <w:rsid w:val="00B33EF0"/>
    <w:rsid w:val="00B33EF6"/>
    <w:rsid w:val="00B33FF2"/>
    <w:rsid w:val="00B34012"/>
    <w:rsid w:val="00B341B9"/>
    <w:rsid w:val="00B3421F"/>
    <w:rsid w:val="00B34397"/>
    <w:rsid w:val="00B34489"/>
    <w:rsid w:val="00B344AC"/>
    <w:rsid w:val="00B344B3"/>
    <w:rsid w:val="00B346CF"/>
    <w:rsid w:val="00B347C5"/>
    <w:rsid w:val="00B347C6"/>
    <w:rsid w:val="00B3482F"/>
    <w:rsid w:val="00B34838"/>
    <w:rsid w:val="00B34905"/>
    <w:rsid w:val="00B34964"/>
    <w:rsid w:val="00B34B9B"/>
    <w:rsid w:val="00B34BA4"/>
    <w:rsid w:val="00B34BA6"/>
    <w:rsid w:val="00B34E11"/>
    <w:rsid w:val="00B34FCE"/>
    <w:rsid w:val="00B3531A"/>
    <w:rsid w:val="00B355A0"/>
    <w:rsid w:val="00B355F7"/>
    <w:rsid w:val="00B3568E"/>
    <w:rsid w:val="00B35719"/>
    <w:rsid w:val="00B358DB"/>
    <w:rsid w:val="00B359E1"/>
    <w:rsid w:val="00B35A65"/>
    <w:rsid w:val="00B35AE7"/>
    <w:rsid w:val="00B35C14"/>
    <w:rsid w:val="00B35DFF"/>
    <w:rsid w:val="00B35FB2"/>
    <w:rsid w:val="00B361A7"/>
    <w:rsid w:val="00B36355"/>
    <w:rsid w:val="00B365D4"/>
    <w:rsid w:val="00B36710"/>
    <w:rsid w:val="00B36743"/>
    <w:rsid w:val="00B367CE"/>
    <w:rsid w:val="00B36832"/>
    <w:rsid w:val="00B36925"/>
    <w:rsid w:val="00B36931"/>
    <w:rsid w:val="00B36939"/>
    <w:rsid w:val="00B36CDC"/>
    <w:rsid w:val="00B36DE3"/>
    <w:rsid w:val="00B36EAC"/>
    <w:rsid w:val="00B36FC2"/>
    <w:rsid w:val="00B370FE"/>
    <w:rsid w:val="00B37397"/>
    <w:rsid w:val="00B376D6"/>
    <w:rsid w:val="00B37A5C"/>
    <w:rsid w:val="00B37A67"/>
    <w:rsid w:val="00B37B87"/>
    <w:rsid w:val="00B37D05"/>
    <w:rsid w:val="00B37E6C"/>
    <w:rsid w:val="00B37F42"/>
    <w:rsid w:val="00B404E5"/>
    <w:rsid w:val="00B4055F"/>
    <w:rsid w:val="00B40576"/>
    <w:rsid w:val="00B4060D"/>
    <w:rsid w:val="00B406EF"/>
    <w:rsid w:val="00B40868"/>
    <w:rsid w:val="00B408B4"/>
    <w:rsid w:val="00B408DA"/>
    <w:rsid w:val="00B4094F"/>
    <w:rsid w:val="00B409A7"/>
    <w:rsid w:val="00B40B86"/>
    <w:rsid w:val="00B40BAF"/>
    <w:rsid w:val="00B40DBA"/>
    <w:rsid w:val="00B40DE7"/>
    <w:rsid w:val="00B4110A"/>
    <w:rsid w:val="00B41276"/>
    <w:rsid w:val="00B41279"/>
    <w:rsid w:val="00B4138A"/>
    <w:rsid w:val="00B414C0"/>
    <w:rsid w:val="00B417C9"/>
    <w:rsid w:val="00B419D7"/>
    <w:rsid w:val="00B41BF6"/>
    <w:rsid w:val="00B41FA3"/>
    <w:rsid w:val="00B4200D"/>
    <w:rsid w:val="00B420AC"/>
    <w:rsid w:val="00B42514"/>
    <w:rsid w:val="00B4263B"/>
    <w:rsid w:val="00B42813"/>
    <w:rsid w:val="00B428AA"/>
    <w:rsid w:val="00B428D4"/>
    <w:rsid w:val="00B42974"/>
    <w:rsid w:val="00B429F7"/>
    <w:rsid w:val="00B42FDA"/>
    <w:rsid w:val="00B43027"/>
    <w:rsid w:val="00B43100"/>
    <w:rsid w:val="00B4316B"/>
    <w:rsid w:val="00B4327A"/>
    <w:rsid w:val="00B43432"/>
    <w:rsid w:val="00B437E2"/>
    <w:rsid w:val="00B43939"/>
    <w:rsid w:val="00B43C0C"/>
    <w:rsid w:val="00B43D72"/>
    <w:rsid w:val="00B43DBE"/>
    <w:rsid w:val="00B441CD"/>
    <w:rsid w:val="00B441D7"/>
    <w:rsid w:val="00B441FC"/>
    <w:rsid w:val="00B44313"/>
    <w:rsid w:val="00B44353"/>
    <w:rsid w:val="00B445B5"/>
    <w:rsid w:val="00B4473D"/>
    <w:rsid w:val="00B44950"/>
    <w:rsid w:val="00B44AD8"/>
    <w:rsid w:val="00B45031"/>
    <w:rsid w:val="00B45043"/>
    <w:rsid w:val="00B45065"/>
    <w:rsid w:val="00B454D2"/>
    <w:rsid w:val="00B4557C"/>
    <w:rsid w:val="00B455F6"/>
    <w:rsid w:val="00B45646"/>
    <w:rsid w:val="00B45730"/>
    <w:rsid w:val="00B457CC"/>
    <w:rsid w:val="00B45973"/>
    <w:rsid w:val="00B459E5"/>
    <w:rsid w:val="00B45E62"/>
    <w:rsid w:val="00B4606F"/>
    <w:rsid w:val="00B463A5"/>
    <w:rsid w:val="00B46691"/>
    <w:rsid w:val="00B466EC"/>
    <w:rsid w:val="00B46911"/>
    <w:rsid w:val="00B46A24"/>
    <w:rsid w:val="00B46C95"/>
    <w:rsid w:val="00B46DC9"/>
    <w:rsid w:val="00B47194"/>
    <w:rsid w:val="00B4739D"/>
    <w:rsid w:val="00B474A9"/>
    <w:rsid w:val="00B47699"/>
    <w:rsid w:val="00B47840"/>
    <w:rsid w:val="00B47952"/>
    <w:rsid w:val="00B47DE6"/>
    <w:rsid w:val="00B47E6C"/>
    <w:rsid w:val="00B50064"/>
    <w:rsid w:val="00B50839"/>
    <w:rsid w:val="00B50E18"/>
    <w:rsid w:val="00B50F4C"/>
    <w:rsid w:val="00B50FD4"/>
    <w:rsid w:val="00B510CD"/>
    <w:rsid w:val="00B51162"/>
    <w:rsid w:val="00B5126B"/>
    <w:rsid w:val="00B512A4"/>
    <w:rsid w:val="00B51302"/>
    <w:rsid w:val="00B513E0"/>
    <w:rsid w:val="00B5156B"/>
    <w:rsid w:val="00B51863"/>
    <w:rsid w:val="00B51DE7"/>
    <w:rsid w:val="00B51E0D"/>
    <w:rsid w:val="00B520B0"/>
    <w:rsid w:val="00B52407"/>
    <w:rsid w:val="00B525DA"/>
    <w:rsid w:val="00B52739"/>
    <w:rsid w:val="00B527AF"/>
    <w:rsid w:val="00B52916"/>
    <w:rsid w:val="00B52B7D"/>
    <w:rsid w:val="00B52DDB"/>
    <w:rsid w:val="00B52E51"/>
    <w:rsid w:val="00B52E7B"/>
    <w:rsid w:val="00B52F98"/>
    <w:rsid w:val="00B531C1"/>
    <w:rsid w:val="00B531E6"/>
    <w:rsid w:val="00B53459"/>
    <w:rsid w:val="00B534C0"/>
    <w:rsid w:val="00B53979"/>
    <w:rsid w:val="00B53ABB"/>
    <w:rsid w:val="00B53B4E"/>
    <w:rsid w:val="00B53F9A"/>
    <w:rsid w:val="00B540CC"/>
    <w:rsid w:val="00B540D0"/>
    <w:rsid w:val="00B5430F"/>
    <w:rsid w:val="00B5443B"/>
    <w:rsid w:val="00B548D9"/>
    <w:rsid w:val="00B5496A"/>
    <w:rsid w:val="00B54B37"/>
    <w:rsid w:val="00B54C04"/>
    <w:rsid w:val="00B54C22"/>
    <w:rsid w:val="00B54CEC"/>
    <w:rsid w:val="00B54D4C"/>
    <w:rsid w:val="00B54EB4"/>
    <w:rsid w:val="00B55643"/>
    <w:rsid w:val="00B557EF"/>
    <w:rsid w:val="00B559D5"/>
    <w:rsid w:val="00B55B6E"/>
    <w:rsid w:val="00B55C21"/>
    <w:rsid w:val="00B55C8C"/>
    <w:rsid w:val="00B55F48"/>
    <w:rsid w:val="00B56338"/>
    <w:rsid w:val="00B5638A"/>
    <w:rsid w:val="00B563AE"/>
    <w:rsid w:val="00B567A5"/>
    <w:rsid w:val="00B5683E"/>
    <w:rsid w:val="00B572E7"/>
    <w:rsid w:val="00B5740E"/>
    <w:rsid w:val="00B57820"/>
    <w:rsid w:val="00B57B48"/>
    <w:rsid w:val="00B57C3A"/>
    <w:rsid w:val="00B57C8F"/>
    <w:rsid w:val="00B57ECA"/>
    <w:rsid w:val="00B602F2"/>
    <w:rsid w:val="00B60379"/>
    <w:rsid w:val="00B603C0"/>
    <w:rsid w:val="00B6051C"/>
    <w:rsid w:val="00B6076B"/>
    <w:rsid w:val="00B609BE"/>
    <w:rsid w:val="00B609C2"/>
    <w:rsid w:val="00B609D5"/>
    <w:rsid w:val="00B60A54"/>
    <w:rsid w:val="00B60A6F"/>
    <w:rsid w:val="00B60E53"/>
    <w:rsid w:val="00B60F2E"/>
    <w:rsid w:val="00B6143E"/>
    <w:rsid w:val="00B614BD"/>
    <w:rsid w:val="00B6184C"/>
    <w:rsid w:val="00B61CC2"/>
    <w:rsid w:val="00B61D59"/>
    <w:rsid w:val="00B61DCD"/>
    <w:rsid w:val="00B61F42"/>
    <w:rsid w:val="00B61FBD"/>
    <w:rsid w:val="00B62210"/>
    <w:rsid w:val="00B62357"/>
    <w:rsid w:val="00B6249F"/>
    <w:rsid w:val="00B625C0"/>
    <w:rsid w:val="00B625EF"/>
    <w:rsid w:val="00B6296C"/>
    <w:rsid w:val="00B62A0C"/>
    <w:rsid w:val="00B62BC0"/>
    <w:rsid w:val="00B62DED"/>
    <w:rsid w:val="00B62E3E"/>
    <w:rsid w:val="00B62FFC"/>
    <w:rsid w:val="00B63051"/>
    <w:rsid w:val="00B6320E"/>
    <w:rsid w:val="00B6358E"/>
    <w:rsid w:val="00B635CD"/>
    <w:rsid w:val="00B63601"/>
    <w:rsid w:val="00B63657"/>
    <w:rsid w:val="00B63818"/>
    <w:rsid w:val="00B6382F"/>
    <w:rsid w:val="00B63983"/>
    <w:rsid w:val="00B63A2B"/>
    <w:rsid w:val="00B63A93"/>
    <w:rsid w:val="00B63A9F"/>
    <w:rsid w:val="00B63E4F"/>
    <w:rsid w:val="00B64018"/>
    <w:rsid w:val="00B642E0"/>
    <w:rsid w:val="00B643B3"/>
    <w:rsid w:val="00B64515"/>
    <w:rsid w:val="00B64600"/>
    <w:rsid w:val="00B64682"/>
    <w:rsid w:val="00B648BB"/>
    <w:rsid w:val="00B6491D"/>
    <w:rsid w:val="00B64C00"/>
    <w:rsid w:val="00B64EEE"/>
    <w:rsid w:val="00B64F3F"/>
    <w:rsid w:val="00B64F74"/>
    <w:rsid w:val="00B64FCB"/>
    <w:rsid w:val="00B65679"/>
    <w:rsid w:val="00B65931"/>
    <w:rsid w:val="00B65F0A"/>
    <w:rsid w:val="00B66157"/>
    <w:rsid w:val="00B661F2"/>
    <w:rsid w:val="00B66342"/>
    <w:rsid w:val="00B6637B"/>
    <w:rsid w:val="00B663C0"/>
    <w:rsid w:val="00B66484"/>
    <w:rsid w:val="00B6649F"/>
    <w:rsid w:val="00B66837"/>
    <w:rsid w:val="00B66C6E"/>
    <w:rsid w:val="00B67262"/>
    <w:rsid w:val="00B67298"/>
    <w:rsid w:val="00B67506"/>
    <w:rsid w:val="00B6759A"/>
    <w:rsid w:val="00B677CC"/>
    <w:rsid w:val="00B6797D"/>
    <w:rsid w:val="00B67A5A"/>
    <w:rsid w:val="00B67A92"/>
    <w:rsid w:val="00B67C36"/>
    <w:rsid w:val="00B67D2B"/>
    <w:rsid w:val="00B67E51"/>
    <w:rsid w:val="00B67E53"/>
    <w:rsid w:val="00B67E5D"/>
    <w:rsid w:val="00B67E8E"/>
    <w:rsid w:val="00B70047"/>
    <w:rsid w:val="00B703C2"/>
    <w:rsid w:val="00B708DF"/>
    <w:rsid w:val="00B70934"/>
    <w:rsid w:val="00B70C3D"/>
    <w:rsid w:val="00B70FBE"/>
    <w:rsid w:val="00B7106B"/>
    <w:rsid w:val="00B7148B"/>
    <w:rsid w:val="00B7175D"/>
    <w:rsid w:val="00B71792"/>
    <w:rsid w:val="00B718C7"/>
    <w:rsid w:val="00B71D30"/>
    <w:rsid w:val="00B71E71"/>
    <w:rsid w:val="00B720D7"/>
    <w:rsid w:val="00B7218E"/>
    <w:rsid w:val="00B7279C"/>
    <w:rsid w:val="00B72973"/>
    <w:rsid w:val="00B72B3E"/>
    <w:rsid w:val="00B72B92"/>
    <w:rsid w:val="00B72C63"/>
    <w:rsid w:val="00B7317E"/>
    <w:rsid w:val="00B731F3"/>
    <w:rsid w:val="00B734C0"/>
    <w:rsid w:val="00B73607"/>
    <w:rsid w:val="00B73898"/>
    <w:rsid w:val="00B739AB"/>
    <w:rsid w:val="00B73C7F"/>
    <w:rsid w:val="00B74110"/>
    <w:rsid w:val="00B74181"/>
    <w:rsid w:val="00B7451B"/>
    <w:rsid w:val="00B74701"/>
    <w:rsid w:val="00B748B7"/>
    <w:rsid w:val="00B74BA9"/>
    <w:rsid w:val="00B74D4A"/>
    <w:rsid w:val="00B7510F"/>
    <w:rsid w:val="00B75153"/>
    <w:rsid w:val="00B752F6"/>
    <w:rsid w:val="00B75402"/>
    <w:rsid w:val="00B7543B"/>
    <w:rsid w:val="00B75748"/>
    <w:rsid w:val="00B7593F"/>
    <w:rsid w:val="00B75B2C"/>
    <w:rsid w:val="00B75BC0"/>
    <w:rsid w:val="00B7604A"/>
    <w:rsid w:val="00B760D6"/>
    <w:rsid w:val="00B7620D"/>
    <w:rsid w:val="00B76356"/>
    <w:rsid w:val="00B7647A"/>
    <w:rsid w:val="00B7648F"/>
    <w:rsid w:val="00B7672F"/>
    <w:rsid w:val="00B7687C"/>
    <w:rsid w:val="00B76FD3"/>
    <w:rsid w:val="00B7709D"/>
    <w:rsid w:val="00B771BF"/>
    <w:rsid w:val="00B77205"/>
    <w:rsid w:val="00B7775F"/>
    <w:rsid w:val="00B7783C"/>
    <w:rsid w:val="00B778E4"/>
    <w:rsid w:val="00B7797F"/>
    <w:rsid w:val="00B77A3D"/>
    <w:rsid w:val="00B77B25"/>
    <w:rsid w:val="00B77B8B"/>
    <w:rsid w:val="00B77C14"/>
    <w:rsid w:val="00B77CAD"/>
    <w:rsid w:val="00B77E47"/>
    <w:rsid w:val="00B77FA9"/>
    <w:rsid w:val="00B7E870"/>
    <w:rsid w:val="00B800ED"/>
    <w:rsid w:val="00B80147"/>
    <w:rsid w:val="00B8033C"/>
    <w:rsid w:val="00B80488"/>
    <w:rsid w:val="00B809F9"/>
    <w:rsid w:val="00B80A9C"/>
    <w:rsid w:val="00B80BAD"/>
    <w:rsid w:val="00B80C5E"/>
    <w:rsid w:val="00B80C91"/>
    <w:rsid w:val="00B80F17"/>
    <w:rsid w:val="00B8112A"/>
    <w:rsid w:val="00B819C8"/>
    <w:rsid w:val="00B821F5"/>
    <w:rsid w:val="00B82537"/>
    <w:rsid w:val="00B82582"/>
    <w:rsid w:val="00B82756"/>
    <w:rsid w:val="00B827C1"/>
    <w:rsid w:val="00B82823"/>
    <w:rsid w:val="00B8282F"/>
    <w:rsid w:val="00B828EB"/>
    <w:rsid w:val="00B82C6A"/>
    <w:rsid w:val="00B82CFF"/>
    <w:rsid w:val="00B82D58"/>
    <w:rsid w:val="00B82E5A"/>
    <w:rsid w:val="00B82F1E"/>
    <w:rsid w:val="00B82F2C"/>
    <w:rsid w:val="00B8304B"/>
    <w:rsid w:val="00B83123"/>
    <w:rsid w:val="00B8322C"/>
    <w:rsid w:val="00B83335"/>
    <w:rsid w:val="00B83383"/>
    <w:rsid w:val="00B836AE"/>
    <w:rsid w:val="00B83DD1"/>
    <w:rsid w:val="00B83F01"/>
    <w:rsid w:val="00B83F29"/>
    <w:rsid w:val="00B83FC7"/>
    <w:rsid w:val="00B84485"/>
    <w:rsid w:val="00B8450F"/>
    <w:rsid w:val="00B84792"/>
    <w:rsid w:val="00B847D6"/>
    <w:rsid w:val="00B85166"/>
    <w:rsid w:val="00B8523E"/>
    <w:rsid w:val="00B85302"/>
    <w:rsid w:val="00B85343"/>
    <w:rsid w:val="00B85475"/>
    <w:rsid w:val="00B85645"/>
    <w:rsid w:val="00B856FF"/>
    <w:rsid w:val="00B85C8B"/>
    <w:rsid w:val="00B860CA"/>
    <w:rsid w:val="00B861B4"/>
    <w:rsid w:val="00B86327"/>
    <w:rsid w:val="00B86367"/>
    <w:rsid w:val="00B86A03"/>
    <w:rsid w:val="00B86B34"/>
    <w:rsid w:val="00B86BDD"/>
    <w:rsid w:val="00B86CD5"/>
    <w:rsid w:val="00B86E41"/>
    <w:rsid w:val="00B86E44"/>
    <w:rsid w:val="00B870EE"/>
    <w:rsid w:val="00B87308"/>
    <w:rsid w:val="00B873CD"/>
    <w:rsid w:val="00B87431"/>
    <w:rsid w:val="00B8745D"/>
    <w:rsid w:val="00B8749B"/>
    <w:rsid w:val="00B876EA"/>
    <w:rsid w:val="00B8783B"/>
    <w:rsid w:val="00B8799A"/>
    <w:rsid w:val="00B87B95"/>
    <w:rsid w:val="00B87BD8"/>
    <w:rsid w:val="00B87ECE"/>
    <w:rsid w:val="00B90035"/>
    <w:rsid w:val="00B9076D"/>
    <w:rsid w:val="00B907C8"/>
    <w:rsid w:val="00B9090C"/>
    <w:rsid w:val="00B90A72"/>
    <w:rsid w:val="00B90DD2"/>
    <w:rsid w:val="00B9117E"/>
    <w:rsid w:val="00B912D3"/>
    <w:rsid w:val="00B91514"/>
    <w:rsid w:val="00B91601"/>
    <w:rsid w:val="00B91618"/>
    <w:rsid w:val="00B917AA"/>
    <w:rsid w:val="00B91C26"/>
    <w:rsid w:val="00B91C9D"/>
    <w:rsid w:val="00B91DAF"/>
    <w:rsid w:val="00B92448"/>
    <w:rsid w:val="00B9250C"/>
    <w:rsid w:val="00B92890"/>
    <w:rsid w:val="00B92CC8"/>
    <w:rsid w:val="00B92EB6"/>
    <w:rsid w:val="00B93207"/>
    <w:rsid w:val="00B9376B"/>
    <w:rsid w:val="00B937F7"/>
    <w:rsid w:val="00B93845"/>
    <w:rsid w:val="00B93AEB"/>
    <w:rsid w:val="00B93BCE"/>
    <w:rsid w:val="00B93BF9"/>
    <w:rsid w:val="00B93C3C"/>
    <w:rsid w:val="00B93FF8"/>
    <w:rsid w:val="00B941C2"/>
    <w:rsid w:val="00B94293"/>
    <w:rsid w:val="00B9439F"/>
    <w:rsid w:val="00B94453"/>
    <w:rsid w:val="00B94546"/>
    <w:rsid w:val="00B94633"/>
    <w:rsid w:val="00B94695"/>
    <w:rsid w:val="00B94993"/>
    <w:rsid w:val="00B94C4C"/>
    <w:rsid w:val="00B94D92"/>
    <w:rsid w:val="00B94F47"/>
    <w:rsid w:val="00B94FA8"/>
    <w:rsid w:val="00B94FFE"/>
    <w:rsid w:val="00B95166"/>
    <w:rsid w:val="00B9529D"/>
    <w:rsid w:val="00B952CC"/>
    <w:rsid w:val="00B95376"/>
    <w:rsid w:val="00B9571E"/>
    <w:rsid w:val="00B9596A"/>
    <w:rsid w:val="00B95AF9"/>
    <w:rsid w:val="00B964EB"/>
    <w:rsid w:val="00B96706"/>
    <w:rsid w:val="00B96AAF"/>
    <w:rsid w:val="00B96B92"/>
    <w:rsid w:val="00B96C3C"/>
    <w:rsid w:val="00B96DC9"/>
    <w:rsid w:val="00B97034"/>
    <w:rsid w:val="00B9717C"/>
    <w:rsid w:val="00B9778F"/>
    <w:rsid w:val="00B97ABE"/>
    <w:rsid w:val="00B97B68"/>
    <w:rsid w:val="00B97C09"/>
    <w:rsid w:val="00B97C7A"/>
    <w:rsid w:val="00B97DFD"/>
    <w:rsid w:val="00B97E61"/>
    <w:rsid w:val="00B97EE1"/>
    <w:rsid w:val="00BA00C1"/>
    <w:rsid w:val="00BA0323"/>
    <w:rsid w:val="00BA050A"/>
    <w:rsid w:val="00BA0511"/>
    <w:rsid w:val="00BA0538"/>
    <w:rsid w:val="00BA0598"/>
    <w:rsid w:val="00BA0622"/>
    <w:rsid w:val="00BA070E"/>
    <w:rsid w:val="00BA0734"/>
    <w:rsid w:val="00BA095A"/>
    <w:rsid w:val="00BA0B82"/>
    <w:rsid w:val="00BA0C4D"/>
    <w:rsid w:val="00BA0CAC"/>
    <w:rsid w:val="00BA0D97"/>
    <w:rsid w:val="00BA1237"/>
    <w:rsid w:val="00BA12A9"/>
    <w:rsid w:val="00BA13FD"/>
    <w:rsid w:val="00BA14C0"/>
    <w:rsid w:val="00BA1709"/>
    <w:rsid w:val="00BA1A80"/>
    <w:rsid w:val="00BA1AE1"/>
    <w:rsid w:val="00BA1BEF"/>
    <w:rsid w:val="00BA1D68"/>
    <w:rsid w:val="00BA1D6F"/>
    <w:rsid w:val="00BA1E31"/>
    <w:rsid w:val="00BA1EBB"/>
    <w:rsid w:val="00BA1F34"/>
    <w:rsid w:val="00BA2351"/>
    <w:rsid w:val="00BA262E"/>
    <w:rsid w:val="00BA2A72"/>
    <w:rsid w:val="00BA2CA9"/>
    <w:rsid w:val="00BA2EA2"/>
    <w:rsid w:val="00BA2EB3"/>
    <w:rsid w:val="00BA32EB"/>
    <w:rsid w:val="00BA33C9"/>
    <w:rsid w:val="00BA3BEF"/>
    <w:rsid w:val="00BA40CE"/>
    <w:rsid w:val="00BA434A"/>
    <w:rsid w:val="00BA44F8"/>
    <w:rsid w:val="00BA46F9"/>
    <w:rsid w:val="00BA4739"/>
    <w:rsid w:val="00BA4893"/>
    <w:rsid w:val="00BA4BC9"/>
    <w:rsid w:val="00BA4D28"/>
    <w:rsid w:val="00BA4D53"/>
    <w:rsid w:val="00BA4EAB"/>
    <w:rsid w:val="00BA513B"/>
    <w:rsid w:val="00BA539D"/>
    <w:rsid w:val="00BA55AD"/>
    <w:rsid w:val="00BA5885"/>
    <w:rsid w:val="00BA5B6C"/>
    <w:rsid w:val="00BA5F92"/>
    <w:rsid w:val="00BA6904"/>
    <w:rsid w:val="00BA6AF3"/>
    <w:rsid w:val="00BA6B12"/>
    <w:rsid w:val="00BA6B3B"/>
    <w:rsid w:val="00BA6E10"/>
    <w:rsid w:val="00BA705D"/>
    <w:rsid w:val="00BA7078"/>
    <w:rsid w:val="00BA726C"/>
    <w:rsid w:val="00BA72C6"/>
    <w:rsid w:val="00BA764D"/>
    <w:rsid w:val="00BA784B"/>
    <w:rsid w:val="00BA79F0"/>
    <w:rsid w:val="00BA7B68"/>
    <w:rsid w:val="00BA7D00"/>
    <w:rsid w:val="00BB0116"/>
    <w:rsid w:val="00BB027F"/>
    <w:rsid w:val="00BB0437"/>
    <w:rsid w:val="00BB0480"/>
    <w:rsid w:val="00BB0570"/>
    <w:rsid w:val="00BB0A6E"/>
    <w:rsid w:val="00BB0BA5"/>
    <w:rsid w:val="00BB0BB8"/>
    <w:rsid w:val="00BB0CED"/>
    <w:rsid w:val="00BB0EA7"/>
    <w:rsid w:val="00BB11CE"/>
    <w:rsid w:val="00BB194A"/>
    <w:rsid w:val="00BB1A6A"/>
    <w:rsid w:val="00BB1BE6"/>
    <w:rsid w:val="00BB1DC4"/>
    <w:rsid w:val="00BB1E32"/>
    <w:rsid w:val="00BB1E47"/>
    <w:rsid w:val="00BB21AF"/>
    <w:rsid w:val="00BB21E3"/>
    <w:rsid w:val="00BB22A5"/>
    <w:rsid w:val="00BB234F"/>
    <w:rsid w:val="00BB2387"/>
    <w:rsid w:val="00BB2436"/>
    <w:rsid w:val="00BB26C1"/>
    <w:rsid w:val="00BB29B9"/>
    <w:rsid w:val="00BB2CC4"/>
    <w:rsid w:val="00BB30BD"/>
    <w:rsid w:val="00BB33DF"/>
    <w:rsid w:val="00BB34EE"/>
    <w:rsid w:val="00BB36E9"/>
    <w:rsid w:val="00BB376A"/>
    <w:rsid w:val="00BB37AC"/>
    <w:rsid w:val="00BB3B5C"/>
    <w:rsid w:val="00BB3B8E"/>
    <w:rsid w:val="00BB3F68"/>
    <w:rsid w:val="00BB3FDC"/>
    <w:rsid w:val="00BB421C"/>
    <w:rsid w:val="00BB4583"/>
    <w:rsid w:val="00BB461C"/>
    <w:rsid w:val="00BB48A9"/>
    <w:rsid w:val="00BB48DF"/>
    <w:rsid w:val="00BB4B6D"/>
    <w:rsid w:val="00BB4C7D"/>
    <w:rsid w:val="00BB4CD0"/>
    <w:rsid w:val="00BB4EB5"/>
    <w:rsid w:val="00BB4F9A"/>
    <w:rsid w:val="00BB5377"/>
    <w:rsid w:val="00BB5383"/>
    <w:rsid w:val="00BB53B6"/>
    <w:rsid w:val="00BB53EE"/>
    <w:rsid w:val="00BB58F1"/>
    <w:rsid w:val="00BB596A"/>
    <w:rsid w:val="00BB5D08"/>
    <w:rsid w:val="00BB5D72"/>
    <w:rsid w:val="00BB5DAA"/>
    <w:rsid w:val="00BB5E4B"/>
    <w:rsid w:val="00BB61F6"/>
    <w:rsid w:val="00BB6652"/>
    <w:rsid w:val="00BB67FE"/>
    <w:rsid w:val="00BB6ACD"/>
    <w:rsid w:val="00BB6C3B"/>
    <w:rsid w:val="00BB6CD8"/>
    <w:rsid w:val="00BB6DD3"/>
    <w:rsid w:val="00BB6EC3"/>
    <w:rsid w:val="00BB7005"/>
    <w:rsid w:val="00BB72B7"/>
    <w:rsid w:val="00BB7411"/>
    <w:rsid w:val="00BB76ED"/>
    <w:rsid w:val="00BB7767"/>
    <w:rsid w:val="00BB7862"/>
    <w:rsid w:val="00BB786C"/>
    <w:rsid w:val="00BB7D3A"/>
    <w:rsid w:val="00BB7D67"/>
    <w:rsid w:val="00BB7DCC"/>
    <w:rsid w:val="00BB7F8F"/>
    <w:rsid w:val="00BC0049"/>
    <w:rsid w:val="00BC01C0"/>
    <w:rsid w:val="00BC0319"/>
    <w:rsid w:val="00BC03B9"/>
    <w:rsid w:val="00BC0530"/>
    <w:rsid w:val="00BC0633"/>
    <w:rsid w:val="00BC0683"/>
    <w:rsid w:val="00BC0A98"/>
    <w:rsid w:val="00BC0C09"/>
    <w:rsid w:val="00BC0ED2"/>
    <w:rsid w:val="00BC1102"/>
    <w:rsid w:val="00BC1142"/>
    <w:rsid w:val="00BC118F"/>
    <w:rsid w:val="00BC12F3"/>
    <w:rsid w:val="00BC1616"/>
    <w:rsid w:val="00BC165F"/>
    <w:rsid w:val="00BC1B0C"/>
    <w:rsid w:val="00BC1C76"/>
    <w:rsid w:val="00BC1D13"/>
    <w:rsid w:val="00BC1D39"/>
    <w:rsid w:val="00BC1D6A"/>
    <w:rsid w:val="00BC2408"/>
    <w:rsid w:val="00BC24C8"/>
    <w:rsid w:val="00BC28CF"/>
    <w:rsid w:val="00BC2A1B"/>
    <w:rsid w:val="00BC2E5E"/>
    <w:rsid w:val="00BC2ECF"/>
    <w:rsid w:val="00BC3188"/>
    <w:rsid w:val="00BC3352"/>
    <w:rsid w:val="00BC33C6"/>
    <w:rsid w:val="00BC343E"/>
    <w:rsid w:val="00BC3560"/>
    <w:rsid w:val="00BC36E5"/>
    <w:rsid w:val="00BC396A"/>
    <w:rsid w:val="00BC3A9A"/>
    <w:rsid w:val="00BC3E07"/>
    <w:rsid w:val="00BC4064"/>
    <w:rsid w:val="00BC41EE"/>
    <w:rsid w:val="00BC4572"/>
    <w:rsid w:val="00BC48E2"/>
    <w:rsid w:val="00BC4ABF"/>
    <w:rsid w:val="00BC4AF3"/>
    <w:rsid w:val="00BC4C66"/>
    <w:rsid w:val="00BC4E29"/>
    <w:rsid w:val="00BC4E67"/>
    <w:rsid w:val="00BC518B"/>
    <w:rsid w:val="00BC567C"/>
    <w:rsid w:val="00BC59A6"/>
    <w:rsid w:val="00BC5B99"/>
    <w:rsid w:val="00BC5BA1"/>
    <w:rsid w:val="00BC5DFE"/>
    <w:rsid w:val="00BC5E6D"/>
    <w:rsid w:val="00BC5F63"/>
    <w:rsid w:val="00BC604D"/>
    <w:rsid w:val="00BC6154"/>
    <w:rsid w:val="00BC62C8"/>
    <w:rsid w:val="00BC64C6"/>
    <w:rsid w:val="00BC68CB"/>
    <w:rsid w:val="00BC6953"/>
    <w:rsid w:val="00BC69ED"/>
    <w:rsid w:val="00BC6AEA"/>
    <w:rsid w:val="00BC6BF0"/>
    <w:rsid w:val="00BC6C9B"/>
    <w:rsid w:val="00BC6CE7"/>
    <w:rsid w:val="00BC6E74"/>
    <w:rsid w:val="00BC6F0A"/>
    <w:rsid w:val="00BC70D3"/>
    <w:rsid w:val="00BC7105"/>
    <w:rsid w:val="00BC752D"/>
    <w:rsid w:val="00BC7756"/>
    <w:rsid w:val="00BC790A"/>
    <w:rsid w:val="00BC7A65"/>
    <w:rsid w:val="00BC7E1E"/>
    <w:rsid w:val="00BD00B5"/>
    <w:rsid w:val="00BD04B3"/>
    <w:rsid w:val="00BD08C2"/>
    <w:rsid w:val="00BD08F0"/>
    <w:rsid w:val="00BD094F"/>
    <w:rsid w:val="00BD0A56"/>
    <w:rsid w:val="00BD0B77"/>
    <w:rsid w:val="00BD0CF0"/>
    <w:rsid w:val="00BD0EE7"/>
    <w:rsid w:val="00BD12F1"/>
    <w:rsid w:val="00BD1378"/>
    <w:rsid w:val="00BD14C1"/>
    <w:rsid w:val="00BD16C2"/>
    <w:rsid w:val="00BD1800"/>
    <w:rsid w:val="00BD1DE7"/>
    <w:rsid w:val="00BD1DF8"/>
    <w:rsid w:val="00BD1FA9"/>
    <w:rsid w:val="00BD21DC"/>
    <w:rsid w:val="00BD230C"/>
    <w:rsid w:val="00BD24E4"/>
    <w:rsid w:val="00BD24F5"/>
    <w:rsid w:val="00BD24F7"/>
    <w:rsid w:val="00BD2805"/>
    <w:rsid w:val="00BD292D"/>
    <w:rsid w:val="00BD2BE6"/>
    <w:rsid w:val="00BD2F91"/>
    <w:rsid w:val="00BD30AC"/>
    <w:rsid w:val="00BD315D"/>
    <w:rsid w:val="00BD3919"/>
    <w:rsid w:val="00BD3976"/>
    <w:rsid w:val="00BD3BDA"/>
    <w:rsid w:val="00BD3F40"/>
    <w:rsid w:val="00BD4138"/>
    <w:rsid w:val="00BD41C3"/>
    <w:rsid w:val="00BD41F2"/>
    <w:rsid w:val="00BD43EB"/>
    <w:rsid w:val="00BD46A8"/>
    <w:rsid w:val="00BD46F8"/>
    <w:rsid w:val="00BD48BB"/>
    <w:rsid w:val="00BD4941"/>
    <w:rsid w:val="00BD49CC"/>
    <w:rsid w:val="00BD4A7F"/>
    <w:rsid w:val="00BD4C79"/>
    <w:rsid w:val="00BD4C9D"/>
    <w:rsid w:val="00BD4CE3"/>
    <w:rsid w:val="00BD4F9E"/>
    <w:rsid w:val="00BD5147"/>
    <w:rsid w:val="00BD532C"/>
    <w:rsid w:val="00BD5586"/>
    <w:rsid w:val="00BD57FD"/>
    <w:rsid w:val="00BD58BE"/>
    <w:rsid w:val="00BD5B62"/>
    <w:rsid w:val="00BD5DF3"/>
    <w:rsid w:val="00BD5E77"/>
    <w:rsid w:val="00BD5FA6"/>
    <w:rsid w:val="00BD6142"/>
    <w:rsid w:val="00BD625F"/>
    <w:rsid w:val="00BD6298"/>
    <w:rsid w:val="00BD639E"/>
    <w:rsid w:val="00BD65FB"/>
    <w:rsid w:val="00BD6870"/>
    <w:rsid w:val="00BD6E33"/>
    <w:rsid w:val="00BD6FDF"/>
    <w:rsid w:val="00BD7248"/>
    <w:rsid w:val="00BD743D"/>
    <w:rsid w:val="00BD7983"/>
    <w:rsid w:val="00BD7984"/>
    <w:rsid w:val="00BD7AB7"/>
    <w:rsid w:val="00BD7C4E"/>
    <w:rsid w:val="00BD7F19"/>
    <w:rsid w:val="00BE0127"/>
    <w:rsid w:val="00BE0397"/>
    <w:rsid w:val="00BE03B0"/>
    <w:rsid w:val="00BE03F7"/>
    <w:rsid w:val="00BE05FE"/>
    <w:rsid w:val="00BE0A4A"/>
    <w:rsid w:val="00BE0AF9"/>
    <w:rsid w:val="00BE0B98"/>
    <w:rsid w:val="00BE0D09"/>
    <w:rsid w:val="00BE0D92"/>
    <w:rsid w:val="00BE0F06"/>
    <w:rsid w:val="00BE1080"/>
    <w:rsid w:val="00BE10FA"/>
    <w:rsid w:val="00BE13C7"/>
    <w:rsid w:val="00BE1427"/>
    <w:rsid w:val="00BE1944"/>
    <w:rsid w:val="00BE1FF2"/>
    <w:rsid w:val="00BE22C6"/>
    <w:rsid w:val="00BE2742"/>
    <w:rsid w:val="00BE288E"/>
    <w:rsid w:val="00BE28BA"/>
    <w:rsid w:val="00BE2A91"/>
    <w:rsid w:val="00BE2AFD"/>
    <w:rsid w:val="00BE2C94"/>
    <w:rsid w:val="00BE30D0"/>
    <w:rsid w:val="00BE3188"/>
    <w:rsid w:val="00BE361C"/>
    <w:rsid w:val="00BE373D"/>
    <w:rsid w:val="00BE3767"/>
    <w:rsid w:val="00BE3B12"/>
    <w:rsid w:val="00BE3CC1"/>
    <w:rsid w:val="00BE3D0F"/>
    <w:rsid w:val="00BE3EF3"/>
    <w:rsid w:val="00BE48AC"/>
    <w:rsid w:val="00BE4994"/>
    <w:rsid w:val="00BE4A1E"/>
    <w:rsid w:val="00BE4A37"/>
    <w:rsid w:val="00BE4B25"/>
    <w:rsid w:val="00BE4D7D"/>
    <w:rsid w:val="00BE51FB"/>
    <w:rsid w:val="00BE548C"/>
    <w:rsid w:val="00BE5513"/>
    <w:rsid w:val="00BE561A"/>
    <w:rsid w:val="00BE578F"/>
    <w:rsid w:val="00BE57D5"/>
    <w:rsid w:val="00BE599A"/>
    <w:rsid w:val="00BE599D"/>
    <w:rsid w:val="00BE5D86"/>
    <w:rsid w:val="00BE5E56"/>
    <w:rsid w:val="00BE5E7F"/>
    <w:rsid w:val="00BE5EB3"/>
    <w:rsid w:val="00BE6195"/>
    <w:rsid w:val="00BE624F"/>
    <w:rsid w:val="00BE65A7"/>
    <w:rsid w:val="00BE68EE"/>
    <w:rsid w:val="00BE6982"/>
    <w:rsid w:val="00BE69D7"/>
    <w:rsid w:val="00BE69EE"/>
    <w:rsid w:val="00BE6CD7"/>
    <w:rsid w:val="00BE6D56"/>
    <w:rsid w:val="00BE6EC1"/>
    <w:rsid w:val="00BE719D"/>
    <w:rsid w:val="00BE71E3"/>
    <w:rsid w:val="00BE726F"/>
    <w:rsid w:val="00BE728F"/>
    <w:rsid w:val="00BE77E7"/>
    <w:rsid w:val="00BE7950"/>
    <w:rsid w:val="00BE7E59"/>
    <w:rsid w:val="00BE7EC5"/>
    <w:rsid w:val="00BE7FB5"/>
    <w:rsid w:val="00BE7FCC"/>
    <w:rsid w:val="00BF00C7"/>
    <w:rsid w:val="00BF0704"/>
    <w:rsid w:val="00BF0886"/>
    <w:rsid w:val="00BF08C9"/>
    <w:rsid w:val="00BF09FF"/>
    <w:rsid w:val="00BF0B42"/>
    <w:rsid w:val="00BF0B69"/>
    <w:rsid w:val="00BF0BA7"/>
    <w:rsid w:val="00BF0C33"/>
    <w:rsid w:val="00BF0C79"/>
    <w:rsid w:val="00BF0C7A"/>
    <w:rsid w:val="00BF1073"/>
    <w:rsid w:val="00BF152F"/>
    <w:rsid w:val="00BF167F"/>
    <w:rsid w:val="00BF1747"/>
    <w:rsid w:val="00BF17AF"/>
    <w:rsid w:val="00BF17F7"/>
    <w:rsid w:val="00BF19D7"/>
    <w:rsid w:val="00BF1BBD"/>
    <w:rsid w:val="00BF1D66"/>
    <w:rsid w:val="00BF23CD"/>
    <w:rsid w:val="00BF2AB6"/>
    <w:rsid w:val="00BF2BAD"/>
    <w:rsid w:val="00BF2C3B"/>
    <w:rsid w:val="00BF2D1E"/>
    <w:rsid w:val="00BF2DBD"/>
    <w:rsid w:val="00BF2E2D"/>
    <w:rsid w:val="00BF2EAE"/>
    <w:rsid w:val="00BF302F"/>
    <w:rsid w:val="00BF3100"/>
    <w:rsid w:val="00BF35FC"/>
    <w:rsid w:val="00BF38BC"/>
    <w:rsid w:val="00BF3919"/>
    <w:rsid w:val="00BF39FD"/>
    <w:rsid w:val="00BF3C23"/>
    <w:rsid w:val="00BF3DDE"/>
    <w:rsid w:val="00BF439E"/>
    <w:rsid w:val="00BF43B7"/>
    <w:rsid w:val="00BF43E2"/>
    <w:rsid w:val="00BF447F"/>
    <w:rsid w:val="00BF4542"/>
    <w:rsid w:val="00BF4567"/>
    <w:rsid w:val="00BF47EE"/>
    <w:rsid w:val="00BF4887"/>
    <w:rsid w:val="00BF48B1"/>
    <w:rsid w:val="00BF49E0"/>
    <w:rsid w:val="00BF4B8D"/>
    <w:rsid w:val="00BF4C89"/>
    <w:rsid w:val="00BF4DFF"/>
    <w:rsid w:val="00BF4E55"/>
    <w:rsid w:val="00BF505D"/>
    <w:rsid w:val="00BF5125"/>
    <w:rsid w:val="00BF52B6"/>
    <w:rsid w:val="00BF535A"/>
    <w:rsid w:val="00BF5841"/>
    <w:rsid w:val="00BF5914"/>
    <w:rsid w:val="00BF5A15"/>
    <w:rsid w:val="00BF5B33"/>
    <w:rsid w:val="00BF5C8D"/>
    <w:rsid w:val="00BF5E70"/>
    <w:rsid w:val="00BF5E7E"/>
    <w:rsid w:val="00BF5F85"/>
    <w:rsid w:val="00BF6015"/>
    <w:rsid w:val="00BF63AE"/>
    <w:rsid w:val="00BF6746"/>
    <w:rsid w:val="00BF6BA9"/>
    <w:rsid w:val="00BF6D62"/>
    <w:rsid w:val="00BF6DE1"/>
    <w:rsid w:val="00BF6EAF"/>
    <w:rsid w:val="00BF703F"/>
    <w:rsid w:val="00BF72BA"/>
    <w:rsid w:val="00BF741C"/>
    <w:rsid w:val="00BF74FF"/>
    <w:rsid w:val="00BF7500"/>
    <w:rsid w:val="00BF7B3E"/>
    <w:rsid w:val="00BF7BF7"/>
    <w:rsid w:val="00BF7E1D"/>
    <w:rsid w:val="00C00120"/>
    <w:rsid w:val="00C0028F"/>
    <w:rsid w:val="00C002C6"/>
    <w:rsid w:val="00C0033C"/>
    <w:rsid w:val="00C003C5"/>
    <w:rsid w:val="00C00401"/>
    <w:rsid w:val="00C00483"/>
    <w:rsid w:val="00C00869"/>
    <w:rsid w:val="00C0097B"/>
    <w:rsid w:val="00C00AE2"/>
    <w:rsid w:val="00C00B2D"/>
    <w:rsid w:val="00C00D02"/>
    <w:rsid w:val="00C00D3A"/>
    <w:rsid w:val="00C00FC4"/>
    <w:rsid w:val="00C0116E"/>
    <w:rsid w:val="00C011C2"/>
    <w:rsid w:val="00C011CF"/>
    <w:rsid w:val="00C0141F"/>
    <w:rsid w:val="00C01512"/>
    <w:rsid w:val="00C0156A"/>
    <w:rsid w:val="00C01751"/>
    <w:rsid w:val="00C018A5"/>
    <w:rsid w:val="00C01A1E"/>
    <w:rsid w:val="00C01D33"/>
    <w:rsid w:val="00C01EE0"/>
    <w:rsid w:val="00C021D2"/>
    <w:rsid w:val="00C0225A"/>
    <w:rsid w:val="00C024B0"/>
    <w:rsid w:val="00C02519"/>
    <w:rsid w:val="00C026BE"/>
    <w:rsid w:val="00C02750"/>
    <w:rsid w:val="00C0288B"/>
    <w:rsid w:val="00C029CB"/>
    <w:rsid w:val="00C02B05"/>
    <w:rsid w:val="00C02B18"/>
    <w:rsid w:val="00C02B79"/>
    <w:rsid w:val="00C02C9E"/>
    <w:rsid w:val="00C02D6A"/>
    <w:rsid w:val="00C02E17"/>
    <w:rsid w:val="00C02F9C"/>
    <w:rsid w:val="00C03101"/>
    <w:rsid w:val="00C0357F"/>
    <w:rsid w:val="00C0365F"/>
    <w:rsid w:val="00C03945"/>
    <w:rsid w:val="00C03C6B"/>
    <w:rsid w:val="00C03C6D"/>
    <w:rsid w:val="00C03CA6"/>
    <w:rsid w:val="00C03F28"/>
    <w:rsid w:val="00C04132"/>
    <w:rsid w:val="00C04170"/>
    <w:rsid w:val="00C04299"/>
    <w:rsid w:val="00C046B6"/>
    <w:rsid w:val="00C046FA"/>
    <w:rsid w:val="00C04709"/>
    <w:rsid w:val="00C047AC"/>
    <w:rsid w:val="00C04DC1"/>
    <w:rsid w:val="00C0502C"/>
    <w:rsid w:val="00C051F0"/>
    <w:rsid w:val="00C057E9"/>
    <w:rsid w:val="00C05980"/>
    <w:rsid w:val="00C05A9F"/>
    <w:rsid w:val="00C05ABF"/>
    <w:rsid w:val="00C05AEC"/>
    <w:rsid w:val="00C05F09"/>
    <w:rsid w:val="00C05FF7"/>
    <w:rsid w:val="00C0603A"/>
    <w:rsid w:val="00C06162"/>
    <w:rsid w:val="00C0651F"/>
    <w:rsid w:val="00C06590"/>
    <w:rsid w:val="00C06681"/>
    <w:rsid w:val="00C0673D"/>
    <w:rsid w:val="00C067C0"/>
    <w:rsid w:val="00C06875"/>
    <w:rsid w:val="00C068C8"/>
    <w:rsid w:val="00C06DD8"/>
    <w:rsid w:val="00C072B9"/>
    <w:rsid w:val="00C0779A"/>
    <w:rsid w:val="00C07A9C"/>
    <w:rsid w:val="00C07E93"/>
    <w:rsid w:val="00C07EA8"/>
    <w:rsid w:val="00C07F9E"/>
    <w:rsid w:val="00C100EA"/>
    <w:rsid w:val="00C10326"/>
    <w:rsid w:val="00C10477"/>
    <w:rsid w:val="00C1078E"/>
    <w:rsid w:val="00C109EB"/>
    <w:rsid w:val="00C10AEC"/>
    <w:rsid w:val="00C10C4D"/>
    <w:rsid w:val="00C10D3D"/>
    <w:rsid w:val="00C10E3B"/>
    <w:rsid w:val="00C11094"/>
    <w:rsid w:val="00C115B1"/>
    <w:rsid w:val="00C11A89"/>
    <w:rsid w:val="00C11BE9"/>
    <w:rsid w:val="00C11DA0"/>
    <w:rsid w:val="00C11E0A"/>
    <w:rsid w:val="00C11E88"/>
    <w:rsid w:val="00C11EB2"/>
    <w:rsid w:val="00C11F07"/>
    <w:rsid w:val="00C120AB"/>
    <w:rsid w:val="00C1230F"/>
    <w:rsid w:val="00C12796"/>
    <w:rsid w:val="00C128AC"/>
    <w:rsid w:val="00C128BB"/>
    <w:rsid w:val="00C12AA4"/>
    <w:rsid w:val="00C12ACE"/>
    <w:rsid w:val="00C12E88"/>
    <w:rsid w:val="00C13538"/>
    <w:rsid w:val="00C1384F"/>
    <w:rsid w:val="00C13854"/>
    <w:rsid w:val="00C13935"/>
    <w:rsid w:val="00C13950"/>
    <w:rsid w:val="00C139FD"/>
    <w:rsid w:val="00C13ADD"/>
    <w:rsid w:val="00C13C9C"/>
    <w:rsid w:val="00C13CC9"/>
    <w:rsid w:val="00C13D76"/>
    <w:rsid w:val="00C13DE7"/>
    <w:rsid w:val="00C14011"/>
    <w:rsid w:val="00C14079"/>
    <w:rsid w:val="00C140D3"/>
    <w:rsid w:val="00C14146"/>
    <w:rsid w:val="00C14258"/>
    <w:rsid w:val="00C14679"/>
    <w:rsid w:val="00C146B7"/>
    <w:rsid w:val="00C147C7"/>
    <w:rsid w:val="00C148E5"/>
    <w:rsid w:val="00C1493F"/>
    <w:rsid w:val="00C14B9D"/>
    <w:rsid w:val="00C14CBD"/>
    <w:rsid w:val="00C14FA6"/>
    <w:rsid w:val="00C14FCB"/>
    <w:rsid w:val="00C15303"/>
    <w:rsid w:val="00C15342"/>
    <w:rsid w:val="00C153CE"/>
    <w:rsid w:val="00C1541C"/>
    <w:rsid w:val="00C1549E"/>
    <w:rsid w:val="00C15811"/>
    <w:rsid w:val="00C158C3"/>
    <w:rsid w:val="00C15E00"/>
    <w:rsid w:val="00C15E6A"/>
    <w:rsid w:val="00C1609B"/>
    <w:rsid w:val="00C16147"/>
    <w:rsid w:val="00C161AA"/>
    <w:rsid w:val="00C161F8"/>
    <w:rsid w:val="00C16260"/>
    <w:rsid w:val="00C1673B"/>
    <w:rsid w:val="00C16C6D"/>
    <w:rsid w:val="00C16C97"/>
    <w:rsid w:val="00C16EC0"/>
    <w:rsid w:val="00C1709D"/>
    <w:rsid w:val="00C17422"/>
    <w:rsid w:val="00C17711"/>
    <w:rsid w:val="00C1793C"/>
    <w:rsid w:val="00C1794E"/>
    <w:rsid w:val="00C17A3A"/>
    <w:rsid w:val="00C17C4F"/>
    <w:rsid w:val="00C17FF3"/>
    <w:rsid w:val="00C20067"/>
    <w:rsid w:val="00C203E9"/>
    <w:rsid w:val="00C204FC"/>
    <w:rsid w:val="00C20580"/>
    <w:rsid w:val="00C205BB"/>
    <w:rsid w:val="00C205DC"/>
    <w:rsid w:val="00C20BEA"/>
    <w:rsid w:val="00C2110E"/>
    <w:rsid w:val="00C21296"/>
    <w:rsid w:val="00C21309"/>
    <w:rsid w:val="00C2151B"/>
    <w:rsid w:val="00C21538"/>
    <w:rsid w:val="00C215C8"/>
    <w:rsid w:val="00C216D8"/>
    <w:rsid w:val="00C21733"/>
    <w:rsid w:val="00C21B21"/>
    <w:rsid w:val="00C21D91"/>
    <w:rsid w:val="00C21ECE"/>
    <w:rsid w:val="00C21F3F"/>
    <w:rsid w:val="00C228C8"/>
    <w:rsid w:val="00C22A2B"/>
    <w:rsid w:val="00C22C69"/>
    <w:rsid w:val="00C22C88"/>
    <w:rsid w:val="00C2314E"/>
    <w:rsid w:val="00C236A3"/>
    <w:rsid w:val="00C23814"/>
    <w:rsid w:val="00C23979"/>
    <w:rsid w:val="00C23D13"/>
    <w:rsid w:val="00C23E04"/>
    <w:rsid w:val="00C24263"/>
    <w:rsid w:val="00C24607"/>
    <w:rsid w:val="00C247B5"/>
    <w:rsid w:val="00C249CE"/>
    <w:rsid w:val="00C24CE4"/>
    <w:rsid w:val="00C24E8A"/>
    <w:rsid w:val="00C24F11"/>
    <w:rsid w:val="00C25178"/>
    <w:rsid w:val="00C252A0"/>
    <w:rsid w:val="00C25CDA"/>
    <w:rsid w:val="00C25DA6"/>
    <w:rsid w:val="00C263BE"/>
    <w:rsid w:val="00C26496"/>
    <w:rsid w:val="00C26531"/>
    <w:rsid w:val="00C2653E"/>
    <w:rsid w:val="00C26587"/>
    <w:rsid w:val="00C26675"/>
    <w:rsid w:val="00C269BA"/>
    <w:rsid w:val="00C26B18"/>
    <w:rsid w:val="00C26E44"/>
    <w:rsid w:val="00C26F8E"/>
    <w:rsid w:val="00C270BE"/>
    <w:rsid w:val="00C270E2"/>
    <w:rsid w:val="00C2716C"/>
    <w:rsid w:val="00C27275"/>
    <w:rsid w:val="00C27323"/>
    <w:rsid w:val="00C27836"/>
    <w:rsid w:val="00C27A1A"/>
    <w:rsid w:val="00C27CE8"/>
    <w:rsid w:val="00C27D15"/>
    <w:rsid w:val="00C27DFE"/>
    <w:rsid w:val="00C27EA6"/>
    <w:rsid w:val="00C301B5"/>
    <w:rsid w:val="00C301B7"/>
    <w:rsid w:val="00C30347"/>
    <w:rsid w:val="00C30437"/>
    <w:rsid w:val="00C30497"/>
    <w:rsid w:val="00C30924"/>
    <w:rsid w:val="00C30B9F"/>
    <w:rsid w:val="00C30DED"/>
    <w:rsid w:val="00C31226"/>
    <w:rsid w:val="00C3124A"/>
    <w:rsid w:val="00C315ED"/>
    <w:rsid w:val="00C3164B"/>
    <w:rsid w:val="00C316E8"/>
    <w:rsid w:val="00C317DB"/>
    <w:rsid w:val="00C319D5"/>
    <w:rsid w:val="00C31F00"/>
    <w:rsid w:val="00C3200F"/>
    <w:rsid w:val="00C32191"/>
    <w:rsid w:val="00C322F7"/>
    <w:rsid w:val="00C3241E"/>
    <w:rsid w:val="00C32436"/>
    <w:rsid w:val="00C326DC"/>
    <w:rsid w:val="00C327F5"/>
    <w:rsid w:val="00C32A69"/>
    <w:rsid w:val="00C32EEB"/>
    <w:rsid w:val="00C32EFB"/>
    <w:rsid w:val="00C33092"/>
    <w:rsid w:val="00C3322B"/>
    <w:rsid w:val="00C33358"/>
    <w:rsid w:val="00C33543"/>
    <w:rsid w:val="00C3365F"/>
    <w:rsid w:val="00C33709"/>
    <w:rsid w:val="00C33A58"/>
    <w:rsid w:val="00C34051"/>
    <w:rsid w:val="00C342F5"/>
    <w:rsid w:val="00C34515"/>
    <w:rsid w:val="00C3458E"/>
    <w:rsid w:val="00C34651"/>
    <w:rsid w:val="00C347D0"/>
    <w:rsid w:val="00C348BB"/>
    <w:rsid w:val="00C34C6E"/>
    <w:rsid w:val="00C34DCF"/>
    <w:rsid w:val="00C34E8D"/>
    <w:rsid w:val="00C35156"/>
    <w:rsid w:val="00C353B8"/>
    <w:rsid w:val="00C3571D"/>
    <w:rsid w:val="00C3577A"/>
    <w:rsid w:val="00C357E0"/>
    <w:rsid w:val="00C35892"/>
    <w:rsid w:val="00C358FF"/>
    <w:rsid w:val="00C35905"/>
    <w:rsid w:val="00C35917"/>
    <w:rsid w:val="00C35A08"/>
    <w:rsid w:val="00C35BED"/>
    <w:rsid w:val="00C35DA2"/>
    <w:rsid w:val="00C35E29"/>
    <w:rsid w:val="00C36512"/>
    <w:rsid w:val="00C365EA"/>
    <w:rsid w:val="00C36B3E"/>
    <w:rsid w:val="00C36D28"/>
    <w:rsid w:val="00C36F54"/>
    <w:rsid w:val="00C36FA5"/>
    <w:rsid w:val="00C372BA"/>
    <w:rsid w:val="00C372DB"/>
    <w:rsid w:val="00C373F1"/>
    <w:rsid w:val="00C37439"/>
    <w:rsid w:val="00C37490"/>
    <w:rsid w:val="00C3759D"/>
    <w:rsid w:val="00C37891"/>
    <w:rsid w:val="00C37D96"/>
    <w:rsid w:val="00C405B5"/>
    <w:rsid w:val="00C40642"/>
    <w:rsid w:val="00C4067E"/>
    <w:rsid w:val="00C406AB"/>
    <w:rsid w:val="00C4075C"/>
    <w:rsid w:val="00C4097D"/>
    <w:rsid w:val="00C40D24"/>
    <w:rsid w:val="00C40E56"/>
    <w:rsid w:val="00C41196"/>
    <w:rsid w:val="00C4167D"/>
    <w:rsid w:val="00C416EC"/>
    <w:rsid w:val="00C41CD6"/>
    <w:rsid w:val="00C41CE2"/>
    <w:rsid w:val="00C41D16"/>
    <w:rsid w:val="00C41D37"/>
    <w:rsid w:val="00C41F64"/>
    <w:rsid w:val="00C41FD8"/>
    <w:rsid w:val="00C42168"/>
    <w:rsid w:val="00C4242D"/>
    <w:rsid w:val="00C42434"/>
    <w:rsid w:val="00C426C2"/>
    <w:rsid w:val="00C42AA7"/>
    <w:rsid w:val="00C42ACF"/>
    <w:rsid w:val="00C42BCC"/>
    <w:rsid w:val="00C42D6A"/>
    <w:rsid w:val="00C42F6F"/>
    <w:rsid w:val="00C43314"/>
    <w:rsid w:val="00C435A4"/>
    <w:rsid w:val="00C435C7"/>
    <w:rsid w:val="00C437B5"/>
    <w:rsid w:val="00C43834"/>
    <w:rsid w:val="00C43927"/>
    <w:rsid w:val="00C43943"/>
    <w:rsid w:val="00C43D3E"/>
    <w:rsid w:val="00C43D70"/>
    <w:rsid w:val="00C440F5"/>
    <w:rsid w:val="00C4412F"/>
    <w:rsid w:val="00C44789"/>
    <w:rsid w:val="00C4479F"/>
    <w:rsid w:val="00C44889"/>
    <w:rsid w:val="00C44968"/>
    <w:rsid w:val="00C44C0D"/>
    <w:rsid w:val="00C44CA3"/>
    <w:rsid w:val="00C45090"/>
    <w:rsid w:val="00C4529E"/>
    <w:rsid w:val="00C452AE"/>
    <w:rsid w:val="00C45570"/>
    <w:rsid w:val="00C4576E"/>
    <w:rsid w:val="00C45BC0"/>
    <w:rsid w:val="00C45E03"/>
    <w:rsid w:val="00C45E41"/>
    <w:rsid w:val="00C45E77"/>
    <w:rsid w:val="00C45E91"/>
    <w:rsid w:val="00C45F00"/>
    <w:rsid w:val="00C461E2"/>
    <w:rsid w:val="00C468FB"/>
    <w:rsid w:val="00C4691F"/>
    <w:rsid w:val="00C4696C"/>
    <w:rsid w:val="00C46ACD"/>
    <w:rsid w:val="00C46D4B"/>
    <w:rsid w:val="00C46E72"/>
    <w:rsid w:val="00C476D7"/>
    <w:rsid w:val="00C47884"/>
    <w:rsid w:val="00C47EDE"/>
    <w:rsid w:val="00C4FFFA"/>
    <w:rsid w:val="00C50025"/>
    <w:rsid w:val="00C501B4"/>
    <w:rsid w:val="00C50222"/>
    <w:rsid w:val="00C504B3"/>
    <w:rsid w:val="00C504C1"/>
    <w:rsid w:val="00C504C6"/>
    <w:rsid w:val="00C505AA"/>
    <w:rsid w:val="00C505DD"/>
    <w:rsid w:val="00C507CF"/>
    <w:rsid w:val="00C5088E"/>
    <w:rsid w:val="00C50B93"/>
    <w:rsid w:val="00C50C3F"/>
    <w:rsid w:val="00C50CA2"/>
    <w:rsid w:val="00C50CBE"/>
    <w:rsid w:val="00C50DDF"/>
    <w:rsid w:val="00C50E2D"/>
    <w:rsid w:val="00C50F70"/>
    <w:rsid w:val="00C50F7E"/>
    <w:rsid w:val="00C5115D"/>
    <w:rsid w:val="00C51277"/>
    <w:rsid w:val="00C5197F"/>
    <w:rsid w:val="00C51BA4"/>
    <w:rsid w:val="00C51E24"/>
    <w:rsid w:val="00C51FD7"/>
    <w:rsid w:val="00C5215B"/>
    <w:rsid w:val="00C52268"/>
    <w:rsid w:val="00C5267E"/>
    <w:rsid w:val="00C5272B"/>
    <w:rsid w:val="00C52929"/>
    <w:rsid w:val="00C52934"/>
    <w:rsid w:val="00C52C6B"/>
    <w:rsid w:val="00C530F4"/>
    <w:rsid w:val="00C535CA"/>
    <w:rsid w:val="00C5365E"/>
    <w:rsid w:val="00C538A1"/>
    <w:rsid w:val="00C53989"/>
    <w:rsid w:val="00C53B22"/>
    <w:rsid w:val="00C53C5E"/>
    <w:rsid w:val="00C53CAC"/>
    <w:rsid w:val="00C53FF9"/>
    <w:rsid w:val="00C54207"/>
    <w:rsid w:val="00C54469"/>
    <w:rsid w:val="00C548B9"/>
    <w:rsid w:val="00C549C2"/>
    <w:rsid w:val="00C54BEC"/>
    <w:rsid w:val="00C54D17"/>
    <w:rsid w:val="00C551D3"/>
    <w:rsid w:val="00C551EE"/>
    <w:rsid w:val="00C555FF"/>
    <w:rsid w:val="00C5571E"/>
    <w:rsid w:val="00C55AB0"/>
    <w:rsid w:val="00C55D18"/>
    <w:rsid w:val="00C55D79"/>
    <w:rsid w:val="00C55E66"/>
    <w:rsid w:val="00C55F13"/>
    <w:rsid w:val="00C560DC"/>
    <w:rsid w:val="00C56698"/>
    <w:rsid w:val="00C566B8"/>
    <w:rsid w:val="00C56708"/>
    <w:rsid w:val="00C56D9C"/>
    <w:rsid w:val="00C573B2"/>
    <w:rsid w:val="00C5751C"/>
    <w:rsid w:val="00C57762"/>
    <w:rsid w:val="00C57827"/>
    <w:rsid w:val="00C57D0E"/>
    <w:rsid w:val="00C57DE4"/>
    <w:rsid w:val="00C57DF9"/>
    <w:rsid w:val="00C60200"/>
    <w:rsid w:val="00C602AF"/>
    <w:rsid w:val="00C60543"/>
    <w:rsid w:val="00C60575"/>
    <w:rsid w:val="00C607E6"/>
    <w:rsid w:val="00C6085F"/>
    <w:rsid w:val="00C60B44"/>
    <w:rsid w:val="00C60BBD"/>
    <w:rsid w:val="00C60BC7"/>
    <w:rsid w:val="00C60BCC"/>
    <w:rsid w:val="00C60E56"/>
    <w:rsid w:val="00C60EF4"/>
    <w:rsid w:val="00C60F68"/>
    <w:rsid w:val="00C61457"/>
    <w:rsid w:val="00C61690"/>
    <w:rsid w:val="00C617DE"/>
    <w:rsid w:val="00C6197B"/>
    <w:rsid w:val="00C61A70"/>
    <w:rsid w:val="00C61A87"/>
    <w:rsid w:val="00C61B58"/>
    <w:rsid w:val="00C61C0B"/>
    <w:rsid w:val="00C61D5E"/>
    <w:rsid w:val="00C61E2A"/>
    <w:rsid w:val="00C62020"/>
    <w:rsid w:val="00C62134"/>
    <w:rsid w:val="00C62146"/>
    <w:rsid w:val="00C6240D"/>
    <w:rsid w:val="00C62BA0"/>
    <w:rsid w:val="00C62DDF"/>
    <w:rsid w:val="00C62DF8"/>
    <w:rsid w:val="00C63157"/>
    <w:rsid w:val="00C63364"/>
    <w:rsid w:val="00C63469"/>
    <w:rsid w:val="00C634BE"/>
    <w:rsid w:val="00C6363B"/>
    <w:rsid w:val="00C63648"/>
    <w:rsid w:val="00C63760"/>
    <w:rsid w:val="00C63807"/>
    <w:rsid w:val="00C63855"/>
    <w:rsid w:val="00C639F0"/>
    <w:rsid w:val="00C64223"/>
    <w:rsid w:val="00C6445E"/>
    <w:rsid w:val="00C64688"/>
    <w:rsid w:val="00C647E4"/>
    <w:rsid w:val="00C6482E"/>
    <w:rsid w:val="00C64C51"/>
    <w:rsid w:val="00C64C78"/>
    <w:rsid w:val="00C64D05"/>
    <w:rsid w:val="00C64E8D"/>
    <w:rsid w:val="00C652CB"/>
    <w:rsid w:val="00C6532B"/>
    <w:rsid w:val="00C6545D"/>
    <w:rsid w:val="00C655E4"/>
    <w:rsid w:val="00C65612"/>
    <w:rsid w:val="00C65681"/>
    <w:rsid w:val="00C65A21"/>
    <w:rsid w:val="00C65AEA"/>
    <w:rsid w:val="00C65B68"/>
    <w:rsid w:val="00C65B6D"/>
    <w:rsid w:val="00C65D26"/>
    <w:rsid w:val="00C65D5A"/>
    <w:rsid w:val="00C65DFA"/>
    <w:rsid w:val="00C65EC8"/>
    <w:rsid w:val="00C65ECC"/>
    <w:rsid w:val="00C66368"/>
    <w:rsid w:val="00C664C3"/>
    <w:rsid w:val="00C666FA"/>
    <w:rsid w:val="00C667C4"/>
    <w:rsid w:val="00C66913"/>
    <w:rsid w:val="00C66950"/>
    <w:rsid w:val="00C669E9"/>
    <w:rsid w:val="00C66F17"/>
    <w:rsid w:val="00C6772A"/>
    <w:rsid w:val="00C677DD"/>
    <w:rsid w:val="00C678A3"/>
    <w:rsid w:val="00C67B24"/>
    <w:rsid w:val="00C67D04"/>
    <w:rsid w:val="00C67D77"/>
    <w:rsid w:val="00C70686"/>
    <w:rsid w:val="00C70756"/>
    <w:rsid w:val="00C70791"/>
    <w:rsid w:val="00C70B0E"/>
    <w:rsid w:val="00C70BE8"/>
    <w:rsid w:val="00C70C3B"/>
    <w:rsid w:val="00C70C67"/>
    <w:rsid w:val="00C70D3C"/>
    <w:rsid w:val="00C70FBD"/>
    <w:rsid w:val="00C7118D"/>
    <w:rsid w:val="00C71496"/>
    <w:rsid w:val="00C715F1"/>
    <w:rsid w:val="00C719C0"/>
    <w:rsid w:val="00C71A00"/>
    <w:rsid w:val="00C71A76"/>
    <w:rsid w:val="00C71D7A"/>
    <w:rsid w:val="00C71D85"/>
    <w:rsid w:val="00C71F11"/>
    <w:rsid w:val="00C720BC"/>
    <w:rsid w:val="00C7220B"/>
    <w:rsid w:val="00C727A2"/>
    <w:rsid w:val="00C72988"/>
    <w:rsid w:val="00C72B3F"/>
    <w:rsid w:val="00C733F5"/>
    <w:rsid w:val="00C73594"/>
    <w:rsid w:val="00C735BD"/>
    <w:rsid w:val="00C73790"/>
    <w:rsid w:val="00C73A6A"/>
    <w:rsid w:val="00C73FB1"/>
    <w:rsid w:val="00C73FD1"/>
    <w:rsid w:val="00C74008"/>
    <w:rsid w:val="00C74454"/>
    <w:rsid w:val="00C747D7"/>
    <w:rsid w:val="00C74B87"/>
    <w:rsid w:val="00C75043"/>
    <w:rsid w:val="00C751C8"/>
    <w:rsid w:val="00C75231"/>
    <w:rsid w:val="00C754D7"/>
    <w:rsid w:val="00C7556F"/>
    <w:rsid w:val="00C7559E"/>
    <w:rsid w:val="00C75751"/>
    <w:rsid w:val="00C757C8"/>
    <w:rsid w:val="00C758EB"/>
    <w:rsid w:val="00C7591A"/>
    <w:rsid w:val="00C75B54"/>
    <w:rsid w:val="00C75B89"/>
    <w:rsid w:val="00C75BBD"/>
    <w:rsid w:val="00C75CD4"/>
    <w:rsid w:val="00C75D63"/>
    <w:rsid w:val="00C75EC8"/>
    <w:rsid w:val="00C75ED6"/>
    <w:rsid w:val="00C75F80"/>
    <w:rsid w:val="00C7645B"/>
    <w:rsid w:val="00C76505"/>
    <w:rsid w:val="00C765B9"/>
    <w:rsid w:val="00C7668A"/>
    <w:rsid w:val="00C76763"/>
    <w:rsid w:val="00C7687F"/>
    <w:rsid w:val="00C76954"/>
    <w:rsid w:val="00C76A29"/>
    <w:rsid w:val="00C76B01"/>
    <w:rsid w:val="00C76BBF"/>
    <w:rsid w:val="00C76D18"/>
    <w:rsid w:val="00C77523"/>
    <w:rsid w:val="00C778C1"/>
    <w:rsid w:val="00C779B3"/>
    <w:rsid w:val="00C77B13"/>
    <w:rsid w:val="00C77BDB"/>
    <w:rsid w:val="00C77BE6"/>
    <w:rsid w:val="00C77EB3"/>
    <w:rsid w:val="00C80093"/>
    <w:rsid w:val="00C800EA"/>
    <w:rsid w:val="00C8019D"/>
    <w:rsid w:val="00C805BA"/>
    <w:rsid w:val="00C80647"/>
    <w:rsid w:val="00C808D1"/>
    <w:rsid w:val="00C80BAA"/>
    <w:rsid w:val="00C80C39"/>
    <w:rsid w:val="00C80C5E"/>
    <w:rsid w:val="00C80D99"/>
    <w:rsid w:val="00C81149"/>
    <w:rsid w:val="00C8129D"/>
    <w:rsid w:val="00C81418"/>
    <w:rsid w:val="00C8148C"/>
    <w:rsid w:val="00C81974"/>
    <w:rsid w:val="00C81C2B"/>
    <w:rsid w:val="00C821F0"/>
    <w:rsid w:val="00C821FA"/>
    <w:rsid w:val="00C822B6"/>
    <w:rsid w:val="00C822D8"/>
    <w:rsid w:val="00C822FB"/>
    <w:rsid w:val="00C82423"/>
    <w:rsid w:val="00C8245D"/>
    <w:rsid w:val="00C824F1"/>
    <w:rsid w:val="00C826E7"/>
    <w:rsid w:val="00C82758"/>
    <w:rsid w:val="00C82949"/>
    <w:rsid w:val="00C82CD5"/>
    <w:rsid w:val="00C830A8"/>
    <w:rsid w:val="00C8324C"/>
    <w:rsid w:val="00C8334E"/>
    <w:rsid w:val="00C834A3"/>
    <w:rsid w:val="00C836DD"/>
    <w:rsid w:val="00C83900"/>
    <w:rsid w:val="00C83BA0"/>
    <w:rsid w:val="00C83C3B"/>
    <w:rsid w:val="00C83E14"/>
    <w:rsid w:val="00C83E78"/>
    <w:rsid w:val="00C83EC6"/>
    <w:rsid w:val="00C84052"/>
    <w:rsid w:val="00C840BE"/>
    <w:rsid w:val="00C840D8"/>
    <w:rsid w:val="00C84201"/>
    <w:rsid w:val="00C8422E"/>
    <w:rsid w:val="00C84505"/>
    <w:rsid w:val="00C84569"/>
    <w:rsid w:val="00C8466D"/>
    <w:rsid w:val="00C84989"/>
    <w:rsid w:val="00C849BE"/>
    <w:rsid w:val="00C84C08"/>
    <w:rsid w:val="00C84C7D"/>
    <w:rsid w:val="00C84E13"/>
    <w:rsid w:val="00C84E30"/>
    <w:rsid w:val="00C84F90"/>
    <w:rsid w:val="00C85196"/>
    <w:rsid w:val="00C85622"/>
    <w:rsid w:val="00C856B7"/>
    <w:rsid w:val="00C85B8A"/>
    <w:rsid w:val="00C85C62"/>
    <w:rsid w:val="00C85CDC"/>
    <w:rsid w:val="00C85ED8"/>
    <w:rsid w:val="00C86018"/>
    <w:rsid w:val="00C8610F"/>
    <w:rsid w:val="00C861E7"/>
    <w:rsid w:val="00C86216"/>
    <w:rsid w:val="00C86325"/>
    <w:rsid w:val="00C8638E"/>
    <w:rsid w:val="00C8656F"/>
    <w:rsid w:val="00C86A38"/>
    <w:rsid w:val="00C873FB"/>
    <w:rsid w:val="00C87422"/>
    <w:rsid w:val="00C874CE"/>
    <w:rsid w:val="00C87991"/>
    <w:rsid w:val="00C879F7"/>
    <w:rsid w:val="00C87A76"/>
    <w:rsid w:val="00C87B42"/>
    <w:rsid w:val="00C87C0F"/>
    <w:rsid w:val="00C87F5C"/>
    <w:rsid w:val="00C87FA0"/>
    <w:rsid w:val="00C900C9"/>
    <w:rsid w:val="00C9043D"/>
    <w:rsid w:val="00C90B89"/>
    <w:rsid w:val="00C90B93"/>
    <w:rsid w:val="00C90C5D"/>
    <w:rsid w:val="00C91023"/>
    <w:rsid w:val="00C9149D"/>
    <w:rsid w:val="00C914FC"/>
    <w:rsid w:val="00C91714"/>
    <w:rsid w:val="00C91716"/>
    <w:rsid w:val="00C91956"/>
    <w:rsid w:val="00C91AFA"/>
    <w:rsid w:val="00C91B49"/>
    <w:rsid w:val="00C91B70"/>
    <w:rsid w:val="00C91BCE"/>
    <w:rsid w:val="00C92494"/>
    <w:rsid w:val="00C924BA"/>
    <w:rsid w:val="00C92B05"/>
    <w:rsid w:val="00C92B1E"/>
    <w:rsid w:val="00C92B3E"/>
    <w:rsid w:val="00C92B81"/>
    <w:rsid w:val="00C92BFD"/>
    <w:rsid w:val="00C92C7E"/>
    <w:rsid w:val="00C92E20"/>
    <w:rsid w:val="00C92FA9"/>
    <w:rsid w:val="00C936DD"/>
    <w:rsid w:val="00C93751"/>
    <w:rsid w:val="00C939B3"/>
    <w:rsid w:val="00C939E2"/>
    <w:rsid w:val="00C93A3F"/>
    <w:rsid w:val="00C93A53"/>
    <w:rsid w:val="00C93F08"/>
    <w:rsid w:val="00C93FCD"/>
    <w:rsid w:val="00C93FFF"/>
    <w:rsid w:val="00C942A4"/>
    <w:rsid w:val="00C9451C"/>
    <w:rsid w:val="00C94BF8"/>
    <w:rsid w:val="00C94CBF"/>
    <w:rsid w:val="00C951A4"/>
    <w:rsid w:val="00C95283"/>
    <w:rsid w:val="00C95583"/>
    <w:rsid w:val="00C956A3"/>
    <w:rsid w:val="00C9577B"/>
    <w:rsid w:val="00C958B8"/>
    <w:rsid w:val="00C95C4F"/>
    <w:rsid w:val="00C95D00"/>
    <w:rsid w:val="00C95DFD"/>
    <w:rsid w:val="00C95F8E"/>
    <w:rsid w:val="00C95FAA"/>
    <w:rsid w:val="00C9617D"/>
    <w:rsid w:val="00C96309"/>
    <w:rsid w:val="00C96718"/>
    <w:rsid w:val="00C96843"/>
    <w:rsid w:val="00C968E9"/>
    <w:rsid w:val="00C969BC"/>
    <w:rsid w:val="00C96C4F"/>
    <w:rsid w:val="00C96DB8"/>
    <w:rsid w:val="00C96DF0"/>
    <w:rsid w:val="00C96F66"/>
    <w:rsid w:val="00C9711A"/>
    <w:rsid w:val="00C97403"/>
    <w:rsid w:val="00C975EB"/>
    <w:rsid w:val="00C976CB"/>
    <w:rsid w:val="00C976D5"/>
    <w:rsid w:val="00C977BB"/>
    <w:rsid w:val="00C9792E"/>
    <w:rsid w:val="00C979D5"/>
    <w:rsid w:val="00C97A28"/>
    <w:rsid w:val="00C97A46"/>
    <w:rsid w:val="00C97BA7"/>
    <w:rsid w:val="00C97C54"/>
    <w:rsid w:val="00C97D80"/>
    <w:rsid w:val="00CA01B4"/>
    <w:rsid w:val="00CA0284"/>
    <w:rsid w:val="00CA02CB"/>
    <w:rsid w:val="00CA030E"/>
    <w:rsid w:val="00CA0460"/>
    <w:rsid w:val="00CA0940"/>
    <w:rsid w:val="00CA0A7C"/>
    <w:rsid w:val="00CA0BF8"/>
    <w:rsid w:val="00CA0C87"/>
    <w:rsid w:val="00CA0D5D"/>
    <w:rsid w:val="00CA0E95"/>
    <w:rsid w:val="00CA0FC9"/>
    <w:rsid w:val="00CA0FDF"/>
    <w:rsid w:val="00CA118C"/>
    <w:rsid w:val="00CA156E"/>
    <w:rsid w:val="00CA1796"/>
    <w:rsid w:val="00CA19A9"/>
    <w:rsid w:val="00CA1AB9"/>
    <w:rsid w:val="00CA1DE3"/>
    <w:rsid w:val="00CA1E64"/>
    <w:rsid w:val="00CA1F2D"/>
    <w:rsid w:val="00CA1FD5"/>
    <w:rsid w:val="00CA20B1"/>
    <w:rsid w:val="00CA232D"/>
    <w:rsid w:val="00CA2403"/>
    <w:rsid w:val="00CA2746"/>
    <w:rsid w:val="00CA28AF"/>
    <w:rsid w:val="00CA2B64"/>
    <w:rsid w:val="00CA2C07"/>
    <w:rsid w:val="00CA2E1E"/>
    <w:rsid w:val="00CA2EC0"/>
    <w:rsid w:val="00CA3096"/>
    <w:rsid w:val="00CA33C8"/>
    <w:rsid w:val="00CA3541"/>
    <w:rsid w:val="00CA36EC"/>
    <w:rsid w:val="00CA3A74"/>
    <w:rsid w:val="00CA4346"/>
    <w:rsid w:val="00CA44D9"/>
    <w:rsid w:val="00CA45D7"/>
    <w:rsid w:val="00CA45E5"/>
    <w:rsid w:val="00CA4690"/>
    <w:rsid w:val="00CA4778"/>
    <w:rsid w:val="00CA47C4"/>
    <w:rsid w:val="00CA483D"/>
    <w:rsid w:val="00CA494F"/>
    <w:rsid w:val="00CA4A0A"/>
    <w:rsid w:val="00CA4D00"/>
    <w:rsid w:val="00CA4D87"/>
    <w:rsid w:val="00CA524A"/>
    <w:rsid w:val="00CA52B7"/>
    <w:rsid w:val="00CA53A6"/>
    <w:rsid w:val="00CA546B"/>
    <w:rsid w:val="00CA55C9"/>
    <w:rsid w:val="00CA5631"/>
    <w:rsid w:val="00CA5807"/>
    <w:rsid w:val="00CA5852"/>
    <w:rsid w:val="00CA5AEF"/>
    <w:rsid w:val="00CA5DAA"/>
    <w:rsid w:val="00CA6049"/>
    <w:rsid w:val="00CA60D7"/>
    <w:rsid w:val="00CA6141"/>
    <w:rsid w:val="00CA6166"/>
    <w:rsid w:val="00CA64B7"/>
    <w:rsid w:val="00CA65DA"/>
    <w:rsid w:val="00CA67D5"/>
    <w:rsid w:val="00CA6A00"/>
    <w:rsid w:val="00CA6C9A"/>
    <w:rsid w:val="00CA6CE0"/>
    <w:rsid w:val="00CA6D0F"/>
    <w:rsid w:val="00CA6D98"/>
    <w:rsid w:val="00CA6DDA"/>
    <w:rsid w:val="00CA6E92"/>
    <w:rsid w:val="00CA7124"/>
    <w:rsid w:val="00CA7174"/>
    <w:rsid w:val="00CA7370"/>
    <w:rsid w:val="00CA7435"/>
    <w:rsid w:val="00CA7600"/>
    <w:rsid w:val="00CA78B6"/>
    <w:rsid w:val="00CA79BF"/>
    <w:rsid w:val="00CA79CB"/>
    <w:rsid w:val="00CA7CD7"/>
    <w:rsid w:val="00CB009D"/>
    <w:rsid w:val="00CB011C"/>
    <w:rsid w:val="00CB01E1"/>
    <w:rsid w:val="00CB0319"/>
    <w:rsid w:val="00CB05C0"/>
    <w:rsid w:val="00CB08F2"/>
    <w:rsid w:val="00CB0D90"/>
    <w:rsid w:val="00CB0DC2"/>
    <w:rsid w:val="00CB0E2F"/>
    <w:rsid w:val="00CB1171"/>
    <w:rsid w:val="00CB1703"/>
    <w:rsid w:val="00CB19B8"/>
    <w:rsid w:val="00CB1A7F"/>
    <w:rsid w:val="00CB1E8D"/>
    <w:rsid w:val="00CB1EBD"/>
    <w:rsid w:val="00CB2081"/>
    <w:rsid w:val="00CB20D1"/>
    <w:rsid w:val="00CB2382"/>
    <w:rsid w:val="00CB23E6"/>
    <w:rsid w:val="00CB2439"/>
    <w:rsid w:val="00CB24C7"/>
    <w:rsid w:val="00CB257A"/>
    <w:rsid w:val="00CB25C2"/>
    <w:rsid w:val="00CB261E"/>
    <w:rsid w:val="00CB2808"/>
    <w:rsid w:val="00CB2A42"/>
    <w:rsid w:val="00CB2A75"/>
    <w:rsid w:val="00CB2BB7"/>
    <w:rsid w:val="00CB2DF0"/>
    <w:rsid w:val="00CB305E"/>
    <w:rsid w:val="00CB32E2"/>
    <w:rsid w:val="00CB33A8"/>
    <w:rsid w:val="00CB35A5"/>
    <w:rsid w:val="00CB37CE"/>
    <w:rsid w:val="00CB38BA"/>
    <w:rsid w:val="00CB3A72"/>
    <w:rsid w:val="00CB3EA5"/>
    <w:rsid w:val="00CB4034"/>
    <w:rsid w:val="00CB4192"/>
    <w:rsid w:val="00CB457B"/>
    <w:rsid w:val="00CB492A"/>
    <w:rsid w:val="00CB4AFB"/>
    <w:rsid w:val="00CB4DEF"/>
    <w:rsid w:val="00CB4E36"/>
    <w:rsid w:val="00CB4E5B"/>
    <w:rsid w:val="00CB53C9"/>
    <w:rsid w:val="00CB5416"/>
    <w:rsid w:val="00CB5592"/>
    <w:rsid w:val="00CB56F6"/>
    <w:rsid w:val="00CB5937"/>
    <w:rsid w:val="00CB5942"/>
    <w:rsid w:val="00CB5BF0"/>
    <w:rsid w:val="00CB5D00"/>
    <w:rsid w:val="00CB5F1A"/>
    <w:rsid w:val="00CB5FDF"/>
    <w:rsid w:val="00CB615C"/>
    <w:rsid w:val="00CB6291"/>
    <w:rsid w:val="00CB6312"/>
    <w:rsid w:val="00CB639B"/>
    <w:rsid w:val="00CB63E6"/>
    <w:rsid w:val="00CB640F"/>
    <w:rsid w:val="00CB6735"/>
    <w:rsid w:val="00CB6805"/>
    <w:rsid w:val="00CB6856"/>
    <w:rsid w:val="00CB6C82"/>
    <w:rsid w:val="00CB6D06"/>
    <w:rsid w:val="00CB6D35"/>
    <w:rsid w:val="00CB6D59"/>
    <w:rsid w:val="00CB72AD"/>
    <w:rsid w:val="00CB777E"/>
    <w:rsid w:val="00CB7934"/>
    <w:rsid w:val="00CB7A06"/>
    <w:rsid w:val="00CB7B35"/>
    <w:rsid w:val="00CB7B63"/>
    <w:rsid w:val="00CB7FBD"/>
    <w:rsid w:val="00CC008B"/>
    <w:rsid w:val="00CC03B0"/>
    <w:rsid w:val="00CC04E4"/>
    <w:rsid w:val="00CC04ED"/>
    <w:rsid w:val="00CC055E"/>
    <w:rsid w:val="00CC0563"/>
    <w:rsid w:val="00CC0A06"/>
    <w:rsid w:val="00CC0A0C"/>
    <w:rsid w:val="00CC0D0A"/>
    <w:rsid w:val="00CC14EB"/>
    <w:rsid w:val="00CC16C3"/>
    <w:rsid w:val="00CC170C"/>
    <w:rsid w:val="00CC18C2"/>
    <w:rsid w:val="00CC1911"/>
    <w:rsid w:val="00CC1B03"/>
    <w:rsid w:val="00CC1CA1"/>
    <w:rsid w:val="00CC1D1C"/>
    <w:rsid w:val="00CC1DAE"/>
    <w:rsid w:val="00CC1E50"/>
    <w:rsid w:val="00CC2460"/>
    <w:rsid w:val="00CC24CB"/>
    <w:rsid w:val="00CC256B"/>
    <w:rsid w:val="00CC2714"/>
    <w:rsid w:val="00CC2858"/>
    <w:rsid w:val="00CC296D"/>
    <w:rsid w:val="00CC2A2C"/>
    <w:rsid w:val="00CC2D31"/>
    <w:rsid w:val="00CC331D"/>
    <w:rsid w:val="00CC356C"/>
    <w:rsid w:val="00CC35E8"/>
    <w:rsid w:val="00CC36AE"/>
    <w:rsid w:val="00CC36CC"/>
    <w:rsid w:val="00CC3A29"/>
    <w:rsid w:val="00CC3AD3"/>
    <w:rsid w:val="00CC3F5F"/>
    <w:rsid w:val="00CC40E0"/>
    <w:rsid w:val="00CC40E1"/>
    <w:rsid w:val="00CC41F8"/>
    <w:rsid w:val="00CC4363"/>
    <w:rsid w:val="00CC43B5"/>
    <w:rsid w:val="00CC44B1"/>
    <w:rsid w:val="00CC44DD"/>
    <w:rsid w:val="00CC44E7"/>
    <w:rsid w:val="00CC45A9"/>
    <w:rsid w:val="00CC46AF"/>
    <w:rsid w:val="00CC4BC1"/>
    <w:rsid w:val="00CC4C35"/>
    <w:rsid w:val="00CC4CE5"/>
    <w:rsid w:val="00CC5174"/>
    <w:rsid w:val="00CC51B5"/>
    <w:rsid w:val="00CC52CC"/>
    <w:rsid w:val="00CC52F9"/>
    <w:rsid w:val="00CC5799"/>
    <w:rsid w:val="00CC5B60"/>
    <w:rsid w:val="00CC607E"/>
    <w:rsid w:val="00CC625C"/>
    <w:rsid w:val="00CC62D5"/>
    <w:rsid w:val="00CC64F1"/>
    <w:rsid w:val="00CC660A"/>
    <w:rsid w:val="00CC6627"/>
    <w:rsid w:val="00CC6845"/>
    <w:rsid w:val="00CC6866"/>
    <w:rsid w:val="00CC68A0"/>
    <w:rsid w:val="00CC6B9F"/>
    <w:rsid w:val="00CC6C9B"/>
    <w:rsid w:val="00CC6D94"/>
    <w:rsid w:val="00CC6DD0"/>
    <w:rsid w:val="00CC6E2C"/>
    <w:rsid w:val="00CC77C1"/>
    <w:rsid w:val="00CC7874"/>
    <w:rsid w:val="00CC788A"/>
    <w:rsid w:val="00CC7923"/>
    <w:rsid w:val="00CC7C60"/>
    <w:rsid w:val="00CC7D13"/>
    <w:rsid w:val="00CC7DC3"/>
    <w:rsid w:val="00CC7E1D"/>
    <w:rsid w:val="00CC7E23"/>
    <w:rsid w:val="00CC7F6B"/>
    <w:rsid w:val="00CC7FBB"/>
    <w:rsid w:val="00CD019C"/>
    <w:rsid w:val="00CD0256"/>
    <w:rsid w:val="00CD033F"/>
    <w:rsid w:val="00CD0406"/>
    <w:rsid w:val="00CD040B"/>
    <w:rsid w:val="00CD0872"/>
    <w:rsid w:val="00CD088D"/>
    <w:rsid w:val="00CD0A17"/>
    <w:rsid w:val="00CD0AAD"/>
    <w:rsid w:val="00CD0CB7"/>
    <w:rsid w:val="00CD0E88"/>
    <w:rsid w:val="00CD105E"/>
    <w:rsid w:val="00CD139F"/>
    <w:rsid w:val="00CD13CE"/>
    <w:rsid w:val="00CD174B"/>
    <w:rsid w:val="00CD18FC"/>
    <w:rsid w:val="00CD1AFA"/>
    <w:rsid w:val="00CD1CDA"/>
    <w:rsid w:val="00CD1E62"/>
    <w:rsid w:val="00CD1EDD"/>
    <w:rsid w:val="00CD1FEA"/>
    <w:rsid w:val="00CD2041"/>
    <w:rsid w:val="00CD2196"/>
    <w:rsid w:val="00CD2437"/>
    <w:rsid w:val="00CD2584"/>
    <w:rsid w:val="00CD25C5"/>
    <w:rsid w:val="00CD26EF"/>
    <w:rsid w:val="00CD2762"/>
    <w:rsid w:val="00CD2936"/>
    <w:rsid w:val="00CD2C37"/>
    <w:rsid w:val="00CD2C8D"/>
    <w:rsid w:val="00CD2EE5"/>
    <w:rsid w:val="00CD2F17"/>
    <w:rsid w:val="00CD30E9"/>
    <w:rsid w:val="00CD3128"/>
    <w:rsid w:val="00CD3526"/>
    <w:rsid w:val="00CD3606"/>
    <w:rsid w:val="00CD37F8"/>
    <w:rsid w:val="00CD3C39"/>
    <w:rsid w:val="00CD3C79"/>
    <w:rsid w:val="00CD3E5A"/>
    <w:rsid w:val="00CD3E60"/>
    <w:rsid w:val="00CD3E8D"/>
    <w:rsid w:val="00CD3F0D"/>
    <w:rsid w:val="00CD42CD"/>
    <w:rsid w:val="00CD4375"/>
    <w:rsid w:val="00CD44B6"/>
    <w:rsid w:val="00CD44D0"/>
    <w:rsid w:val="00CD455C"/>
    <w:rsid w:val="00CD461C"/>
    <w:rsid w:val="00CD47BE"/>
    <w:rsid w:val="00CD489F"/>
    <w:rsid w:val="00CD4B6B"/>
    <w:rsid w:val="00CD4BF0"/>
    <w:rsid w:val="00CD509F"/>
    <w:rsid w:val="00CD52BA"/>
    <w:rsid w:val="00CD5306"/>
    <w:rsid w:val="00CD564D"/>
    <w:rsid w:val="00CD5667"/>
    <w:rsid w:val="00CD572C"/>
    <w:rsid w:val="00CD58AB"/>
    <w:rsid w:val="00CD59F7"/>
    <w:rsid w:val="00CD5E71"/>
    <w:rsid w:val="00CD5ED8"/>
    <w:rsid w:val="00CD5FF3"/>
    <w:rsid w:val="00CD608D"/>
    <w:rsid w:val="00CD610C"/>
    <w:rsid w:val="00CD64D0"/>
    <w:rsid w:val="00CD6593"/>
    <w:rsid w:val="00CD67F0"/>
    <w:rsid w:val="00CD6AA4"/>
    <w:rsid w:val="00CD6AFA"/>
    <w:rsid w:val="00CD6DB8"/>
    <w:rsid w:val="00CD6E42"/>
    <w:rsid w:val="00CD6E7B"/>
    <w:rsid w:val="00CD6F28"/>
    <w:rsid w:val="00CD7092"/>
    <w:rsid w:val="00CD709B"/>
    <w:rsid w:val="00CD7120"/>
    <w:rsid w:val="00CD76B3"/>
    <w:rsid w:val="00CD7C24"/>
    <w:rsid w:val="00CD7D95"/>
    <w:rsid w:val="00CD7DA0"/>
    <w:rsid w:val="00CD7F5E"/>
    <w:rsid w:val="00CE0129"/>
    <w:rsid w:val="00CE02F5"/>
    <w:rsid w:val="00CE03EA"/>
    <w:rsid w:val="00CE03F1"/>
    <w:rsid w:val="00CE04F7"/>
    <w:rsid w:val="00CE0555"/>
    <w:rsid w:val="00CE05FD"/>
    <w:rsid w:val="00CE062B"/>
    <w:rsid w:val="00CE074E"/>
    <w:rsid w:val="00CE085A"/>
    <w:rsid w:val="00CE0902"/>
    <w:rsid w:val="00CE0CC2"/>
    <w:rsid w:val="00CE0EB4"/>
    <w:rsid w:val="00CE11CE"/>
    <w:rsid w:val="00CE13CE"/>
    <w:rsid w:val="00CE13F9"/>
    <w:rsid w:val="00CE15BA"/>
    <w:rsid w:val="00CE16FC"/>
    <w:rsid w:val="00CE1F1E"/>
    <w:rsid w:val="00CE1FDD"/>
    <w:rsid w:val="00CE218C"/>
    <w:rsid w:val="00CE2268"/>
    <w:rsid w:val="00CE237D"/>
    <w:rsid w:val="00CE242C"/>
    <w:rsid w:val="00CE253A"/>
    <w:rsid w:val="00CE287C"/>
    <w:rsid w:val="00CE28F7"/>
    <w:rsid w:val="00CE2906"/>
    <w:rsid w:val="00CE2A87"/>
    <w:rsid w:val="00CE2C7D"/>
    <w:rsid w:val="00CE307A"/>
    <w:rsid w:val="00CE39CC"/>
    <w:rsid w:val="00CE3A2D"/>
    <w:rsid w:val="00CE3E36"/>
    <w:rsid w:val="00CE4045"/>
    <w:rsid w:val="00CE4051"/>
    <w:rsid w:val="00CE414C"/>
    <w:rsid w:val="00CE4158"/>
    <w:rsid w:val="00CE4440"/>
    <w:rsid w:val="00CE444F"/>
    <w:rsid w:val="00CE44FE"/>
    <w:rsid w:val="00CE46EB"/>
    <w:rsid w:val="00CE4F01"/>
    <w:rsid w:val="00CE51F7"/>
    <w:rsid w:val="00CE544E"/>
    <w:rsid w:val="00CE5759"/>
    <w:rsid w:val="00CE587C"/>
    <w:rsid w:val="00CE5953"/>
    <w:rsid w:val="00CE5C43"/>
    <w:rsid w:val="00CE6016"/>
    <w:rsid w:val="00CE61AF"/>
    <w:rsid w:val="00CE639E"/>
    <w:rsid w:val="00CE67E0"/>
    <w:rsid w:val="00CE68A2"/>
    <w:rsid w:val="00CE6997"/>
    <w:rsid w:val="00CE6A4C"/>
    <w:rsid w:val="00CE6B29"/>
    <w:rsid w:val="00CE6F63"/>
    <w:rsid w:val="00CE6F71"/>
    <w:rsid w:val="00CE6F94"/>
    <w:rsid w:val="00CE7004"/>
    <w:rsid w:val="00CE7378"/>
    <w:rsid w:val="00CE752B"/>
    <w:rsid w:val="00CE75FF"/>
    <w:rsid w:val="00CE78CC"/>
    <w:rsid w:val="00CE79B6"/>
    <w:rsid w:val="00CE7BDE"/>
    <w:rsid w:val="00CE7CE7"/>
    <w:rsid w:val="00CF0186"/>
    <w:rsid w:val="00CF0280"/>
    <w:rsid w:val="00CF05AA"/>
    <w:rsid w:val="00CF0839"/>
    <w:rsid w:val="00CF09AC"/>
    <w:rsid w:val="00CF0B86"/>
    <w:rsid w:val="00CF0FAD"/>
    <w:rsid w:val="00CF104E"/>
    <w:rsid w:val="00CF1339"/>
    <w:rsid w:val="00CF1641"/>
    <w:rsid w:val="00CF16C8"/>
    <w:rsid w:val="00CF1714"/>
    <w:rsid w:val="00CF1A95"/>
    <w:rsid w:val="00CF1AC1"/>
    <w:rsid w:val="00CF1BA5"/>
    <w:rsid w:val="00CF1EA0"/>
    <w:rsid w:val="00CF1F31"/>
    <w:rsid w:val="00CF2410"/>
    <w:rsid w:val="00CF2484"/>
    <w:rsid w:val="00CF24C3"/>
    <w:rsid w:val="00CF2545"/>
    <w:rsid w:val="00CF2610"/>
    <w:rsid w:val="00CF2893"/>
    <w:rsid w:val="00CF2B93"/>
    <w:rsid w:val="00CF2D4F"/>
    <w:rsid w:val="00CF2D6D"/>
    <w:rsid w:val="00CF2D8D"/>
    <w:rsid w:val="00CF30B4"/>
    <w:rsid w:val="00CF31D8"/>
    <w:rsid w:val="00CF3285"/>
    <w:rsid w:val="00CF32C6"/>
    <w:rsid w:val="00CF333E"/>
    <w:rsid w:val="00CF3473"/>
    <w:rsid w:val="00CF3580"/>
    <w:rsid w:val="00CF386A"/>
    <w:rsid w:val="00CF3BA9"/>
    <w:rsid w:val="00CF3E58"/>
    <w:rsid w:val="00CF43D9"/>
    <w:rsid w:val="00CF4B13"/>
    <w:rsid w:val="00CF4D00"/>
    <w:rsid w:val="00CF4F04"/>
    <w:rsid w:val="00CF4F54"/>
    <w:rsid w:val="00CF4F5E"/>
    <w:rsid w:val="00CF51C1"/>
    <w:rsid w:val="00CF51DF"/>
    <w:rsid w:val="00CF5342"/>
    <w:rsid w:val="00CF53D4"/>
    <w:rsid w:val="00CF55EE"/>
    <w:rsid w:val="00CF570C"/>
    <w:rsid w:val="00CF5900"/>
    <w:rsid w:val="00CF5AE7"/>
    <w:rsid w:val="00CF5E46"/>
    <w:rsid w:val="00CF5EB3"/>
    <w:rsid w:val="00CF60D1"/>
    <w:rsid w:val="00CF624F"/>
    <w:rsid w:val="00CF6293"/>
    <w:rsid w:val="00CF62F6"/>
    <w:rsid w:val="00CF641E"/>
    <w:rsid w:val="00CF65E2"/>
    <w:rsid w:val="00CF6683"/>
    <w:rsid w:val="00CF6739"/>
    <w:rsid w:val="00CF6B38"/>
    <w:rsid w:val="00CF6C48"/>
    <w:rsid w:val="00CF6C85"/>
    <w:rsid w:val="00CF6E30"/>
    <w:rsid w:val="00CF6F09"/>
    <w:rsid w:val="00CF6F2C"/>
    <w:rsid w:val="00CF6F60"/>
    <w:rsid w:val="00CF70BE"/>
    <w:rsid w:val="00CF71A3"/>
    <w:rsid w:val="00CF7350"/>
    <w:rsid w:val="00CF7574"/>
    <w:rsid w:val="00CF76FB"/>
    <w:rsid w:val="00CF773C"/>
    <w:rsid w:val="00CF79CB"/>
    <w:rsid w:val="00CF7CCB"/>
    <w:rsid w:val="00CF7EAE"/>
    <w:rsid w:val="00D00125"/>
    <w:rsid w:val="00D0014B"/>
    <w:rsid w:val="00D001F5"/>
    <w:rsid w:val="00D00233"/>
    <w:rsid w:val="00D004B7"/>
    <w:rsid w:val="00D00630"/>
    <w:rsid w:val="00D00635"/>
    <w:rsid w:val="00D0080A"/>
    <w:rsid w:val="00D00A9E"/>
    <w:rsid w:val="00D010EB"/>
    <w:rsid w:val="00D010FF"/>
    <w:rsid w:val="00D015A9"/>
    <w:rsid w:val="00D015B0"/>
    <w:rsid w:val="00D017F1"/>
    <w:rsid w:val="00D0185B"/>
    <w:rsid w:val="00D0191A"/>
    <w:rsid w:val="00D01B47"/>
    <w:rsid w:val="00D01B9A"/>
    <w:rsid w:val="00D01C71"/>
    <w:rsid w:val="00D021D0"/>
    <w:rsid w:val="00D0265E"/>
    <w:rsid w:val="00D026CD"/>
    <w:rsid w:val="00D02906"/>
    <w:rsid w:val="00D02BB3"/>
    <w:rsid w:val="00D02C1D"/>
    <w:rsid w:val="00D02DC8"/>
    <w:rsid w:val="00D02E3E"/>
    <w:rsid w:val="00D02E53"/>
    <w:rsid w:val="00D03092"/>
    <w:rsid w:val="00D0310D"/>
    <w:rsid w:val="00D03263"/>
    <w:rsid w:val="00D03575"/>
    <w:rsid w:val="00D03766"/>
    <w:rsid w:val="00D03AB6"/>
    <w:rsid w:val="00D03BCC"/>
    <w:rsid w:val="00D03C4F"/>
    <w:rsid w:val="00D03CA0"/>
    <w:rsid w:val="00D03E15"/>
    <w:rsid w:val="00D04123"/>
    <w:rsid w:val="00D041B0"/>
    <w:rsid w:val="00D04319"/>
    <w:rsid w:val="00D04554"/>
    <w:rsid w:val="00D04627"/>
    <w:rsid w:val="00D04668"/>
    <w:rsid w:val="00D04763"/>
    <w:rsid w:val="00D04CA0"/>
    <w:rsid w:val="00D04EB5"/>
    <w:rsid w:val="00D05101"/>
    <w:rsid w:val="00D053E3"/>
    <w:rsid w:val="00D05771"/>
    <w:rsid w:val="00D05805"/>
    <w:rsid w:val="00D05E08"/>
    <w:rsid w:val="00D05FF3"/>
    <w:rsid w:val="00D06068"/>
    <w:rsid w:val="00D0634A"/>
    <w:rsid w:val="00D066FD"/>
    <w:rsid w:val="00D06BE9"/>
    <w:rsid w:val="00D06FFF"/>
    <w:rsid w:val="00D070D2"/>
    <w:rsid w:val="00D07224"/>
    <w:rsid w:val="00D0739F"/>
    <w:rsid w:val="00D073F7"/>
    <w:rsid w:val="00D0746E"/>
    <w:rsid w:val="00D076A0"/>
    <w:rsid w:val="00D076BC"/>
    <w:rsid w:val="00D07736"/>
    <w:rsid w:val="00D07A9C"/>
    <w:rsid w:val="00D07B2C"/>
    <w:rsid w:val="00D07BBB"/>
    <w:rsid w:val="00D07D1A"/>
    <w:rsid w:val="00D07D7B"/>
    <w:rsid w:val="00D07E65"/>
    <w:rsid w:val="00D07EBD"/>
    <w:rsid w:val="00D07F52"/>
    <w:rsid w:val="00D07F7D"/>
    <w:rsid w:val="00D1001E"/>
    <w:rsid w:val="00D10055"/>
    <w:rsid w:val="00D100F7"/>
    <w:rsid w:val="00D10181"/>
    <w:rsid w:val="00D101F6"/>
    <w:rsid w:val="00D10210"/>
    <w:rsid w:val="00D1032B"/>
    <w:rsid w:val="00D10416"/>
    <w:rsid w:val="00D104DE"/>
    <w:rsid w:val="00D1053E"/>
    <w:rsid w:val="00D10C96"/>
    <w:rsid w:val="00D10D83"/>
    <w:rsid w:val="00D10E1E"/>
    <w:rsid w:val="00D11564"/>
    <w:rsid w:val="00D115A3"/>
    <w:rsid w:val="00D1177A"/>
    <w:rsid w:val="00D119E7"/>
    <w:rsid w:val="00D11FA1"/>
    <w:rsid w:val="00D12436"/>
    <w:rsid w:val="00D12A4D"/>
    <w:rsid w:val="00D12F8F"/>
    <w:rsid w:val="00D13027"/>
    <w:rsid w:val="00D13074"/>
    <w:rsid w:val="00D1335F"/>
    <w:rsid w:val="00D1349E"/>
    <w:rsid w:val="00D135D6"/>
    <w:rsid w:val="00D1360B"/>
    <w:rsid w:val="00D136E4"/>
    <w:rsid w:val="00D139E7"/>
    <w:rsid w:val="00D13ADC"/>
    <w:rsid w:val="00D146AE"/>
    <w:rsid w:val="00D14810"/>
    <w:rsid w:val="00D149F1"/>
    <w:rsid w:val="00D14E9E"/>
    <w:rsid w:val="00D14EB3"/>
    <w:rsid w:val="00D14EBD"/>
    <w:rsid w:val="00D15B71"/>
    <w:rsid w:val="00D15BFD"/>
    <w:rsid w:val="00D15FCE"/>
    <w:rsid w:val="00D16094"/>
    <w:rsid w:val="00D1622C"/>
    <w:rsid w:val="00D163AF"/>
    <w:rsid w:val="00D16473"/>
    <w:rsid w:val="00D16551"/>
    <w:rsid w:val="00D165D9"/>
    <w:rsid w:val="00D16627"/>
    <w:rsid w:val="00D169A9"/>
    <w:rsid w:val="00D16C70"/>
    <w:rsid w:val="00D16CBE"/>
    <w:rsid w:val="00D16D8D"/>
    <w:rsid w:val="00D17255"/>
    <w:rsid w:val="00D17340"/>
    <w:rsid w:val="00D175AD"/>
    <w:rsid w:val="00D17781"/>
    <w:rsid w:val="00D1780B"/>
    <w:rsid w:val="00D17A63"/>
    <w:rsid w:val="00D17A93"/>
    <w:rsid w:val="00D17CB7"/>
    <w:rsid w:val="00D17CF9"/>
    <w:rsid w:val="00D17DA9"/>
    <w:rsid w:val="00D17E75"/>
    <w:rsid w:val="00D200A2"/>
    <w:rsid w:val="00D200EE"/>
    <w:rsid w:val="00D201D6"/>
    <w:rsid w:val="00D202F9"/>
    <w:rsid w:val="00D2033D"/>
    <w:rsid w:val="00D203EF"/>
    <w:rsid w:val="00D2042B"/>
    <w:rsid w:val="00D20CFD"/>
    <w:rsid w:val="00D20D8F"/>
    <w:rsid w:val="00D20DB1"/>
    <w:rsid w:val="00D20E05"/>
    <w:rsid w:val="00D20E49"/>
    <w:rsid w:val="00D2152D"/>
    <w:rsid w:val="00D217BE"/>
    <w:rsid w:val="00D21A59"/>
    <w:rsid w:val="00D21BBF"/>
    <w:rsid w:val="00D21C35"/>
    <w:rsid w:val="00D21D81"/>
    <w:rsid w:val="00D21E2F"/>
    <w:rsid w:val="00D220F2"/>
    <w:rsid w:val="00D221F4"/>
    <w:rsid w:val="00D221F8"/>
    <w:rsid w:val="00D22398"/>
    <w:rsid w:val="00D225EC"/>
    <w:rsid w:val="00D22691"/>
    <w:rsid w:val="00D229B0"/>
    <w:rsid w:val="00D23054"/>
    <w:rsid w:val="00D230DC"/>
    <w:rsid w:val="00D230F1"/>
    <w:rsid w:val="00D232A8"/>
    <w:rsid w:val="00D234E2"/>
    <w:rsid w:val="00D23596"/>
    <w:rsid w:val="00D237FB"/>
    <w:rsid w:val="00D23883"/>
    <w:rsid w:val="00D238FF"/>
    <w:rsid w:val="00D2390C"/>
    <w:rsid w:val="00D23A03"/>
    <w:rsid w:val="00D23AD0"/>
    <w:rsid w:val="00D23C77"/>
    <w:rsid w:val="00D23D84"/>
    <w:rsid w:val="00D23F53"/>
    <w:rsid w:val="00D241E0"/>
    <w:rsid w:val="00D243EB"/>
    <w:rsid w:val="00D244D1"/>
    <w:rsid w:val="00D248BE"/>
    <w:rsid w:val="00D24B08"/>
    <w:rsid w:val="00D24F52"/>
    <w:rsid w:val="00D253E3"/>
    <w:rsid w:val="00D25790"/>
    <w:rsid w:val="00D25891"/>
    <w:rsid w:val="00D259B1"/>
    <w:rsid w:val="00D25A58"/>
    <w:rsid w:val="00D25A90"/>
    <w:rsid w:val="00D25FDF"/>
    <w:rsid w:val="00D26164"/>
    <w:rsid w:val="00D26207"/>
    <w:rsid w:val="00D262D3"/>
    <w:rsid w:val="00D2637F"/>
    <w:rsid w:val="00D263BE"/>
    <w:rsid w:val="00D2667E"/>
    <w:rsid w:val="00D2676C"/>
    <w:rsid w:val="00D268D0"/>
    <w:rsid w:val="00D269D8"/>
    <w:rsid w:val="00D26AF8"/>
    <w:rsid w:val="00D26B0E"/>
    <w:rsid w:val="00D26D2D"/>
    <w:rsid w:val="00D26FAF"/>
    <w:rsid w:val="00D270B3"/>
    <w:rsid w:val="00D27587"/>
    <w:rsid w:val="00D276F6"/>
    <w:rsid w:val="00D27721"/>
    <w:rsid w:val="00D277B6"/>
    <w:rsid w:val="00D2789D"/>
    <w:rsid w:val="00D27A74"/>
    <w:rsid w:val="00D27A92"/>
    <w:rsid w:val="00D27BB8"/>
    <w:rsid w:val="00D27CC7"/>
    <w:rsid w:val="00D27D87"/>
    <w:rsid w:val="00D27E4D"/>
    <w:rsid w:val="00D27EDA"/>
    <w:rsid w:val="00D3024F"/>
    <w:rsid w:val="00D304E4"/>
    <w:rsid w:val="00D30791"/>
    <w:rsid w:val="00D307E2"/>
    <w:rsid w:val="00D307F6"/>
    <w:rsid w:val="00D30916"/>
    <w:rsid w:val="00D30BE4"/>
    <w:rsid w:val="00D30F11"/>
    <w:rsid w:val="00D3111F"/>
    <w:rsid w:val="00D3136B"/>
    <w:rsid w:val="00D313AB"/>
    <w:rsid w:val="00D3147C"/>
    <w:rsid w:val="00D315DB"/>
    <w:rsid w:val="00D316E7"/>
    <w:rsid w:val="00D31711"/>
    <w:rsid w:val="00D31D23"/>
    <w:rsid w:val="00D31D66"/>
    <w:rsid w:val="00D31DA3"/>
    <w:rsid w:val="00D31EC4"/>
    <w:rsid w:val="00D32063"/>
    <w:rsid w:val="00D321F9"/>
    <w:rsid w:val="00D32562"/>
    <w:rsid w:val="00D32779"/>
    <w:rsid w:val="00D32855"/>
    <w:rsid w:val="00D32A9F"/>
    <w:rsid w:val="00D32AB3"/>
    <w:rsid w:val="00D32BE5"/>
    <w:rsid w:val="00D32E59"/>
    <w:rsid w:val="00D32F2A"/>
    <w:rsid w:val="00D32FED"/>
    <w:rsid w:val="00D3315F"/>
    <w:rsid w:val="00D334E9"/>
    <w:rsid w:val="00D33808"/>
    <w:rsid w:val="00D3384D"/>
    <w:rsid w:val="00D3428D"/>
    <w:rsid w:val="00D342BE"/>
    <w:rsid w:val="00D342C3"/>
    <w:rsid w:val="00D34389"/>
    <w:rsid w:val="00D34863"/>
    <w:rsid w:val="00D34C73"/>
    <w:rsid w:val="00D3519E"/>
    <w:rsid w:val="00D3549B"/>
    <w:rsid w:val="00D354D1"/>
    <w:rsid w:val="00D3563B"/>
    <w:rsid w:val="00D3582F"/>
    <w:rsid w:val="00D35AF2"/>
    <w:rsid w:val="00D364CF"/>
    <w:rsid w:val="00D365BC"/>
    <w:rsid w:val="00D36701"/>
    <w:rsid w:val="00D368EC"/>
    <w:rsid w:val="00D36D54"/>
    <w:rsid w:val="00D37188"/>
    <w:rsid w:val="00D373D0"/>
    <w:rsid w:val="00D374C8"/>
    <w:rsid w:val="00D37B3D"/>
    <w:rsid w:val="00D37CAE"/>
    <w:rsid w:val="00D37FC1"/>
    <w:rsid w:val="00D4005D"/>
    <w:rsid w:val="00D4019F"/>
    <w:rsid w:val="00D402AF"/>
    <w:rsid w:val="00D402B5"/>
    <w:rsid w:val="00D4062C"/>
    <w:rsid w:val="00D40721"/>
    <w:rsid w:val="00D40C2D"/>
    <w:rsid w:val="00D40C3C"/>
    <w:rsid w:val="00D41052"/>
    <w:rsid w:val="00D41185"/>
    <w:rsid w:val="00D41276"/>
    <w:rsid w:val="00D41374"/>
    <w:rsid w:val="00D413BD"/>
    <w:rsid w:val="00D41615"/>
    <w:rsid w:val="00D41629"/>
    <w:rsid w:val="00D418CB"/>
    <w:rsid w:val="00D418FC"/>
    <w:rsid w:val="00D41A57"/>
    <w:rsid w:val="00D41C0B"/>
    <w:rsid w:val="00D41E24"/>
    <w:rsid w:val="00D420A6"/>
    <w:rsid w:val="00D425D9"/>
    <w:rsid w:val="00D426C3"/>
    <w:rsid w:val="00D426C4"/>
    <w:rsid w:val="00D4272F"/>
    <w:rsid w:val="00D4295E"/>
    <w:rsid w:val="00D42ADC"/>
    <w:rsid w:val="00D42AF8"/>
    <w:rsid w:val="00D42B4B"/>
    <w:rsid w:val="00D42BDE"/>
    <w:rsid w:val="00D42F44"/>
    <w:rsid w:val="00D4328E"/>
    <w:rsid w:val="00D435E0"/>
    <w:rsid w:val="00D436E3"/>
    <w:rsid w:val="00D4386D"/>
    <w:rsid w:val="00D43941"/>
    <w:rsid w:val="00D439BB"/>
    <w:rsid w:val="00D43C3A"/>
    <w:rsid w:val="00D43D14"/>
    <w:rsid w:val="00D43EFC"/>
    <w:rsid w:val="00D4417F"/>
    <w:rsid w:val="00D44291"/>
    <w:rsid w:val="00D446A8"/>
    <w:rsid w:val="00D44910"/>
    <w:rsid w:val="00D44AA9"/>
    <w:rsid w:val="00D44ECB"/>
    <w:rsid w:val="00D44F1E"/>
    <w:rsid w:val="00D44FAC"/>
    <w:rsid w:val="00D4529B"/>
    <w:rsid w:val="00D452BF"/>
    <w:rsid w:val="00D4541B"/>
    <w:rsid w:val="00D4544A"/>
    <w:rsid w:val="00D4546F"/>
    <w:rsid w:val="00D45699"/>
    <w:rsid w:val="00D4580D"/>
    <w:rsid w:val="00D45898"/>
    <w:rsid w:val="00D4597F"/>
    <w:rsid w:val="00D45A9C"/>
    <w:rsid w:val="00D45B16"/>
    <w:rsid w:val="00D45C25"/>
    <w:rsid w:val="00D45C48"/>
    <w:rsid w:val="00D45DA1"/>
    <w:rsid w:val="00D45E54"/>
    <w:rsid w:val="00D45E5D"/>
    <w:rsid w:val="00D45F23"/>
    <w:rsid w:val="00D463BE"/>
    <w:rsid w:val="00D464F2"/>
    <w:rsid w:val="00D464F4"/>
    <w:rsid w:val="00D4653B"/>
    <w:rsid w:val="00D46A65"/>
    <w:rsid w:val="00D46CC9"/>
    <w:rsid w:val="00D46CE2"/>
    <w:rsid w:val="00D46D02"/>
    <w:rsid w:val="00D46DE6"/>
    <w:rsid w:val="00D46E42"/>
    <w:rsid w:val="00D47121"/>
    <w:rsid w:val="00D47171"/>
    <w:rsid w:val="00D473FD"/>
    <w:rsid w:val="00D47937"/>
    <w:rsid w:val="00D4797F"/>
    <w:rsid w:val="00D47A63"/>
    <w:rsid w:val="00D47EBD"/>
    <w:rsid w:val="00D500F2"/>
    <w:rsid w:val="00D5016D"/>
    <w:rsid w:val="00D50265"/>
    <w:rsid w:val="00D50279"/>
    <w:rsid w:val="00D502E0"/>
    <w:rsid w:val="00D50304"/>
    <w:rsid w:val="00D504D8"/>
    <w:rsid w:val="00D50595"/>
    <w:rsid w:val="00D506B9"/>
    <w:rsid w:val="00D50ADA"/>
    <w:rsid w:val="00D50FED"/>
    <w:rsid w:val="00D50FF8"/>
    <w:rsid w:val="00D510D6"/>
    <w:rsid w:val="00D514C0"/>
    <w:rsid w:val="00D51752"/>
    <w:rsid w:val="00D51807"/>
    <w:rsid w:val="00D51DB0"/>
    <w:rsid w:val="00D51FDD"/>
    <w:rsid w:val="00D521C0"/>
    <w:rsid w:val="00D5224F"/>
    <w:rsid w:val="00D52319"/>
    <w:rsid w:val="00D524E4"/>
    <w:rsid w:val="00D5262C"/>
    <w:rsid w:val="00D52CB0"/>
    <w:rsid w:val="00D52DF4"/>
    <w:rsid w:val="00D52E3E"/>
    <w:rsid w:val="00D52E8D"/>
    <w:rsid w:val="00D532BD"/>
    <w:rsid w:val="00D5338F"/>
    <w:rsid w:val="00D53557"/>
    <w:rsid w:val="00D535E0"/>
    <w:rsid w:val="00D536B2"/>
    <w:rsid w:val="00D53781"/>
    <w:rsid w:val="00D537A1"/>
    <w:rsid w:val="00D53950"/>
    <w:rsid w:val="00D53A37"/>
    <w:rsid w:val="00D53D07"/>
    <w:rsid w:val="00D53ECE"/>
    <w:rsid w:val="00D53EEA"/>
    <w:rsid w:val="00D54044"/>
    <w:rsid w:val="00D543A8"/>
    <w:rsid w:val="00D5451B"/>
    <w:rsid w:val="00D5451C"/>
    <w:rsid w:val="00D54600"/>
    <w:rsid w:val="00D54640"/>
    <w:rsid w:val="00D5474D"/>
    <w:rsid w:val="00D5497C"/>
    <w:rsid w:val="00D54A65"/>
    <w:rsid w:val="00D54ABA"/>
    <w:rsid w:val="00D54EC3"/>
    <w:rsid w:val="00D54F88"/>
    <w:rsid w:val="00D5505E"/>
    <w:rsid w:val="00D550A1"/>
    <w:rsid w:val="00D553A0"/>
    <w:rsid w:val="00D55797"/>
    <w:rsid w:val="00D558BB"/>
    <w:rsid w:val="00D55A75"/>
    <w:rsid w:val="00D55BA1"/>
    <w:rsid w:val="00D55D70"/>
    <w:rsid w:val="00D5604B"/>
    <w:rsid w:val="00D56057"/>
    <w:rsid w:val="00D56430"/>
    <w:rsid w:val="00D564DA"/>
    <w:rsid w:val="00D56561"/>
    <w:rsid w:val="00D565C0"/>
    <w:rsid w:val="00D56604"/>
    <w:rsid w:val="00D56CFE"/>
    <w:rsid w:val="00D56E60"/>
    <w:rsid w:val="00D57000"/>
    <w:rsid w:val="00D5730D"/>
    <w:rsid w:val="00D57691"/>
    <w:rsid w:val="00D57701"/>
    <w:rsid w:val="00D57890"/>
    <w:rsid w:val="00D57E6A"/>
    <w:rsid w:val="00D57EB7"/>
    <w:rsid w:val="00D60057"/>
    <w:rsid w:val="00D60076"/>
    <w:rsid w:val="00D602BE"/>
    <w:rsid w:val="00D602C2"/>
    <w:rsid w:val="00D603BF"/>
    <w:rsid w:val="00D60484"/>
    <w:rsid w:val="00D60746"/>
    <w:rsid w:val="00D60B51"/>
    <w:rsid w:val="00D60B5E"/>
    <w:rsid w:val="00D60B6F"/>
    <w:rsid w:val="00D60BF1"/>
    <w:rsid w:val="00D60CFC"/>
    <w:rsid w:val="00D60F0F"/>
    <w:rsid w:val="00D60F47"/>
    <w:rsid w:val="00D6104B"/>
    <w:rsid w:val="00D61279"/>
    <w:rsid w:val="00D613F8"/>
    <w:rsid w:val="00D61518"/>
    <w:rsid w:val="00D6155F"/>
    <w:rsid w:val="00D61641"/>
    <w:rsid w:val="00D616CE"/>
    <w:rsid w:val="00D6178D"/>
    <w:rsid w:val="00D61B0F"/>
    <w:rsid w:val="00D61B75"/>
    <w:rsid w:val="00D61F20"/>
    <w:rsid w:val="00D61F99"/>
    <w:rsid w:val="00D621B7"/>
    <w:rsid w:val="00D621F1"/>
    <w:rsid w:val="00D62661"/>
    <w:rsid w:val="00D627AB"/>
    <w:rsid w:val="00D62853"/>
    <w:rsid w:val="00D628E7"/>
    <w:rsid w:val="00D62AB7"/>
    <w:rsid w:val="00D62B3F"/>
    <w:rsid w:val="00D62F92"/>
    <w:rsid w:val="00D630CE"/>
    <w:rsid w:val="00D6320D"/>
    <w:rsid w:val="00D63232"/>
    <w:rsid w:val="00D632A0"/>
    <w:rsid w:val="00D63352"/>
    <w:rsid w:val="00D6364F"/>
    <w:rsid w:val="00D636E0"/>
    <w:rsid w:val="00D6382B"/>
    <w:rsid w:val="00D6394E"/>
    <w:rsid w:val="00D639F4"/>
    <w:rsid w:val="00D63B04"/>
    <w:rsid w:val="00D63B20"/>
    <w:rsid w:val="00D63CCC"/>
    <w:rsid w:val="00D63DE8"/>
    <w:rsid w:val="00D63EBD"/>
    <w:rsid w:val="00D63FD2"/>
    <w:rsid w:val="00D64273"/>
    <w:rsid w:val="00D6428D"/>
    <w:rsid w:val="00D64362"/>
    <w:rsid w:val="00D64A5E"/>
    <w:rsid w:val="00D64BAE"/>
    <w:rsid w:val="00D65088"/>
    <w:rsid w:val="00D650A9"/>
    <w:rsid w:val="00D650F4"/>
    <w:rsid w:val="00D657F3"/>
    <w:rsid w:val="00D65AC3"/>
    <w:rsid w:val="00D65C25"/>
    <w:rsid w:val="00D65C2A"/>
    <w:rsid w:val="00D65CD1"/>
    <w:rsid w:val="00D66042"/>
    <w:rsid w:val="00D6612D"/>
    <w:rsid w:val="00D661B8"/>
    <w:rsid w:val="00D6626A"/>
    <w:rsid w:val="00D66412"/>
    <w:rsid w:val="00D66443"/>
    <w:rsid w:val="00D6691C"/>
    <w:rsid w:val="00D66C32"/>
    <w:rsid w:val="00D66CAD"/>
    <w:rsid w:val="00D66F46"/>
    <w:rsid w:val="00D66F76"/>
    <w:rsid w:val="00D67193"/>
    <w:rsid w:val="00D6723A"/>
    <w:rsid w:val="00D67455"/>
    <w:rsid w:val="00D678E2"/>
    <w:rsid w:val="00D67A01"/>
    <w:rsid w:val="00D67D2B"/>
    <w:rsid w:val="00D67F16"/>
    <w:rsid w:val="00D7007C"/>
    <w:rsid w:val="00D7022E"/>
    <w:rsid w:val="00D703CB"/>
    <w:rsid w:val="00D704A9"/>
    <w:rsid w:val="00D7075B"/>
    <w:rsid w:val="00D707A0"/>
    <w:rsid w:val="00D70E9A"/>
    <w:rsid w:val="00D71037"/>
    <w:rsid w:val="00D71305"/>
    <w:rsid w:val="00D7132B"/>
    <w:rsid w:val="00D714C5"/>
    <w:rsid w:val="00D71571"/>
    <w:rsid w:val="00D71626"/>
    <w:rsid w:val="00D719B1"/>
    <w:rsid w:val="00D719F8"/>
    <w:rsid w:val="00D71A29"/>
    <w:rsid w:val="00D71BD1"/>
    <w:rsid w:val="00D71EEB"/>
    <w:rsid w:val="00D72373"/>
    <w:rsid w:val="00D724B0"/>
    <w:rsid w:val="00D726B3"/>
    <w:rsid w:val="00D7321D"/>
    <w:rsid w:val="00D7323F"/>
    <w:rsid w:val="00D732EB"/>
    <w:rsid w:val="00D733E7"/>
    <w:rsid w:val="00D7344D"/>
    <w:rsid w:val="00D735FA"/>
    <w:rsid w:val="00D73664"/>
    <w:rsid w:val="00D7384E"/>
    <w:rsid w:val="00D738C3"/>
    <w:rsid w:val="00D73AA8"/>
    <w:rsid w:val="00D73ECC"/>
    <w:rsid w:val="00D73EF0"/>
    <w:rsid w:val="00D7407A"/>
    <w:rsid w:val="00D74264"/>
    <w:rsid w:val="00D74699"/>
    <w:rsid w:val="00D74880"/>
    <w:rsid w:val="00D7498E"/>
    <w:rsid w:val="00D74A9F"/>
    <w:rsid w:val="00D74CA6"/>
    <w:rsid w:val="00D74D00"/>
    <w:rsid w:val="00D74D41"/>
    <w:rsid w:val="00D74F6A"/>
    <w:rsid w:val="00D754A8"/>
    <w:rsid w:val="00D758C1"/>
    <w:rsid w:val="00D75956"/>
    <w:rsid w:val="00D75AFA"/>
    <w:rsid w:val="00D75CE4"/>
    <w:rsid w:val="00D75E09"/>
    <w:rsid w:val="00D76160"/>
    <w:rsid w:val="00D76174"/>
    <w:rsid w:val="00D76381"/>
    <w:rsid w:val="00D765BF"/>
    <w:rsid w:val="00D76611"/>
    <w:rsid w:val="00D7683B"/>
    <w:rsid w:val="00D769F9"/>
    <w:rsid w:val="00D76D5B"/>
    <w:rsid w:val="00D776AF"/>
    <w:rsid w:val="00D776EB"/>
    <w:rsid w:val="00D77767"/>
    <w:rsid w:val="00D7788E"/>
    <w:rsid w:val="00D77A3D"/>
    <w:rsid w:val="00D77AD2"/>
    <w:rsid w:val="00D77F2E"/>
    <w:rsid w:val="00D80251"/>
    <w:rsid w:val="00D8025E"/>
    <w:rsid w:val="00D803DC"/>
    <w:rsid w:val="00D804DA"/>
    <w:rsid w:val="00D8078A"/>
    <w:rsid w:val="00D80834"/>
    <w:rsid w:val="00D80CDF"/>
    <w:rsid w:val="00D80E14"/>
    <w:rsid w:val="00D80ED1"/>
    <w:rsid w:val="00D80F28"/>
    <w:rsid w:val="00D8100C"/>
    <w:rsid w:val="00D81037"/>
    <w:rsid w:val="00D81237"/>
    <w:rsid w:val="00D81254"/>
    <w:rsid w:val="00D814EF"/>
    <w:rsid w:val="00D81677"/>
    <w:rsid w:val="00D81727"/>
    <w:rsid w:val="00D81C7C"/>
    <w:rsid w:val="00D81DFA"/>
    <w:rsid w:val="00D81F6A"/>
    <w:rsid w:val="00D8200D"/>
    <w:rsid w:val="00D8242B"/>
    <w:rsid w:val="00D8283C"/>
    <w:rsid w:val="00D8283D"/>
    <w:rsid w:val="00D82B85"/>
    <w:rsid w:val="00D82CD1"/>
    <w:rsid w:val="00D82EB4"/>
    <w:rsid w:val="00D83006"/>
    <w:rsid w:val="00D832D5"/>
    <w:rsid w:val="00D832DD"/>
    <w:rsid w:val="00D835A8"/>
    <w:rsid w:val="00D835EF"/>
    <w:rsid w:val="00D83B21"/>
    <w:rsid w:val="00D83D6F"/>
    <w:rsid w:val="00D83D73"/>
    <w:rsid w:val="00D84004"/>
    <w:rsid w:val="00D841EF"/>
    <w:rsid w:val="00D8476B"/>
    <w:rsid w:val="00D847AA"/>
    <w:rsid w:val="00D847AB"/>
    <w:rsid w:val="00D84825"/>
    <w:rsid w:val="00D84A5B"/>
    <w:rsid w:val="00D84C94"/>
    <w:rsid w:val="00D84F7C"/>
    <w:rsid w:val="00D850E9"/>
    <w:rsid w:val="00D85214"/>
    <w:rsid w:val="00D852F7"/>
    <w:rsid w:val="00D85314"/>
    <w:rsid w:val="00D8541C"/>
    <w:rsid w:val="00D855A0"/>
    <w:rsid w:val="00D8572F"/>
    <w:rsid w:val="00D8584F"/>
    <w:rsid w:val="00D85851"/>
    <w:rsid w:val="00D85975"/>
    <w:rsid w:val="00D859A1"/>
    <w:rsid w:val="00D85BF7"/>
    <w:rsid w:val="00D85D75"/>
    <w:rsid w:val="00D85F2C"/>
    <w:rsid w:val="00D85F68"/>
    <w:rsid w:val="00D86090"/>
    <w:rsid w:val="00D86571"/>
    <w:rsid w:val="00D86640"/>
    <w:rsid w:val="00D8697F"/>
    <w:rsid w:val="00D86AA3"/>
    <w:rsid w:val="00D86B86"/>
    <w:rsid w:val="00D86E05"/>
    <w:rsid w:val="00D86FCB"/>
    <w:rsid w:val="00D87099"/>
    <w:rsid w:val="00D8713A"/>
    <w:rsid w:val="00D871F7"/>
    <w:rsid w:val="00D874B0"/>
    <w:rsid w:val="00D87550"/>
    <w:rsid w:val="00D879E5"/>
    <w:rsid w:val="00D87B97"/>
    <w:rsid w:val="00D87CE5"/>
    <w:rsid w:val="00D87FB1"/>
    <w:rsid w:val="00D9001E"/>
    <w:rsid w:val="00D9016B"/>
    <w:rsid w:val="00D901CC"/>
    <w:rsid w:val="00D90222"/>
    <w:rsid w:val="00D903A6"/>
    <w:rsid w:val="00D90CCB"/>
    <w:rsid w:val="00D90D93"/>
    <w:rsid w:val="00D90DF0"/>
    <w:rsid w:val="00D90E54"/>
    <w:rsid w:val="00D90F59"/>
    <w:rsid w:val="00D9107A"/>
    <w:rsid w:val="00D9111F"/>
    <w:rsid w:val="00D91866"/>
    <w:rsid w:val="00D918F9"/>
    <w:rsid w:val="00D91F4C"/>
    <w:rsid w:val="00D920E2"/>
    <w:rsid w:val="00D9295B"/>
    <w:rsid w:val="00D92C4C"/>
    <w:rsid w:val="00D92D03"/>
    <w:rsid w:val="00D92F58"/>
    <w:rsid w:val="00D9302C"/>
    <w:rsid w:val="00D93178"/>
    <w:rsid w:val="00D9335F"/>
    <w:rsid w:val="00D93405"/>
    <w:rsid w:val="00D9340A"/>
    <w:rsid w:val="00D9344F"/>
    <w:rsid w:val="00D935A4"/>
    <w:rsid w:val="00D937E0"/>
    <w:rsid w:val="00D93920"/>
    <w:rsid w:val="00D93C6D"/>
    <w:rsid w:val="00D93EB5"/>
    <w:rsid w:val="00D93F47"/>
    <w:rsid w:val="00D93F7F"/>
    <w:rsid w:val="00D9406E"/>
    <w:rsid w:val="00D943AD"/>
    <w:rsid w:val="00D94525"/>
    <w:rsid w:val="00D94538"/>
    <w:rsid w:val="00D94610"/>
    <w:rsid w:val="00D94707"/>
    <w:rsid w:val="00D94913"/>
    <w:rsid w:val="00D9494C"/>
    <w:rsid w:val="00D94979"/>
    <w:rsid w:val="00D94AAD"/>
    <w:rsid w:val="00D95295"/>
    <w:rsid w:val="00D95314"/>
    <w:rsid w:val="00D956C1"/>
    <w:rsid w:val="00D9581B"/>
    <w:rsid w:val="00D958E2"/>
    <w:rsid w:val="00D95B21"/>
    <w:rsid w:val="00D95CC8"/>
    <w:rsid w:val="00D961A5"/>
    <w:rsid w:val="00D96552"/>
    <w:rsid w:val="00D969BF"/>
    <w:rsid w:val="00D96B56"/>
    <w:rsid w:val="00D96BE4"/>
    <w:rsid w:val="00D96D9E"/>
    <w:rsid w:val="00D9713F"/>
    <w:rsid w:val="00D9717D"/>
    <w:rsid w:val="00D971DB"/>
    <w:rsid w:val="00D97329"/>
    <w:rsid w:val="00D979FA"/>
    <w:rsid w:val="00D97CCA"/>
    <w:rsid w:val="00D97D6F"/>
    <w:rsid w:val="00D97E9E"/>
    <w:rsid w:val="00D97F81"/>
    <w:rsid w:val="00D97F8D"/>
    <w:rsid w:val="00DA04F1"/>
    <w:rsid w:val="00DA0537"/>
    <w:rsid w:val="00DA0589"/>
    <w:rsid w:val="00DA1117"/>
    <w:rsid w:val="00DA131E"/>
    <w:rsid w:val="00DA138C"/>
    <w:rsid w:val="00DA1467"/>
    <w:rsid w:val="00DA15F3"/>
    <w:rsid w:val="00DA170A"/>
    <w:rsid w:val="00DA174C"/>
    <w:rsid w:val="00DA18CE"/>
    <w:rsid w:val="00DA1970"/>
    <w:rsid w:val="00DA19BB"/>
    <w:rsid w:val="00DA1A45"/>
    <w:rsid w:val="00DA1B48"/>
    <w:rsid w:val="00DA1D42"/>
    <w:rsid w:val="00DA1DF6"/>
    <w:rsid w:val="00DA1E72"/>
    <w:rsid w:val="00DA2A0B"/>
    <w:rsid w:val="00DA2A57"/>
    <w:rsid w:val="00DA2BF2"/>
    <w:rsid w:val="00DA2C7E"/>
    <w:rsid w:val="00DA30C2"/>
    <w:rsid w:val="00DA30F3"/>
    <w:rsid w:val="00DA3600"/>
    <w:rsid w:val="00DA367F"/>
    <w:rsid w:val="00DA36C6"/>
    <w:rsid w:val="00DA385D"/>
    <w:rsid w:val="00DA3CB7"/>
    <w:rsid w:val="00DA3CDF"/>
    <w:rsid w:val="00DA3DF8"/>
    <w:rsid w:val="00DA3FEE"/>
    <w:rsid w:val="00DA44F9"/>
    <w:rsid w:val="00DA4522"/>
    <w:rsid w:val="00DA4779"/>
    <w:rsid w:val="00DA47C0"/>
    <w:rsid w:val="00DA48FE"/>
    <w:rsid w:val="00DA49ED"/>
    <w:rsid w:val="00DA4CEE"/>
    <w:rsid w:val="00DA5102"/>
    <w:rsid w:val="00DA528A"/>
    <w:rsid w:val="00DA5364"/>
    <w:rsid w:val="00DA5472"/>
    <w:rsid w:val="00DA5793"/>
    <w:rsid w:val="00DA57F3"/>
    <w:rsid w:val="00DA5918"/>
    <w:rsid w:val="00DA5C42"/>
    <w:rsid w:val="00DA5CAD"/>
    <w:rsid w:val="00DA5DD5"/>
    <w:rsid w:val="00DA5EB3"/>
    <w:rsid w:val="00DA5EFF"/>
    <w:rsid w:val="00DA5FEE"/>
    <w:rsid w:val="00DA601A"/>
    <w:rsid w:val="00DA6027"/>
    <w:rsid w:val="00DA6184"/>
    <w:rsid w:val="00DA6413"/>
    <w:rsid w:val="00DA64A9"/>
    <w:rsid w:val="00DA65C5"/>
    <w:rsid w:val="00DA69EF"/>
    <w:rsid w:val="00DA6C23"/>
    <w:rsid w:val="00DA6C8A"/>
    <w:rsid w:val="00DA6C99"/>
    <w:rsid w:val="00DA6CFF"/>
    <w:rsid w:val="00DA6EAD"/>
    <w:rsid w:val="00DA6ED9"/>
    <w:rsid w:val="00DA710C"/>
    <w:rsid w:val="00DA7175"/>
    <w:rsid w:val="00DA71B8"/>
    <w:rsid w:val="00DA722D"/>
    <w:rsid w:val="00DA740D"/>
    <w:rsid w:val="00DA74CA"/>
    <w:rsid w:val="00DA7589"/>
    <w:rsid w:val="00DA7765"/>
    <w:rsid w:val="00DA7825"/>
    <w:rsid w:val="00DA7AAB"/>
    <w:rsid w:val="00DA7EF8"/>
    <w:rsid w:val="00DB015F"/>
    <w:rsid w:val="00DB03A6"/>
    <w:rsid w:val="00DB0543"/>
    <w:rsid w:val="00DB06A7"/>
    <w:rsid w:val="00DB0921"/>
    <w:rsid w:val="00DB0AC4"/>
    <w:rsid w:val="00DB10E4"/>
    <w:rsid w:val="00DB13F0"/>
    <w:rsid w:val="00DB13F9"/>
    <w:rsid w:val="00DB148E"/>
    <w:rsid w:val="00DB1608"/>
    <w:rsid w:val="00DB187D"/>
    <w:rsid w:val="00DB195C"/>
    <w:rsid w:val="00DB1973"/>
    <w:rsid w:val="00DB1C4F"/>
    <w:rsid w:val="00DB20A0"/>
    <w:rsid w:val="00DB20F0"/>
    <w:rsid w:val="00DB2294"/>
    <w:rsid w:val="00DB2422"/>
    <w:rsid w:val="00DB2A0F"/>
    <w:rsid w:val="00DB2A7C"/>
    <w:rsid w:val="00DB2CE3"/>
    <w:rsid w:val="00DB2DB0"/>
    <w:rsid w:val="00DB2FE6"/>
    <w:rsid w:val="00DB347D"/>
    <w:rsid w:val="00DB3491"/>
    <w:rsid w:val="00DB372D"/>
    <w:rsid w:val="00DB37C9"/>
    <w:rsid w:val="00DB3949"/>
    <w:rsid w:val="00DB3A6C"/>
    <w:rsid w:val="00DB3D76"/>
    <w:rsid w:val="00DB3EF4"/>
    <w:rsid w:val="00DB4310"/>
    <w:rsid w:val="00DB47A0"/>
    <w:rsid w:val="00DB4AF3"/>
    <w:rsid w:val="00DB4E26"/>
    <w:rsid w:val="00DB5007"/>
    <w:rsid w:val="00DB5092"/>
    <w:rsid w:val="00DB509F"/>
    <w:rsid w:val="00DB513F"/>
    <w:rsid w:val="00DB5456"/>
    <w:rsid w:val="00DB56E3"/>
    <w:rsid w:val="00DB575B"/>
    <w:rsid w:val="00DB57B1"/>
    <w:rsid w:val="00DB5808"/>
    <w:rsid w:val="00DB58C3"/>
    <w:rsid w:val="00DB5CFF"/>
    <w:rsid w:val="00DB5DF2"/>
    <w:rsid w:val="00DB6582"/>
    <w:rsid w:val="00DB6599"/>
    <w:rsid w:val="00DB6A19"/>
    <w:rsid w:val="00DB6AC4"/>
    <w:rsid w:val="00DB6EC9"/>
    <w:rsid w:val="00DB7269"/>
    <w:rsid w:val="00DB7274"/>
    <w:rsid w:val="00DB79EB"/>
    <w:rsid w:val="00DB7D1B"/>
    <w:rsid w:val="00DB7E4D"/>
    <w:rsid w:val="00DB7E83"/>
    <w:rsid w:val="00DB7F4A"/>
    <w:rsid w:val="00DB7F5B"/>
    <w:rsid w:val="00DC01D0"/>
    <w:rsid w:val="00DC0403"/>
    <w:rsid w:val="00DC046C"/>
    <w:rsid w:val="00DC055C"/>
    <w:rsid w:val="00DC05F5"/>
    <w:rsid w:val="00DC09B1"/>
    <w:rsid w:val="00DC0A50"/>
    <w:rsid w:val="00DC0B2B"/>
    <w:rsid w:val="00DC0B9B"/>
    <w:rsid w:val="00DC0EB4"/>
    <w:rsid w:val="00DC1231"/>
    <w:rsid w:val="00DC1542"/>
    <w:rsid w:val="00DC1A31"/>
    <w:rsid w:val="00DC1AAA"/>
    <w:rsid w:val="00DC1ADF"/>
    <w:rsid w:val="00DC1BF4"/>
    <w:rsid w:val="00DC1C14"/>
    <w:rsid w:val="00DC1CC8"/>
    <w:rsid w:val="00DC1D7F"/>
    <w:rsid w:val="00DC1E48"/>
    <w:rsid w:val="00DC204F"/>
    <w:rsid w:val="00DC2076"/>
    <w:rsid w:val="00DC2090"/>
    <w:rsid w:val="00DC2098"/>
    <w:rsid w:val="00DC2101"/>
    <w:rsid w:val="00DC210F"/>
    <w:rsid w:val="00DC22BA"/>
    <w:rsid w:val="00DC253F"/>
    <w:rsid w:val="00DC2639"/>
    <w:rsid w:val="00DC26B8"/>
    <w:rsid w:val="00DC27FD"/>
    <w:rsid w:val="00DC289F"/>
    <w:rsid w:val="00DC28AF"/>
    <w:rsid w:val="00DC2B09"/>
    <w:rsid w:val="00DC2C3D"/>
    <w:rsid w:val="00DC2F4E"/>
    <w:rsid w:val="00DC2F7C"/>
    <w:rsid w:val="00DC318A"/>
    <w:rsid w:val="00DC32D5"/>
    <w:rsid w:val="00DC3529"/>
    <w:rsid w:val="00DC35C0"/>
    <w:rsid w:val="00DC3644"/>
    <w:rsid w:val="00DC366E"/>
    <w:rsid w:val="00DC37BA"/>
    <w:rsid w:val="00DC3814"/>
    <w:rsid w:val="00DC391E"/>
    <w:rsid w:val="00DC3964"/>
    <w:rsid w:val="00DC3AC1"/>
    <w:rsid w:val="00DC3BF0"/>
    <w:rsid w:val="00DC3CF5"/>
    <w:rsid w:val="00DC4003"/>
    <w:rsid w:val="00DC4187"/>
    <w:rsid w:val="00DC42C3"/>
    <w:rsid w:val="00DC43C3"/>
    <w:rsid w:val="00DC4C68"/>
    <w:rsid w:val="00DC51ED"/>
    <w:rsid w:val="00DC5220"/>
    <w:rsid w:val="00DC528E"/>
    <w:rsid w:val="00DC54DA"/>
    <w:rsid w:val="00DC5620"/>
    <w:rsid w:val="00DC5908"/>
    <w:rsid w:val="00DC5B3F"/>
    <w:rsid w:val="00DC5D39"/>
    <w:rsid w:val="00DC5E16"/>
    <w:rsid w:val="00DC5E21"/>
    <w:rsid w:val="00DC6006"/>
    <w:rsid w:val="00DC63C5"/>
    <w:rsid w:val="00DC64A4"/>
    <w:rsid w:val="00DC6598"/>
    <w:rsid w:val="00DC6C3B"/>
    <w:rsid w:val="00DC6DE6"/>
    <w:rsid w:val="00DC6DEC"/>
    <w:rsid w:val="00DC74F2"/>
    <w:rsid w:val="00DC75BC"/>
    <w:rsid w:val="00DC7634"/>
    <w:rsid w:val="00DC7818"/>
    <w:rsid w:val="00DC7827"/>
    <w:rsid w:val="00DC787B"/>
    <w:rsid w:val="00DC78EB"/>
    <w:rsid w:val="00DC7B41"/>
    <w:rsid w:val="00DC7CA6"/>
    <w:rsid w:val="00DC7D5D"/>
    <w:rsid w:val="00DC7DF7"/>
    <w:rsid w:val="00DC7E36"/>
    <w:rsid w:val="00DC7F44"/>
    <w:rsid w:val="00DD02CF"/>
    <w:rsid w:val="00DD0332"/>
    <w:rsid w:val="00DD0460"/>
    <w:rsid w:val="00DD06D1"/>
    <w:rsid w:val="00DD0BEA"/>
    <w:rsid w:val="00DD0C3A"/>
    <w:rsid w:val="00DD0D2C"/>
    <w:rsid w:val="00DD0EB6"/>
    <w:rsid w:val="00DD0FAA"/>
    <w:rsid w:val="00DD1058"/>
    <w:rsid w:val="00DD12F6"/>
    <w:rsid w:val="00DD1393"/>
    <w:rsid w:val="00DD13AC"/>
    <w:rsid w:val="00DD1400"/>
    <w:rsid w:val="00DD14C9"/>
    <w:rsid w:val="00DD1508"/>
    <w:rsid w:val="00DD15C0"/>
    <w:rsid w:val="00DD209B"/>
    <w:rsid w:val="00DD21DB"/>
    <w:rsid w:val="00DD2319"/>
    <w:rsid w:val="00DD23F9"/>
    <w:rsid w:val="00DD23FB"/>
    <w:rsid w:val="00DD25B7"/>
    <w:rsid w:val="00DD2631"/>
    <w:rsid w:val="00DD2655"/>
    <w:rsid w:val="00DD290D"/>
    <w:rsid w:val="00DD2A62"/>
    <w:rsid w:val="00DD2B5A"/>
    <w:rsid w:val="00DD2DF3"/>
    <w:rsid w:val="00DD32D8"/>
    <w:rsid w:val="00DD3393"/>
    <w:rsid w:val="00DD3829"/>
    <w:rsid w:val="00DD38AF"/>
    <w:rsid w:val="00DD3910"/>
    <w:rsid w:val="00DD3989"/>
    <w:rsid w:val="00DD3A00"/>
    <w:rsid w:val="00DD3A51"/>
    <w:rsid w:val="00DD3B2F"/>
    <w:rsid w:val="00DD3EFF"/>
    <w:rsid w:val="00DD4277"/>
    <w:rsid w:val="00DD42BF"/>
    <w:rsid w:val="00DD4A03"/>
    <w:rsid w:val="00DD4BBF"/>
    <w:rsid w:val="00DD4CBE"/>
    <w:rsid w:val="00DD4EFD"/>
    <w:rsid w:val="00DD5164"/>
    <w:rsid w:val="00DD5502"/>
    <w:rsid w:val="00DD57C8"/>
    <w:rsid w:val="00DD5853"/>
    <w:rsid w:val="00DD59E0"/>
    <w:rsid w:val="00DD5F87"/>
    <w:rsid w:val="00DD605E"/>
    <w:rsid w:val="00DD63D4"/>
    <w:rsid w:val="00DD6815"/>
    <w:rsid w:val="00DD6864"/>
    <w:rsid w:val="00DD69B6"/>
    <w:rsid w:val="00DD6A41"/>
    <w:rsid w:val="00DD6FD8"/>
    <w:rsid w:val="00DD70A1"/>
    <w:rsid w:val="00DD733E"/>
    <w:rsid w:val="00DD7529"/>
    <w:rsid w:val="00DD7911"/>
    <w:rsid w:val="00DD7924"/>
    <w:rsid w:val="00DD7A6D"/>
    <w:rsid w:val="00DD7DC8"/>
    <w:rsid w:val="00DE0374"/>
    <w:rsid w:val="00DE03D5"/>
    <w:rsid w:val="00DE0500"/>
    <w:rsid w:val="00DE07B2"/>
    <w:rsid w:val="00DE08F6"/>
    <w:rsid w:val="00DE0968"/>
    <w:rsid w:val="00DE0AAE"/>
    <w:rsid w:val="00DE0C02"/>
    <w:rsid w:val="00DE0DE6"/>
    <w:rsid w:val="00DE0E77"/>
    <w:rsid w:val="00DE11CC"/>
    <w:rsid w:val="00DE1447"/>
    <w:rsid w:val="00DE1576"/>
    <w:rsid w:val="00DE17D7"/>
    <w:rsid w:val="00DE1863"/>
    <w:rsid w:val="00DE1881"/>
    <w:rsid w:val="00DE1CCE"/>
    <w:rsid w:val="00DE1F3B"/>
    <w:rsid w:val="00DE2154"/>
    <w:rsid w:val="00DE2216"/>
    <w:rsid w:val="00DE2533"/>
    <w:rsid w:val="00DE2534"/>
    <w:rsid w:val="00DE2678"/>
    <w:rsid w:val="00DE2757"/>
    <w:rsid w:val="00DE276A"/>
    <w:rsid w:val="00DE2842"/>
    <w:rsid w:val="00DE28E9"/>
    <w:rsid w:val="00DE2A3F"/>
    <w:rsid w:val="00DE2A90"/>
    <w:rsid w:val="00DE30A8"/>
    <w:rsid w:val="00DE3160"/>
    <w:rsid w:val="00DE3251"/>
    <w:rsid w:val="00DE3289"/>
    <w:rsid w:val="00DE3393"/>
    <w:rsid w:val="00DE373B"/>
    <w:rsid w:val="00DE3944"/>
    <w:rsid w:val="00DE3B4C"/>
    <w:rsid w:val="00DE3C18"/>
    <w:rsid w:val="00DE3CF0"/>
    <w:rsid w:val="00DE3FF6"/>
    <w:rsid w:val="00DE40B3"/>
    <w:rsid w:val="00DE4164"/>
    <w:rsid w:val="00DE423D"/>
    <w:rsid w:val="00DE4286"/>
    <w:rsid w:val="00DE4475"/>
    <w:rsid w:val="00DE4654"/>
    <w:rsid w:val="00DE4711"/>
    <w:rsid w:val="00DE48B8"/>
    <w:rsid w:val="00DE48F3"/>
    <w:rsid w:val="00DE4AF1"/>
    <w:rsid w:val="00DE4D3B"/>
    <w:rsid w:val="00DE4D69"/>
    <w:rsid w:val="00DE4DC0"/>
    <w:rsid w:val="00DE5029"/>
    <w:rsid w:val="00DE524A"/>
    <w:rsid w:val="00DE52A9"/>
    <w:rsid w:val="00DE53E8"/>
    <w:rsid w:val="00DE54C8"/>
    <w:rsid w:val="00DE5678"/>
    <w:rsid w:val="00DE583D"/>
    <w:rsid w:val="00DE5AEF"/>
    <w:rsid w:val="00DE5BF1"/>
    <w:rsid w:val="00DE5D7F"/>
    <w:rsid w:val="00DE5F87"/>
    <w:rsid w:val="00DE5FF8"/>
    <w:rsid w:val="00DE60D6"/>
    <w:rsid w:val="00DE60DD"/>
    <w:rsid w:val="00DE62E2"/>
    <w:rsid w:val="00DE6426"/>
    <w:rsid w:val="00DE64C4"/>
    <w:rsid w:val="00DE67DB"/>
    <w:rsid w:val="00DE69C5"/>
    <w:rsid w:val="00DE6B93"/>
    <w:rsid w:val="00DE6BE8"/>
    <w:rsid w:val="00DE6DF9"/>
    <w:rsid w:val="00DE6FD3"/>
    <w:rsid w:val="00DE74CA"/>
    <w:rsid w:val="00DE76C4"/>
    <w:rsid w:val="00DE7800"/>
    <w:rsid w:val="00DE7B09"/>
    <w:rsid w:val="00DE7E73"/>
    <w:rsid w:val="00DE7EFF"/>
    <w:rsid w:val="00DE7F09"/>
    <w:rsid w:val="00DE7F1A"/>
    <w:rsid w:val="00DF01A1"/>
    <w:rsid w:val="00DF01C7"/>
    <w:rsid w:val="00DF0311"/>
    <w:rsid w:val="00DF0349"/>
    <w:rsid w:val="00DF03C0"/>
    <w:rsid w:val="00DF070D"/>
    <w:rsid w:val="00DF0748"/>
    <w:rsid w:val="00DF09E7"/>
    <w:rsid w:val="00DF0A39"/>
    <w:rsid w:val="00DF0AAF"/>
    <w:rsid w:val="00DF0B8A"/>
    <w:rsid w:val="00DF0D9D"/>
    <w:rsid w:val="00DF0FB6"/>
    <w:rsid w:val="00DF10F7"/>
    <w:rsid w:val="00DF11A4"/>
    <w:rsid w:val="00DF1204"/>
    <w:rsid w:val="00DF12CC"/>
    <w:rsid w:val="00DF135B"/>
    <w:rsid w:val="00DF1422"/>
    <w:rsid w:val="00DF1698"/>
    <w:rsid w:val="00DF1880"/>
    <w:rsid w:val="00DF18BE"/>
    <w:rsid w:val="00DF1A24"/>
    <w:rsid w:val="00DF1EB9"/>
    <w:rsid w:val="00DF20EB"/>
    <w:rsid w:val="00DF226E"/>
    <w:rsid w:val="00DF229E"/>
    <w:rsid w:val="00DF243F"/>
    <w:rsid w:val="00DF24F9"/>
    <w:rsid w:val="00DF25AF"/>
    <w:rsid w:val="00DF2681"/>
    <w:rsid w:val="00DF269D"/>
    <w:rsid w:val="00DF2836"/>
    <w:rsid w:val="00DF28C4"/>
    <w:rsid w:val="00DF2A05"/>
    <w:rsid w:val="00DF2B0E"/>
    <w:rsid w:val="00DF2D65"/>
    <w:rsid w:val="00DF2D83"/>
    <w:rsid w:val="00DF375A"/>
    <w:rsid w:val="00DF3958"/>
    <w:rsid w:val="00DF3B10"/>
    <w:rsid w:val="00DF42AE"/>
    <w:rsid w:val="00DF4309"/>
    <w:rsid w:val="00DF452D"/>
    <w:rsid w:val="00DF457F"/>
    <w:rsid w:val="00DF45FB"/>
    <w:rsid w:val="00DF47A9"/>
    <w:rsid w:val="00DF4BE1"/>
    <w:rsid w:val="00DF4D59"/>
    <w:rsid w:val="00DF5279"/>
    <w:rsid w:val="00DF536E"/>
    <w:rsid w:val="00DF551B"/>
    <w:rsid w:val="00DF55AF"/>
    <w:rsid w:val="00DF5732"/>
    <w:rsid w:val="00DF5753"/>
    <w:rsid w:val="00DF5858"/>
    <w:rsid w:val="00DF5A8C"/>
    <w:rsid w:val="00DF5AC0"/>
    <w:rsid w:val="00DF5B2C"/>
    <w:rsid w:val="00DF5BFD"/>
    <w:rsid w:val="00DF5F4D"/>
    <w:rsid w:val="00DF5F50"/>
    <w:rsid w:val="00DF5F79"/>
    <w:rsid w:val="00DF62DB"/>
    <w:rsid w:val="00DF6542"/>
    <w:rsid w:val="00DF6568"/>
    <w:rsid w:val="00DF65F4"/>
    <w:rsid w:val="00DF6886"/>
    <w:rsid w:val="00DF6A74"/>
    <w:rsid w:val="00DF6EAA"/>
    <w:rsid w:val="00DF71D1"/>
    <w:rsid w:val="00DF72DA"/>
    <w:rsid w:val="00DF7306"/>
    <w:rsid w:val="00DF7333"/>
    <w:rsid w:val="00DF7509"/>
    <w:rsid w:val="00DF7AFE"/>
    <w:rsid w:val="00DF7FAA"/>
    <w:rsid w:val="00E0007F"/>
    <w:rsid w:val="00E0008F"/>
    <w:rsid w:val="00E001EA"/>
    <w:rsid w:val="00E005BC"/>
    <w:rsid w:val="00E00674"/>
    <w:rsid w:val="00E0082D"/>
    <w:rsid w:val="00E0092E"/>
    <w:rsid w:val="00E00B41"/>
    <w:rsid w:val="00E00EDC"/>
    <w:rsid w:val="00E01378"/>
    <w:rsid w:val="00E015B0"/>
    <w:rsid w:val="00E01625"/>
    <w:rsid w:val="00E01772"/>
    <w:rsid w:val="00E018EF"/>
    <w:rsid w:val="00E01A57"/>
    <w:rsid w:val="00E01D62"/>
    <w:rsid w:val="00E01E16"/>
    <w:rsid w:val="00E0204C"/>
    <w:rsid w:val="00E02538"/>
    <w:rsid w:val="00E025FE"/>
    <w:rsid w:val="00E02B1C"/>
    <w:rsid w:val="00E02B5D"/>
    <w:rsid w:val="00E02BDF"/>
    <w:rsid w:val="00E02D03"/>
    <w:rsid w:val="00E02D4A"/>
    <w:rsid w:val="00E03182"/>
    <w:rsid w:val="00E0337A"/>
    <w:rsid w:val="00E0338E"/>
    <w:rsid w:val="00E033E2"/>
    <w:rsid w:val="00E03550"/>
    <w:rsid w:val="00E03935"/>
    <w:rsid w:val="00E03AC9"/>
    <w:rsid w:val="00E03D41"/>
    <w:rsid w:val="00E03D5A"/>
    <w:rsid w:val="00E03E0B"/>
    <w:rsid w:val="00E040B3"/>
    <w:rsid w:val="00E04109"/>
    <w:rsid w:val="00E04113"/>
    <w:rsid w:val="00E041A3"/>
    <w:rsid w:val="00E043EA"/>
    <w:rsid w:val="00E0450F"/>
    <w:rsid w:val="00E04600"/>
    <w:rsid w:val="00E04DFE"/>
    <w:rsid w:val="00E050A3"/>
    <w:rsid w:val="00E0523E"/>
    <w:rsid w:val="00E056DE"/>
    <w:rsid w:val="00E057C7"/>
    <w:rsid w:val="00E05C61"/>
    <w:rsid w:val="00E05C6B"/>
    <w:rsid w:val="00E05F35"/>
    <w:rsid w:val="00E06109"/>
    <w:rsid w:val="00E061E5"/>
    <w:rsid w:val="00E0631E"/>
    <w:rsid w:val="00E0640C"/>
    <w:rsid w:val="00E064A4"/>
    <w:rsid w:val="00E06569"/>
    <w:rsid w:val="00E065A9"/>
    <w:rsid w:val="00E066F5"/>
    <w:rsid w:val="00E06B39"/>
    <w:rsid w:val="00E06C9F"/>
    <w:rsid w:val="00E06DDE"/>
    <w:rsid w:val="00E06FA7"/>
    <w:rsid w:val="00E07350"/>
    <w:rsid w:val="00E07808"/>
    <w:rsid w:val="00E0780E"/>
    <w:rsid w:val="00E0787C"/>
    <w:rsid w:val="00E07992"/>
    <w:rsid w:val="00E07B84"/>
    <w:rsid w:val="00E07CC8"/>
    <w:rsid w:val="00E07CFF"/>
    <w:rsid w:val="00E10057"/>
    <w:rsid w:val="00E1007D"/>
    <w:rsid w:val="00E10832"/>
    <w:rsid w:val="00E10A37"/>
    <w:rsid w:val="00E10C2D"/>
    <w:rsid w:val="00E10FA0"/>
    <w:rsid w:val="00E113B6"/>
    <w:rsid w:val="00E113EB"/>
    <w:rsid w:val="00E1151F"/>
    <w:rsid w:val="00E1152C"/>
    <w:rsid w:val="00E115DB"/>
    <w:rsid w:val="00E11604"/>
    <w:rsid w:val="00E1176D"/>
    <w:rsid w:val="00E11813"/>
    <w:rsid w:val="00E119BD"/>
    <w:rsid w:val="00E11A98"/>
    <w:rsid w:val="00E11ACA"/>
    <w:rsid w:val="00E11BF4"/>
    <w:rsid w:val="00E11D7C"/>
    <w:rsid w:val="00E11F14"/>
    <w:rsid w:val="00E11F72"/>
    <w:rsid w:val="00E12065"/>
    <w:rsid w:val="00E1224F"/>
    <w:rsid w:val="00E1237B"/>
    <w:rsid w:val="00E12BA3"/>
    <w:rsid w:val="00E12D3F"/>
    <w:rsid w:val="00E12F88"/>
    <w:rsid w:val="00E13A22"/>
    <w:rsid w:val="00E13D37"/>
    <w:rsid w:val="00E13EF8"/>
    <w:rsid w:val="00E13F66"/>
    <w:rsid w:val="00E14102"/>
    <w:rsid w:val="00E14155"/>
    <w:rsid w:val="00E14353"/>
    <w:rsid w:val="00E1450E"/>
    <w:rsid w:val="00E1490D"/>
    <w:rsid w:val="00E14C8D"/>
    <w:rsid w:val="00E14E18"/>
    <w:rsid w:val="00E14E8D"/>
    <w:rsid w:val="00E15003"/>
    <w:rsid w:val="00E1523D"/>
    <w:rsid w:val="00E1544E"/>
    <w:rsid w:val="00E155A0"/>
    <w:rsid w:val="00E155A5"/>
    <w:rsid w:val="00E155AB"/>
    <w:rsid w:val="00E15677"/>
    <w:rsid w:val="00E15B98"/>
    <w:rsid w:val="00E15C37"/>
    <w:rsid w:val="00E16441"/>
    <w:rsid w:val="00E1697F"/>
    <w:rsid w:val="00E16B68"/>
    <w:rsid w:val="00E16FB4"/>
    <w:rsid w:val="00E1720E"/>
    <w:rsid w:val="00E172AF"/>
    <w:rsid w:val="00E17632"/>
    <w:rsid w:val="00E17991"/>
    <w:rsid w:val="00E179ED"/>
    <w:rsid w:val="00E17C03"/>
    <w:rsid w:val="00E17E8A"/>
    <w:rsid w:val="00E200E4"/>
    <w:rsid w:val="00E20199"/>
    <w:rsid w:val="00E2035E"/>
    <w:rsid w:val="00E20534"/>
    <w:rsid w:val="00E2057B"/>
    <w:rsid w:val="00E20781"/>
    <w:rsid w:val="00E207B3"/>
    <w:rsid w:val="00E20810"/>
    <w:rsid w:val="00E20817"/>
    <w:rsid w:val="00E20898"/>
    <w:rsid w:val="00E20BED"/>
    <w:rsid w:val="00E20C31"/>
    <w:rsid w:val="00E20D35"/>
    <w:rsid w:val="00E20D41"/>
    <w:rsid w:val="00E20F37"/>
    <w:rsid w:val="00E20F73"/>
    <w:rsid w:val="00E211E1"/>
    <w:rsid w:val="00E213A8"/>
    <w:rsid w:val="00E214AD"/>
    <w:rsid w:val="00E21619"/>
    <w:rsid w:val="00E2161F"/>
    <w:rsid w:val="00E21711"/>
    <w:rsid w:val="00E21855"/>
    <w:rsid w:val="00E21935"/>
    <w:rsid w:val="00E21D35"/>
    <w:rsid w:val="00E220BE"/>
    <w:rsid w:val="00E2219F"/>
    <w:rsid w:val="00E222C1"/>
    <w:rsid w:val="00E22548"/>
    <w:rsid w:val="00E22561"/>
    <w:rsid w:val="00E228DC"/>
    <w:rsid w:val="00E22903"/>
    <w:rsid w:val="00E229B5"/>
    <w:rsid w:val="00E22B2A"/>
    <w:rsid w:val="00E22ED0"/>
    <w:rsid w:val="00E22F83"/>
    <w:rsid w:val="00E23138"/>
    <w:rsid w:val="00E2330C"/>
    <w:rsid w:val="00E2343E"/>
    <w:rsid w:val="00E234E8"/>
    <w:rsid w:val="00E239DF"/>
    <w:rsid w:val="00E23C18"/>
    <w:rsid w:val="00E244CC"/>
    <w:rsid w:val="00E24507"/>
    <w:rsid w:val="00E2453F"/>
    <w:rsid w:val="00E24A69"/>
    <w:rsid w:val="00E24AB3"/>
    <w:rsid w:val="00E24D26"/>
    <w:rsid w:val="00E24DD2"/>
    <w:rsid w:val="00E24DF4"/>
    <w:rsid w:val="00E24F7B"/>
    <w:rsid w:val="00E250C2"/>
    <w:rsid w:val="00E250E8"/>
    <w:rsid w:val="00E251CF"/>
    <w:rsid w:val="00E25742"/>
    <w:rsid w:val="00E257C0"/>
    <w:rsid w:val="00E25802"/>
    <w:rsid w:val="00E25A6B"/>
    <w:rsid w:val="00E25E02"/>
    <w:rsid w:val="00E25FD5"/>
    <w:rsid w:val="00E26286"/>
    <w:rsid w:val="00E264AB"/>
    <w:rsid w:val="00E265C6"/>
    <w:rsid w:val="00E265E6"/>
    <w:rsid w:val="00E26614"/>
    <w:rsid w:val="00E2672A"/>
    <w:rsid w:val="00E2681B"/>
    <w:rsid w:val="00E26B1A"/>
    <w:rsid w:val="00E27090"/>
    <w:rsid w:val="00E2713C"/>
    <w:rsid w:val="00E2756E"/>
    <w:rsid w:val="00E278A8"/>
    <w:rsid w:val="00E27B95"/>
    <w:rsid w:val="00E27DE8"/>
    <w:rsid w:val="00E30025"/>
    <w:rsid w:val="00E30158"/>
    <w:rsid w:val="00E301B8"/>
    <w:rsid w:val="00E3041F"/>
    <w:rsid w:val="00E304A4"/>
    <w:rsid w:val="00E30678"/>
    <w:rsid w:val="00E3070A"/>
    <w:rsid w:val="00E30A5D"/>
    <w:rsid w:val="00E30BD8"/>
    <w:rsid w:val="00E30C39"/>
    <w:rsid w:val="00E30E34"/>
    <w:rsid w:val="00E30F4B"/>
    <w:rsid w:val="00E30FC9"/>
    <w:rsid w:val="00E3111A"/>
    <w:rsid w:val="00E3139F"/>
    <w:rsid w:val="00E31544"/>
    <w:rsid w:val="00E315AB"/>
    <w:rsid w:val="00E31623"/>
    <w:rsid w:val="00E317F5"/>
    <w:rsid w:val="00E31EA0"/>
    <w:rsid w:val="00E31FEB"/>
    <w:rsid w:val="00E32112"/>
    <w:rsid w:val="00E322D9"/>
    <w:rsid w:val="00E32482"/>
    <w:rsid w:val="00E32536"/>
    <w:rsid w:val="00E3253E"/>
    <w:rsid w:val="00E32588"/>
    <w:rsid w:val="00E32613"/>
    <w:rsid w:val="00E32CF7"/>
    <w:rsid w:val="00E32D68"/>
    <w:rsid w:val="00E32EB8"/>
    <w:rsid w:val="00E33162"/>
    <w:rsid w:val="00E3316A"/>
    <w:rsid w:val="00E33385"/>
    <w:rsid w:val="00E334B1"/>
    <w:rsid w:val="00E33509"/>
    <w:rsid w:val="00E33606"/>
    <w:rsid w:val="00E33AD6"/>
    <w:rsid w:val="00E33CB7"/>
    <w:rsid w:val="00E33E07"/>
    <w:rsid w:val="00E33EA4"/>
    <w:rsid w:val="00E3406B"/>
    <w:rsid w:val="00E34508"/>
    <w:rsid w:val="00E34598"/>
    <w:rsid w:val="00E346B0"/>
    <w:rsid w:val="00E346FE"/>
    <w:rsid w:val="00E347AF"/>
    <w:rsid w:val="00E3489E"/>
    <w:rsid w:val="00E3489F"/>
    <w:rsid w:val="00E34930"/>
    <w:rsid w:val="00E34AD0"/>
    <w:rsid w:val="00E34C0D"/>
    <w:rsid w:val="00E351BD"/>
    <w:rsid w:val="00E352C9"/>
    <w:rsid w:val="00E355B0"/>
    <w:rsid w:val="00E3561A"/>
    <w:rsid w:val="00E3589E"/>
    <w:rsid w:val="00E35CDD"/>
    <w:rsid w:val="00E3631B"/>
    <w:rsid w:val="00E36330"/>
    <w:rsid w:val="00E36368"/>
    <w:rsid w:val="00E364A4"/>
    <w:rsid w:val="00E36793"/>
    <w:rsid w:val="00E36A5F"/>
    <w:rsid w:val="00E36C94"/>
    <w:rsid w:val="00E36F51"/>
    <w:rsid w:val="00E37073"/>
    <w:rsid w:val="00E371D8"/>
    <w:rsid w:val="00E372E9"/>
    <w:rsid w:val="00E37320"/>
    <w:rsid w:val="00E3780A"/>
    <w:rsid w:val="00E37970"/>
    <w:rsid w:val="00E37C4E"/>
    <w:rsid w:val="00E37D1E"/>
    <w:rsid w:val="00E37FCD"/>
    <w:rsid w:val="00E400D0"/>
    <w:rsid w:val="00E400E0"/>
    <w:rsid w:val="00E403F0"/>
    <w:rsid w:val="00E40D4E"/>
    <w:rsid w:val="00E40DAA"/>
    <w:rsid w:val="00E410BD"/>
    <w:rsid w:val="00E41386"/>
    <w:rsid w:val="00E419F7"/>
    <w:rsid w:val="00E41C4E"/>
    <w:rsid w:val="00E41DC6"/>
    <w:rsid w:val="00E41E47"/>
    <w:rsid w:val="00E41F7D"/>
    <w:rsid w:val="00E41F8A"/>
    <w:rsid w:val="00E422D6"/>
    <w:rsid w:val="00E422EA"/>
    <w:rsid w:val="00E4230B"/>
    <w:rsid w:val="00E42401"/>
    <w:rsid w:val="00E42556"/>
    <w:rsid w:val="00E42602"/>
    <w:rsid w:val="00E427CB"/>
    <w:rsid w:val="00E42921"/>
    <w:rsid w:val="00E42A9E"/>
    <w:rsid w:val="00E42E0B"/>
    <w:rsid w:val="00E42F47"/>
    <w:rsid w:val="00E42FBB"/>
    <w:rsid w:val="00E431CC"/>
    <w:rsid w:val="00E431FF"/>
    <w:rsid w:val="00E43667"/>
    <w:rsid w:val="00E436AC"/>
    <w:rsid w:val="00E43A74"/>
    <w:rsid w:val="00E43ABA"/>
    <w:rsid w:val="00E43BFF"/>
    <w:rsid w:val="00E43D44"/>
    <w:rsid w:val="00E43E84"/>
    <w:rsid w:val="00E4415E"/>
    <w:rsid w:val="00E44695"/>
    <w:rsid w:val="00E446FD"/>
    <w:rsid w:val="00E44759"/>
    <w:rsid w:val="00E449F1"/>
    <w:rsid w:val="00E44A15"/>
    <w:rsid w:val="00E453AC"/>
    <w:rsid w:val="00E4547D"/>
    <w:rsid w:val="00E454E4"/>
    <w:rsid w:val="00E455F1"/>
    <w:rsid w:val="00E4561B"/>
    <w:rsid w:val="00E4578A"/>
    <w:rsid w:val="00E45823"/>
    <w:rsid w:val="00E458B1"/>
    <w:rsid w:val="00E45C10"/>
    <w:rsid w:val="00E45D75"/>
    <w:rsid w:val="00E46029"/>
    <w:rsid w:val="00E467E8"/>
    <w:rsid w:val="00E4685C"/>
    <w:rsid w:val="00E46B51"/>
    <w:rsid w:val="00E46C20"/>
    <w:rsid w:val="00E46D66"/>
    <w:rsid w:val="00E46FF6"/>
    <w:rsid w:val="00E4705C"/>
    <w:rsid w:val="00E473EC"/>
    <w:rsid w:val="00E47763"/>
    <w:rsid w:val="00E47818"/>
    <w:rsid w:val="00E47A95"/>
    <w:rsid w:val="00E47B7D"/>
    <w:rsid w:val="00E47D04"/>
    <w:rsid w:val="00E47D0B"/>
    <w:rsid w:val="00E47E8E"/>
    <w:rsid w:val="00E47F49"/>
    <w:rsid w:val="00E47F6C"/>
    <w:rsid w:val="00E50004"/>
    <w:rsid w:val="00E5000D"/>
    <w:rsid w:val="00E50039"/>
    <w:rsid w:val="00E50521"/>
    <w:rsid w:val="00E5056F"/>
    <w:rsid w:val="00E50590"/>
    <w:rsid w:val="00E505F1"/>
    <w:rsid w:val="00E50612"/>
    <w:rsid w:val="00E506A4"/>
    <w:rsid w:val="00E506DC"/>
    <w:rsid w:val="00E50C29"/>
    <w:rsid w:val="00E50DD6"/>
    <w:rsid w:val="00E50E84"/>
    <w:rsid w:val="00E50F7D"/>
    <w:rsid w:val="00E5120B"/>
    <w:rsid w:val="00E51317"/>
    <w:rsid w:val="00E51475"/>
    <w:rsid w:val="00E515C6"/>
    <w:rsid w:val="00E51A0C"/>
    <w:rsid w:val="00E51A55"/>
    <w:rsid w:val="00E51A66"/>
    <w:rsid w:val="00E51B74"/>
    <w:rsid w:val="00E51C24"/>
    <w:rsid w:val="00E51CDE"/>
    <w:rsid w:val="00E51E79"/>
    <w:rsid w:val="00E521BF"/>
    <w:rsid w:val="00E52220"/>
    <w:rsid w:val="00E522C1"/>
    <w:rsid w:val="00E52321"/>
    <w:rsid w:val="00E5234C"/>
    <w:rsid w:val="00E52A27"/>
    <w:rsid w:val="00E52A90"/>
    <w:rsid w:val="00E52C36"/>
    <w:rsid w:val="00E52C72"/>
    <w:rsid w:val="00E52CA1"/>
    <w:rsid w:val="00E52D6B"/>
    <w:rsid w:val="00E52FBA"/>
    <w:rsid w:val="00E5301D"/>
    <w:rsid w:val="00E53359"/>
    <w:rsid w:val="00E533C9"/>
    <w:rsid w:val="00E5350A"/>
    <w:rsid w:val="00E537CA"/>
    <w:rsid w:val="00E53893"/>
    <w:rsid w:val="00E540F8"/>
    <w:rsid w:val="00E54286"/>
    <w:rsid w:val="00E54444"/>
    <w:rsid w:val="00E544A8"/>
    <w:rsid w:val="00E545EB"/>
    <w:rsid w:val="00E547F8"/>
    <w:rsid w:val="00E54BAD"/>
    <w:rsid w:val="00E54BF9"/>
    <w:rsid w:val="00E54D7A"/>
    <w:rsid w:val="00E54E94"/>
    <w:rsid w:val="00E54FE5"/>
    <w:rsid w:val="00E550DF"/>
    <w:rsid w:val="00E5568E"/>
    <w:rsid w:val="00E557D6"/>
    <w:rsid w:val="00E55A3C"/>
    <w:rsid w:val="00E55A45"/>
    <w:rsid w:val="00E55BA4"/>
    <w:rsid w:val="00E55DA7"/>
    <w:rsid w:val="00E55E2D"/>
    <w:rsid w:val="00E56007"/>
    <w:rsid w:val="00E5610B"/>
    <w:rsid w:val="00E5620C"/>
    <w:rsid w:val="00E5692D"/>
    <w:rsid w:val="00E569F0"/>
    <w:rsid w:val="00E56AA7"/>
    <w:rsid w:val="00E56D25"/>
    <w:rsid w:val="00E56FCE"/>
    <w:rsid w:val="00E571E8"/>
    <w:rsid w:val="00E574BB"/>
    <w:rsid w:val="00E5753F"/>
    <w:rsid w:val="00E57768"/>
    <w:rsid w:val="00E57903"/>
    <w:rsid w:val="00E57B33"/>
    <w:rsid w:val="00E57B5E"/>
    <w:rsid w:val="00E57D8C"/>
    <w:rsid w:val="00E57E97"/>
    <w:rsid w:val="00E60151"/>
    <w:rsid w:val="00E601D6"/>
    <w:rsid w:val="00E6033D"/>
    <w:rsid w:val="00E60383"/>
    <w:rsid w:val="00E603BB"/>
    <w:rsid w:val="00E604C7"/>
    <w:rsid w:val="00E607CB"/>
    <w:rsid w:val="00E609AD"/>
    <w:rsid w:val="00E60F47"/>
    <w:rsid w:val="00E60FCF"/>
    <w:rsid w:val="00E613C6"/>
    <w:rsid w:val="00E615AF"/>
    <w:rsid w:val="00E618C0"/>
    <w:rsid w:val="00E618F9"/>
    <w:rsid w:val="00E61C8C"/>
    <w:rsid w:val="00E61D5B"/>
    <w:rsid w:val="00E61E6C"/>
    <w:rsid w:val="00E61E72"/>
    <w:rsid w:val="00E620AB"/>
    <w:rsid w:val="00E6237B"/>
    <w:rsid w:val="00E62512"/>
    <w:rsid w:val="00E625E2"/>
    <w:rsid w:val="00E628B0"/>
    <w:rsid w:val="00E629B0"/>
    <w:rsid w:val="00E62AE2"/>
    <w:rsid w:val="00E62AEC"/>
    <w:rsid w:val="00E62B5E"/>
    <w:rsid w:val="00E62D27"/>
    <w:rsid w:val="00E62E07"/>
    <w:rsid w:val="00E62E5C"/>
    <w:rsid w:val="00E62E93"/>
    <w:rsid w:val="00E63021"/>
    <w:rsid w:val="00E6325C"/>
    <w:rsid w:val="00E632F8"/>
    <w:rsid w:val="00E63408"/>
    <w:rsid w:val="00E6358E"/>
    <w:rsid w:val="00E638A4"/>
    <w:rsid w:val="00E63AC5"/>
    <w:rsid w:val="00E63C27"/>
    <w:rsid w:val="00E63ED8"/>
    <w:rsid w:val="00E63EDC"/>
    <w:rsid w:val="00E63FB0"/>
    <w:rsid w:val="00E641C5"/>
    <w:rsid w:val="00E642CE"/>
    <w:rsid w:val="00E64320"/>
    <w:rsid w:val="00E643B7"/>
    <w:rsid w:val="00E64402"/>
    <w:rsid w:val="00E64841"/>
    <w:rsid w:val="00E64893"/>
    <w:rsid w:val="00E64CCE"/>
    <w:rsid w:val="00E64EC9"/>
    <w:rsid w:val="00E64F9D"/>
    <w:rsid w:val="00E65085"/>
    <w:rsid w:val="00E65094"/>
    <w:rsid w:val="00E6510C"/>
    <w:rsid w:val="00E6512F"/>
    <w:rsid w:val="00E65130"/>
    <w:rsid w:val="00E65230"/>
    <w:rsid w:val="00E65CAD"/>
    <w:rsid w:val="00E665F2"/>
    <w:rsid w:val="00E666DF"/>
    <w:rsid w:val="00E666F6"/>
    <w:rsid w:val="00E6672D"/>
    <w:rsid w:val="00E668B0"/>
    <w:rsid w:val="00E668EC"/>
    <w:rsid w:val="00E66AD0"/>
    <w:rsid w:val="00E66C3B"/>
    <w:rsid w:val="00E66FAE"/>
    <w:rsid w:val="00E670D5"/>
    <w:rsid w:val="00E67105"/>
    <w:rsid w:val="00E671CD"/>
    <w:rsid w:val="00E6721D"/>
    <w:rsid w:val="00E67266"/>
    <w:rsid w:val="00E675DC"/>
    <w:rsid w:val="00E6779B"/>
    <w:rsid w:val="00E678B4"/>
    <w:rsid w:val="00E67BDA"/>
    <w:rsid w:val="00E67D67"/>
    <w:rsid w:val="00E67E96"/>
    <w:rsid w:val="00E70130"/>
    <w:rsid w:val="00E7019A"/>
    <w:rsid w:val="00E707BE"/>
    <w:rsid w:val="00E70A27"/>
    <w:rsid w:val="00E70B1F"/>
    <w:rsid w:val="00E70C8C"/>
    <w:rsid w:val="00E70D6D"/>
    <w:rsid w:val="00E70E4D"/>
    <w:rsid w:val="00E7129B"/>
    <w:rsid w:val="00E71799"/>
    <w:rsid w:val="00E717A2"/>
    <w:rsid w:val="00E71D2B"/>
    <w:rsid w:val="00E71D82"/>
    <w:rsid w:val="00E72230"/>
    <w:rsid w:val="00E724AB"/>
    <w:rsid w:val="00E725D2"/>
    <w:rsid w:val="00E7265E"/>
    <w:rsid w:val="00E727C2"/>
    <w:rsid w:val="00E72815"/>
    <w:rsid w:val="00E72A6F"/>
    <w:rsid w:val="00E72AB8"/>
    <w:rsid w:val="00E72DC5"/>
    <w:rsid w:val="00E72F45"/>
    <w:rsid w:val="00E7324F"/>
    <w:rsid w:val="00E73262"/>
    <w:rsid w:val="00E73986"/>
    <w:rsid w:val="00E7399F"/>
    <w:rsid w:val="00E7417A"/>
    <w:rsid w:val="00E742CA"/>
    <w:rsid w:val="00E7442D"/>
    <w:rsid w:val="00E7451F"/>
    <w:rsid w:val="00E7459A"/>
    <w:rsid w:val="00E74773"/>
    <w:rsid w:val="00E748ED"/>
    <w:rsid w:val="00E74918"/>
    <w:rsid w:val="00E74AE3"/>
    <w:rsid w:val="00E74D30"/>
    <w:rsid w:val="00E75035"/>
    <w:rsid w:val="00E7507F"/>
    <w:rsid w:val="00E75790"/>
    <w:rsid w:val="00E757B1"/>
    <w:rsid w:val="00E758EC"/>
    <w:rsid w:val="00E75C26"/>
    <w:rsid w:val="00E75C73"/>
    <w:rsid w:val="00E75CB7"/>
    <w:rsid w:val="00E760DD"/>
    <w:rsid w:val="00E76157"/>
    <w:rsid w:val="00E76278"/>
    <w:rsid w:val="00E76377"/>
    <w:rsid w:val="00E763F5"/>
    <w:rsid w:val="00E76404"/>
    <w:rsid w:val="00E76445"/>
    <w:rsid w:val="00E764E7"/>
    <w:rsid w:val="00E765D6"/>
    <w:rsid w:val="00E7669D"/>
    <w:rsid w:val="00E766A1"/>
    <w:rsid w:val="00E7673B"/>
    <w:rsid w:val="00E76A0F"/>
    <w:rsid w:val="00E76CBD"/>
    <w:rsid w:val="00E76CDF"/>
    <w:rsid w:val="00E76DE6"/>
    <w:rsid w:val="00E77089"/>
    <w:rsid w:val="00E770BC"/>
    <w:rsid w:val="00E77845"/>
    <w:rsid w:val="00E77C58"/>
    <w:rsid w:val="00E77DB5"/>
    <w:rsid w:val="00E77E6E"/>
    <w:rsid w:val="00E813FD"/>
    <w:rsid w:val="00E81638"/>
    <w:rsid w:val="00E816D3"/>
    <w:rsid w:val="00E817F7"/>
    <w:rsid w:val="00E81A9F"/>
    <w:rsid w:val="00E821A5"/>
    <w:rsid w:val="00E824E7"/>
    <w:rsid w:val="00E8288F"/>
    <w:rsid w:val="00E82B2B"/>
    <w:rsid w:val="00E82C07"/>
    <w:rsid w:val="00E8330B"/>
    <w:rsid w:val="00E83365"/>
    <w:rsid w:val="00E83627"/>
    <w:rsid w:val="00E836A9"/>
    <w:rsid w:val="00E83952"/>
    <w:rsid w:val="00E83973"/>
    <w:rsid w:val="00E839A6"/>
    <w:rsid w:val="00E83E03"/>
    <w:rsid w:val="00E83FC7"/>
    <w:rsid w:val="00E840CD"/>
    <w:rsid w:val="00E84143"/>
    <w:rsid w:val="00E841C0"/>
    <w:rsid w:val="00E84272"/>
    <w:rsid w:val="00E84288"/>
    <w:rsid w:val="00E842AF"/>
    <w:rsid w:val="00E8436F"/>
    <w:rsid w:val="00E8482F"/>
    <w:rsid w:val="00E84E29"/>
    <w:rsid w:val="00E84E68"/>
    <w:rsid w:val="00E84F0F"/>
    <w:rsid w:val="00E852D4"/>
    <w:rsid w:val="00E85477"/>
    <w:rsid w:val="00E857A6"/>
    <w:rsid w:val="00E85AEA"/>
    <w:rsid w:val="00E85C0B"/>
    <w:rsid w:val="00E85EDE"/>
    <w:rsid w:val="00E8642B"/>
    <w:rsid w:val="00E86468"/>
    <w:rsid w:val="00E868E4"/>
    <w:rsid w:val="00E86944"/>
    <w:rsid w:val="00E8695A"/>
    <w:rsid w:val="00E86D8F"/>
    <w:rsid w:val="00E86FE1"/>
    <w:rsid w:val="00E87469"/>
    <w:rsid w:val="00E875AB"/>
    <w:rsid w:val="00E879A4"/>
    <w:rsid w:val="00E87CC5"/>
    <w:rsid w:val="00E87D7C"/>
    <w:rsid w:val="00E87DCB"/>
    <w:rsid w:val="00E87F15"/>
    <w:rsid w:val="00E9075C"/>
    <w:rsid w:val="00E90B22"/>
    <w:rsid w:val="00E9112D"/>
    <w:rsid w:val="00E9131A"/>
    <w:rsid w:val="00E9152B"/>
    <w:rsid w:val="00E91A08"/>
    <w:rsid w:val="00E91A41"/>
    <w:rsid w:val="00E91BD2"/>
    <w:rsid w:val="00E91D39"/>
    <w:rsid w:val="00E91D72"/>
    <w:rsid w:val="00E91E7E"/>
    <w:rsid w:val="00E91F4C"/>
    <w:rsid w:val="00E91FE8"/>
    <w:rsid w:val="00E92040"/>
    <w:rsid w:val="00E921FA"/>
    <w:rsid w:val="00E922EE"/>
    <w:rsid w:val="00E9238C"/>
    <w:rsid w:val="00E92458"/>
    <w:rsid w:val="00E925FE"/>
    <w:rsid w:val="00E926B0"/>
    <w:rsid w:val="00E9285F"/>
    <w:rsid w:val="00E92904"/>
    <w:rsid w:val="00E92AAA"/>
    <w:rsid w:val="00E92AC5"/>
    <w:rsid w:val="00E92B5D"/>
    <w:rsid w:val="00E92D67"/>
    <w:rsid w:val="00E9317D"/>
    <w:rsid w:val="00E933FA"/>
    <w:rsid w:val="00E9374E"/>
    <w:rsid w:val="00E938DD"/>
    <w:rsid w:val="00E93CF6"/>
    <w:rsid w:val="00E93F9C"/>
    <w:rsid w:val="00E94495"/>
    <w:rsid w:val="00E94709"/>
    <w:rsid w:val="00E9476E"/>
    <w:rsid w:val="00E94A03"/>
    <w:rsid w:val="00E94B8B"/>
    <w:rsid w:val="00E94BD7"/>
    <w:rsid w:val="00E94C62"/>
    <w:rsid w:val="00E94F5D"/>
    <w:rsid w:val="00E9541B"/>
    <w:rsid w:val="00E95555"/>
    <w:rsid w:val="00E956F6"/>
    <w:rsid w:val="00E95755"/>
    <w:rsid w:val="00E95898"/>
    <w:rsid w:val="00E9596A"/>
    <w:rsid w:val="00E95A21"/>
    <w:rsid w:val="00E95C01"/>
    <w:rsid w:val="00E95D53"/>
    <w:rsid w:val="00E95EBE"/>
    <w:rsid w:val="00E95F80"/>
    <w:rsid w:val="00E9636A"/>
    <w:rsid w:val="00E96661"/>
    <w:rsid w:val="00E96AF9"/>
    <w:rsid w:val="00E96C30"/>
    <w:rsid w:val="00E96E03"/>
    <w:rsid w:val="00E96FBF"/>
    <w:rsid w:val="00E97743"/>
    <w:rsid w:val="00E97784"/>
    <w:rsid w:val="00E9780A"/>
    <w:rsid w:val="00E97829"/>
    <w:rsid w:val="00E97BA1"/>
    <w:rsid w:val="00E97BC2"/>
    <w:rsid w:val="00E97D28"/>
    <w:rsid w:val="00EA0252"/>
    <w:rsid w:val="00EA0280"/>
    <w:rsid w:val="00EA0778"/>
    <w:rsid w:val="00EA07F9"/>
    <w:rsid w:val="00EA0E14"/>
    <w:rsid w:val="00EA0FBB"/>
    <w:rsid w:val="00EA1046"/>
    <w:rsid w:val="00EA11AF"/>
    <w:rsid w:val="00EA1394"/>
    <w:rsid w:val="00EA147C"/>
    <w:rsid w:val="00EA1641"/>
    <w:rsid w:val="00EA164C"/>
    <w:rsid w:val="00EA16B2"/>
    <w:rsid w:val="00EA187E"/>
    <w:rsid w:val="00EA1946"/>
    <w:rsid w:val="00EA1A1C"/>
    <w:rsid w:val="00EA1A21"/>
    <w:rsid w:val="00EA1C74"/>
    <w:rsid w:val="00EA1D64"/>
    <w:rsid w:val="00EA1D8F"/>
    <w:rsid w:val="00EA2427"/>
    <w:rsid w:val="00EA2808"/>
    <w:rsid w:val="00EA2918"/>
    <w:rsid w:val="00EA2958"/>
    <w:rsid w:val="00EA2F4C"/>
    <w:rsid w:val="00EA303D"/>
    <w:rsid w:val="00EA30C2"/>
    <w:rsid w:val="00EA32C6"/>
    <w:rsid w:val="00EA33F7"/>
    <w:rsid w:val="00EA390D"/>
    <w:rsid w:val="00EA3ADD"/>
    <w:rsid w:val="00EA3F7A"/>
    <w:rsid w:val="00EA413C"/>
    <w:rsid w:val="00EA41BF"/>
    <w:rsid w:val="00EA45E5"/>
    <w:rsid w:val="00EA48F8"/>
    <w:rsid w:val="00EA4B41"/>
    <w:rsid w:val="00EA4C5F"/>
    <w:rsid w:val="00EA4DB9"/>
    <w:rsid w:val="00EA4F7F"/>
    <w:rsid w:val="00EA52A4"/>
    <w:rsid w:val="00EA5706"/>
    <w:rsid w:val="00EA5AC1"/>
    <w:rsid w:val="00EA5CAB"/>
    <w:rsid w:val="00EA5D9A"/>
    <w:rsid w:val="00EA5F41"/>
    <w:rsid w:val="00EA616F"/>
    <w:rsid w:val="00EA6301"/>
    <w:rsid w:val="00EA63BA"/>
    <w:rsid w:val="00EA66C6"/>
    <w:rsid w:val="00EA6986"/>
    <w:rsid w:val="00EA69E7"/>
    <w:rsid w:val="00EA6CE4"/>
    <w:rsid w:val="00EA6D2C"/>
    <w:rsid w:val="00EA6D53"/>
    <w:rsid w:val="00EA6DB4"/>
    <w:rsid w:val="00EA75C8"/>
    <w:rsid w:val="00EA75FD"/>
    <w:rsid w:val="00EA7625"/>
    <w:rsid w:val="00EA7661"/>
    <w:rsid w:val="00EA76A1"/>
    <w:rsid w:val="00EA7712"/>
    <w:rsid w:val="00EA7DA4"/>
    <w:rsid w:val="00EA7DF9"/>
    <w:rsid w:val="00EB001E"/>
    <w:rsid w:val="00EB0074"/>
    <w:rsid w:val="00EB0139"/>
    <w:rsid w:val="00EB01F4"/>
    <w:rsid w:val="00EB032F"/>
    <w:rsid w:val="00EB0611"/>
    <w:rsid w:val="00EB0793"/>
    <w:rsid w:val="00EB07FF"/>
    <w:rsid w:val="00EB0859"/>
    <w:rsid w:val="00EB09A3"/>
    <w:rsid w:val="00EB0AB5"/>
    <w:rsid w:val="00EB0B1C"/>
    <w:rsid w:val="00EB0B5A"/>
    <w:rsid w:val="00EB0EB9"/>
    <w:rsid w:val="00EB0F48"/>
    <w:rsid w:val="00EB1259"/>
    <w:rsid w:val="00EB1270"/>
    <w:rsid w:val="00EB1372"/>
    <w:rsid w:val="00EB13F1"/>
    <w:rsid w:val="00EB1402"/>
    <w:rsid w:val="00EB159C"/>
    <w:rsid w:val="00EB15EC"/>
    <w:rsid w:val="00EB1B26"/>
    <w:rsid w:val="00EB1C18"/>
    <w:rsid w:val="00EB1FB9"/>
    <w:rsid w:val="00EB1FBC"/>
    <w:rsid w:val="00EB2614"/>
    <w:rsid w:val="00EB2824"/>
    <w:rsid w:val="00EB2929"/>
    <w:rsid w:val="00EB2975"/>
    <w:rsid w:val="00EB2AE6"/>
    <w:rsid w:val="00EB2AFC"/>
    <w:rsid w:val="00EB2C01"/>
    <w:rsid w:val="00EB2E6C"/>
    <w:rsid w:val="00EB33ED"/>
    <w:rsid w:val="00EB33F8"/>
    <w:rsid w:val="00EB3490"/>
    <w:rsid w:val="00EB3522"/>
    <w:rsid w:val="00EB3948"/>
    <w:rsid w:val="00EB3A6E"/>
    <w:rsid w:val="00EB3DEB"/>
    <w:rsid w:val="00EB3DFC"/>
    <w:rsid w:val="00EB3EDC"/>
    <w:rsid w:val="00EB3F7E"/>
    <w:rsid w:val="00EB41FE"/>
    <w:rsid w:val="00EB43F9"/>
    <w:rsid w:val="00EB45E8"/>
    <w:rsid w:val="00EB4781"/>
    <w:rsid w:val="00EB4968"/>
    <w:rsid w:val="00EB4AE2"/>
    <w:rsid w:val="00EB4CFF"/>
    <w:rsid w:val="00EB4D2F"/>
    <w:rsid w:val="00EB4F79"/>
    <w:rsid w:val="00EB51EC"/>
    <w:rsid w:val="00EB541E"/>
    <w:rsid w:val="00EB5474"/>
    <w:rsid w:val="00EB5755"/>
    <w:rsid w:val="00EB5785"/>
    <w:rsid w:val="00EB5889"/>
    <w:rsid w:val="00EB5B2C"/>
    <w:rsid w:val="00EB5ED1"/>
    <w:rsid w:val="00EB5F1A"/>
    <w:rsid w:val="00EB5FDD"/>
    <w:rsid w:val="00EB6025"/>
    <w:rsid w:val="00EB61E8"/>
    <w:rsid w:val="00EB61F4"/>
    <w:rsid w:val="00EB6AED"/>
    <w:rsid w:val="00EB6BF1"/>
    <w:rsid w:val="00EB6C52"/>
    <w:rsid w:val="00EB6EFA"/>
    <w:rsid w:val="00EB7019"/>
    <w:rsid w:val="00EB7295"/>
    <w:rsid w:val="00EB7391"/>
    <w:rsid w:val="00EB7478"/>
    <w:rsid w:val="00EB74EB"/>
    <w:rsid w:val="00EB761C"/>
    <w:rsid w:val="00EB77E4"/>
    <w:rsid w:val="00EB7897"/>
    <w:rsid w:val="00EB7B67"/>
    <w:rsid w:val="00EB7C75"/>
    <w:rsid w:val="00EB7C8C"/>
    <w:rsid w:val="00EB7F62"/>
    <w:rsid w:val="00EC017A"/>
    <w:rsid w:val="00EC05CA"/>
    <w:rsid w:val="00EC0601"/>
    <w:rsid w:val="00EC0760"/>
    <w:rsid w:val="00EC097D"/>
    <w:rsid w:val="00EC0C15"/>
    <w:rsid w:val="00EC0E3F"/>
    <w:rsid w:val="00EC1203"/>
    <w:rsid w:val="00EC14FE"/>
    <w:rsid w:val="00EC1915"/>
    <w:rsid w:val="00EC1E44"/>
    <w:rsid w:val="00EC1E58"/>
    <w:rsid w:val="00EC1FD1"/>
    <w:rsid w:val="00EC2121"/>
    <w:rsid w:val="00EC228A"/>
    <w:rsid w:val="00EC22B1"/>
    <w:rsid w:val="00EC267E"/>
    <w:rsid w:val="00EC26D4"/>
    <w:rsid w:val="00EC2BDF"/>
    <w:rsid w:val="00EC2DEE"/>
    <w:rsid w:val="00EC2E4F"/>
    <w:rsid w:val="00EC2EA7"/>
    <w:rsid w:val="00EC307A"/>
    <w:rsid w:val="00EC3226"/>
    <w:rsid w:val="00EC330F"/>
    <w:rsid w:val="00EC3386"/>
    <w:rsid w:val="00EC34F3"/>
    <w:rsid w:val="00EC36B3"/>
    <w:rsid w:val="00EC374B"/>
    <w:rsid w:val="00EC376E"/>
    <w:rsid w:val="00EC37B5"/>
    <w:rsid w:val="00EC3922"/>
    <w:rsid w:val="00EC3948"/>
    <w:rsid w:val="00EC3A5B"/>
    <w:rsid w:val="00EC3B30"/>
    <w:rsid w:val="00EC3BF7"/>
    <w:rsid w:val="00EC3E68"/>
    <w:rsid w:val="00EC3EB1"/>
    <w:rsid w:val="00EC40D3"/>
    <w:rsid w:val="00EC4151"/>
    <w:rsid w:val="00EC42AA"/>
    <w:rsid w:val="00EC437A"/>
    <w:rsid w:val="00EC4385"/>
    <w:rsid w:val="00EC43ED"/>
    <w:rsid w:val="00EC4456"/>
    <w:rsid w:val="00EC44BD"/>
    <w:rsid w:val="00EC45C2"/>
    <w:rsid w:val="00EC46AE"/>
    <w:rsid w:val="00EC4897"/>
    <w:rsid w:val="00EC49FA"/>
    <w:rsid w:val="00EC5073"/>
    <w:rsid w:val="00EC5128"/>
    <w:rsid w:val="00EC553D"/>
    <w:rsid w:val="00EC55B1"/>
    <w:rsid w:val="00EC5783"/>
    <w:rsid w:val="00EC5870"/>
    <w:rsid w:val="00EC59B7"/>
    <w:rsid w:val="00EC5AD5"/>
    <w:rsid w:val="00EC5B29"/>
    <w:rsid w:val="00EC5B8B"/>
    <w:rsid w:val="00EC5F07"/>
    <w:rsid w:val="00EC6077"/>
    <w:rsid w:val="00EC6122"/>
    <w:rsid w:val="00EC61D4"/>
    <w:rsid w:val="00EC6493"/>
    <w:rsid w:val="00EC6640"/>
    <w:rsid w:val="00EC680A"/>
    <w:rsid w:val="00EC685F"/>
    <w:rsid w:val="00EC6893"/>
    <w:rsid w:val="00EC6A38"/>
    <w:rsid w:val="00EC6CA1"/>
    <w:rsid w:val="00EC6CA7"/>
    <w:rsid w:val="00EC6E92"/>
    <w:rsid w:val="00EC6F2D"/>
    <w:rsid w:val="00EC71AB"/>
    <w:rsid w:val="00EC71C0"/>
    <w:rsid w:val="00EC7221"/>
    <w:rsid w:val="00EC72A3"/>
    <w:rsid w:val="00EC73D3"/>
    <w:rsid w:val="00EC740C"/>
    <w:rsid w:val="00EC753B"/>
    <w:rsid w:val="00EC761C"/>
    <w:rsid w:val="00EC770A"/>
    <w:rsid w:val="00EC7B4F"/>
    <w:rsid w:val="00EC7E11"/>
    <w:rsid w:val="00ED03AD"/>
    <w:rsid w:val="00ED070D"/>
    <w:rsid w:val="00ED072E"/>
    <w:rsid w:val="00ED07D5"/>
    <w:rsid w:val="00ED093B"/>
    <w:rsid w:val="00ED0A41"/>
    <w:rsid w:val="00ED0B28"/>
    <w:rsid w:val="00ED0B2A"/>
    <w:rsid w:val="00ED0D40"/>
    <w:rsid w:val="00ED0D67"/>
    <w:rsid w:val="00ED0F80"/>
    <w:rsid w:val="00ED105E"/>
    <w:rsid w:val="00ED1193"/>
    <w:rsid w:val="00ED1262"/>
    <w:rsid w:val="00ED1483"/>
    <w:rsid w:val="00ED1664"/>
    <w:rsid w:val="00ED1832"/>
    <w:rsid w:val="00ED18C4"/>
    <w:rsid w:val="00ED191F"/>
    <w:rsid w:val="00ED1E1F"/>
    <w:rsid w:val="00ED1E7F"/>
    <w:rsid w:val="00ED238F"/>
    <w:rsid w:val="00ED2583"/>
    <w:rsid w:val="00ED2697"/>
    <w:rsid w:val="00ED2790"/>
    <w:rsid w:val="00ED2B46"/>
    <w:rsid w:val="00ED2DF0"/>
    <w:rsid w:val="00ED2FAA"/>
    <w:rsid w:val="00ED30CD"/>
    <w:rsid w:val="00ED329D"/>
    <w:rsid w:val="00ED3785"/>
    <w:rsid w:val="00ED3789"/>
    <w:rsid w:val="00ED3982"/>
    <w:rsid w:val="00ED3AE2"/>
    <w:rsid w:val="00ED3B01"/>
    <w:rsid w:val="00ED3B56"/>
    <w:rsid w:val="00ED3CAC"/>
    <w:rsid w:val="00ED3D43"/>
    <w:rsid w:val="00ED3D62"/>
    <w:rsid w:val="00ED3D87"/>
    <w:rsid w:val="00ED3EEB"/>
    <w:rsid w:val="00ED3F0C"/>
    <w:rsid w:val="00ED3FD3"/>
    <w:rsid w:val="00ED446F"/>
    <w:rsid w:val="00ED4663"/>
    <w:rsid w:val="00ED4738"/>
    <w:rsid w:val="00ED47A5"/>
    <w:rsid w:val="00ED4835"/>
    <w:rsid w:val="00ED488E"/>
    <w:rsid w:val="00ED49FE"/>
    <w:rsid w:val="00ED4A8F"/>
    <w:rsid w:val="00ED4CFB"/>
    <w:rsid w:val="00ED4F9D"/>
    <w:rsid w:val="00ED50D6"/>
    <w:rsid w:val="00ED565A"/>
    <w:rsid w:val="00ED569A"/>
    <w:rsid w:val="00ED56BF"/>
    <w:rsid w:val="00ED5826"/>
    <w:rsid w:val="00ED5843"/>
    <w:rsid w:val="00ED5900"/>
    <w:rsid w:val="00ED59D4"/>
    <w:rsid w:val="00ED5ABD"/>
    <w:rsid w:val="00ED5B4B"/>
    <w:rsid w:val="00ED5DF8"/>
    <w:rsid w:val="00ED600E"/>
    <w:rsid w:val="00ED6566"/>
    <w:rsid w:val="00ED6605"/>
    <w:rsid w:val="00ED66D3"/>
    <w:rsid w:val="00ED66F9"/>
    <w:rsid w:val="00ED690B"/>
    <w:rsid w:val="00ED6A88"/>
    <w:rsid w:val="00ED6BDD"/>
    <w:rsid w:val="00ED7186"/>
    <w:rsid w:val="00ED75BD"/>
    <w:rsid w:val="00ED76B2"/>
    <w:rsid w:val="00ED7858"/>
    <w:rsid w:val="00ED79BA"/>
    <w:rsid w:val="00ED7B50"/>
    <w:rsid w:val="00ED7BFC"/>
    <w:rsid w:val="00ED7E64"/>
    <w:rsid w:val="00EE027D"/>
    <w:rsid w:val="00EE034C"/>
    <w:rsid w:val="00EE0515"/>
    <w:rsid w:val="00EE053A"/>
    <w:rsid w:val="00EE09CC"/>
    <w:rsid w:val="00EE111A"/>
    <w:rsid w:val="00EE1266"/>
    <w:rsid w:val="00EE13B9"/>
    <w:rsid w:val="00EE176A"/>
    <w:rsid w:val="00EE1B04"/>
    <w:rsid w:val="00EE1B6F"/>
    <w:rsid w:val="00EE1C3D"/>
    <w:rsid w:val="00EE1CB6"/>
    <w:rsid w:val="00EE1E07"/>
    <w:rsid w:val="00EE1EB8"/>
    <w:rsid w:val="00EE1F51"/>
    <w:rsid w:val="00EE210F"/>
    <w:rsid w:val="00EE22DF"/>
    <w:rsid w:val="00EE2611"/>
    <w:rsid w:val="00EE276C"/>
    <w:rsid w:val="00EE27AE"/>
    <w:rsid w:val="00EE284D"/>
    <w:rsid w:val="00EE29A0"/>
    <w:rsid w:val="00EE2A9A"/>
    <w:rsid w:val="00EE2B83"/>
    <w:rsid w:val="00EE2CC2"/>
    <w:rsid w:val="00EE300B"/>
    <w:rsid w:val="00EE313E"/>
    <w:rsid w:val="00EE339A"/>
    <w:rsid w:val="00EE349B"/>
    <w:rsid w:val="00EE35B6"/>
    <w:rsid w:val="00EE3918"/>
    <w:rsid w:val="00EE3931"/>
    <w:rsid w:val="00EE3E8D"/>
    <w:rsid w:val="00EE404D"/>
    <w:rsid w:val="00EE4196"/>
    <w:rsid w:val="00EE4590"/>
    <w:rsid w:val="00EE4659"/>
    <w:rsid w:val="00EE46DB"/>
    <w:rsid w:val="00EE4833"/>
    <w:rsid w:val="00EE4889"/>
    <w:rsid w:val="00EE4982"/>
    <w:rsid w:val="00EE4BB9"/>
    <w:rsid w:val="00EE4CF2"/>
    <w:rsid w:val="00EE4D37"/>
    <w:rsid w:val="00EE4EC6"/>
    <w:rsid w:val="00EE503A"/>
    <w:rsid w:val="00EE504A"/>
    <w:rsid w:val="00EE5236"/>
    <w:rsid w:val="00EE5326"/>
    <w:rsid w:val="00EE536E"/>
    <w:rsid w:val="00EE53C4"/>
    <w:rsid w:val="00EE53CF"/>
    <w:rsid w:val="00EE55D7"/>
    <w:rsid w:val="00EE591F"/>
    <w:rsid w:val="00EE594B"/>
    <w:rsid w:val="00EE5D8C"/>
    <w:rsid w:val="00EE5E39"/>
    <w:rsid w:val="00EE613C"/>
    <w:rsid w:val="00EE618E"/>
    <w:rsid w:val="00EE693C"/>
    <w:rsid w:val="00EE6A27"/>
    <w:rsid w:val="00EE6A8D"/>
    <w:rsid w:val="00EE744B"/>
    <w:rsid w:val="00EE7493"/>
    <w:rsid w:val="00EE74AD"/>
    <w:rsid w:val="00EE74C8"/>
    <w:rsid w:val="00EE74D0"/>
    <w:rsid w:val="00EE753F"/>
    <w:rsid w:val="00EE76F3"/>
    <w:rsid w:val="00EE7AE2"/>
    <w:rsid w:val="00EE7B39"/>
    <w:rsid w:val="00EE7B77"/>
    <w:rsid w:val="00EE7F0B"/>
    <w:rsid w:val="00EF0028"/>
    <w:rsid w:val="00EF02D7"/>
    <w:rsid w:val="00EF045B"/>
    <w:rsid w:val="00EF0514"/>
    <w:rsid w:val="00EF0583"/>
    <w:rsid w:val="00EF085E"/>
    <w:rsid w:val="00EF08E7"/>
    <w:rsid w:val="00EF0A73"/>
    <w:rsid w:val="00EF0D8A"/>
    <w:rsid w:val="00EF1302"/>
    <w:rsid w:val="00EF175E"/>
    <w:rsid w:val="00EF18FD"/>
    <w:rsid w:val="00EF1A86"/>
    <w:rsid w:val="00EF23E9"/>
    <w:rsid w:val="00EF249B"/>
    <w:rsid w:val="00EF24BE"/>
    <w:rsid w:val="00EF2502"/>
    <w:rsid w:val="00EF2659"/>
    <w:rsid w:val="00EF2722"/>
    <w:rsid w:val="00EF276F"/>
    <w:rsid w:val="00EF27AF"/>
    <w:rsid w:val="00EF2AA3"/>
    <w:rsid w:val="00EF2C3F"/>
    <w:rsid w:val="00EF2EF9"/>
    <w:rsid w:val="00EF3260"/>
    <w:rsid w:val="00EF33C4"/>
    <w:rsid w:val="00EF346A"/>
    <w:rsid w:val="00EF3629"/>
    <w:rsid w:val="00EF3748"/>
    <w:rsid w:val="00EF3D75"/>
    <w:rsid w:val="00EF3DD3"/>
    <w:rsid w:val="00EF3E00"/>
    <w:rsid w:val="00EF3E03"/>
    <w:rsid w:val="00EF3E41"/>
    <w:rsid w:val="00EF3F1F"/>
    <w:rsid w:val="00EF3FE7"/>
    <w:rsid w:val="00EF4226"/>
    <w:rsid w:val="00EF4279"/>
    <w:rsid w:val="00EF42D8"/>
    <w:rsid w:val="00EF49DD"/>
    <w:rsid w:val="00EF4AF4"/>
    <w:rsid w:val="00EF4BBA"/>
    <w:rsid w:val="00EF4C49"/>
    <w:rsid w:val="00EF4CED"/>
    <w:rsid w:val="00EF54A8"/>
    <w:rsid w:val="00EF55CC"/>
    <w:rsid w:val="00EF5791"/>
    <w:rsid w:val="00EF5968"/>
    <w:rsid w:val="00EF59D3"/>
    <w:rsid w:val="00EF5A59"/>
    <w:rsid w:val="00EF5CA7"/>
    <w:rsid w:val="00EF5EE1"/>
    <w:rsid w:val="00EF6122"/>
    <w:rsid w:val="00EF61DD"/>
    <w:rsid w:val="00EF6271"/>
    <w:rsid w:val="00EF63A1"/>
    <w:rsid w:val="00EF641C"/>
    <w:rsid w:val="00EF6AB0"/>
    <w:rsid w:val="00EF6BE4"/>
    <w:rsid w:val="00EF6C86"/>
    <w:rsid w:val="00EF6EAF"/>
    <w:rsid w:val="00EF6F31"/>
    <w:rsid w:val="00EF75E9"/>
    <w:rsid w:val="00EF7697"/>
    <w:rsid w:val="00EF76B9"/>
    <w:rsid w:val="00EF7752"/>
    <w:rsid w:val="00EF7870"/>
    <w:rsid w:val="00EF7FCB"/>
    <w:rsid w:val="00F003F9"/>
    <w:rsid w:val="00F0042D"/>
    <w:rsid w:val="00F00745"/>
    <w:rsid w:val="00F007AA"/>
    <w:rsid w:val="00F008EF"/>
    <w:rsid w:val="00F00988"/>
    <w:rsid w:val="00F00A72"/>
    <w:rsid w:val="00F00C9F"/>
    <w:rsid w:val="00F01080"/>
    <w:rsid w:val="00F010E7"/>
    <w:rsid w:val="00F011E4"/>
    <w:rsid w:val="00F011EA"/>
    <w:rsid w:val="00F01418"/>
    <w:rsid w:val="00F01541"/>
    <w:rsid w:val="00F0154E"/>
    <w:rsid w:val="00F0169A"/>
    <w:rsid w:val="00F016B2"/>
    <w:rsid w:val="00F019C5"/>
    <w:rsid w:val="00F01F3B"/>
    <w:rsid w:val="00F021D0"/>
    <w:rsid w:val="00F0245D"/>
    <w:rsid w:val="00F026B6"/>
    <w:rsid w:val="00F02908"/>
    <w:rsid w:val="00F0290E"/>
    <w:rsid w:val="00F02B6A"/>
    <w:rsid w:val="00F02BD1"/>
    <w:rsid w:val="00F02CA4"/>
    <w:rsid w:val="00F02E00"/>
    <w:rsid w:val="00F02E8E"/>
    <w:rsid w:val="00F03043"/>
    <w:rsid w:val="00F0304D"/>
    <w:rsid w:val="00F0319B"/>
    <w:rsid w:val="00F03607"/>
    <w:rsid w:val="00F03626"/>
    <w:rsid w:val="00F03904"/>
    <w:rsid w:val="00F03AF6"/>
    <w:rsid w:val="00F03C9D"/>
    <w:rsid w:val="00F03E6E"/>
    <w:rsid w:val="00F03F60"/>
    <w:rsid w:val="00F041E2"/>
    <w:rsid w:val="00F04322"/>
    <w:rsid w:val="00F04416"/>
    <w:rsid w:val="00F04700"/>
    <w:rsid w:val="00F04729"/>
    <w:rsid w:val="00F0481E"/>
    <w:rsid w:val="00F0485C"/>
    <w:rsid w:val="00F04C47"/>
    <w:rsid w:val="00F04C6F"/>
    <w:rsid w:val="00F05050"/>
    <w:rsid w:val="00F05189"/>
    <w:rsid w:val="00F05889"/>
    <w:rsid w:val="00F05926"/>
    <w:rsid w:val="00F05B38"/>
    <w:rsid w:val="00F05CA4"/>
    <w:rsid w:val="00F05D3F"/>
    <w:rsid w:val="00F066B0"/>
    <w:rsid w:val="00F06702"/>
    <w:rsid w:val="00F06F0F"/>
    <w:rsid w:val="00F07474"/>
    <w:rsid w:val="00F07621"/>
    <w:rsid w:val="00F078B9"/>
    <w:rsid w:val="00F078D9"/>
    <w:rsid w:val="00F07976"/>
    <w:rsid w:val="00F07A2F"/>
    <w:rsid w:val="00F07A55"/>
    <w:rsid w:val="00F07AB4"/>
    <w:rsid w:val="00F07C0E"/>
    <w:rsid w:val="00F100D7"/>
    <w:rsid w:val="00F10110"/>
    <w:rsid w:val="00F104AF"/>
    <w:rsid w:val="00F105C9"/>
    <w:rsid w:val="00F106AB"/>
    <w:rsid w:val="00F10B45"/>
    <w:rsid w:val="00F10D40"/>
    <w:rsid w:val="00F10D6B"/>
    <w:rsid w:val="00F10F91"/>
    <w:rsid w:val="00F112B3"/>
    <w:rsid w:val="00F11388"/>
    <w:rsid w:val="00F11484"/>
    <w:rsid w:val="00F11519"/>
    <w:rsid w:val="00F11579"/>
    <w:rsid w:val="00F115F6"/>
    <w:rsid w:val="00F1166C"/>
    <w:rsid w:val="00F117C6"/>
    <w:rsid w:val="00F117FC"/>
    <w:rsid w:val="00F11813"/>
    <w:rsid w:val="00F1188D"/>
    <w:rsid w:val="00F11BCD"/>
    <w:rsid w:val="00F11C70"/>
    <w:rsid w:val="00F11D11"/>
    <w:rsid w:val="00F11F47"/>
    <w:rsid w:val="00F12698"/>
    <w:rsid w:val="00F12B46"/>
    <w:rsid w:val="00F12CA5"/>
    <w:rsid w:val="00F12D14"/>
    <w:rsid w:val="00F12D65"/>
    <w:rsid w:val="00F12E62"/>
    <w:rsid w:val="00F130F7"/>
    <w:rsid w:val="00F1319F"/>
    <w:rsid w:val="00F131AF"/>
    <w:rsid w:val="00F134AE"/>
    <w:rsid w:val="00F136A5"/>
    <w:rsid w:val="00F13B3F"/>
    <w:rsid w:val="00F13B8A"/>
    <w:rsid w:val="00F13CBB"/>
    <w:rsid w:val="00F13CFF"/>
    <w:rsid w:val="00F14067"/>
    <w:rsid w:val="00F142D2"/>
    <w:rsid w:val="00F14495"/>
    <w:rsid w:val="00F14900"/>
    <w:rsid w:val="00F14AAD"/>
    <w:rsid w:val="00F14E8C"/>
    <w:rsid w:val="00F14FC6"/>
    <w:rsid w:val="00F15210"/>
    <w:rsid w:val="00F1529C"/>
    <w:rsid w:val="00F152EB"/>
    <w:rsid w:val="00F15453"/>
    <w:rsid w:val="00F155D0"/>
    <w:rsid w:val="00F1565C"/>
    <w:rsid w:val="00F158E8"/>
    <w:rsid w:val="00F159E3"/>
    <w:rsid w:val="00F15A0B"/>
    <w:rsid w:val="00F160D6"/>
    <w:rsid w:val="00F16176"/>
    <w:rsid w:val="00F16286"/>
    <w:rsid w:val="00F16379"/>
    <w:rsid w:val="00F16436"/>
    <w:rsid w:val="00F16897"/>
    <w:rsid w:val="00F16A46"/>
    <w:rsid w:val="00F16C4C"/>
    <w:rsid w:val="00F17118"/>
    <w:rsid w:val="00F17291"/>
    <w:rsid w:val="00F172FE"/>
    <w:rsid w:val="00F1737D"/>
    <w:rsid w:val="00F173F0"/>
    <w:rsid w:val="00F1771A"/>
    <w:rsid w:val="00F17A5F"/>
    <w:rsid w:val="00F17B1C"/>
    <w:rsid w:val="00F17F6A"/>
    <w:rsid w:val="00F20028"/>
    <w:rsid w:val="00F2046F"/>
    <w:rsid w:val="00F204E1"/>
    <w:rsid w:val="00F206EC"/>
    <w:rsid w:val="00F207D2"/>
    <w:rsid w:val="00F2094C"/>
    <w:rsid w:val="00F20C59"/>
    <w:rsid w:val="00F20C77"/>
    <w:rsid w:val="00F20F42"/>
    <w:rsid w:val="00F20F75"/>
    <w:rsid w:val="00F21380"/>
    <w:rsid w:val="00F21DD4"/>
    <w:rsid w:val="00F21F39"/>
    <w:rsid w:val="00F22006"/>
    <w:rsid w:val="00F220CA"/>
    <w:rsid w:val="00F22216"/>
    <w:rsid w:val="00F22386"/>
    <w:rsid w:val="00F2259D"/>
    <w:rsid w:val="00F227AB"/>
    <w:rsid w:val="00F22810"/>
    <w:rsid w:val="00F22AA1"/>
    <w:rsid w:val="00F22E7A"/>
    <w:rsid w:val="00F22F16"/>
    <w:rsid w:val="00F22FC4"/>
    <w:rsid w:val="00F234DC"/>
    <w:rsid w:val="00F23661"/>
    <w:rsid w:val="00F236A3"/>
    <w:rsid w:val="00F238E8"/>
    <w:rsid w:val="00F23975"/>
    <w:rsid w:val="00F23A63"/>
    <w:rsid w:val="00F23AFA"/>
    <w:rsid w:val="00F241E0"/>
    <w:rsid w:val="00F24313"/>
    <w:rsid w:val="00F24559"/>
    <w:rsid w:val="00F2458B"/>
    <w:rsid w:val="00F245C2"/>
    <w:rsid w:val="00F247C4"/>
    <w:rsid w:val="00F248A7"/>
    <w:rsid w:val="00F24A13"/>
    <w:rsid w:val="00F24B03"/>
    <w:rsid w:val="00F24B4D"/>
    <w:rsid w:val="00F24ED0"/>
    <w:rsid w:val="00F24EF7"/>
    <w:rsid w:val="00F24F71"/>
    <w:rsid w:val="00F251A3"/>
    <w:rsid w:val="00F257C3"/>
    <w:rsid w:val="00F258E9"/>
    <w:rsid w:val="00F25A1F"/>
    <w:rsid w:val="00F25AA3"/>
    <w:rsid w:val="00F25CE1"/>
    <w:rsid w:val="00F25E83"/>
    <w:rsid w:val="00F25F30"/>
    <w:rsid w:val="00F26067"/>
    <w:rsid w:val="00F26106"/>
    <w:rsid w:val="00F2616F"/>
    <w:rsid w:val="00F26791"/>
    <w:rsid w:val="00F2685B"/>
    <w:rsid w:val="00F268E8"/>
    <w:rsid w:val="00F26946"/>
    <w:rsid w:val="00F26A33"/>
    <w:rsid w:val="00F26CDB"/>
    <w:rsid w:val="00F26ED1"/>
    <w:rsid w:val="00F26F9D"/>
    <w:rsid w:val="00F270A5"/>
    <w:rsid w:val="00F27199"/>
    <w:rsid w:val="00F27266"/>
    <w:rsid w:val="00F2738D"/>
    <w:rsid w:val="00F27648"/>
    <w:rsid w:val="00F27675"/>
    <w:rsid w:val="00F278A6"/>
    <w:rsid w:val="00F279AE"/>
    <w:rsid w:val="00F27B93"/>
    <w:rsid w:val="00F27CD5"/>
    <w:rsid w:val="00F27D19"/>
    <w:rsid w:val="00F27D22"/>
    <w:rsid w:val="00F27F6C"/>
    <w:rsid w:val="00F3010E"/>
    <w:rsid w:val="00F30110"/>
    <w:rsid w:val="00F302A2"/>
    <w:rsid w:val="00F30306"/>
    <w:rsid w:val="00F30328"/>
    <w:rsid w:val="00F303C6"/>
    <w:rsid w:val="00F308E0"/>
    <w:rsid w:val="00F30943"/>
    <w:rsid w:val="00F30A79"/>
    <w:rsid w:val="00F30B88"/>
    <w:rsid w:val="00F30EA9"/>
    <w:rsid w:val="00F30EAA"/>
    <w:rsid w:val="00F30EC8"/>
    <w:rsid w:val="00F30F5D"/>
    <w:rsid w:val="00F30F88"/>
    <w:rsid w:val="00F30FB0"/>
    <w:rsid w:val="00F3102F"/>
    <w:rsid w:val="00F31322"/>
    <w:rsid w:val="00F31772"/>
    <w:rsid w:val="00F3179A"/>
    <w:rsid w:val="00F31801"/>
    <w:rsid w:val="00F31ACA"/>
    <w:rsid w:val="00F31CE0"/>
    <w:rsid w:val="00F31D3A"/>
    <w:rsid w:val="00F32671"/>
    <w:rsid w:val="00F3283A"/>
    <w:rsid w:val="00F32883"/>
    <w:rsid w:val="00F32909"/>
    <w:rsid w:val="00F32A36"/>
    <w:rsid w:val="00F32C4F"/>
    <w:rsid w:val="00F32C85"/>
    <w:rsid w:val="00F3301F"/>
    <w:rsid w:val="00F33209"/>
    <w:rsid w:val="00F33299"/>
    <w:rsid w:val="00F3338F"/>
    <w:rsid w:val="00F333B2"/>
    <w:rsid w:val="00F334A5"/>
    <w:rsid w:val="00F33891"/>
    <w:rsid w:val="00F33BA1"/>
    <w:rsid w:val="00F33CF5"/>
    <w:rsid w:val="00F340DE"/>
    <w:rsid w:val="00F3476A"/>
    <w:rsid w:val="00F34A0B"/>
    <w:rsid w:val="00F34C05"/>
    <w:rsid w:val="00F34CBF"/>
    <w:rsid w:val="00F34CE4"/>
    <w:rsid w:val="00F34E1E"/>
    <w:rsid w:val="00F34F40"/>
    <w:rsid w:val="00F35158"/>
    <w:rsid w:val="00F3517E"/>
    <w:rsid w:val="00F35220"/>
    <w:rsid w:val="00F3525B"/>
    <w:rsid w:val="00F35406"/>
    <w:rsid w:val="00F35595"/>
    <w:rsid w:val="00F35898"/>
    <w:rsid w:val="00F35A76"/>
    <w:rsid w:val="00F35AD5"/>
    <w:rsid w:val="00F35B3E"/>
    <w:rsid w:val="00F35B8E"/>
    <w:rsid w:val="00F35CA1"/>
    <w:rsid w:val="00F36091"/>
    <w:rsid w:val="00F36760"/>
    <w:rsid w:val="00F36789"/>
    <w:rsid w:val="00F36C52"/>
    <w:rsid w:val="00F36EA4"/>
    <w:rsid w:val="00F37872"/>
    <w:rsid w:val="00F378B8"/>
    <w:rsid w:val="00F37B6B"/>
    <w:rsid w:val="00F37BC4"/>
    <w:rsid w:val="00F37F14"/>
    <w:rsid w:val="00F37F67"/>
    <w:rsid w:val="00F37FB4"/>
    <w:rsid w:val="00F400E0"/>
    <w:rsid w:val="00F4033D"/>
    <w:rsid w:val="00F40621"/>
    <w:rsid w:val="00F40950"/>
    <w:rsid w:val="00F409CE"/>
    <w:rsid w:val="00F40AE3"/>
    <w:rsid w:val="00F40CDE"/>
    <w:rsid w:val="00F40D97"/>
    <w:rsid w:val="00F40FD2"/>
    <w:rsid w:val="00F41424"/>
    <w:rsid w:val="00F41447"/>
    <w:rsid w:val="00F4163C"/>
    <w:rsid w:val="00F416C4"/>
    <w:rsid w:val="00F41773"/>
    <w:rsid w:val="00F41807"/>
    <w:rsid w:val="00F41956"/>
    <w:rsid w:val="00F41A56"/>
    <w:rsid w:val="00F41AAE"/>
    <w:rsid w:val="00F41BB6"/>
    <w:rsid w:val="00F41E6D"/>
    <w:rsid w:val="00F42081"/>
    <w:rsid w:val="00F421C9"/>
    <w:rsid w:val="00F4237F"/>
    <w:rsid w:val="00F42B70"/>
    <w:rsid w:val="00F42B9E"/>
    <w:rsid w:val="00F42C74"/>
    <w:rsid w:val="00F43002"/>
    <w:rsid w:val="00F43035"/>
    <w:rsid w:val="00F43053"/>
    <w:rsid w:val="00F431CC"/>
    <w:rsid w:val="00F431CD"/>
    <w:rsid w:val="00F43263"/>
    <w:rsid w:val="00F4341E"/>
    <w:rsid w:val="00F43766"/>
    <w:rsid w:val="00F4397D"/>
    <w:rsid w:val="00F4398F"/>
    <w:rsid w:val="00F43BFC"/>
    <w:rsid w:val="00F43D49"/>
    <w:rsid w:val="00F43E18"/>
    <w:rsid w:val="00F44038"/>
    <w:rsid w:val="00F44135"/>
    <w:rsid w:val="00F44272"/>
    <w:rsid w:val="00F442DB"/>
    <w:rsid w:val="00F44776"/>
    <w:rsid w:val="00F447BE"/>
    <w:rsid w:val="00F44884"/>
    <w:rsid w:val="00F448A7"/>
    <w:rsid w:val="00F448C4"/>
    <w:rsid w:val="00F4495E"/>
    <w:rsid w:val="00F44AC9"/>
    <w:rsid w:val="00F44DD1"/>
    <w:rsid w:val="00F45189"/>
    <w:rsid w:val="00F452D4"/>
    <w:rsid w:val="00F45523"/>
    <w:rsid w:val="00F456CB"/>
    <w:rsid w:val="00F4591C"/>
    <w:rsid w:val="00F45987"/>
    <w:rsid w:val="00F45C9F"/>
    <w:rsid w:val="00F45D77"/>
    <w:rsid w:val="00F460FC"/>
    <w:rsid w:val="00F46388"/>
    <w:rsid w:val="00F463A2"/>
    <w:rsid w:val="00F4643E"/>
    <w:rsid w:val="00F46466"/>
    <w:rsid w:val="00F46590"/>
    <w:rsid w:val="00F4660A"/>
    <w:rsid w:val="00F46AF3"/>
    <w:rsid w:val="00F46B79"/>
    <w:rsid w:val="00F46F02"/>
    <w:rsid w:val="00F46F10"/>
    <w:rsid w:val="00F471E2"/>
    <w:rsid w:val="00F472C5"/>
    <w:rsid w:val="00F4740F"/>
    <w:rsid w:val="00F47535"/>
    <w:rsid w:val="00F47550"/>
    <w:rsid w:val="00F476B1"/>
    <w:rsid w:val="00F47B1C"/>
    <w:rsid w:val="00F47B3F"/>
    <w:rsid w:val="00F5011A"/>
    <w:rsid w:val="00F503E4"/>
    <w:rsid w:val="00F50459"/>
    <w:rsid w:val="00F5064E"/>
    <w:rsid w:val="00F50680"/>
    <w:rsid w:val="00F50723"/>
    <w:rsid w:val="00F50844"/>
    <w:rsid w:val="00F50A3F"/>
    <w:rsid w:val="00F510A2"/>
    <w:rsid w:val="00F511D4"/>
    <w:rsid w:val="00F5146C"/>
    <w:rsid w:val="00F516EB"/>
    <w:rsid w:val="00F5184F"/>
    <w:rsid w:val="00F518D2"/>
    <w:rsid w:val="00F519DD"/>
    <w:rsid w:val="00F51B5B"/>
    <w:rsid w:val="00F520A2"/>
    <w:rsid w:val="00F522D7"/>
    <w:rsid w:val="00F52882"/>
    <w:rsid w:val="00F52C92"/>
    <w:rsid w:val="00F5301E"/>
    <w:rsid w:val="00F53509"/>
    <w:rsid w:val="00F53588"/>
    <w:rsid w:val="00F536B4"/>
    <w:rsid w:val="00F53846"/>
    <w:rsid w:val="00F538E6"/>
    <w:rsid w:val="00F539AC"/>
    <w:rsid w:val="00F539DC"/>
    <w:rsid w:val="00F54119"/>
    <w:rsid w:val="00F5412F"/>
    <w:rsid w:val="00F5429F"/>
    <w:rsid w:val="00F542ED"/>
    <w:rsid w:val="00F54399"/>
    <w:rsid w:val="00F544BE"/>
    <w:rsid w:val="00F545A5"/>
    <w:rsid w:val="00F547E0"/>
    <w:rsid w:val="00F54A3A"/>
    <w:rsid w:val="00F54F57"/>
    <w:rsid w:val="00F54F86"/>
    <w:rsid w:val="00F55091"/>
    <w:rsid w:val="00F55117"/>
    <w:rsid w:val="00F55370"/>
    <w:rsid w:val="00F559D4"/>
    <w:rsid w:val="00F55B52"/>
    <w:rsid w:val="00F55B8F"/>
    <w:rsid w:val="00F55DBB"/>
    <w:rsid w:val="00F55F8D"/>
    <w:rsid w:val="00F56051"/>
    <w:rsid w:val="00F56181"/>
    <w:rsid w:val="00F562A4"/>
    <w:rsid w:val="00F5630A"/>
    <w:rsid w:val="00F5633E"/>
    <w:rsid w:val="00F563A1"/>
    <w:rsid w:val="00F56509"/>
    <w:rsid w:val="00F56636"/>
    <w:rsid w:val="00F56751"/>
    <w:rsid w:val="00F56766"/>
    <w:rsid w:val="00F56932"/>
    <w:rsid w:val="00F56D43"/>
    <w:rsid w:val="00F56FF5"/>
    <w:rsid w:val="00F57091"/>
    <w:rsid w:val="00F57276"/>
    <w:rsid w:val="00F572D6"/>
    <w:rsid w:val="00F5742B"/>
    <w:rsid w:val="00F57496"/>
    <w:rsid w:val="00F57536"/>
    <w:rsid w:val="00F57678"/>
    <w:rsid w:val="00F576C1"/>
    <w:rsid w:val="00F578DF"/>
    <w:rsid w:val="00F579A5"/>
    <w:rsid w:val="00F57C6C"/>
    <w:rsid w:val="00F57DA7"/>
    <w:rsid w:val="00F57F06"/>
    <w:rsid w:val="00F60148"/>
    <w:rsid w:val="00F604D5"/>
    <w:rsid w:val="00F60934"/>
    <w:rsid w:val="00F609F3"/>
    <w:rsid w:val="00F60A5A"/>
    <w:rsid w:val="00F60BA0"/>
    <w:rsid w:val="00F60D47"/>
    <w:rsid w:val="00F611E8"/>
    <w:rsid w:val="00F61236"/>
    <w:rsid w:val="00F6126D"/>
    <w:rsid w:val="00F61288"/>
    <w:rsid w:val="00F61297"/>
    <w:rsid w:val="00F6141B"/>
    <w:rsid w:val="00F6162F"/>
    <w:rsid w:val="00F61698"/>
    <w:rsid w:val="00F619F4"/>
    <w:rsid w:val="00F61B70"/>
    <w:rsid w:val="00F61F5D"/>
    <w:rsid w:val="00F621F0"/>
    <w:rsid w:val="00F623B3"/>
    <w:rsid w:val="00F6242C"/>
    <w:rsid w:val="00F6243A"/>
    <w:rsid w:val="00F62A53"/>
    <w:rsid w:val="00F62C40"/>
    <w:rsid w:val="00F62D1B"/>
    <w:rsid w:val="00F62E51"/>
    <w:rsid w:val="00F630DB"/>
    <w:rsid w:val="00F63129"/>
    <w:rsid w:val="00F631DF"/>
    <w:rsid w:val="00F63281"/>
    <w:rsid w:val="00F632E1"/>
    <w:rsid w:val="00F63546"/>
    <w:rsid w:val="00F636F2"/>
    <w:rsid w:val="00F637B1"/>
    <w:rsid w:val="00F63825"/>
    <w:rsid w:val="00F63E6C"/>
    <w:rsid w:val="00F641E4"/>
    <w:rsid w:val="00F6438C"/>
    <w:rsid w:val="00F64410"/>
    <w:rsid w:val="00F647B7"/>
    <w:rsid w:val="00F64917"/>
    <w:rsid w:val="00F6494D"/>
    <w:rsid w:val="00F6497B"/>
    <w:rsid w:val="00F64A31"/>
    <w:rsid w:val="00F64D5C"/>
    <w:rsid w:val="00F64D91"/>
    <w:rsid w:val="00F64F5B"/>
    <w:rsid w:val="00F650B3"/>
    <w:rsid w:val="00F650DF"/>
    <w:rsid w:val="00F6516F"/>
    <w:rsid w:val="00F654F6"/>
    <w:rsid w:val="00F65650"/>
    <w:rsid w:val="00F65680"/>
    <w:rsid w:val="00F657CF"/>
    <w:rsid w:val="00F65D3C"/>
    <w:rsid w:val="00F65E16"/>
    <w:rsid w:val="00F65FEE"/>
    <w:rsid w:val="00F66334"/>
    <w:rsid w:val="00F66342"/>
    <w:rsid w:val="00F66521"/>
    <w:rsid w:val="00F66760"/>
    <w:rsid w:val="00F66763"/>
    <w:rsid w:val="00F66832"/>
    <w:rsid w:val="00F668EF"/>
    <w:rsid w:val="00F66BE7"/>
    <w:rsid w:val="00F66CEA"/>
    <w:rsid w:val="00F66FAC"/>
    <w:rsid w:val="00F67303"/>
    <w:rsid w:val="00F676C8"/>
    <w:rsid w:val="00F677E5"/>
    <w:rsid w:val="00F678F6"/>
    <w:rsid w:val="00F67AB6"/>
    <w:rsid w:val="00F67AE7"/>
    <w:rsid w:val="00F67B57"/>
    <w:rsid w:val="00F67D4A"/>
    <w:rsid w:val="00F67E84"/>
    <w:rsid w:val="00F704D7"/>
    <w:rsid w:val="00F70774"/>
    <w:rsid w:val="00F7086F"/>
    <w:rsid w:val="00F709B9"/>
    <w:rsid w:val="00F70B7A"/>
    <w:rsid w:val="00F70D3E"/>
    <w:rsid w:val="00F71072"/>
    <w:rsid w:val="00F710E9"/>
    <w:rsid w:val="00F712FE"/>
    <w:rsid w:val="00F71426"/>
    <w:rsid w:val="00F7152D"/>
    <w:rsid w:val="00F71637"/>
    <w:rsid w:val="00F717C5"/>
    <w:rsid w:val="00F717D4"/>
    <w:rsid w:val="00F71AAF"/>
    <w:rsid w:val="00F71B73"/>
    <w:rsid w:val="00F71FF5"/>
    <w:rsid w:val="00F7230E"/>
    <w:rsid w:val="00F72498"/>
    <w:rsid w:val="00F72507"/>
    <w:rsid w:val="00F72E64"/>
    <w:rsid w:val="00F72ED1"/>
    <w:rsid w:val="00F7308D"/>
    <w:rsid w:val="00F732A1"/>
    <w:rsid w:val="00F7332D"/>
    <w:rsid w:val="00F73730"/>
    <w:rsid w:val="00F73915"/>
    <w:rsid w:val="00F73944"/>
    <w:rsid w:val="00F7396B"/>
    <w:rsid w:val="00F739B1"/>
    <w:rsid w:val="00F73AA3"/>
    <w:rsid w:val="00F73C11"/>
    <w:rsid w:val="00F73E23"/>
    <w:rsid w:val="00F74138"/>
    <w:rsid w:val="00F74505"/>
    <w:rsid w:val="00F74667"/>
    <w:rsid w:val="00F74751"/>
    <w:rsid w:val="00F74777"/>
    <w:rsid w:val="00F74B10"/>
    <w:rsid w:val="00F75092"/>
    <w:rsid w:val="00F7512C"/>
    <w:rsid w:val="00F75245"/>
    <w:rsid w:val="00F75658"/>
    <w:rsid w:val="00F75766"/>
    <w:rsid w:val="00F758C3"/>
    <w:rsid w:val="00F75D0D"/>
    <w:rsid w:val="00F75D71"/>
    <w:rsid w:val="00F75DD2"/>
    <w:rsid w:val="00F75E06"/>
    <w:rsid w:val="00F75F81"/>
    <w:rsid w:val="00F76404"/>
    <w:rsid w:val="00F764CB"/>
    <w:rsid w:val="00F765E0"/>
    <w:rsid w:val="00F76830"/>
    <w:rsid w:val="00F7695B"/>
    <w:rsid w:val="00F76A1F"/>
    <w:rsid w:val="00F76CA5"/>
    <w:rsid w:val="00F76D71"/>
    <w:rsid w:val="00F76E25"/>
    <w:rsid w:val="00F76FC8"/>
    <w:rsid w:val="00F770CA"/>
    <w:rsid w:val="00F77623"/>
    <w:rsid w:val="00F776CB"/>
    <w:rsid w:val="00F77766"/>
    <w:rsid w:val="00F77891"/>
    <w:rsid w:val="00F77DA2"/>
    <w:rsid w:val="00F801A5"/>
    <w:rsid w:val="00F801F6"/>
    <w:rsid w:val="00F80254"/>
    <w:rsid w:val="00F80429"/>
    <w:rsid w:val="00F805F5"/>
    <w:rsid w:val="00F80B21"/>
    <w:rsid w:val="00F80C2C"/>
    <w:rsid w:val="00F80CB0"/>
    <w:rsid w:val="00F80ED2"/>
    <w:rsid w:val="00F80FAD"/>
    <w:rsid w:val="00F81048"/>
    <w:rsid w:val="00F81241"/>
    <w:rsid w:val="00F8138A"/>
    <w:rsid w:val="00F816C3"/>
    <w:rsid w:val="00F818C7"/>
    <w:rsid w:val="00F81B2E"/>
    <w:rsid w:val="00F81FBD"/>
    <w:rsid w:val="00F820E5"/>
    <w:rsid w:val="00F82851"/>
    <w:rsid w:val="00F828C9"/>
    <w:rsid w:val="00F828D0"/>
    <w:rsid w:val="00F829F4"/>
    <w:rsid w:val="00F82D3E"/>
    <w:rsid w:val="00F82D8B"/>
    <w:rsid w:val="00F82F27"/>
    <w:rsid w:val="00F82F33"/>
    <w:rsid w:val="00F82F90"/>
    <w:rsid w:val="00F830C3"/>
    <w:rsid w:val="00F831B5"/>
    <w:rsid w:val="00F831BB"/>
    <w:rsid w:val="00F832FF"/>
    <w:rsid w:val="00F83494"/>
    <w:rsid w:val="00F83785"/>
    <w:rsid w:val="00F8396A"/>
    <w:rsid w:val="00F83B68"/>
    <w:rsid w:val="00F83B81"/>
    <w:rsid w:val="00F83DBE"/>
    <w:rsid w:val="00F83E66"/>
    <w:rsid w:val="00F83FCC"/>
    <w:rsid w:val="00F8409A"/>
    <w:rsid w:val="00F84238"/>
    <w:rsid w:val="00F8475B"/>
    <w:rsid w:val="00F848C2"/>
    <w:rsid w:val="00F849C1"/>
    <w:rsid w:val="00F84C4C"/>
    <w:rsid w:val="00F84E97"/>
    <w:rsid w:val="00F854E7"/>
    <w:rsid w:val="00F8552F"/>
    <w:rsid w:val="00F85776"/>
    <w:rsid w:val="00F85ED8"/>
    <w:rsid w:val="00F862A9"/>
    <w:rsid w:val="00F86344"/>
    <w:rsid w:val="00F8645A"/>
    <w:rsid w:val="00F86517"/>
    <w:rsid w:val="00F865BC"/>
    <w:rsid w:val="00F86679"/>
    <w:rsid w:val="00F8679C"/>
    <w:rsid w:val="00F868C2"/>
    <w:rsid w:val="00F8698F"/>
    <w:rsid w:val="00F86A24"/>
    <w:rsid w:val="00F86A80"/>
    <w:rsid w:val="00F86AC4"/>
    <w:rsid w:val="00F86BDB"/>
    <w:rsid w:val="00F86E1D"/>
    <w:rsid w:val="00F86EDC"/>
    <w:rsid w:val="00F87112"/>
    <w:rsid w:val="00F87187"/>
    <w:rsid w:val="00F8720C"/>
    <w:rsid w:val="00F872CE"/>
    <w:rsid w:val="00F8739C"/>
    <w:rsid w:val="00F87457"/>
    <w:rsid w:val="00F875C5"/>
    <w:rsid w:val="00F877C4"/>
    <w:rsid w:val="00F877DD"/>
    <w:rsid w:val="00F878D2"/>
    <w:rsid w:val="00F87A4B"/>
    <w:rsid w:val="00F87B6A"/>
    <w:rsid w:val="00F87C2C"/>
    <w:rsid w:val="00F8F285"/>
    <w:rsid w:val="00F9004C"/>
    <w:rsid w:val="00F9047D"/>
    <w:rsid w:val="00F9121D"/>
    <w:rsid w:val="00F912F5"/>
    <w:rsid w:val="00F918B0"/>
    <w:rsid w:val="00F9196B"/>
    <w:rsid w:val="00F91ADD"/>
    <w:rsid w:val="00F91B54"/>
    <w:rsid w:val="00F920B4"/>
    <w:rsid w:val="00F924C0"/>
    <w:rsid w:val="00F9262F"/>
    <w:rsid w:val="00F926B6"/>
    <w:rsid w:val="00F92946"/>
    <w:rsid w:val="00F9298C"/>
    <w:rsid w:val="00F92DBD"/>
    <w:rsid w:val="00F9310D"/>
    <w:rsid w:val="00F9317A"/>
    <w:rsid w:val="00F932A0"/>
    <w:rsid w:val="00F93354"/>
    <w:rsid w:val="00F9336E"/>
    <w:rsid w:val="00F933D5"/>
    <w:rsid w:val="00F93489"/>
    <w:rsid w:val="00F934F1"/>
    <w:rsid w:val="00F935C4"/>
    <w:rsid w:val="00F93668"/>
    <w:rsid w:val="00F936FD"/>
    <w:rsid w:val="00F93933"/>
    <w:rsid w:val="00F939CB"/>
    <w:rsid w:val="00F93A7C"/>
    <w:rsid w:val="00F93AFC"/>
    <w:rsid w:val="00F93CCC"/>
    <w:rsid w:val="00F93D04"/>
    <w:rsid w:val="00F94205"/>
    <w:rsid w:val="00F9420D"/>
    <w:rsid w:val="00F94409"/>
    <w:rsid w:val="00F944DA"/>
    <w:rsid w:val="00F9480A"/>
    <w:rsid w:val="00F949B1"/>
    <w:rsid w:val="00F94AF6"/>
    <w:rsid w:val="00F94BE6"/>
    <w:rsid w:val="00F94C0C"/>
    <w:rsid w:val="00F94D14"/>
    <w:rsid w:val="00F94FAB"/>
    <w:rsid w:val="00F9502B"/>
    <w:rsid w:val="00F95160"/>
    <w:rsid w:val="00F9521B"/>
    <w:rsid w:val="00F955C3"/>
    <w:rsid w:val="00F956E5"/>
    <w:rsid w:val="00F95849"/>
    <w:rsid w:val="00F95976"/>
    <w:rsid w:val="00F95E55"/>
    <w:rsid w:val="00F95F7E"/>
    <w:rsid w:val="00F95FC2"/>
    <w:rsid w:val="00F9603E"/>
    <w:rsid w:val="00F96272"/>
    <w:rsid w:val="00F96304"/>
    <w:rsid w:val="00F96465"/>
    <w:rsid w:val="00F96626"/>
    <w:rsid w:val="00F96F29"/>
    <w:rsid w:val="00F971E7"/>
    <w:rsid w:val="00F9730C"/>
    <w:rsid w:val="00F975B7"/>
    <w:rsid w:val="00F976EC"/>
    <w:rsid w:val="00F97A6A"/>
    <w:rsid w:val="00F97B11"/>
    <w:rsid w:val="00F97D53"/>
    <w:rsid w:val="00F97F96"/>
    <w:rsid w:val="00FA0217"/>
    <w:rsid w:val="00FA02A6"/>
    <w:rsid w:val="00FA05EB"/>
    <w:rsid w:val="00FA0722"/>
    <w:rsid w:val="00FA0862"/>
    <w:rsid w:val="00FA0AC4"/>
    <w:rsid w:val="00FA0B46"/>
    <w:rsid w:val="00FA1070"/>
    <w:rsid w:val="00FA127F"/>
    <w:rsid w:val="00FA129C"/>
    <w:rsid w:val="00FA1CF8"/>
    <w:rsid w:val="00FA1D3E"/>
    <w:rsid w:val="00FA1E25"/>
    <w:rsid w:val="00FA1FF1"/>
    <w:rsid w:val="00FA21E2"/>
    <w:rsid w:val="00FA257E"/>
    <w:rsid w:val="00FA2743"/>
    <w:rsid w:val="00FA2989"/>
    <w:rsid w:val="00FA2BD5"/>
    <w:rsid w:val="00FA2D74"/>
    <w:rsid w:val="00FA304E"/>
    <w:rsid w:val="00FA33F2"/>
    <w:rsid w:val="00FA3431"/>
    <w:rsid w:val="00FA34D8"/>
    <w:rsid w:val="00FA390B"/>
    <w:rsid w:val="00FA3D7B"/>
    <w:rsid w:val="00FA432A"/>
    <w:rsid w:val="00FA45A0"/>
    <w:rsid w:val="00FA46E8"/>
    <w:rsid w:val="00FA489B"/>
    <w:rsid w:val="00FA4A93"/>
    <w:rsid w:val="00FA4CA3"/>
    <w:rsid w:val="00FA4D6E"/>
    <w:rsid w:val="00FA4F13"/>
    <w:rsid w:val="00FA511E"/>
    <w:rsid w:val="00FA5126"/>
    <w:rsid w:val="00FA51D8"/>
    <w:rsid w:val="00FA5237"/>
    <w:rsid w:val="00FA52E2"/>
    <w:rsid w:val="00FA53D8"/>
    <w:rsid w:val="00FA5701"/>
    <w:rsid w:val="00FA5881"/>
    <w:rsid w:val="00FA5A11"/>
    <w:rsid w:val="00FA5AF8"/>
    <w:rsid w:val="00FA5B96"/>
    <w:rsid w:val="00FA5BCA"/>
    <w:rsid w:val="00FA5F18"/>
    <w:rsid w:val="00FA5F75"/>
    <w:rsid w:val="00FA5F7F"/>
    <w:rsid w:val="00FA60D1"/>
    <w:rsid w:val="00FA62F2"/>
    <w:rsid w:val="00FA6370"/>
    <w:rsid w:val="00FA65DE"/>
    <w:rsid w:val="00FA6615"/>
    <w:rsid w:val="00FA6CEC"/>
    <w:rsid w:val="00FA6CF0"/>
    <w:rsid w:val="00FA6D3C"/>
    <w:rsid w:val="00FA6DE3"/>
    <w:rsid w:val="00FA6F28"/>
    <w:rsid w:val="00FA7071"/>
    <w:rsid w:val="00FA72F0"/>
    <w:rsid w:val="00FA7310"/>
    <w:rsid w:val="00FA731F"/>
    <w:rsid w:val="00FA7492"/>
    <w:rsid w:val="00FA77B8"/>
    <w:rsid w:val="00FA7A4C"/>
    <w:rsid w:val="00FA7A99"/>
    <w:rsid w:val="00FA7B26"/>
    <w:rsid w:val="00FA7B78"/>
    <w:rsid w:val="00FA7C2C"/>
    <w:rsid w:val="00FA7C87"/>
    <w:rsid w:val="00FA7C92"/>
    <w:rsid w:val="00FA7CAD"/>
    <w:rsid w:val="00FA7CB7"/>
    <w:rsid w:val="00FA7E16"/>
    <w:rsid w:val="00FA7E2C"/>
    <w:rsid w:val="00FB0021"/>
    <w:rsid w:val="00FB02D9"/>
    <w:rsid w:val="00FB031B"/>
    <w:rsid w:val="00FB034A"/>
    <w:rsid w:val="00FB06A5"/>
    <w:rsid w:val="00FB08BD"/>
    <w:rsid w:val="00FB0AAA"/>
    <w:rsid w:val="00FB0CA2"/>
    <w:rsid w:val="00FB0E63"/>
    <w:rsid w:val="00FB0EBC"/>
    <w:rsid w:val="00FB10FF"/>
    <w:rsid w:val="00FB1114"/>
    <w:rsid w:val="00FB1127"/>
    <w:rsid w:val="00FB11FD"/>
    <w:rsid w:val="00FB122D"/>
    <w:rsid w:val="00FB16B5"/>
    <w:rsid w:val="00FB1985"/>
    <w:rsid w:val="00FB1FB6"/>
    <w:rsid w:val="00FB1FDB"/>
    <w:rsid w:val="00FB20E9"/>
    <w:rsid w:val="00FB2132"/>
    <w:rsid w:val="00FB21AC"/>
    <w:rsid w:val="00FB25ED"/>
    <w:rsid w:val="00FB2632"/>
    <w:rsid w:val="00FB28CE"/>
    <w:rsid w:val="00FB2C54"/>
    <w:rsid w:val="00FB2F96"/>
    <w:rsid w:val="00FB3132"/>
    <w:rsid w:val="00FB325B"/>
    <w:rsid w:val="00FB3417"/>
    <w:rsid w:val="00FB35AC"/>
    <w:rsid w:val="00FB35C6"/>
    <w:rsid w:val="00FB369A"/>
    <w:rsid w:val="00FB3781"/>
    <w:rsid w:val="00FB378B"/>
    <w:rsid w:val="00FB378D"/>
    <w:rsid w:val="00FB37C7"/>
    <w:rsid w:val="00FB386F"/>
    <w:rsid w:val="00FB3934"/>
    <w:rsid w:val="00FB399C"/>
    <w:rsid w:val="00FB39A9"/>
    <w:rsid w:val="00FB3B5C"/>
    <w:rsid w:val="00FB3D32"/>
    <w:rsid w:val="00FB3DA4"/>
    <w:rsid w:val="00FB43A9"/>
    <w:rsid w:val="00FB43BC"/>
    <w:rsid w:val="00FB4690"/>
    <w:rsid w:val="00FB4823"/>
    <w:rsid w:val="00FB48D1"/>
    <w:rsid w:val="00FB4B5B"/>
    <w:rsid w:val="00FB4B70"/>
    <w:rsid w:val="00FB4C83"/>
    <w:rsid w:val="00FB4DC2"/>
    <w:rsid w:val="00FB4E20"/>
    <w:rsid w:val="00FB4ECD"/>
    <w:rsid w:val="00FB5291"/>
    <w:rsid w:val="00FB53A6"/>
    <w:rsid w:val="00FB5495"/>
    <w:rsid w:val="00FB5510"/>
    <w:rsid w:val="00FB568B"/>
    <w:rsid w:val="00FB57DE"/>
    <w:rsid w:val="00FB5CEB"/>
    <w:rsid w:val="00FB6293"/>
    <w:rsid w:val="00FB67CB"/>
    <w:rsid w:val="00FB698F"/>
    <w:rsid w:val="00FB6A12"/>
    <w:rsid w:val="00FB6A1D"/>
    <w:rsid w:val="00FB7278"/>
    <w:rsid w:val="00FB74D6"/>
    <w:rsid w:val="00FB758E"/>
    <w:rsid w:val="00FB76E0"/>
    <w:rsid w:val="00FB77C5"/>
    <w:rsid w:val="00FB79AE"/>
    <w:rsid w:val="00FB7A8C"/>
    <w:rsid w:val="00FC0001"/>
    <w:rsid w:val="00FC068F"/>
    <w:rsid w:val="00FC0853"/>
    <w:rsid w:val="00FC0931"/>
    <w:rsid w:val="00FC0B39"/>
    <w:rsid w:val="00FC138F"/>
    <w:rsid w:val="00FC1759"/>
    <w:rsid w:val="00FC1762"/>
    <w:rsid w:val="00FC1816"/>
    <w:rsid w:val="00FC18C8"/>
    <w:rsid w:val="00FC190D"/>
    <w:rsid w:val="00FC198F"/>
    <w:rsid w:val="00FC19C0"/>
    <w:rsid w:val="00FC1F12"/>
    <w:rsid w:val="00FC20BC"/>
    <w:rsid w:val="00FC25A6"/>
    <w:rsid w:val="00FC2A45"/>
    <w:rsid w:val="00FC2ACD"/>
    <w:rsid w:val="00FC2CDA"/>
    <w:rsid w:val="00FC33D2"/>
    <w:rsid w:val="00FC3509"/>
    <w:rsid w:val="00FC36B0"/>
    <w:rsid w:val="00FC37BD"/>
    <w:rsid w:val="00FC3A09"/>
    <w:rsid w:val="00FC3C02"/>
    <w:rsid w:val="00FC3C68"/>
    <w:rsid w:val="00FC3CEE"/>
    <w:rsid w:val="00FC3FC8"/>
    <w:rsid w:val="00FC411B"/>
    <w:rsid w:val="00FC4121"/>
    <w:rsid w:val="00FC4546"/>
    <w:rsid w:val="00FC4C1A"/>
    <w:rsid w:val="00FC4C9E"/>
    <w:rsid w:val="00FC4D5B"/>
    <w:rsid w:val="00FC5111"/>
    <w:rsid w:val="00FC5392"/>
    <w:rsid w:val="00FC5548"/>
    <w:rsid w:val="00FC5593"/>
    <w:rsid w:val="00FC56D8"/>
    <w:rsid w:val="00FC576A"/>
    <w:rsid w:val="00FC5934"/>
    <w:rsid w:val="00FC5C63"/>
    <w:rsid w:val="00FC5E5D"/>
    <w:rsid w:val="00FC5E76"/>
    <w:rsid w:val="00FC5EB4"/>
    <w:rsid w:val="00FC5F21"/>
    <w:rsid w:val="00FC65AC"/>
    <w:rsid w:val="00FC668C"/>
    <w:rsid w:val="00FC67D3"/>
    <w:rsid w:val="00FC68C2"/>
    <w:rsid w:val="00FC6A5B"/>
    <w:rsid w:val="00FC6BD1"/>
    <w:rsid w:val="00FC6C78"/>
    <w:rsid w:val="00FC6CD4"/>
    <w:rsid w:val="00FC6DEC"/>
    <w:rsid w:val="00FC6EF5"/>
    <w:rsid w:val="00FC71E2"/>
    <w:rsid w:val="00FC7448"/>
    <w:rsid w:val="00FC760E"/>
    <w:rsid w:val="00FC7682"/>
    <w:rsid w:val="00FC76F6"/>
    <w:rsid w:val="00FC77F4"/>
    <w:rsid w:val="00FC792E"/>
    <w:rsid w:val="00FC7BD0"/>
    <w:rsid w:val="00FC7EF2"/>
    <w:rsid w:val="00FC7FD3"/>
    <w:rsid w:val="00FD00BE"/>
    <w:rsid w:val="00FD0174"/>
    <w:rsid w:val="00FD0544"/>
    <w:rsid w:val="00FD076A"/>
    <w:rsid w:val="00FD08BD"/>
    <w:rsid w:val="00FD08FF"/>
    <w:rsid w:val="00FD0926"/>
    <w:rsid w:val="00FD099A"/>
    <w:rsid w:val="00FD0A42"/>
    <w:rsid w:val="00FD0B97"/>
    <w:rsid w:val="00FD0BC3"/>
    <w:rsid w:val="00FD0CB2"/>
    <w:rsid w:val="00FD1140"/>
    <w:rsid w:val="00FD128E"/>
    <w:rsid w:val="00FD1565"/>
    <w:rsid w:val="00FD16B3"/>
    <w:rsid w:val="00FD18BB"/>
    <w:rsid w:val="00FD18C1"/>
    <w:rsid w:val="00FD19C1"/>
    <w:rsid w:val="00FD1AB1"/>
    <w:rsid w:val="00FD1BBA"/>
    <w:rsid w:val="00FD1EB2"/>
    <w:rsid w:val="00FD1ECF"/>
    <w:rsid w:val="00FD21BE"/>
    <w:rsid w:val="00FD235C"/>
    <w:rsid w:val="00FD2487"/>
    <w:rsid w:val="00FD263E"/>
    <w:rsid w:val="00FD2697"/>
    <w:rsid w:val="00FD2C56"/>
    <w:rsid w:val="00FD2D67"/>
    <w:rsid w:val="00FD2F87"/>
    <w:rsid w:val="00FD2F8A"/>
    <w:rsid w:val="00FD329D"/>
    <w:rsid w:val="00FD347C"/>
    <w:rsid w:val="00FD35CB"/>
    <w:rsid w:val="00FD38C9"/>
    <w:rsid w:val="00FD3AFF"/>
    <w:rsid w:val="00FD3D15"/>
    <w:rsid w:val="00FD4092"/>
    <w:rsid w:val="00FD4564"/>
    <w:rsid w:val="00FD466B"/>
    <w:rsid w:val="00FD467F"/>
    <w:rsid w:val="00FD46BB"/>
    <w:rsid w:val="00FD4736"/>
    <w:rsid w:val="00FD48A4"/>
    <w:rsid w:val="00FD4A12"/>
    <w:rsid w:val="00FD4C11"/>
    <w:rsid w:val="00FD4C1F"/>
    <w:rsid w:val="00FD4DAA"/>
    <w:rsid w:val="00FD4F19"/>
    <w:rsid w:val="00FD4F21"/>
    <w:rsid w:val="00FD5403"/>
    <w:rsid w:val="00FD5A3E"/>
    <w:rsid w:val="00FD5CA6"/>
    <w:rsid w:val="00FD5E1C"/>
    <w:rsid w:val="00FD5F10"/>
    <w:rsid w:val="00FD5FA8"/>
    <w:rsid w:val="00FD6203"/>
    <w:rsid w:val="00FD63DB"/>
    <w:rsid w:val="00FD65D7"/>
    <w:rsid w:val="00FD65DE"/>
    <w:rsid w:val="00FD663F"/>
    <w:rsid w:val="00FD675D"/>
    <w:rsid w:val="00FD6764"/>
    <w:rsid w:val="00FD6931"/>
    <w:rsid w:val="00FD6A04"/>
    <w:rsid w:val="00FD6A33"/>
    <w:rsid w:val="00FD6D3F"/>
    <w:rsid w:val="00FD6FA6"/>
    <w:rsid w:val="00FD6FD9"/>
    <w:rsid w:val="00FD724C"/>
    <w:rsid w:val="00FD7293"/>
    <w:rsid w:val="00FD72D5"/>
    <w:rsid w:val="00FD7901"/>
    <w:rsid w:val="00FD7A65"/>
    <w:rsid w:val="00FD7BE3"/>
    <w:rsid w:val="00FD7CE8"/>
    <w:rsid w:val="00FD7D61"/>
    <w:rsid w:val="00FD7EB9"/>
    <w:rsid w:val="00FE02BE"/>
    <w:rsid w:val="00FE02E1"/>
    <w:rsid w:val="00FE0752"/>
    <w:rsid w:val="00FE07C0"/>
    <w:rsid w:val="00FE0849"/>
    <w:rsid w:val="00FE0A2B"/>
    <w:rsid w:val="00FE0B98"/>
    <w:rsid w:val="00FE1444"/>
    <w:rsid w:val="00FE15F6"/>
    <w:rsid w:val="00FE1867"/>
    <w:rsid w:val="00FE18CC"/>
    <w:rsid w:val="00FE19E8"/>
    <w:rsid w:val="00FE1A19"/>
    <w:rsid w:val="00FE1B62"/>
    <w:rsid w:val="00FE1D1C"/>
    <w:rsid w:val="00FE1D93"/>
    <w:rsid w:val="00FE210D"/>
    <w:rsid w:val="00FE21C1"/>
    <w:rsid w:val="00FE2411"/>
    <w:rsid w:val="00FE274C"/>
    <w:rsid w:val="00FE2A47"/>
    <w:rsid w:val="00FE2DFA"/>
    <w:rsid w:val="00FE2E19"/>
    <w:rsid w:val="00FE3382"/>
    <w:rsid w:val="00FE33C6"/>
    <w:rsid w:val="00FE3436"/>
    <w:rsid w:val="00FE3694"/>
    <w:rsid w:val="00FE36C2"/>
    <w:rsid w:val="00FE36E6"/>
    <w:rsid w:val="00FE372E"/>
    <w:rsid w:val="00FE3B79"/>
    <w:rsid w:val="00FE3D80"/>
    <w:rsid w:val="00FE408E"/>
    <w:rsid w:val="00FE41E4"/>
    <w:rsid w:val="00FE4330"/>
    <w:rsid w:val="00FE441E"/>
    <w:rsid w:val="00FE460B"/>
    <w:rsid w:val="00FE46C3"/>
    <w:rsid w:val="00FE4B12"/>
    <w:rsid w:val="00FE4DA6"/>
    <w:rsid w:val="00FE4E7D"/>
    <w:rsid w:val="00FE52DB"/>
    <w:rsid w:val="00FE530B"/>
    <w:rsid w:val="00FE5320"/>
    <w:rsid w:val="00FE5363"/>
    <w:rsid w:val="00FE5CBE"/>
    <w:rsid w:val="00FE61E3"/>
    <w:rsid w:val="00FE62D1"/>
    <w:rsid w:val="00FE64BC"/>
    <w:rsid w:val="00FE64EC"/>
    <w:rsid w:val="00FE6740"/>
    <w:rsid w:val="00FE679E"/>
    <w:rsid w:val="00FE6B89"/>
    <w:rsid w:val="00FE6D20"/>
    <w:rsid w:val="00FE6E3F"/>
    <w:rsid w:val="00FE7110"/>
    <w:rsid w:val="00FE712B"/>
    <w:rsid w:val="00FE72DE"/>
    <w:rsid w:val="00FE72F8"/>
    <w:rsid w:val="00FE7423"/>
    <w:rsid w:val="00FE7435"/>
    <w:rsid w:val="00FE74B3"/>
    <w:rsid w:val="00FE7621"/>
    <w:rsid w:val="00FE77F2"/>
    <w:rsid w:val="00FE7CD9"/>
    <w:rsid w:val="00FE7D14"/>
    <w:rsid w:val="00FE7D39"/>
    <w:rsid w:val="00FE7F8E"/>
    <w:rsid w:val="00FF0156"/>
    <w:rsid w:val="00FF0234"/>
    <w:rsid w:val="00FF02DC"/>
    <w:rsid w:val="00FF0317"/>
    <w:rsid w:val="00FF06AE"/>
    <w:rsid w:val="00FF071D"/>
    <w:rsid w:val="00FF07AE"/>
    <w:rsid w:val="00FF0C40"/>
    <w:rsid w:val="00FF0C9C"/>
    <w:rsid w:val="00FF0D06"/>
    <w:rsid w:val="00FF0D18"/>
    <w:rsid w:val="00FF0D8C"/>
    <w:rsid w:val="00FF0DCB"/>
    <w:rsid w:val="00FF1339"/>
    <w:rsid w:val="00FF1D6E"/>
    <w:rsid w:val="00FF217E"/>
    <w:rsid w:val="00FF2405"/>
    <w:rsid w:val="00FF249F"/>
    <w:rsid w:val="00FF26E7"/>
    <w:rsid w:val="00FF2756"/>
    <w:rsid w:val="00FF2C16"/>
    <w:rsid w:val="00FF2E65"/>
    <w:rsid w:val="00FF2F8B"/>
    <w:rsid w:val="00FF329A"/>
    <w:rsid w:val="00FF33B1"/>
    <w:rsid w:val="00FF353F"/>
    <w:rsid w:val="00FF36DE"/>
    <w:rsid w:val="00FF3B28"/>
    <w:rsid w:val="00FF3DA9"/>
    <w:rsid w:val="00FF441C"/>
    <w:rsid w:val="00FF4438"/>
    <w:rsid w:val="00FF4568"/>
    <w:rsid w:val="00FF4581"/>
    <w:rsid w:val="00FF47EC"/>
    <w:rsid w:val="00FF4C57"/>
    <w:rsid w:val="00FF4F50"/>
    <w:rsid w:val="00FF4FC8"/>
    <w:rsid w:val="00FF52BA"/>
    <w:rsid w:val="00FF5977"/>
    <w:rsid w:val="00FF5AC2"/>
    <w:rsid w:val="00FF5B6D"/>
    <w:rsid w:val="00FF5CE3"/>
    <w:rsid w:val="00FF5D50"/>
    <w:rsid w:val="00FF607C"/>
    <w:rsid w:val="00FF6196"/>
    <w:rsid w:val="00FF61F1"/>
    <w:rsid w:val="00FF6395"/>
    <w:rsid w:val="00FF6467"/>
    <w:rsid w:val="00FF654C"/>
    <w:rsid w:val="00FF672A"/>
    <w:rsid w:val="00FF6845"/>
    <w:rsid w:val="00FF6A9E"/>
    <w:rsid w:val="00FF6ECE"/>
    <w:rsid w:val="00FF7055"/>
    <w:rsid w:val="00FF7142"/>
    <w:rsid w:val="00FF7146"/>
    <w:rsid w:val="00FF71CA"/>
    <w:rsid w:val="00FF71DB"/>
    <w:rsid w:val="00FF748A"/>
    <w:rsid w:val="00FF74C1"/>
    <w:rsid w:val="00FF75EF"/>
    <w:rsid w:val="00FF7867"/>
    <w:rsid w:val="00FF78AC"/>
    <w:rsid w:val="00FF7943"/>
    <w:rsid w:val="00FF7B60"/>
    <w:rsid w:val="00FF7C6C"/>
    <w:rsid w:val="00FF7E51"/>
    <w:rsid w:val="00FF7F41"/>
    <w:rsid w:val="00FF7F7C"/>
    <w:rsid w:val="010FFC9D"/>
    <w:rsid w:val="011FEFB3"/>
    <w:rsid w:val="01223B28"/>
    <w:rsid w:val="01B3F4C9"/>
    <w:rsid w:val="01D3F4D5"/>
    <w:rsid w:val="0245F723"/>
    <w:rsid w:val="0280EB53"/>
    <w:rsid w:val="02A163A5"/>
    <w:rsid w:val="02B06031"/>
    <w:rsid w:val="0302AD61"/>
    <w:rsid w:val="03BF45C4"/>
    <w:rsid w:val="03C017F2"/>
    <w:rsid w:val="03F7FF01"/>
    <w:rsid w:val="04312FF3"/>
    <w:rsid w:val="047653EA"/>
    <w:rsid w:val="049787EB"/>
    <w:rsid w:val="04F4B603"/>
    <w:rsid w:val="04FDA25A"/>
    <w:rsid w:val="0544E0A6"/>
    <w:rsid w:val="05CDA9FC"/>
    <w:rsid w:val="05D2BC70"/>
    <w:rsid w:val="05D56940"/>
    <w:rsid w:val="0691C71E"/>
    <w:rsid w:val="069D239E"/>
    <w:rsid w:val="06A86A22"/>
    <w:rsid w:val="07054BDB"/>
    <w:rsid w:val="0744BDF0"/>
    <w:rsid w:val="074DED52"/>
    <w:rsid w:val="0755F251"/>
    <w:rsid w:val="07ADC6F2"/>
    <w:rsid w:val="07EBDE3D"/>
    <w:rsid w:val="084D749E"/>
    <w:rsid w:val="08609BDC"/>
    <w:rsid w:val="086CEF20"/>
    <w:rsid w:val="08AE08D2"/>
    <w:rsid w:val="08E862EC"/>
    <w:rsid w:val="092287CE"/>
    <w:rsid w:val="092BE406"/>
    <w:rsid w:val="0941F878"/>
    <w:rsid w:val="09D1ED79"/>
    <w:rsid w:val="0A008799"/>
    <w:rsid w:val="0A2482FC"/>
    <w:rsid w:val="0A72B204"/>
    <w:rsid w:val="0A91D50E"/>
    <w:rsid w:val="0AE7481E"/>
    <w:rsid w:val="0B146664"/>
    <w:rsid w:val="0B37994F"/>
    <w:rsid w:val="0B67B4DF"/>
    <w:rsid w:val="0B8DDEE1"/>
    <w:rsid w:val="0BBC62BE"/>
    <w:rsid w:val="0BC7D545"/>
    <w:rsid w:val="0BC80335"/>
    <w:rsid w:val="0BCC8147"/>
    <w:rsid w:val="0C35EF6A"/>
    <w:rsid w:val="0CB03D09"/>
    <w:rsid w:val="0CE95B22"/>
    <w:rsid w:val="0CF36600"/>
    <w:rsid w:val="0D113E3C"/>
    <w:rsid w:val="0D35EEFB"/>
    <w:rsid w:val="0DD1AE7D"/>
    <w:rsid w:val="0E63FEB8"/>
    <w:rsid w:val="0E68C992"/>
    <w:rsid w:val="0E6ABD21"/>
    <w:rsid w:val="0E8DB2B3"/>
    <w:rsid w:val="0EAD31E9"/>
    <w:rsid w:val="0ECF1EF7"/>
    <w:rsid w:val="0F0D029C"/>
    <w:rsid w:val="0F400729"/>
    <w:rsid w:val="10520504"/>
    <w:rsid w:val="10648743"/>
    <w:rsid w:val="10D25747"/>
    <w:rsid w:val="1107678A"/>
    <w:rsid w:val="116D631A"/>
    <w:rsid w:val="11D005F7"/>
    <w:rsid w:val="11DDBDC6"/>
    <w:rsid w:val="12068FDD"/>
    <w:rsid w:val="1209AAC9"/>
    <w:rsid w:val="120C1843"/>
    <w:rsid w:val="1253E4D6"/>
    <w:rsid w:val="1299DF28"/>
    <w:rsid w:val="12A3EAC3"/>
    <w:rsid w:val="12BB3BFF"/>
    <w:rsid w:val="13063ED8"/>
    <w:rsid w:val="135FC669"/>
    <w:rsid w:val="13BB2E02"/>
    <w:rsid w:val="1440523B"/>
    <w:rsid w:val="14525BC0"/>
    <w:rsid w:val="1457DE96"/>
    <w:rsid w:val="1487ACCF"/>
    <w:rsid w:val="149A38D8"/>
    <w:rsid w:val="14BDE6A0"/>
    <w:rsid w:val="14E2BD9F"/>
    <w:rsid w:val="14FB9E62"/>
    <w:rsid w:val="151BDDF0"/>
    <w:rsid w:val="154A4D5F"/>
    <w:rsid w:val="15501229"/>
    <w:rsid w:val="163C0F57"/>
    <w:rsid w:val="164E3265"/>
    <w:rsid w:val="1673611F"/>
    <w:rsid w:val="16B0F34B"/>
    <w:rsid w:val="17C4834A"/>
    <w:rsid w:val="182072FD"/>
    <w:rsid w:val="18387BB1"/>
    <w:rsid w:val="185FBB3C"/>
    <w:rsid w:val="187A2DC6"/>
    <w:rsid w:val="18BB7BAA"/>
    <w:rsid w:val="18D4B336"/>
    <w:rsid w:val="19650DCE"/>
    <w:rsid w:val="19E159F6"/>
    <w:rsid w:val="19F16A38"/>
    <w:rsid w:val="1A4DC8F7"/>
    <w:rsid w:val="1A5317E5"/>
    <w:rsid w:val="1A76256E"/>
    <w:rsid w:val="1AA43AB6"/>
    <w:rsid w:val="1ACE4357"/>
    <w:rsid w:val="1AE82552"/>
    <w:rsid w:val="1AED9F7A"/>
    <w:rsid w:val="1B1674EE"/>
    <w:rsid w:val="1B2C61EB"/>
    <w:rsid w:val="1B591A95"/>
    <w:rsid w:val="1B5C5482"/>
    <w:rsid w:val="1BBD6504"/>
    <w:rsid w:val="1C0B0DC0"/>
    <w:rsid w:val="1D250A3E"/>
    <w:rsid w:val="1D29B5EC"/>
    <w:rsid w:val="1D2B657A"/>
    <w:rsid w:val="1D45FBB0"/>
    <w:rsid w:val="1D496192"/>
    <w:rsid w:val="1D744B36"/>
    <w:rsid w:val="1E04E17F"/>
    <w:rsid w:val="1E3355F2"/>
    <w:rsid w:val="1E40EAAC"/>
    <w:rsid w:val="1E532656"/>
    <w:rsid w:val="1E803A67"/>
    <w:rsid w:val="1EBAD08E"/>
    <w:rsid w:val="1EEB99F2"/>
    <w:rsid w:val="1EF57F83"/>
    <w:rsid w:val="1F2212C2"/>
    <w:rsid w:val="1F3B3B44"/>
    <w:rsid w:val="1F7DFE3E"/>
    <w:rsid w:val="20F340E7"/>
    <w:rsid w:val="20F846F1"/>
    <w:rsid w:val="2117D185"/>
    <w:rsid w:val="21305E43"/>
    <w:rsid w:val="21C1DC98"/>
    <w:rsid w:val="21DEE607"/>
    <w:rsid w:val="21FB6CA5"/>
    <w:rsid w:val="2208909E"/>
    <w:rsid w:val="22438681"/>
    <w:rsid w:val="22549C5C"/>
    <w:rsid w:val="227709B8"/>
    <w:rsid w:val="22999296"/>
    <w:rsid w:val="229AAEC8"/>
    <w:rsid w:val="22DD8745"/>
    <w:rsid w:val="232CF74C"/>
    <w:rsid w:val="239B6650"/>
    <w:rsid w:val="248D8612"/>
    <w:rsid w:val="24AAA089"/>
    <w:rsid w:val="24B961F3"/>
    <w:rsid w:val="24ED5509"/>
    <w:rsid w:val="2560E6B0"/>
    <w:rsid w:val="2597EE47"/>
    <w:rsid w:val="25AB0E4F"/>
    <w:rsid w:val="25BB5DF7"/>
    <w:rsid w:val="25C01BEA"/>
    <w:rsid w:val="26031047"/>
    <w:rsid w:val="26F6BC55"/>
    <w:rsid w:val="271A315D"/>
    <w:rsid w:val="27D02F22"/>
    <w:rsid w:val="27D4ACC0"/>
    <w:rsid w:val="27E8E359"/>
    <w:rsid w:val="280A2A05"/>
    <w:rsid w:val="280F87E7"/>
    <w:rsid w:val="2847EAC6"/>
    <w:rsid w:val="28DCC3C8"/>
    <w:rsid w:val="29961614"/>
    <w:rsid w:val="29A4BC01"/>
    <w:rsid w:val="29DDA178"/>
    <w:rsid w:val="29E9EEE3"/>
    <w:rsid w:val="29FE8898"/>
    <w:rsid w:val="2A1BC145"/>
    <w:rsid w:val="2A4FD1C7"/>
    <w:rsid w:val="2A52086C"/>
    <w:rsid w:val="2AB9774B"/>
    <w:rsid w:val="2AC31F68"/>
    <w:rsid w:val="2ACC7F0D"/>
    <w:rsid w:val="2B01BD63"/>
    <w:rsid w:val="2B2A789E"/>
    <w:rsid w:val="2B8F7CE1"/>
    <w:rsid w:val="2BD8D02B"/>
    <w:rsid w:val="2C66A42D"/>
    <w:rsid w:val="2CAB75E5"/>
    <w:rsid w:val="2CDABEDA"/>
    <w:rsid w:val="2D79A6BD"/>
    <w:rsid w:val="2DE73641"/>
    <w:rsid w:val="2E177A52"/>
    <w:rsid w:val="2E201FE3"/>
    <w:rsid w:val="2E50C01A"/>
    <w:rsid w:val="2E777865"/>
    <w:rsid w:val="2EF950E4"/>
    <w:rsid w:val="2F157C04"/>
    <w:rsid w:val="2F2ABCAE"/>
    <w:rsid w:val="2F445BB9"/>
    <w:rsid w:val="2F46B34E"/>
    <w:rsid w:val="2F5D0F21"/>
    <w:rsid w:val="2F6D684B"/>
    <w:rsid w:val="2F7B1D9D"/>
    <w:rsid w:val="2FB0B8DD"/>
    <w:rsid w:val="2FD911D8"/>
    <w:rsid w:val="304421B7"/>
    <w:rsid w:val="31507970"/>
    <w:rsid w:val="317A4C8C"/>
    <w:rsid w:val="318AA46B"/>
    <w:rsid w:val="323F3611"/>
    <w:rsid w:val="325B20DA"/>
    <w:rsid w:val="32661684"/>
    <w:rsid w:val="32AF2453"/>
    <w:rsid w:val="32E8BD98"/>
    <w:rsid w:val="33197BE2"/>
    <w:rsid w:val="33366564"/>
    <w:rsid w:val="33CD8715"/>
    <w:rsid w:val="34C7088D"/>
    <w:rsid w:val="351023B0"/>
    <w:rsid w:val="352F0075"/>
    <w:rsid w:val="35B3E03F"/>
    <w:rsid w:val="36428003"/>
    <w:rsid w:val="3642C68E"/>
    <w:rsid w:val="36B94239"/>
    <w:rsid w:val="370D6F29"/>
    <w:rsid w:val="3777F71B"/>
    <w:rsid w:val="379CFC8E"/>
    <w:rsid w:val="37E7DC84"/>
    <w:rsid w:val="381EB1F7"/>
    <w:rsid w:val="3826654F"/>
    <w:rsid w:val="383D2ABB"/>
    <w:rsid w:val="38A64B43"/>
    <w:rsid w:val="38A9EF2C"/>
    <w:rsid w:val="39B0A5E2"/>
    <w:rsid w:val="3A371221"/>
    <w:rsid w:val="3A5E6131"/>
    <w:rsid w:val="3ABA25B1"/>
    <w:rsid w:val="3B43754A"/>
    <w:rsid w:val="3B936814"/>
    <w:rsid w:val="3BD9B817"/>
    <w:rsid w:val="3BE3D0A2"/>
    <w:rsid w:val="3BE88E38"/>
    <w:rsid w:val="3C1AC541"/>
    <w:rsid w:val="3C3DDEAA"/>
    <w:rsid w:val="3C5CB481"/>
    <w:rsid w:val="3C88BC86"/>
    <w:rsid w:val="3D117C64"/>
    <w:rsid w:val="3D1C4D2A"/>
    <w:rsid w:val="3D1EE26B"/>
    <w:rsid w:val="3D556DAD"/>
    <w:rsid w:val="3D626946"/>
    <w:rsid w:val="3D9EDA5F"/>
    <w:rsid w:val="3DAF9BBE"/>
    <w:rsid w:val="3DC2EB70"/>
    <w:rsid w:val="3E021856"/>
    <w:rsid w:val="3E08F60E"/>
    <w:rsid w:val="3E0DC1B0"/>
    <w:rsid w:val="3E342CED"/>
    <w:rsid w:val="3EA240E8"/>
    <w:rsid w:val="3F33DDB5"/>
    <w:rsid w:val="3F34DB47"/>
    <w:rsid w:val="3F49DD5F"/>
    <w:rsid w:val="40128FBB"/>
    <w:rsid w:val="4034FF03"/>
    <w:rsid w:val="408018A1"/>
    <w:rsid w:val="4098C9DB"/>
    <w:rsid w:val="40B906AB"/>
    <w:rsid w:val="40DCD44F"/>
    <w:rsid w:val="40DE033F"/>
    <w:rsid w:val="40E95FC7"/>
    <w:rsid w:val="411D5DA0"/>
    <w:rsid w:val="411D7344"/>
    <w:rsid w:val="4128E2DC"/>
    <w:rsid w:val="4158B55A"/>
    <w:rsid w:val="41625FA0"/>
    <w:rsid w:val="4175B509"/>
    <w:rsid w:val="41A55495"/>
    <w:rsid w:val="4243422A"/>
    <w:rsid w:val="424AF2CA"/>
    <w:rsid w:val="427AF7EC"/>
    <w:rsid w:val="429F3ADD"/>
    <w:rsid w:val="430CAFF8"/>
    <w:rsid w:val="43AB4D59"/>
    <w:rsid w:val="43AE4C37"/>
    <w:rsid w:val="43B8998B"/>
    <w:rsid w:val="43BB361F"/>
    <w:rsid w:val="44791820"/>
    <w:rsid w:val="44D09616"/>
    <w:rsid w:val="44DEA13C"/>
    <w:rsid w:val="455D642F"/>
    <w:rsid w:val="4566161E"/>
    <w:rsid w:val="45DB73AA"/>
    <w:rsid w:val="45DBFD9C"/>
    <w:rsid w:val="45EFB77A"/>
    <w:rsid w:val="45EFBC42"/>
    <w:rsid w:val="4662079F"/>
    <w:rsid w:val="467A82A8"/>
    <w:rsid w:val="468ECC80"/>
    <w:rsid w:val="46DB3586"/>
    <w:rsid w:val="47000135"/>
    <w:rsid w:val="472AD967"/>
    <w:rsid w:val="4776897B"/>
    <w:rsid w:val="47C10FCE"/>
    <w:rsid w:val="47C76CF7"/>
    <w:rsid w:val="47D70E94"/>
    <w:rsid w:val="481B8887"/>
    <w:rsid w:val="48613840"/>
    <w:rsid w:val="487B9B65"/>
    <w:rsid w:val="48A1AB05"/>
    <w:rsid w:val="49503017"/>
    <w:rsid w:val="4A04E997"/>
    <w:rsid w:val="4A3B2E4A"/>
    <w:rsid w:val="4A56C783"/>
    <w:rsid w:val="4A687E26"/>
    <w:rsid w:val="4A7A77ED"/>
    <w:rsid w:val="4A9E71D4"/>
    <w:rsid w:val="4ACA59CA"/>
    <w:rsid w:val="4B3640FC"/>
    <w:rsid w:val="4B9DC3C1"/>
    <w:rsid w:val="4BB283DC"/>
    <w:rsid w:val="4C26EA28"/>
    <w:rsid w:val="4C3197BD"/>
    <w:rsid w:val="4C41EF52"/>
    <w:rsid w:val="4CFCD7EB"/>
    <w:rsid w:val="4D027E0B"/>
    <w:rsid w:val="4D0BE57A"/>
    <w:rsid w:val="4D22DBFC"/>
    <w:rsid w:val="4D80EC37"/>
    <w:rsid w:val="4D82B30D"/>
    <w:rsid w:val="4D9E460D"/>
    <w:rsid w:val="4DA99CBC"/>
    <w:rsid w:val="4DB31B0F"/>
    <w:rsid w:val="4DC422C6"/>
    <w:rsid w:val="4E0D84D1"/>
    <w:rsid w:val="4E4780B8"/>
    <w:rsid w:val="4E5802AC"/>
    <w:rsid w:val="4F536007"/>
    <w:rsid w:val="4F542524"/>
    <w:rsid w:val="500253A9"/>
    <w:rsid w:val="503C9DE1"/>
    <w:rsid w:val="5196233E"/>
    <w:rsid w:val="519FA360"/>
    <w:rsid w:val="51CF17E5"/>
    <w:rsid w:val="51D484B8"/>
    <w:rsid w:val="52406083"/>
    <w:rsid w:val="52451F00"/>
    <w:rsid w:val="52456989"/>
    <w:rsid w:val="52A762CE"/>
    <w:rsid w:val="535773AA"/>
    <w:rsid w:val="53DCEFA3"/>
    <w:rsid w:val="5417F50C"/>
    <w:rsid w:val="5462FC00"/>
    <w:rsid w:val="54CD4252"/>
    <w:rsid w:val="55001B6F"/>
    <w:rsid w:val="550FDA83"/>
    <w:rsid w:val="55218574"/>
    <w:rsid w:val="5555FE76"/>
    <w:rsid w:val="55882C32"/>
    <w:rsid w:val="55A50D73"/>
    <w:rsid w:val="55B74B13"/>
    <w:rsid w:val="55F1D27F"/>
    <w:rsid w:val="561B2429"/>
    <w:rsid w:val="564BA210"/>
    <w:rsid w:val="56892C5F"/>
    <w:rsid w:val="58001F7E"/>
    <w:rsid w:val="581A9917"/>
    <w:rsid w:val="58BB0EF7"/>
    <w:rsid w:val="58EFB4BD"/>
    <w:rsid w:val="58EFFFB8"/>
    <w:rsid w:val="598BF2F0"/>
    <w:rsid w:val="59D80EB0"/>
    <w:rsid w:val="5A1C068F"/>
    <w:rsid w:val="5A47C14E"/>
    <w:rsid w:val="5A72578B"/>
    <w:rsid w:val="5A8207E6"/>
    <w:rsid w:val="5A865AE5"/>
    <w:rsid w:val="5A998427"/>
    <w:rsid w:val="5AA04913"/>
    <w:rsid w:val="5B408CE9"/>
    <w:rsid w:val="5B5C09FE"/>
    <w:rsid w:val="5BA06C16"/>
    <w:rsid w:val="5BEFE28B"/>
    <w:rsid w:val="5BF4DB9A"/>
    <w:rsid w:val="5BF91BD0"/>
    <w:rsid w:val="5C4FEDAD"/>
    <w:rsid w:val="5CB74EA8"/>
    <w:rsid w:val="5D34689D"/>
    <w:rsid w:val="5D4F10FB"/>
    <w:rsid w:val="5D64D0DC"/>
    <w:rsid w:val="5D8E40AC"/>
    <w:rsid w:val="5DA0AEF1"/>
    <w:rsid w:val="5DA106B4"/>
    <w:rsid w:val="5E05904D"/>
    <w:rsid w:val="5E126F7D"/>
    <w:rsid w:val="5E206437"/>
    <w:rsid w:val="5E2EACBD"/>
    <w:rsid w:val="5E410F41"/>
    <w:rsid w:val="5E4B50F1"/>
    <w:rsid w:val="5E6BCBCB"/>
    <w:rsid w:val="5E88B8F3"/>
    <w:rsid w:val="5F709A88"/>
    <w:rsid w:val="5F9399EA"/>
    <w:rsid w:val="604EF41D"/>
    <w:rsid w:val="6080689D"/>
    <w:rsid w:val="60E366F6"/>
    <w:rsid w:val="60FF562C"/>
    <w:rsid w:val="6144CB16"/>
    <w:rsid w:val="61562BF6"/>
    <w:rsid w:val="6158A652"/>
    <w:rsid w:val="61C5FB4D"/>
    <w:rsid w:val="624234A6"/>
    <w:rsid w:val="62753312"/>
    <w:rsid w:val="632D704E"/>
    <w:rsid w:val="635A9A53"/>
    <w:rsid w:val="6363F10D"/>
    <w:rsid w:val="6371B0C0"/>
    <w:rsid w:val="63EFBBBA"/>
    <w:rsid w:val="6454848E"/>
    <w:rsid w:val="6473A366"/>
    <w:rsid w:val="64C0EE22"/>
    <w:rsid w:val="64CA986E"/>
    <w:rsid w:val="64F9F3C4"/>
    <w:rsid w:val="65325E70"/>
    <w:rsid w:val="6587833A"/>
    <w:rsid w:val="658B15D8"/>
    <w:rsid w:val="658C9748"/>
    <w:rsid w:val="659D08D1"/>
    <w:rsid w:val="65F96480"/>
    <w:rsid w:val="661909F8"/>
    <w:rsid w:val="66906D8D"/>
    <w:rsid w:val="66C0CFCB"/>
    <w:rsid w:val="66E74EE4"/>
    <w:rsid w:val="675EB813"/>
    <w:rsid w:val="6783A4E6"/>
    <w:rsid w:val="679BCAC1"/>
    <w:rsid w:val="67D57822"/>
    <w:rsid w:val="67EBC883"/>
    <w:rsid w:val="68153090"/>
    <w:rsid w:val="683BC8D9"/>
    <w:rsid w:val="686A4CB6"/>
    <w:rsid w:val="68B6B11B"/>
    <w:rsid w:val="68C6CE35"/>
    <w:rsid w:val="691E85E4"/>
    <w:rsid w:val="6942251A"/>
    <w:rsid w:val="69571869"/>
    <w:rsid w:val="69BB7B92"/>
    <w:rsid w:val="69BF79AE"/>
    <w:rsid w:val="69E718F6"/>
    <w:rsid w:val="6A0B21B2"/>
    <w:rsid w:val="6A64657D"/>
    <w:rsid w:val="6A8B750C"/>
    <w:rsid w:val="6B071BA1"/>
    <w:rsid w:val="6B3C4869"/>
    <w:rsid w:val="6B4C46E7"/>
    <w:rsid w:val="6B88CC7D"/>
    <w:rsid w:val="6B9F7137"/>
    <w:rsid w:val="6BB00E1A"/>
    <w:rsid w:val="6CABE571"/>
    <w:rsid w:val="6CAED05E"/>
    <w:rsid w:val="6CB12C47"/>
    <w:rsid w:val="6CCEBD82"/>
    <w:rsid w:val="6CE411F9"/>
    <w:rsid w:val="6D1EA2DB"/>
    <w:rsid w:val="6D2CC319"/>
    <w:rsid w:val="6D4439EE"/>
    <w:rsid w:val="6D4B7D06"/>
    <w:rsid w:val="6D542A35"/>
    <w:rsid w:val="6D8AAB88"/>
    <w:rsid w:val="6DAE6B9D"/>
    <w:rsid w:val="6DF843F6"/>
    <w:rsid w:val="6E0E49C8"/>
    <w:rsid w:val="6E69F971"/>
    <w:rsid w:val="6E7DEFEF"/>
    <w:rsid w:val="6E8A7503"/>
    <w:rsid w:val="6EA55C88"/>
    <w:rsid w:val="6FA082BF"/>
    <w:rsid w:val="705D0087"/>
    <w:rsid w:val="7082141E"/>
    <w:rsid w:val="70975D4E"/>
    <w:rsid w:val="70E5E044"/>
    <w:rsid w:val="715E59A7"/>
    <w:rsid w:val="7167C30D"/>
    <w:rsid w:val="718BB00C"/>
    <w:rsid w:val="7192D423"/>
    <w:rsid w:val="71CEB51D"/>
    <w:rsid w:val="71E29521"/>
    <w:rsid w:val="71E9C120"/>
    <w:rsid w:val="721FFD3E"/>
    <w:rsid w:val="725068EF"/>
    <w:rsid w:val="726DB2E2"/>
    <w:rsid w:val="728EF95B"/>
    <w:rsid w:val="72BEBC60"/>
    <w:rsid w:val="72CACBAF"/>
    <w:rsid w:val="72EB4343"/>
    <w:rsid w:val="73D16E4B"/>
    <w:rsid w:val="73E1EC0E"/>
    <w:rsid w:val="73EBD3B8"/>
    <w:rsid w:val="74893A41"/>
    <w:rsid w:val="74A27477"/>
    <w:rsid w:val="74C0FD3F"/>
    <w:rsid w:val="74DF7BDA"/>
    <w:rsid w:val="75129C79"/>
    <w:rsid w:val="754F7EA4"/>
    <w:rsid w:val="75A2CAC2"/>
    <w:rsid w:val="7666DF4D"/>
    <w:rsid w:val="76D39CC5"/>
    <w:rsid w:val="7721DF06"/>
    <w:rsid w:val="772BB68A"/>
    <w:rsid w:val="7733D1C9"/>
    <w:rsid w:val="77560B21"/>
    <w:rsid w:val="77E00E17"/>
    <w:rsid w:val="77FE653A"/>
    <w:rsid w:val="780C3AAB"/>
    <w:rsid w:val="787904C9"/>
    <w:rsid w:val="7880A4F8"/>
    <w:rsid w:val="788C0C01"/>
    <w:rsid w:val="78946A4A"/>
    <w:rsid w:val="791633A5"/>
    <w:rsid w:val="792E2D1F"/>
    <w:rsid w:val="794EB296"/>
    <w:rsid w:val="795165E1"/>
    <w:rsid w:val="79651223"/>
    <w:rsid w:val="799830FB"/>
    <w:rsid w:val="79BF0467"/>
    <w:rsid w:val="79CF5F10"/>
    <w:rsid w:val="7A29259A"/>
    <w:rsid w:val="7A317394"/>
    <w:rsid w:val="7A3FF0B7"/>
    <w:rsid w:val="7A5E5B01"/>
    <w:rsid w:val="7AD239D0"/>
    <w:rsid w:val="7AE6E71E"/>
    <w:rsid w:val="7B6F0E70"/>
    <w:rsid w:val="7B93BFC3"/>
    <w:rsid w:val="7B95F42F"/>
    <w:rsid w:val="7B9DFA02"/>
    <w:rsid w:val="7BD3D3ED"/>
    <w:rsid w:val="7BE1FDB6"/>
    <w:rsid w:val="7C1EC58E"/>
    <w:rsid w:val="7C35F85E"/>
    <w:rsid w:val="7C5624DA"/>
    <w:rsid w:val="7C63E7EE"/>
    <w:rsid w:val="7C708D2A"/>
    <w:rsid w:val="7CA47753"/>
    <w:rsid w:val="7CCECAD0"/>
    <w:rsid w:val="7CF193AE"/>
    <w:rsid w:val="7D040F81"/>
    <w:rsid w:val="7D2CD7C4"/>
    <w:rsid w:val="7D4EC0AC"/>
    <w:rsid w:val="7D59032C"/>
    <w:rsid w:val="7DC39B55"/>
    <w:rsid w:val="7DFB5092"/>
    <w:rsid w:val="7E54E4E7"/>
    <w:rsid w:val="7E883F60"/>
    <w:rsid w:val="7EE7B1F9"/>
    <w:rsid w:val="7F0B62AB"/>
    <w:rsid w:val="7F1F7C4E"/>
    <w:rsid w:val="7F28D494"/>
    <w:rsid w:val="7F862D30"/>
    <w:rsid w:val="7FC14CA0"/>
    <w:rsid w:val="7FE74E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3D3C"/>
  <w15:docId w15:val="{E2858830-1242-4342-83C1-F9BFEB29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D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BE361C"/>
    <w:pPr>
      <w:spacing w:after="240" w:line="240" w:lineRule="auto"/>
      <w:outlineLvl w:val="1"/>
    </w:pPr>
    <w:rPr>
      <w:rFonts w:ascii="Calibri" w:eastAsiaTheme="minorEastAsia" w:hAnsi="Calibri"/>
      <w:bCs/>
      <w:color w:val="197C7D"/>
      <w:sz w:val="40"/>
      <w:szCs w:val="40"/>
      <w:lang w:eastAsia="ja-JP"/>
    </w:rPr>
  </w:style>
  <w:style w:type="paragraph" w:styleId="Heading3">
    <w:name w:val="heading 3"/>
    <w:next w:val="Normal"/>
    <w:link w:val="Heading3Char"/>
    <w:uiPriority w:val="4"/>
    <w:qFormat/>
    <w:rsid w:val="00A421F7"/>
    <w:pPr>
      <w:keepNext/>
      <w:keepLines/>
      <w:numPr>
        <w:numId w:val="71"/>
      </w:numPr>
      <w:spacing w:after="240"/>
      <w:outlineLvl w:val="2"/>
    </w:pPr>
    <w:rPr>
      <w:rFonts w:ascii="Calibri" w:eastAsia="Times New Roman" w:hAnsi="Calibri"/>
      <w:color w:val="125C5D" w:themeColor="accent1" w:themeShade="BF"/>
      <w:sz w:val="32"/>
      <w:szCs w:val="32"/>
      <w:lang w:eastAsia="en-US"/>
    </w:rPr>
  </w:style>
  <w:style w:type="paragraph" w:styleId="Heading4">
    <w:name w:val="heading 4"/>
    <w:next w:val="Normal"/>
    <w:link w:val="Heading4Char"/>
    <w:uiPriority w:val="5"/>
    <w:qFormat/>
    <w:rsid w:val="00233CAC"/>
    <w:pPr>
      <w:keepNext/>
      <w:keepLines/>
      <w:spacing w:before="240" w:after="240"/>
      <w:outlineLvl w:val="3"/>
    </w:pPr>
    <w:rPr>
      <w:rFonts w:ascii="Calibri" w:eastAsia="Times New Roman" w:hAnsi="Calibri"/>
      <w:sz w:val="28"/>
      <w:szCs w:val="24"/>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C36B3E"/>
    <w:rPr>
      <w:rFonts w:ascii="Calibri" w:eastAsiaTheme="minorEastAsia" w:hAnsi="Calibri" w:cstheme="minorBidi"/>
      <w:bCs/>
      <w:color w:val="197C7D"/>
      <w:sz w:val="40"/>
      <w:szCs w:val="40"/>
      <w:lang w:eastAsia="ja-JP"/>
    </w:rPr>
  </w:style>
  <w:style w:type="character" w:customStyle="1" w:styleId="Heading3Char">
    <w:name w:val="Heading 3 Char"/>
    <w:basedOn w:val="DefaultParagraphFont"/>
    <w:link w:val="Heading3"/>
    <w:uiPriority w:val="4"/>
    <w:rsid w:val="00A421F7"/>
    <w:rPr>
      <w:rFonts w:ascii="Calibri" w:eastAsia="Times New Roman" w:hAnsi="Calibri"/>
      <w:color w:val="125C5D" w:themeColor="accent1" w:themeShade="BF"/>
      <w:sz w:val="32"/>
      <w:szCs w:val="32"/>
      <w:lang w:eastAsia="en-US"/>
    </w:rPr>
  </w:style>
  <w:style w:type="character" w:customStyle="1" w:styleId="Heading4Char">
    <w:name w:val="Heading 4 Char"/>
    <w:basedOn w:val="DefaultParagraphFont"/>
    <w:link w:val="Heading4"/>
    <w:uiPriority w:val="5"/>
    <w:rsid w:val="008001F1"/>
    <w:rPr>
      <w:rFonts w:ascii="Calibri" w:eastAsia="Times New Roman" w:hAnsi="Calibri"/>
      <w:sz w:val="28"/>
      <w:szCs w:val="24"/>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20"/>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spacing w:before="120" w:after="120"/>
      <w:ind w:left="851" w:hanging="426"/>
      <w:contextualSpacing/>
    </w:pPr>
  </w:style>
  <w:style w:type="paragraph" w:styleId="ListNumber">
    <w:name w:val="List Number"/>
    <w:basedOn w:val="Normal"/>
    <w:uiPriority w:val="99"/>
    <w:qFormat/>
    <w:rsid w:val="00123033"/>
    <w:pPr>
      <w:tabs>
        <w:tab w:val="left" w:pos="142"/>
      </w:tabs>
      <w:spacing w:before="120" w:after="120"/>
      <w:ind w:left="425" w:hanging="425"/>
    </w:pPr>
  </w:style>
  <w:style w:type="paragraph" w:styleId="ListNumber2">
    <w:name w:val="List Number 2"/>
    <w:uiPriority w:val="99"/>
    <w:qFormat/>
    <w:rsid w:val="00884E3A"/>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99"/>
    <w:qFormat/>
    <w:rsid w:val="00884E3A"/>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2"/>
      </w:numPr>
      <w:ind w:left="357" w:hanging="357"/>
    </w:pPr>
  </w:style>
  <w:style w:type="paragraph" w:customStyle="1" w:styleId="TableBullet1">
    <w:name w:val="Table Bullet 1"/>
    <w:basedOn w:val="TableText"/>
    <w:uiPriority w:val="15"/>
    <w:qFormat/>
    <w:pPr>
      <w:numPr>
        <w:numId w:val="3"/>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4"/>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5"/>
      </w:numPr>
    </w:pPr>
  </w:style>
  <w:style w:type="numbering" w:customStyle="1" w:styleId="Headinglist">
    <w:name w:val="Heading list"/>
    <w:uiPriority w:val="99"/>
    <w:pPr>
      <w:numPr>
        <w:numId w:val="1"/>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8"/>
      </w:numPr>
      <w:tabs>
        <w:tab w:val="num" w:pos="284"/>
      </w:tabs>
      <w:ind w:left="568" w:hanging="284"/>
    </w:pPr>
  </w:style>
  <w:style w:type="numbering" w:customStyle="1" w:styleId="TableBulletlist">
    <w:name w:val="Table Bullet list"/>
    <w:uiPriority w:val="99"/>
    <w:pPr>
      <w:numPr>
        <w:numId w:val="7"/>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Body of text - Bullet point,Recommendation,L,List Paragraph1,List Paragraph11,NFP GP Bulleted List,FooterText,numbered,Paragraphe de liste1,Bulletr List Paragraph,列出段落,列出段落1,List Paragraph2,List Paragraph21,Listeafsnit1,Parágrafo da Lista"/>
    <w:basedOn w:val="Normal"/>
    <w:link w:val="ListParagraphChar"/>
    <w:uiPriority w:val="34"/>
    <w:qFormat/>
    <w:rsid w:val="006C261F"/>
    <w:pPr>
      <w:spacing w:after="0" w:line="240" w:lineRule="auto"/>
      <w:ind w:left="720"/>
    </w:pPr>
    <w:rPr>
      <w:rFonts w:ascii="Calibri" w:hAnsi="Calibri" w:cs="Calibri"/>
    </w:rPr>
  </w:style>
  <w:style w:type="character" w:customStyle="1" w:styleId="ListParagraphChar">
    <w:name w:val="List Paragraph Char"/>
    <w:aliases w:val="Body of text - Bullet point Char,Recommendation Char,L Char,List Paragraph1 Char,List Paragraph11 Char,NFP GP Bulleted List Char,FooterText Char,numbered Char,Paragraphe de liste1 Char,Bulletr List Paragraph Char,列出段落 Char,列出段落1 Char"/>
    <w:basedOn w:val="DefaultParagraphFont"/>
    <w:link w:val="ListParagraph"/>
    <w:uiPriority w:val="34"/>
    <w:rsid w:val="00762A01"/>
    <w:rPr>
      <w:rFonts w:ascii="Calibri" w:eastAsiaTheme="minorHAnsi" w:hAnsi="Calibri" w:cs="Calibri"/>
      <w:sz w:val="22"/>
      <w:szCs w:val="22"/>
      <w:lang w:eastAsia="en-US"/>
    </w:rPr>
  </w:style>
  <w:style w:type="character" w:customStyle="1" w:styleId="normaltextrun">
    <w:name w:val="normaltextrun"/>
    <w:basedOn w:val="DefaultParagraphFont"/>
    <w:rsid w:val="00D307F6"/>
  </w:style>
  <w:style w:type="character" w:customStyle="1" w:styleId="eop">
    <w:name w:val="eop"/>
    <w:basedOn w:val="DefaultParagraphFont"/>
    <w:rsid w:val="00D307F6"/>
  </w:style>
  <w:style w:type="paragraph" w:customStyle="1" w:styleId="paragraph">
    <w:name w:val="paragraph"/>
    <w:basedOn w:val="Normal"/>
    <w:rsid w:val="00610E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610EF8"/>
  </w:style>
  <w:style w:type="character" w:customStyle="1" w:styleId="cf01">
    <w:name w:val="cf01"/>
    <w:basedOn w:val="DefaultParagraphFont"/>
    <w:rsid w:val="00246437"/>
    <w:rPr>
      <w:rFonts w:ascii="Segoe UI" w:hAnsi="Segoe UI" w:cs="Segoe UI" w:hint="default"/>
      <w:sz w:val="18"/>
      <w:szCs w:val="18"/>
    </w:rPr>
  </w:style>
  <w:style w:type="paragraph" w:customStyle="1" w:styleId="Default">
    <w:name w:val="Default"/>
    <w:rsid w:val="00404FDA"/>
    <w:pPr>
      <w:autoSpaceDE w:val="0"/>
      <w:autoSpaceDN w:val="0"/>
      <w:adjustRightInd w:val="0"/>
    </w:pPr>
    <w:rPr>
      <w:rFonts w:ascii="Calibri" w:hAnsi="Calibri" w:cs="Calibri"/>
      <w:color w:val="000000"/>
      <w:sz w:val="24"/>
      <w:szCs w:val="24"/>
    </w:rPr>
  </w:style>
  <w:style w:type="table" w:styleId="GridTable1Light">
    <w:name w:val="Grid Table 1 Light"/>
    <w:basedOn w:val="TableNormal"/>
    <w:uiPriority w:val="46"/>
    <w:rsid w:val="00690319"/>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divno">
    <w:name w:val="chardivno"/>
    <w:basedOn w:val="DefaultParagraphFont"/>
    <w:rsid w:val="008F6DC8"/>
  </w:style>
  <w:style w:type="character" w:styleId="Mention">
    <w:name w:val="Mention"/>
    <w:basedOn w:val="DefaultParagraphFont"/>
    <w:uiPriority w:val="99"/>
    <w:unhideWhenUsed/>
    <w:rsid w:val="0033518B"/>
    <w:rPr>
      <w:color w:val="2B579A"/>
      <w:shd w:val="clear" w:color="auto" w:fill="E1DFDD"/>
    </w:rPr>
  </w:style>
  <w:style w:type="paragraph" w:styleId="Revision">
    <w:name w:val="Revision"/>
    <w:hidden/>
    <w:uiPriority w:val="99"/>
    <w:semiHidden/>
    <w:rsid w:val="001C566F"/>
    <w:rPr>
      <w:rFonts w:asciiTheme="minorHAnsi" w:eastAsiaTheme="minorHAnsi" w:hAnsiTheme="minorHAnsi" w:cstheme="minorBidi"/>
      <w:sz w:val="22"/>
      <w:szCs w:val="22"/>
      <w:lang w:eastAsia="en-US"/>
    </w:rPr>
  </w:style>
  <w:style w:type="character" w:customStyle="1" w:styleId="scxw97636531">
    <w:name w:val="scxw97636531"/>
    <w:basedOn w:val="DefaultParagraphFont"/>
    <w:rsid w:val="002F13BE"/>
  </w:style>
  <w:style w:type="character" w:customStyle="1" w:styleId="mi">
    <w:name w:val="mi"/>
    <w:basedOn w:val="DefaultParagraphFont"/>
    <w:rsid w:val="002F13BE"/>
  </w:style>
  <w:style w:type="character" w:customStyle="1" w:styleId="mo">
    <w:name w:val="mo"/>
    <w:basedOn w:val="DefaultParagraphFont"/>
    <w:rsid w:val="002F13BE"/>
  </w:style>
  <w:style w:type="character" w:customStyle="1" w:styleId="mn">
    <w:name w:val="mn"/>
    <w:basedOn w:val="DefaultParagraphFont"/>
    <w:rsid w:val="002F13BE"/>
  </w:style>
  <w:style w:type="character" w:customStyle="1" w:styleId="mjxassistivemathml">
    <w:name w:val="mjx_assistive_mathml"/>
    <w:basedOn w:val="DefaultParagraphFont"/>
    <w:rsid w:val="002F13BE"/>
  </w:style>
  <w:style w:type="character" w:customStyle="1" w:styleId="ui-provider">
    <w:name w:val="ui-provider"/>
    <w:basedOn w:val="DefaultParagraphFont"/>
    <w:rsid w:val="000C12F8"/>
  </w:style>
  <w:style w:type="character" w:customStyle="1" w:styleId="charsubdno">
    <w:name w:val="charsubdno"/>
    <w:basedOn w:val="DefaultParagraphFont"/>
    <w:rsid w:val="009454B6"/>
  </w:style>
  <w:style w:type="paragraph" w:styleId="ListNumber4">
    <w:name w:val="List Number 4"/>
    <w:basedOn w:val="Normal"/>
    <w:uiPriority w:val="99"/>
    <w:rsid w:val="00361AE3"/>
    <w:pPr>
      <w:ind w:left="1476" w:hanging="369"/>
    </w:pPr>
    <w:rPr>
      <w:rFonts w:ascii="Arial" w:eastAsia="Calibri" w:hAnsi="Arial" w:cs="Times New Roman"/>
    </w:rPr>
  </w:style>
  <w:style w:type="paragraph" w:styleId="ListNumber5">
    <w:name w:val="List Number 5"/>
    <w:basedOn w:val="Normal"/>
    <w:uiPriority w:val="99"/>
    <w:rsid w:val="00361AE3"/>
    <w:pPr>
      <w:ind w:left="1845" w:hanging="369"/>
    </w:pPr>
    <w:rPr>
      <w:rFonts w:ascii="Arial" w:eastAsia="Calibri" w:hAnsi="Arial" w:cs="Times New Roman"/>
    </w:rPr>
  </w:style>
  <w:style w:type="paragraph" w:customStyle="1" w:styleId="h5SchItem">
    <w:name w:val="h5_Sch_Item"/>
    <w:basedOn w:val="Normal"/>
    <w:next w:val="Normal"/>
    <w:qFormat/>
    <w:rsid w:val="009F722F"/>
    <w:pPr>
      <w:keepNext/>
      <w:keepLines/>
      <w:spacing w:before="360" w:after="60" w:line="240" w:lineRule="auto"/>
      <w:ind w:left="964" w:hanging="964"/>
    </w:pPr>
    <w:rPr>
      <w:rFonts w:ascii="Arial" w:eastAsia="Times New Roman" w:hAnsi="Arial" w:cs="Arial"/>
      <w:b/>
      <w:bCs/>
      <w:color w:val="000000"/>
      <w:kern w:val="32"/>
      <w:sz w:val="24"/>
      <w:szCs w:val="32"/>
      <w:lang w:eastAsia="en-AU"/>
    </w:rPr>
  </w:style>
  <w:style w:type="character" w:customStyle="1" w:styleId="charSubscript">
    <w:name w:val="charSubscript"/>
    <w:rsid w:val="00BC3E07"/>
    <w:rPr>
      <w:color w:val="auto"/>
      <w:sz w:val="20"/>
      <w:vertAlign w:val="subscript"/>
    </w:rPr>
  </w:style>
  <w:style w:type="paragraph" w:customStyle="1" w:styleId="Tabletext0">
    <w:name w:val="Tabletext"/>
    <w:aliases w:val="tt"/>
    <w:basedOn w:val="Normal"/>
    <w:rsid w:val="007D2E99"/>
    <w:pPr>
      <w:spacing w:before="60" w:after="0" w:line="240" w:lineRule="atLeast"/>
    </w:pPr>
    <w:rPr>
      <w:rFonts w:ascii="Times New Roman" w:eastAsia="Times New Roman" w:hAnsi="Times New Roman" w:cs="Times New Roman"/>
      <w:sz w:val="20"/>
      <w:szCs w:val="20"/>
      <w:lang w:eastAsia="en-AU"/>
    </w:rPr>
  </w:style>
  <w:style w:type="paragraph" w:customStyle="1" w:styleId="TableHeading0">
    <w:name w:val="TableHeading"/>
    <w:aliases w:val="th"/>
    <w:basedOn w:val="Normal"/>
    <w:next w:val="Tabletext0"/>
    <w:rsid w:val="007D2E99"/>
    <w:pPr>
      <w:keepNext/>
      <w:spacing w:before="60" w:after="0" w:line="240" w:lineRule="atLeast"/>
    </w:pPr>
    <w:rPr>
      <w:rFonts w:ascii="Times New Roman" w:eastAsia="Times New Roman" w:hAnsi="Times New Roman" w:cs="Times New Roman"/>
      <w:b/>
      <w:sz w:val="20"/>
      <w:szCs w:val="20"/>
      <w:lang w:eastAsia="en-AU"/>
    </w:rPr>
  </w:style>
  <w:style w:type="paragraph" w:styleId="NoSpacing">
    <w:name w:val="No Spacing"/>
    <w:uiPriority w:val="1"/>
    <w:qFormat/>
    <w:rsid w:val="2F5D0F21"/>
  </w:style>
  <w:style w:type="character" w:customStyle="1" w:styleId="CharDivNo0">
    <w:name w:val="CharDivNo"/>
    <w:basedOn w:val="DefaultParagraphFont"/>
    <w:uiPriority w:val="1"/>
    <w:qFormat/>
    <w:rsid w:val="00F97A6A"/>
  </w:style>
  <w:style w:type="paragraph" w:customStyle="1" w:styleId="Style1">
    <w:name w:val="Style1"/>
    <w:basedOn w:val="Heading3"/>
    <w:link w:val="Style1Char"/>
    <w:qFormat/>
    <w:rsid w:val="003E5BB1"/>
    <w:pPr>
      <w:numPr>
        <w:numId w:val="0"/>
      </w:numPr>
      <w:ind w:left="357"/>
    </w:pPr>
  </w:style>
  <w:style w:type="character" w:customStyle="1" w:styleId="Style1Char">
    <w:name w:val="Style1 Char"/>
    <w:basedOn w:val="Heading3Char"/>
    <w:link w:val="Style1"/>
    <w:rsid w:val="003E13C3"/>
    <w:rPr>
      <w:rFonts w:ascii="Calibri" w:eastAsia="Times New Roman" w:hAnsi="Calibri"/>
      <w:color w:val="125C5D"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7698">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88295454">
      <w:bodyDiv w:val="1"/>
      <w:marLeft w:val="0"/>
      <w:marRight w:val="0"/>
      <w:marTop w:val="0"/>
      <w:marBottom w:val="0"/>
      <w:divBdr>
        <w:top w:val="none" w:sz="0" w:space="0" w:color="auto"/>
        <w:left w:val="none" w:sz="0" w:space="0" w:color="auto"/>
        <w:bottom w:val="none" w:sz="0" w:space="0" w:color="auto"/>
        <w:right w:val="none" w:sz="0" w:space="0" w:color="auto"/>
      </w:divBdr>
      <w:divsChild>
        <w:div w:id="1283725674">
          <w:marLeft w:val="0"/>
          <w:marRight w:val="0"/>
          <w:marTop w:val="0"/>
          <w:marBottom w:val="0"/>
          <w:divBdr>
            <w:top w:val="none" w:sz="0" w:space="0" w:color="auto"/>
            <w:left w:val="none" w:sz="0" w:space="0" w:color="auto"/>
            <w:bottom w:val="none" w:sz="0" w:space="0" w:color="auto"/>
            <w:right w:val="none" w:sz="0" w:space="0" w:color="auto"/>
          </w:divBdr>
          <w:divsChild>
            <w:div w:id="1207372703">
              <w:marLeft w:val="0"/>
              <w:marRight w:val="0"/>
              <w:marTop w:val="0"/>
              <w:marBottom w:val="0"/>
              <w:divBdr>
                <w:top w:val="none" w:sz="0" w:space="0" w:color="auto"/>
                <w:left w:val="none" w:sz="0" w:space="0" w:color="auto"/>
                <w:bottom w:val="none" w:sz="0" w:space="0" w:color="auto"/>
                <w:right w:val="none" w:sz="0" w:space="0" w:color="auto"/>
              </w:divBdr>
            </w:div>
            <w:div w:id="1330786489">
              <w:marLeft w:val="0"/>
              <w:marRight w:val="0"/>
              <w:marTop w:val="0"/>
              <w:marBottom w:val="0"/>
              <w:divBdr>
                <w:top w:val="none" w:sz="0" w:space="0" w:color="auto"/>
                <w:left w:val="none" w:sz="0" w:space="0" w:color="auto"/>
                <w:bottom w:val="none" w:sz="0" w:space="0" w:color="auto"/>
                <w:right w:val="none" w:sz="0" w:space="0" w:color="auto"/>
              </w:divBdr>
            </w:div>
            <w:div w:id="1346976877">
              <w:marLeft w:val="0"/>
              <w:marRight w:val="0"/>
              <w:marTop w:val="0"/>
              <w:marBottom w:val="0"/>
              <w:divBdr>
                <w:top w:val="none" w:sz="0" w:space="0" w:color="auto"/>
                <w:left w:val="none" w:sz="0" w:space="0" w:color="auto"/>
                <w:bottom w:val="none" w:sz="0" w:space="0" w:color="auto"/>
                <w:right w:val="none" w:sz="0" w:space="0" w:color="auto"/>
              </w:divBdr>
            </w:div>
          </w:divsChild>
        </w:div>
        <w:div w:id="1829782444">
          <w:marLeft w:val="0"/>
          <w:marRight w:val="0"/>
          <w:marTop w:val="0"/>
          <w:marBottom w:val="0"/>
          <w:divBdr>
            <w:top w:val="none" w:sz="0" w:space="0" w:color="auto"/>
            <w:left w:val="none" w:sz="0" w:space="0" w:color="auto"/>
            <w:bottom w:val="none" w:sz="0" w:space="0" w:color="auto"/>
            <w:right w:val="none" w:sz="0" w:space="0" w:color="auto"/>
          </w:divBdr>
          <w:divsChild>
            <w:div w:id="129634690">
              <w:marLeft w:val="0"/>
              <w:marRight w:val="0"/>
              <w:marTop w:val="0"/>
              <w:marBottom w:val="0"/>
              <w:divBdr>
                <w:top w:val="none" w:sz="0" w:space="0" w:color="auto"/>
                <w:left w:val="none" w:sz="0" w:space="0" w:color="auto"/>
                <w:bottom w:val="none" w:sz="0" w:space="0" w:color="auto"/>
                <w:right w:val="none" w:sz="0" w:space="0" w:color="auto"/>
              </w:divBdr>
            </w:div>
            <w:div w:id="501430798">
              <w:marLeft w:val="0"/>
              <w:marRight w:val="0"/>
              <w:marTop w:val="0"/>
              <w:marBottom w:val="0"/>
              <w:divBdr>
                <w:top w:val="none" w:sz="0" w:space="0" w:color="auto"/>
                <w:left w:val="none" w:sz="0" w:space="0" w:color="auto"/>
                <w:bottom w:val="none" w:sz="0" w:space="0" w:color="auto"/>
                <w:right w:val="none" w:sz="0" w:space="0" w:color="auto"/>
              </w:divBdr>
            </w:div>
            <w:div w:id="608704521">
              <w:marLeft w:val="0"/>
              <w:marRight w:val="0"/>
              <w:marTop w:val="0"/>
              <w:marBottom w:val="0"/>
              <w:divBdr>
                <w:top w:val="none" w:sz="0" w:space="0" w:color="auto"/>
                <w:left w:val="none" w:sz="0" w:space="0" w:color="auto"/>
                <w:bottom w:val="none" w:sz="0" w:space="0" w:color="auto"/>
                <w:right w:val="none" w:sz="0" w:space="0" w:color="auto"/>
              </w:divBdr>
            </w:div>
            <w:div w:id="928730370">
              <w:marLeft w:val="0"/>
              <w:marRight w:val="0"/>
              <w:marTop w:val="0"/>
              <w:marBottom w:val="0"/>
              <w:divBdr>
                <w:top w:val="none" w:sz="0" w:space="0" w:color="auto"/>
                <w:left w:val="none" w:sz="0" w:space="0" w:color="auto"/>
                <w:bottom w:val="none" w:sz="0" w:space="0" w:color="auto"/>
                <w:right w:val="none" w:sz="0" w:space="0" w:color="auto"/>
              </w:divBdr>
            </w:div>
            <w:div w:id="10167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242">
      <w:bodyDiv w:val="1"/>
      <w:marLeft w:val="0"/>
      <w:marRight w:val="0"/>
      <w:marTop w:val="0"/>
      <w:marBottom w:val="0"/>
      <w:divBdr>
        <w:top w:val="none" w:sz="0" w:space="0" w:color="auto"/>
        <w:left w:val="none" w:sz="0" w:space="0" w:color="auto"/>
        <w:bottom w:val="none" w:sz="0" w:space="0" w:color="auto"/>
        <w:right w:val="none" w:sz="0" w:space="0" w:color="auto"/>
      </w:divBdr>
      <w:divsChild>
        <w:div w:id="427967147">
          <w:marLeft w:val="0"/>
          <w:marRight w:val="0"/>
          <w:marTop w:val="0"/>
          <w:marBottom w:val="0"/>
          <w:divBdr>
            <w:top w:val="none" w:sz="0" w:space="0" w:color="auto"/>
            <w:left w:val="none" w:sz="0" w:space="0" w:color="auto"/>
            <w:bottom w:val="none" w:sz="0" w:space="0" w:color="auto"/>
            <w:right w:val="none" w:sz="0" w:space="0" w:color="auto"/>
          </w:divBdr>
          <w:divsChild>
            <w:div w:id="597524040">
              <w:marLeft w:val="0"/>
              <w:marRight w:val="0"/>
              <w:marTop w:val="0"/>
              <w:marBottom w:val="0"/>
              <w:divBdr>
                <w:top w:val="none" w:sz="0" w:space="0" w:color="auto"/>
                <w:left w:val="none" w:sz="0" w:space="0" w:color="auto"/>
                <w:bottom w:val="none" w:sz="0" w:space="0" w:color="auto"/>
                <w:right w:val="none" w:sz="0" w:space="0" w:color="auto"/>
              </w:divBdr>
            </w:div>
            <w:div w:id="1077823909">
              <w:marLeft w:val="0"/>
              <w:marRight w:val="0"/>
              <w:marTop w:val="0"/>
              <w:marBottom w:val="0"/>
              <w:divBdr>
                <w:top w:val="none" w:sz="0" w:space="0" w:color="auto"/>
                <w:left w:val="none" w:sz="0" w:space="0" w:color="auto"/>
                <w:bottom w:val="none" w:sz="0" w:space="0" w:color="auto"/>
                <w:right w:val="none" w:sz="0" w:space="0" w:color="auto"/>
              </w:divBdr>
            </w:div>
            <w:div w:id="1708136774">
              <w:marLeft w:val="0"/>
              <w:marRight w:val="0"/>
              <w:marTop w:val="0"/>
              <w:marBottom w:val="0"/>
              <w:divBdr>
                <w:top w:val="none" w:sz="0" w:space="0" w:color="auto"/>
                <w:left w:val="none" w:sz="0" w:space="0" w:color="auto"/>
                <w:bottom w:val="none" w:sz="0" w:space="0" w:color="auto"/>
                <w:right w:val="none" w:sz="0" w:space="0" w:color="auto"/>
              </w:divBdr>
            </w:div>
            <w:div w:id="1720201012">
              <w:marLeft w:val="0"/>
              <w:marRight w:val="0"/>
              <w:marTop w:val="0"/>
              <w:marBottom w:val="0"/>
              <w:divBdr>
                <w:top w:val="none" w:sz="0" w:space="0" w:color="auto"/>
                <w:left w:val="none" w:sz="0" w:space="0" w:color="auto"/>
                <w:bottom w:val="none" w:sz="0" w:space="0" w:color="auto"/>
                <w:right w:val="none" w:sz="0" w:space="0" w:color="auto"/>
              </w:divBdr>
            </w:div>
            <w:div w:id="1957953537">
              <w:marLeft w:val="0"/>
              <w:marRight w:val="0"/>
              <w:marTop w:val="0"/>
              <w:marBottom w:val="0"/>
              <w:divBdr>
                <w:top w:val="none" w:sz="0" w:space="0" w:color="auto"/>
                <w:left w:val="none" w:sz="0" w:space="0" w:color="auto"/>
                <w:bottom w:val="none" w:sz="0" w:space="0" w:color="auto"/>
                <w:right w:val="none" w:sz="0" w:space="0" w:color="auto"/>
              </w:divBdr>
            </w:div>
          </w:divsChild>
        </w:div>
        <w:div w:id="1060134415">
          <w:marLeft w:val="0"/>
          <w:marRight w:val="0"/>
          <w:marTop w:val="0"/>
          <w:marBottom w:val="0"/>
          <w:divBdr>
            <w:top w:val="none" w:sz="0" w:space="0" w:color="auto"/>
            <w:left w:val="none" w:sz="0" w:space="0" w:color="auto"/>
            <w:bottom w:val="none" w:sz="0" w:space="0" w:color="auto"/>
            <w:right w:val="none" w:sz="0" w:space="0" w:color="auto"/>
          </w:divBdr>
          <w:divsChild>
            <w:div w:id="632177486">
              <w:marLeft w:val="0"/>
              <w:marRight w:val="0"/>
              <w:marTop w:val="0"/>
              <w:marBottom w:val="0"/>
              <w:divBdr>
                <w:top w:val="none" w:sz="0" w:space="0" w:color="auto"/>
                <w:left w:val="none" w:sz="0" w:space="0" w:color="auto"/>
                <w:bottom w:val="none" w:sz="0" w:space="0" w:color="auto"/>
                <w:right w:val="none" w:sz="0" w:space="0" w:color="auto"/>
              </w:divBdr>
            </w:div>
            <w:div w:id="831221325">
              <w:marLeft w:val="0"/>
              <w:marRight w:val="0"/>
              <w:marTop w:val="0"/>
              <w:marBottom w:val="0"/>
              <w:divBdr>
                <w:top w:val="none" w:sz="0" w:space="0" w:color="auto"/>
                <w:left w:val="none" w:sz="0" w:space="0" w:color="auto"/>
                <w:bottom w:val="none" w:sz="0" w:space="0" w:color="auto"/>
                <w:right w:val="none" w:sz="0" w:space="0" w:color="auto"/>
              </w:divBdr>
            </w:div>
            <w:div w:id="9440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6488">
      <w:bodyDiv w:val="1"/>
      <w:marLeft w:val="0"/>
      <w:marRight w:val="0"/>
      <w:marTop w:val="0"/>
      <w:marBottom w:val="0"/>
      <w:divBdr>
        <w:top w:val="none" w:sz="0" w:space="0" w:color="auto"/>
        <w:left w:val="none" w:sz="0" w:space="0" w:color="auto"/>
        <w:bottom w:val="none" w:sz="0" w:space="0" w:color="auto"/>
        <w:right w:val="none" w:sz="0" w:space="0" w:color="auto"/>
      </w:divBdr>
      <w:divsChild>
        <w:div w:id="240145619">
          <w:marLeft w:val="0"/>
          <w:marRight w:val="0"/>
          <w:marTop w:val="0"/>
          <w:marBottom w:val="0"/>
          <w:divBdr>
            <w:top w:val="none" w:sz="0" w:space="0" w:color="auto"/>
            <w:left w:val="none" w:sz="0" w:space="0" w:color="auto"/>
            <w:bottom w:val="none" w:sz="0" w:space="0" w:color="auto"/>
            <w:right w:val="none" w:sz="0" w:space="0" w:color="auto"/>
          </w:divBdr>
        </w:div>
        <w:div w:id="284507505">
          <w:marLeft w:val="0"/>
          <w:marRight w:val="0"/>
          <w:marTop w:val="0"/>
          <w:marBottom w:val="0"/>
          <w:divBdr>
            <w:top w:val="none" w:sz="0" w:space="0" w:color="auto"/>
            <w:left w:val="none" w:sz="0" w:space="0" w:color="auto"/>
            <w:bottom w:val="none" w:sz="0" w:space="0" w:color="auto"/>
            <w:right w:val="none" w:sz="0" w:space="0" w:color="auto"/>
          </w:divBdr>
        </w:div>
        <w:div w:id="654064280">
          <w:marLeft w:val="0"/>
          <w:marRight w:val="0"/>
          <w:marTop w:val="0"/>
          <w:marBottom w:val="0"/>
          <w:divBdr>
            <w:top w:val="none" w:sz="0" w:space="0" w:color="auto"/>
            <w:left w:val="none" w:sz="0" w:space="0" w:color="auto"/>
            <w:bottom w:val="none" w:sz="0" w:space="0" w:color="auto"/>
            <w:right w:val="none" w:sz="0" w:space="0" w:color="auto"/>
          </w:divBdr>
        </w:div>
        <w:div w:id="845826071">
          <w:marLeft w:val="0"/>
          <w:marRight w:val="0"/>
          <w:marTop w:val="0"/>
          <w:marBottom w:val="0"/>
          <w:divBdr>
            <w:top w:val="none" w:sz="0" w:space="0" w:color="auto"/>
            <w:left w:val="none" w:sz="0" w:space="0" w:color="auto"/>
            <w:bottom w:val="none" w:sz="0" w:space="0" w:color="auto"/>
            <w:right w:val="none" w:sz="0" w:space="0" w:color="auto"/>
          </w:divBdr>
        </w:div>
        <w:div w:id="917640581">
          <w:marLeft w:val="0"/>
          <w:marRight w:val="0"/>
          <w:marTop w:val="0"/>
          <w:marBottom w:val="0"/>
          <w:divBdr>
            <w:top w:val="none" w:sz="0" w:space="0" w:color="auto"/>
            <w:left w:val="none" w:sz="0" w:space="0" w:color="auto"/>
            <w:bottom w:val="none" w:sz="0" w:space="0" w:color="auto"/>
            <w:right w:val="none" w:sz="0" w:space="0" w:color="auto"/>
          </w:divBdr>
        </w:div>
        <w:div w:id="950547060">
          <w:marLeft w:val="0"/>
          <w:marRight w:val="0"/>
          <w:marTop w:val="0"/>
          <w:marBottom w:val="0"/>
          <w:divBdr>
            <w:top w:val="none" w:sz="0" w:space="0" w:color="auto"/>
            <w:left w:val="none" w:sz="0" w:space="0" w:color="auto"/>
            <w:bottom w:val="none" w:sz="0" w:space="0" w:color="auto"/>
            <w:right w:val="none" w:sz="0" w:space="0" w:color="auto"/>
          </w:divBdr>
        </w:div>
        <w:div w:id="988241921">
          <w:marLeft w:val="0"/>
          <w:marRight w:val="0"/>
          <w:marTop w:val="0"/>
          <w:marBottom w:val="0"/>
          <w:divBdr>
            <w:top w:val="none" w:sz="0" w:space="0" w:color="auto"/>
            <w:left w:val="none" w:sz="0" w:space="0" w:color="auto"/>
            <w:bottom w:val="none" w:sz="0" w:space="0" w:color="auto"/>
            <w:right w:val="none" w:sz="0" w:space="0" w:color="auto"/>
          </w:divBdr>
        </w:div>
        <w:div w:id="1113405567">
          <w:marLeft w:val="0"/>
          <w:marRight w:val="0"/>
          <w:marTop w:val="0"/>
          <w:marBottom w:val="0"/>
          <w:divBdr>
            <w:top w:val="none" w:sz="0" w:space="0" w:color="auto"/>
            <w:left w:val="none" w:sz="0" w:space="0" w:color="auto"/>
            <w:bottom w:val="none" w:sz="0" w:space="0" w:color="auto"/>
            <w:right w:val="none" w:sz="0" w:space="0" w:color="auto"/>
          </w:divBdr>
        </w:div>
        <w:div w:id="1123841080">
          <w:marLeft w:val="0"/>
          <w:marRight w:val="0"/>
          <w:marTop w:val="0"/>
          <w:marBottom w:val="0"/>
          <w:divBdr>
            <w:top w:val="none" w:sz="0" w:space="0" w:color="auto"/>
            <w:left w:val="none" w:sz="0" w:space="0" w:color="auto"/>
            <w:bottom w:val="none" w:sz="0" w:space="0" w:color="auto"/>
            <w:right w:val="none" w:sz="0" w:space="0" w:color="auto"/>
          </w:divBdr>
        </w:div>
        <w:div w:id="1221600816">
          <w:marLeft w:val="0"/>
          <w:marRight w:val="0"/>
          <w:marTop w:val="0"/>
          <w:marBottom w:val="0"/>
          <w:divBdr>
            <w:top w:val="none" w:sz="0" w:space="0" w:color="auto"/>
            <w:left w:val="none" w:sz="0" w:space="0" w:color="auto"/>
            <w:bottom w:val="none" w:sz="0" w:space="0" w:color="auto"/>
            <w:right w:val="none" w:sz="0" w:space="0" w:color="auto"/>
          </w:divBdr>
        </w:div>
        <w:div w:id="1283999047">
          <w:marLeft w:val="0"/>
          <w:marRight w:val="0"/>
          <w:marTop w:val="0"/>
          <w:marBottom w:val="0"/>
          <w:divBdr>
            <w:top w:val="none" w:sz="0" w:space="0" w:color="auto"/>
            <w:left w:val="none" w:sz="0" w:space="0" w:color="auto"/>
            <w:bottom w:val="none" w:sz="0" w:space="0" w:color="auto"/>
            <w:right w:val="none" w:sz="0" w:space="0" w:color="auto"/>
          </w:divBdr>
        </w:div>
        <w:div w:id="1355155027">
          <w:marLeft w:val="0"/>
          <w:marRight w:val="0"/>
          <w:marTop w:val="0"/>
          <w:marBottom w:val="0"/>
          <w:divBdr>
            <w:top w:val="none" w:sz="0" w:space="0" w:color="auto"/>
            <w:left w:val="none" w:sz="0" w:space="0" w:color="auto"/>
            <w:bottom w:val="none" w:sz="0" w:space="0" w:color="auto"/>
            <w:right w:val="none" w:sz="0" w:space="0" w:color="auto"/>
          </w:divBdr>
        </w:div>
        <w:div w:id="1914117828">
          <w:marLeft w:val="0"/>
          <w:marRight w:val="0"/>
          <w:marTop w:val="0"/>
          <w:marBottom w:val="0"/>
          <w:divBdr>
            <w:top w:val="none" w:sz="0" w:space="0" w:color="auto"/>
            <w:left w:val="none" w:sz="0" w:space="0" w:color="auto"/>
            <w:bottom w:val="none" w:sz="0" w:space="0" w:color="auto"/>
            <w:right w:val="none" w:sz="0" w:space="0" w:color="auto"/>
          </w:divBdr>
        </w:div>
        <w:div w:id="2012876110">
          <w:marLeft w:val="0"/>
          <w:marRight w:val="0"/>
          <w:marTop w:val="0"/>
          <w:marBottom w:val="0"/>
          <w:divBdr>
            <w:top w:val="none" w:sz="0" w:space="0" w:color="auto"/>
            <w:left w:val="none" w:sz="0" w:space="0" w:color="auto"/>
            <w:bottom w:val="none" w:sz="0" w:space="0" w:color="auto"/>
            <w:right w:val="none" w:sz="0" w:space="0" w:color="auto"/>
          </w:divBdr>
        </w:div>
        <w:div w:id="2019650756">
          <w:marLeft w:val="0"/>
          <w:marRight w:val="0"/>
          <w:marTop w:val="0"/>
          <w:marBottom w:val="0"/>
          <w:divBdr>
            <w:top w:val="none" w:sz="0" w:space="0" w:color="auto"/>
            <w:left w:val="none" w:sz="0" w:space="0" w:color="auto"/>
            <w:bottom w:val="none" w:sz="0" w:space="0" w:color="auto"/>
            <w:right w:val="none" w:sz="0" w:space="0" w:color="auto"/>
          </w:divBdr>
        </w:div>
        <w:div w:id="2031446761">
          <w:marLeft w:val="0"/>
          <w:marRight w:val="0"/>
          <w:marTop w:val="0"/>
          <w:marBottom w:val="0"/>
          <w:divBdr>
            <w:top w:val="none" w:sz="0" w:space="0" w:color="auto"/>
            <w:left w:val="none" w:sz="0" w:space="0" w:color="auto"/>
            <w:bottom w:val="none" w:sz="0" w:space="0" w:color="auto"/>
            <w:right w:val="none" w:sz="0" w:space="0" w:color="auto"/>
          </w:divBdr>
        </w:div>
        <w:div w:id="2101485878">
          <w:marLeft w:val="0"/>
          <w:marRight w:val="0"/>
          <w:marTop w:val="0"/>
          <w:marBottom w:val="0"/>
          <w:divBdr>
            <w:top w:val="none" w:sz="0" w:space="0" w:color="auto"/>
            <w:left w:val="none" w:sz="0" w:space="0" w:color="auto"/>
            <w:bottom w:val="none" w:sz="0" w:space="0" w:color="auto"/>
            <w:right w:val="none" w:sz="0" w:space="0" w:color="auto"/>
          </w:divBdr>
        </w:div>
        <w:div w:id="2147308673">
          <w:marLeft w:val="0"/>
          <w:marRight w:val="0"/>
          <w:marTop w:val="0"/>
          <w:marBottom w:val="0"/>
          <w:divBdr>
            <w:top w:val="none" w:sz="0" w:space="0" w:color="auto"/>
            <w:left w:val="none" w:sz="0" w:space="0" w:color="auto"/>
            <w:bottom w:val="none" w:sz="0" w:space="0" w:color="auto"/>
            <w:right w:val="none" w:sz="0" w:space="0" w:color="auto"/>
          </w:divBdr>
        </w:div>
      </w:divsChild>
    </w:div>
    <w:div w:id="293605020">
      <w:bodyDiv w:val="1"/>
      <w:marLeft w:val="0"/>
      <w:marRight w:val="0"/>
      <w:marTop w:val="0"/>
      <w:marBottom w:val="0"/>
      <w:divBdr>
        <w:top w:val="none" w:sz="0" w:space="0" w:color="auto"/>
        <w:left w:val="none" w:sz="0" w:space="0" w:color="auto"/>
        <w:bottom w:val="none" w:sz="0" w:space="0" w:color="auto"/>
        <w:right w:val="none" w:sz="0" w:space="0" w:color="auto"/>
      </w:divBdr>
    </w:div>
    <w:div w:id="341854680">
      <w:bodyDiv w:val="1"/>
      <w:marLeft w:val="0"/>
      <w:marRight w:val="0"/>
      <w:marTop w:val="0"/>
      <w:marBottom w:val="0"/>
      <w:divBdr>
        <w:top w:val="none" w:sz="0" w:space="0" w:color="auto"/>
        <w:left w:val="none" w:sz="0" w:space="0" w:color="auto"/>
        <w:bottom w:val="none" w:sz="0" w:space="0" w:color="auto"/>
        <w:right w:val="none" w:sz="0" w:space="0" w:color="auto"/>
      </w:divBdr>
      <w:divsChild>
        <w:div w:id="901257438">
          <w:marLeft w:val="0"/>
          <w:marRight w:val="0"/>
          <w:marTop w:val="0"/>
          <w:marBottom w:val="0"/>
          <w:divBdr>
            <w:top w:val="none" w:sz="0" w:space="0" w:color="auto"/>
            <w:left w:val="none" w:sz="0" w:space="0" w:color="auto"/>
            <w:bottom w:val="none" w:sz="0" w:space="0" w:color="auto"/>
            <w:right w:val="none" w:sz="0" w:space="0" w:color="auto"/>
          </w:divBdr>
        </w:div>
        <w:div w:id="2074545770">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7156">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40362606">
      <w:bodyDiv w:val="1"/>
      <w:marLeft w:val="0"/>
      <w:marRight w:val="0"/>
      <w:marTop w:val="0"/>
      <w:marBottom w:val="0"/>
      <w:divBdr>
        <w:top w:val="none" w:sz="0" w:space="0" w:color="auto"/>
        <w:left w:val="none" w:sz="0" w:space="0" w:color="auto"/>
        <w:bottom w:val="none" w:sz="0" w:space="0" w:color="auto"/>
        <w:right w:val="none" w:sz="0" w:space="0" w:color="auto"/>
      </w:divBdr>
    </w:div>
    <w:div w:id="600341315">
      <w:bodyDiv w:val="1"/>
      <w:marLeft w:val="0"/>
      <w:marRight w:val="0"/>
      <w:marTop w:val="0"/>
      <w:marBottom w:val="0"/>
      <w:divBdr>
        <w:top w:val="none" w:sz="0" w:space="0" w:color="auto"/>
        <w:left w:val="none" w:sz="0" w:space="0" w:color="auto"/>
        <w:bottom w:val="none" w:sz="0" w:space="0" w:color="auto"/>
        <w:right w:val="none" w:sz="0" w:space="0" w:color="auto"/>
      </w:divBdr>
      <w:divsChild>
        <w:div w:id="71591700">
          <w:marLeft w:val="0"/>
          <w:marRight w:val="0"/>
          <w:marTop w:val="0"/>
          <w:marBottom w:val="0"/>
          <w:divBdr>
            <w:top w:val="none" w:sz="0" w:space="0" w:color="auto"/>
            <w:left w:val="none" w:sz="0" w:space="0" w:color="auto"/>
            <w:bottom w:val="none" w:sz="0" w:space="0" w:color="auto"/>
            <w:right w:val="none" w:sz="0" w:space="0" w:color="auto"/>
          </w:divBdr>
        </w:div>
        <w:div w:id="135688528">
          <w:marLeft w:val="0"/>
          <w:marRight w:val="0"/>
          <w:marTop w:val="0"/>
          <w:marBottom w:val="0"/>
          <w:divBdr>
            <w:top w:val="none" w:sz="0" w:space="0" w:color="auto"/>
            <w:left w:val="none" w:sz="0" w:space="0" w:color="auto"/>
            <w:bottom w:val="none" w:sz="0" w:space="0" w:color="auto"/>
            <w:right w:val="none" w:sz="0" w:space="0" w:color="auto"/>
          </w:divBdr>
        </w:div>
        <w:div w:id="367992861">
          <w:marLeft w:val="0"/>
          <w:marRight w:val="0"/>
          <w:marTop w:val="0"/>
          <w:marBottom w:val="0"/>
          <w:divBdr>
            <w:top w:val="none" w:sz="0" w:space="0" w:color="auto"/>
            <w:left w:val="none" w:sz="0" w:space="0" w:color="auto"/>
            <w:bottom w:val="none" w:sz="0" w:space="0" w:color="auto"/>
            <w:right w:val="none" w:sz="0" w:space="0" w:color="auto"/>
          </w:divBdr>
        </w:div>
        <w:div w:id="1061487770">
          <w:marLeft w:val="0"/>
          <w:marRight w:val="0"/>
          <w:marTop w:val="0"/>
          <w:marBottom w:val="0"/>
          <w:divBdr>
            <w:top w:val="none" w:sz="0" w:space="0" w:color="auto"/>
            <w:left w:val="none" w:sz="0" w:space="0" w:color="auto"/>
            <w:bottom w:val="none" w:sz="0" w:space="0" w:color="auto"/>
            <w:right w:val="none" w:sz="0" w:space="0" w:color="auto"/>
          </w:divBdr>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0769469">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99974">
      <w:bodyDiv w:val="1"/>
      <w:marLeft w:val="0"/>
      <w:marRight w:val="0"/>
      <w:marTop w:val="0"/>
      <w:marBottom w:val="0"/>
      <w:divBdr>
        <w:top w:val="none" w:sz="0" w:space="0" w:color="auto"/>
        <w:left w:val="none" w:sz="0" w:space="0" w:color="auto"/>
        <w:bottom w:val="none" w:sz="0" w:space="0" w:color="auto"/>
        <w:right w:val="none" w:sz="0" w:space="0" w:color="auto"/>
      </w:divBdr>
      <w:divsChild>
        <w:div w:id="9963088">
          <w:marLeft w:val="0"/>
          <w:marRight w:val="0"/>
          <w:marTop w:val="0"/>
          <w:marBottom w:val="0"/>
          <w:divBdr>
            <w:top w:val="none" w:sz="0" w:space="0" w:color="auto"/>
            <w:left w:val="none" w:sz="0" w:space="0" w:color="auto"/>
            <w:bottom w:val="none" w:sz="0" w:space="0" w:color="auto"/>
            <w:right w:val="none" w:sz="0" w:space="0" w:color="auto"/>
          </w:divBdr>
          <w:divsChild>
            <w:div w:id="108865860">
              <w:marLeft w:val="0"/>
              <w:marRight w:val="0"/>
              <w:marTop w:val="0"/>
              <w:marBottom w:val="0"/>
              <w:divBdr>
                <w:top w:val="none" w:sz="0" w:space="0" w:color="auto"/>
                <w:left w:val="none" w:sz="0" w:space="0" w:color="auto"/>
                <w:bottom w:val="none" w:sz="0" w:space="0" w:color="auto"/>
                <w:right w:val="none" w:sz="0" w:space="0" w:color="auto"/>
              </w:divBdr>
            </w:div>
            <w:div w:id="329404301">
              <w:marLeft w:val="0"/>
              <w:marRight w:val="0"/>
              <w:marTop w:val="0"/>
              <w:marBottom w:val="0"/>
              <w:divBdr>
                <w:top w:val="none" w:sz="0" w:space="0" w:color="auto"/>
                <w:left w:val="none" w:sz="0" w:space="0" w:color="auto"/>
                <w:bottom w:val="none" w:sz="0" w:space="0" w:color="auto"/>
                <w:right w:val="none" w:sz="0" w:space="0" w:color="auto"/>
              </w:divBdr>
            </w:div>
            <w:div w:id="410665377">
              <w:marLeft w:val="0"/>
              <w:marRight w:val="0"/>
              <w:marTop w:val="0"/>
              <w:marBottom w:val="0"/>
              <w:divBdr>
                <w:top w:val="none" w:sz="0" w:space="0" w:color="auto"/>
                <w:left w:val="none" w:sz="0" w:space="0" w:color="auto"/>
                <w:bottom w:val="none" w:sz="0" w:space="0" w:color="auto"/>
                <w:right w:val="none" w:sz="0" w:space="0" w:color="auto"/>
              </w:divBdr>
            </w:div>
            <w:div w:id="506016819">
              <w:marLeft w:val="0"/>
              <w:marRight w:val="0"/>
              <w:marTop w:val="0"/>
              <w:marBottom w:val="0"/>
              <w:divBdr>
                <w:top w:val="none" w:sz="0" w:space="0" w:color="auto"/>
                <w:left w:val="none" w:sz="0" w:space="0" w:color="auto"/>
                <w:bottom w:val="none" w:sz="0" w:space="0" w:color="auto"/>
                <w:right w:val="none" w:sz="0" w:space="0" w:color="auto"/>
              </w:divBdr>
            </w:div>
            <w:div w:id="1018041986">
              <w:marLeft w:val="0"/>
              <w:marRight w:val="0"/>
              <w:marTop w:val="0"/>
              <w:marBottom w:val="0"/>
              <w:divBdr>
                <w:top w:val="none" w:sz="0" w:space="0" w:color="auto"/>
                <w:left w:val="none" w:sz="0" w:space="0" w:color="auto"/>
                <w:bottom w:val="none" w:sz="0" w:space="0" w:color="auto"/>
                <w:right w:val="none" w:sz="0" w:space="0" w:color="auto"/>
              </w:divBdr>
            </w:div>
            <w:div w:id="1166045385">
              <w:marLeft w:val="0"/>
              <w:marRight w:val="0"/>
              <w:marTop w:val="0"/>
              <w:marBottom w:val="0"/>
              <w:divBdr>
                <w:top w:val="none" w:sz="0" w:space="0" w:color="auto"/>
                <w:left w:val="none" w:sz="0" w:space="0" w:color="auto"/>
                <w:bottom w:val="none" w:sz="0" w:space="0" w:color="auto"/>
                <w:right w:val="none" w:sz="0" w:space="0" w:color="auto"/>
              </w:divBdr>
            </w:div>
            <w:div w:id="1329475798">
              <w:marLeft w:val="0"/>
              <w:marRight w:val="0"/>
              <w:marTop w:val="0"/>
              <w:marBottom w:val="0"/>
              <w:divBdr>
                <w:top w:val="none" w:sz="0" w:space="0" w:color="auto"/>
                <w:left w:val="none" w:sz="0" w:space="0" w:color="auto"/>
                <w:bottom w:val="none" w:sz="0" w:space="0" w:color="auto"/>
                <w:right w:val="none" w:sz="0" w:space="0" w:color="auto"/>
              </w:divBdr>
            </w:div>
            <w:div w:id="1967158960">
              <w:marLeft w:val="0"/>
              <w:marRight w:val="0"/>
              <w:marTop w:val="0"/>
              <w:marBottom w:val="0"/>
              <w:divBdr>
                <w:top w:val="none" w:sz="0" w:space="0" w:color="auto"/>
                <w:left w:val="none" w:sz="0" w:space="0" w:color="auto"/>
                <w:bottom w:val="none" w:sz="0" w:space="0" w:color="auto"/>
                <w:right w:val="none" w:sz="0" w:space="0" w:color="auto"/>
              </w:divBdr>
            </w:div>
          </w:divsChild>
        </w:div>
        <w:div w:id="1136529602">
          <w:marLeft w:val="0"/>
          <w:marRight w:val="0"/>
          <w:marTop w:val="0"/>
          <w:marBottom w:val="0"/>
          <w:divBdr>
            <w:top w:val="none" w:sz="0" w:space="0" w:color="auto"/>
            <w:left w:val="none" w:sz="0" w:space="0" w:color="auto"/>
            <w:bottom w:val="none" w:sz="0" w:space="0" w:color="auto"/>
            <w:right w:val="none" w:sz="0" w:space="0" w:color="auto"/>
          </w:divBdr>
          <w:divsChild>
            <w:div w:id="373576211">
              <w:marLeft w:val="0"/>
              <w:marRight w:val="0"/>
              <w:marTop w:val="0"/>
              <w:marBottom w:val="0"/>
              <w:divBdr>
                <w:top w:val="none" w:sz="0" w:space="0" w:color="auto"/>
                <w:left w:val="none" w:sz="0" w:space="0" w:color="auto"/>
                <w:bottom w:val="none" w:sz="0" w:space="0" w:color="auto"/>
                <w:right w:val="none" w:sz="0" w:space="0" w:color="auto"/>
              </w:divBdr>
            </w:div>
            <w:div w:id="1749418655">
              <w:marLeft w:val="0"/>
              <w:marRight w:val="0"/>
              <w:marTop w:val="0"/>
              <w:marBottom w:val="0"/>
              <w:divBdr>
                <w:top w:val="none" w:sz="0" w:space="0" w:color="auto"/>
                <w:left w:val="none" w:sz="0" w:space="0" w:color="auto"/>
                <w:bottom w:val="none" w:sz="0" w:space="0" w:color="auto"/>
                <w:right w:val="none" w:sz="0" w:space="0" w:color="auto"/>
              </w:divBdr>
            </w:div>
            <w:div w:id="1786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7028813">
      <w:bodyDiv w:val="1"/>
      <w:marLeft w:val="0"/>
      <w:marRight w:val="0"/>
      <w:marTop w:val="0"/>
      <w:marBottom w:val="0"/>
      <w:divBdr>
        <w:top w:val="none" w:sz="0" w:space="0" w:color="auto"/>
        <w:left w:val="none" w:sz="0" w:space="0" w:color="auto"/>
        <w:bottom w:val="none" w:sz="0" w:space="0" w:color="auto"/>
        <w:right w:val="none" w:sz="0" w:space="0" w:color="auto"/>
      </w:divBdr>
      <w:divsChild>
        <w:div w:id="209342895">
          <w:marLeft w:val="0"/>
          <w:marRight w:val="0"/>
          <w:marTop w:val="0"/>
          <w:marBottom w:val="0"/>
          <w:divBdr>
            <w:top w:val="none" w:sz="0" w:space="0" w:color="auto"/>
            <w:left w:val="none" w:sz="0" w:space="0" w:color="auto"/>
            <w:bottom w:val="none" w:sz="0" w:space="0" w:color="auto"/>
            <w:right w:val="none" w:sz="0" w:space="0" w:color="auto"/>
          </w:divBdr>
        </w:div>
        <w:div w:id="442699065">
          <w:marLeft w:val="0"/>
          <w:marRight w:val="0"/>
          <w:marTop w:val="0"/>
          <w:marBottom w:val="0"/>
          <w:divBdr>
            <w:top w:val="none" w:sz="0" w:space="0" w:color="auto"/>
            <w:left w:val="none" w:sz="0" w:space="0" w:color="auto"/>
            <w:bottom w:val="none" w:sz="0" w:space="0" w:color="auto"/>
            <w:right w:val="none" w:sz="0" w:space="0" w:color="auto"/>
          </w:divBdr>
        </w:div>
        <w:div w:id="766999215">
          <w:marLeft w:val="0"/>
          <w:marRight w:val="0"/>
          <w:marTop w:val="0"/>
          <w:marBottom w:val="0"/>
          <w:divBdr>
            <w:top w:val="none" w:sz="0" w:space="0" w:color="auto"/>
            <w:left w:val="none" w:sz="0" w:space="0" w:color="auto"/>
            <w:bottom w:val="none" w:sz="0" w:space="0" w:color="auto"/>
            <w:right w:val="none" w:sz="0" w:space="0" w:color="auto"/>
          </w:divBdr>
        </w:div>
        <w:div w:id="829366873">
          <w:marLeft w:val="0"/>
          <w:marRight w:val="0"/>
          <w:marTop w:val="0"/>
          <w:marBottom w:val="0"/>
          <w:divBdr>
            <w:top w:val="none" w:sz="0" w:space="0" w:color="auto"/>
            <w:left w:val="none" w:sz="0" w:space="0" w:color="auto"/>
            <w:bottom w:val="none" w:sz="0" w:space="0" w:color="auto"/>
            <w:right w:val="none" w:sz="0" w:space="0" w:color="auto"/>
          </w:divBdr>
        </w:div>
        <w:div w:id="852458989">
          <w:marLeft w:val="0"/>
          <w:marRight w:val="0"/>
          <w:marTop w:val="0"/>
          <w:marBottom w:val="0"/>
          <w:divBdr>
            <w:top w:val="none" w:sz="0" w:space="0" w:color="auto"/>
            <w:left w:val="none" w:sz="0" w:space="0" w:color="auto"/>
            <w:bottom w:val="none" w:sz="0" w:space="0" w:color="auto"/>
            <w:right w:val="none" w:sz="0" w:space="0" w:color="auto"/>
          </w:divBdr>
        </w:div>
        <w:div w:id="865798920">
          <w:marLeft w:val="0"/>
          <w:marRight w:val="0"/>
          <w:marTop w:val="0"/>
          <w:marBottom w:val="0"/>
          <w:divBdr>
            <w:top w:val="none" w:sz="0" w:space="0" w:color="auto"/>
            <w:left w:val="none" w:sz="0" w:space="0" w:color="auto"/>
            <w:bottom w:val="none" w:sz="0" w:space="0" w:color="auto"/>
            <w:right w:val="none" w:sz="0" w:space="0" w:color="auto"/>
          </w:divBdr>
        </w:div>
        <w:div w:id="1020427982">
          <w:marLeft w:val="0"/>
          <w:marRight w:val="0"/>
          <w:marTop w:val="0"/>
          <w:marBottom w:val="0"/>
          <w:divBdr>
            <w:top w:val="none" w:sz="0" w:space="0" w:color="auto"/>
            <w:left w:val="none" w:sz="0" w:space="0" w:color="auto"/>
            <w:bottom w:val="none" w:sz="0" w:space="0" w:color="auto"/>
            <w:right w:val="none" w:sz="0" w:space="0" w:color="auto"/>
          </w:divBdr>
        </w:div>
        <w:div w:id="1076242120">
          <w:marLeft w:val="0"/>
          <w:marRight w:val="0"/>
          <w:marTop w:val="0"/>
          <w:marBottom w:val="0"/>
          <w:divBdr>
            <w:top w:val="none" w:sz="0" w:space="0" w:color="auto"/>
            <w:left w:val="none" w:sz="0" w:space="0" w:color="auto"/>
            <w:bottom w:val="none" w:sz="0" w:space="0" w:color="auto"/>
            <w:right w:val="none" w:sz="0" w:space="0" w:color="auto"/>
          </w:divBdr>
        </w:div>
        <w:div w:id="1093015672">
          <w:marLeft w:val="0"/>
          <w:marRight w:val="0"/>
          <w:marTop w:val="0"/>
          <w:marBottom w:val="0"/>
          <w:divBdr>
            <w:top w:val="none" w:sz="0" w:space="0" w:color="auto"/>
            <w:left w:val="none" w:sz="0" w:space="0" w:color="auto"/>
            <w:bottom w:val="none" w:sz="0" w:space="0" w:color="auto"/>
            <w:right w:val="none" w:sz="0" w:space="0" w:color="auto"/>
          </w:divBdr>
        </w:div>
        <w:div w:id="1292520798">
          <w:marLeft w:val="0"/>
          <w:marRight w:val="0"/>
          <w:marTop w:val="0"/>
          <w:marBottom w:val="0"/>
          <w:divBdr>
            <w:top w:val="none" w:sz="0" w:space="0" w:color="auto"/>
            <w:left w:val="none" w:sz="0" w:space="0" w:color="auto"/>
            <w:bottom w:val="none" w:sz="0" w:space="0" w:color="auto"/>
            <w:right w:val="none" w:sz="0" w:space="0" w:color="auto"/>
          </w:divBdr>
        </w:div>
        <w:div w:id="1362121782">
          <w:marLeft w:val="0"/>
          <w:marRight w:val="0"/>
          <w:marTop w:val="0"/>
          <w:marBottom w:val="0"/>
          <w:divBdr>
            <w:top w:val="none" w:sz="0" w:space="0" w:color="auto"/>
            <w:left w:val="none" w:sz="0" w:space="0" w:color="auto"/>
            <w:bottom w:val="none" w:sz="0" w:space="0" w:color="auto"/>
            <w:right w:val="none" w:sz="0" w:space="0" w:color="auto"/>
          </w:divBdr>
        </w:div>
        <w:div w:id="1362701399">
          <w:marLeft w:val="0"/>
          <w:marRight w:val="0"/>
          <w:marTop w:val="0"/>
          <w:marBottom w:val="0"/>
          <w:divBdr>
            <w:top w:val="none" w:sz="0" w:space="0" w:color="auto"/>
            <w:left w:val="none" w:sz="0" w:space="0" w:color="auto"/>
            <w:bottom w:val="none" w:sz="0" w:space="0" w:color="auto"/>
            <w:right w:val="none" w:sz="0" w:space="0" w:color="auto"/>
          </w:divBdr>
        </w:div>
        <w:div w:id="1417941625">
          <w:marLeft w:val="0"/>
          <w:marRight w:val="0"/>
          <w:marTop w:val="0"/>
          <w:marBottom w:val="0"/>
          <w:divBdr>
            <w:top w:val="none" w:sz="0" w:space="0" w:color="auto"/>
            <w:left w:val="none" w:sz="0" w:space="0" w:color="auto"/>
            <w:bottom w:val="none" w:sz="0" w:space="0" w:color="auto"/>
            <w:right w:val="none" w:sz="0" w:space="0" w:color="auto"/>
          </w:divBdr>
        </w:div>
        <w:div w:id="1546215162">
          <w:marLeft w:val="0"/>
          <w:marRight w:val="0"/>
          <w:marTop w:val="0"/>
          <w:marBottom w:val="0"/>
          <w:divBdr>
            <w:top w:val="none" w:sz="0" w:space="0" w:color="auto"/>
            <w:left w:val="none" w:sz="0" w:space="0" w:color="auto"/>
            <w:bottom w:val="none" w:sz="0" w:space="0" w:color="auto"/>
            <w:right w:val="none" w:sz="0" w:space="0" w:color="auto"/>
          </w:divBdr>
          <w:divsChild>
            <w:div w:id="2094079661">
              <w:marLeft w:val="0"/>
              <w:marRight w:val="0"/>
              <w:marTop w:val="30"/>
              <w:marBottom w:val="30"/>
              <w:divBdr>
                <w:top w:val="none" w:sz="0" w:space="0" w:color="auto"/>
                <w:left w:val="none" w:sz="0" w:space="0" w:color="auto"/>
                <w:bottom w:val="none" w:sz="0" w:space="0" w:color="auto"/>
                <w:right w:val="none" w:sz="0" w:space="0" w:color="auto"/>
              </w:divBdr>
              <w:divsChild>
                <w:div w:id="98912826">
                  <w:marLeft w:val="0"/>
                  <w:marRight w:val="0"/>
                  <w:marTop w:val="0"/>
                  <w:marBottom w:val="0"/>
                  <w:divBdr>
                    <w:top w:val="none" w:sz="0" w:space="0" w:color="auto"/>
                    <w:left w:val="none" w:sz="0" w:space="0" w:color="auto"/>
                    <w:bottom w:val="none" w:sz="0" w:space="0" w:color="auto"/>
                    <w:right w:val="none" w:sz="0" w:space="0" w:color="auto"/>
                  </w:divBdr>
                  <w:divsChild>
                    <w:div w:id="827788476">
                      <w:marLeft w:val="0"/>
                      <w:marRight w:val="0"/>
                      <w:marTop w:val="0"/>
                      <w:marBottom w:val="0"/>
                      <w:divBdr>
                        <w:top w:val="none" w:sz="0" w:space="0" w:color="auto"/>
                        <w:left w:val="none" w:sz="0" w:space="0" w:color="auto"/>
                        <w:bottom w:val="none" w:sz="0" w:space="0" w:color="auto"/>
                        <w:right w:val="none" w:sz="0" w:space="0" w:color="auto"/>
                      </w:divBdr>
                    </w:div>
                  </w:divsChild>
                </w:div>
                <w:div w:id="126903004">
                  <w:marLeft w:val="0"/>
                  <w:marRight w:val="0"/>
                  <w:marTop w:val="0"/>
                  <w:marBottom w:val="0"/>
                  <w:divBdr>
                    <w:top w:val="none" w:sz="0" w:space="0" w:color="auto"/>
                    <w:left w:val="none" w:sz="0" w:space="0" w:color="auto"/>
                    <w:bottom w:val="none" w:sz="0" w:space="0" w:color="auto"/>
                    <w:right w:val="none" w:sz="0" w:space="0" w:color="auto"/>
                  </w:divBdr>
                  <w:divsChild>
                    <w:div w:id="267933065">
                      <w:marLeft w:val="0"/>
                      <w:marRight w:val="0"/>
                      <w:marTop w:val="0"/>
                      <w:marBottom w:val="0"/>
                      <w:divBdr>
                        <w:top w:val="none" w:sz="0" w:space="0" w:color="auto"/>
                        <w:left w:val="none" w:sz="0" w:space="0" w:color="auto"/>
                        <w:bottom w:val="none" w:sz="0" w:space="0" w:color="auto"/>
                        <w:right w:val="none" w:sz="0" w:space="0" w:color="auto"/>
                      </w:divBdr>
                    </w:div>
                  </w:divsChild>
                </w:div>
                <w:div w:id="416294931">
                  <w:marLeft w:val="0"/>
                  <w:marRight w:val="0"/>
                  <w:marTop w:val="0"/>
                  <w:marBottom w:val="0"/>
                  <w:divBdr>
                    <w:top w:val="none" w:sz="0" w:space="0" w:color="auto"/>
                    <w:left w:val="none" w:sz="0" w:space="0" w:color="auto"/>
                    <w:bottom w:val="none" w:sz="0" w:space="0" w:color="auto"/>
                    <w:right w:val="none" w:sz="0" w:space="0" w:color="auto"/>
                  </w:divBdr>
                  <w:divsChild>
                    <w:div w:id="1068116682">
                      <w:marLeft w:val="0"/>
                      <w:marRight w:val="0"/>
                      <w:marTop w:val="0"/>
                      <w:marBottom w:val="0"/>
                      <w:divBdr>
                        <w:top w:val="none" w:sz="0" w:space="0" w:color="auto"/>
                        <w:left w:val="none" w:sz="0" w:space="0" w:color="auto"/>
                        <w:bottom w:val="none" w:sz="0" w:space="0" w:color="auto"/>
                        <w:right w:val="none" w:sz="0" w:space="0" w:color="auto"/>
                      </w:divBdr>
                    </w:div>
                  </w:divsChild>
                </w:div>
                <w:div w:id="655694946">
                  <w:marLeft w:val="0"/>
                  <w:marRight w:val="0"/>
                  <w:marTop w:val="0"/>
                  <w:marBottom w:val="0"/>
                  <w:divBdr>
                    <w:top w:val="none" w:sz="0" w:space="0" w:color="auto"/>
                    <w:left w:val="none" w:sz="0" w:space="0" w:color="auto"/>
                    <w:bottom w:val="none" w:sz="0" w:space="0" w:color="auto"/>
                    <w:right w:val="none" w:sz="0" w:space="0" w:color="auto"/>
                  </w:divBdr>
                  <w:divsChild>
                    <w:div w:id="553930251">
                      <w:marLeft w:val="0"/>
                      <w:marRight w:val="0"/>
                      <w:marTop w:val="0"/>
                      <w:marBottom w:val="0"/>
                      <w:divBdr>
                        <w:top w:val="none" w:sz="0" w:space="0" w:color="auto"/>
                        <w:left w:val="none" w:sz="0" w:space="0" w:color="auto"/>
                        <w:bottom w:val="none" w:sz="0" w:space="0" w:color="auto"/>
                        <w:right w:val="none" w:sz="0" w:space="0" w:color="auto"/>
                      </w:divBdr>
                    </w:div>
                  </w:divsChild>
                </w:div>
                <w:div w:id="719481394">
                  <w:marLeft w:val="0"/>
                  <w:marRight w:val="0"/>
                  <w:marTop w:val="0"/>
                  <w:marBottom w:val="0"/>
                  <w:divBdr>
                    <w:top w:val="none" w:sz="0" w:space="0" w:color="auto"/>
                    <w:left w:val="none" w:sz="0" w:space="0" w:color="auto"/>
                    <w:bottom w:val="none" w:sz="0" w:space="0" w:color="auto"/>
                    <w:right w:val="none" w:sz="0" w:space="0" w:color="auto"/>
                  </w:divBdr>
                  <w:divsChild>
                    <w:div w:id="1512522437">
                      <w:marLeft w:val="0"/>
                      <w:marRight w:val="0"/>
                      <w:marTop w:val="0"/>
                      <w:marBottom w:val="0"/>
                      <w:divBdr>
                        <w:top w:val="none" w:sz="0" w:space="0" w:color="auto"/>
                        <w:left w:val="none" w:sz="0" w:space="0" w:color="auto"/>
                        <w:bottom w:val="none" w:sz="0" w:space="0" w:color="auto"/>
                        <w:right w:val="none" w:sz="0" w:space="0" w:color="auto"/>
                      </w:divBdr>
                    </w:div>
                  </w:divsChild>
                </w:div>
                <w:div w:id="726150741">
                  <w:marLeft w:val="0"/>
                  <w:marRight w:val="0"/>
                  <w:marTop w:val="0"/>
                  <w:marBottom w:val="0"/>
                  <w:divBdr>
                    <w:top w:val="none" w:sz="0" w:space="0" w:color="auto"/>
                    <w:left w:val="none" w:sz="0" w:space="0" w:color="auto"/>
                    <w:bottom w:val="none" w:sz="0" w:space="0" w:color="auto"/>
                    <w:right w:val="none" w:sz="0" w:space="0" w:color="auto"/>
                  </w:divBdr>
                  <w:divsChild>
                    <w:div w:id="1757094665">
                      <w:marLeft w:val="0"/>
                      <w:marRight w:val="0"/>
                      <w:marTop w:val="0"/>
                      <w:marBottom w:val="0"/>
                      <w:divBdr>
                        <w:top w:val="none" w:sz="0" w:space="0" w:color="auto"/>
                        <w:left w:val="none" w:sz="0" w:space="0" w:color="auto"/>
                        <w:bottom w:val="none" w:sz="0" w:space="0" w:color="auto"/>
                        <w:right w:val="none" w:sz="0" w:space="0" w:color="auto"/>
                      </w:divBdr>
                    </w:div>
                  </w:divsChild>
                </w:div>
                <w:div w:id="748766561">
                  <w:marLeft w:val="0"/>
                  <w:marRight w:val="0"/>
                  <w:marTop w:val="0"/>
                  <w:marBottom w:val="0"/>
                  <w:divBdr>
                    <w:top w:val="none" w:sz="0" w:space="0" w:color="auto"/>
                    <w:left w:val="none" w:sz="0" w:space="0" w:color="auto"/>
                    <w:bottom w:val="none" w:sz="0" w:space="0" w:color="auto"/>
                    <w:right w:val="none" w:sz="0" w:space="0" w:color="auto"/>
                  </w:divBdr>
                  <w:divsChild>
                    <w:div w:id="572356724">
                      <w:marLeft w:val="0"/>
                      <w:marRight w:val="0"/>
                      <w:marTop w:val="0"/>
                      <w:marBottom w:val="0"/>
                      <w:divBdr>
                        <w:top w:val="none" w:sz="0" w:space="0" w:color="auto"/>
                        <w:left w:val="none" w:sz="0" w:space="0" w:color="auto"/>
                        <w:bottom w:val="none" w:sz="0" w:space="0" w:color="auto"/>
                        <w:right w:val="none" w:sz="0" w:space="0" w:color="auto"/>
                      </w:divBdr>
                    </w:div>
                  </w:divsChild>
                </w:div>
                <w:div w:id="874662925">
                  <w:marLeft w:val="0"/>
                  <w:marRight w:val="0"/>
                  <w:marTop w:val="0"/>
                  <w:marBottom w:val="0"/>
                  <w:divBdr>
                    <w:top w:val="none" w:sz="0" w:space="0" w:color="auto"/>
                    <w:left w:val="none" w:sz="0" w:space="0" w:color="auto"/>
                    <w:bottom w:val="none" w:sz="0" w:space="0" w:color="auto"/>
                    <w:right w:val="none" w:sz="0" w:space="0" w:color="auto"/>
                  </w:divBdr>
                  <w:divsChild>
                    <w:div w:id="768888695">
                      <w:marLeft w:val="0"/>
                      <w:marRight w:val="0"/>
                      <w:marTop w:val="0"/>
                      <w:marBottom w:val="0"/>
                      <w:divBdr>
                        <w:top w:val="none" w:sz="0" w:space="0" w:color="auto"/>
                        <w:left w:val="none" w:sz="0" w:space="0" w:color="auto"/>
                        <w:bottom w:val="none" w:sz="0" w:space="0" w:color="auto"/>
                        <w:right w:val="none" w:sz="0" w:space="0" w:color="auto"/>
                      </w:divBdr>
                    </w:div>
                  </w:divsChild>
                </w:div>
                <w:div w:id="875459833">
                  <w:marLeft w:val="0"/>
                  <w:marRight w:val="0"/>
                  <w:marTop w:val="0"/>
                  <w:marBottom w:val="0"/>
                  <w:divBdr>
                    <w:top w:val="none" w:sz="0" w:space="0" w:color="auto"/>
                    <w:left w:val="none" w:sz="0" w:space="0" w:color="auto"/>
                    <w:bottom w:val="none" w:sz="0" w:space="0" w:color="auto"/>
                    <w:right w:val="none" w:sz="0" w:space="0" w:color="auto"/>
                  </w:divBdr>
                  <w:divsChild>
                    <w:div w:id="1053963022">
                      <w:marLeft w:val="0"/>
                      <w:marRight w:val="0"/>
                      <w:marTop w:val="0"/>
                      <w:marBottom w:val="0"/>
                      <w:divBdr>
                        <w:top w:val="none" w:sz="0" w:space="0" w:color="auto"/>
                        <w:left w:val="none" w:sz="0" w:space="0" w:color="auto"/>
                        <w:bottom w:val="none" w:sz="0" w:space="0" w:color="auto"/>
                        <w:right w:val="none" w:sz="0" w:space="0" w:color="auto"/>
                      </w:divBdr>
                    </w:div>
                  </w:divsChild>
                </w:div>
                <w:div w:id="876772956">
                  <w:marLeft w:val="0"/>
                  <w:marRight w:val="0"/>
                  <w:marTop w:val="0"/>
                  <w:marBottom w:val="0"/>
                  <w:divBdr>
                    <w:top w:val="none" w:sz="0" w:space="0" w:color="auto"/>
                    <w:left w:val="none" w:sz="0" w:space="0" w:color="auto"/>
                    <w:bottom w:val="none" w:sz="0" w:space="0" w:color="auto"/>
                    <w:right w:val="none" w:sz="0" w:space="0" w:color="auto"/>
                  </w:divBdr>
                  <w:divsChild>
                    <w:div w:id="1409960253">
                      <w:marLeft w:val="0"/>
                      <w:marRight w:val="0"/>
                      <w:marTop w:val="0"/>
                      <w:marBottom w:val="0"/>
                      <w:divBdr>
                        <w:top w:val="none" w:sz="0" w:space="0" w:color="auto"/>
                        <w:left w:val="none" w:sz="0" w:space="0" w:color="auto"/>
                        <w:bottom w:val="none" w:sz="0" w:space="0" w:color="auto"/>
                        <w:right w:val="none" w:sz="0" w:space="0" w:color="auto"/>
                      </w:divBdr>
                    </w:div>
                  </w:divsChild>
                </w:div>
                <w:div w:id="1020203200">
                  <w:marLeft w:val="0"/>
                  <w:marRight w:val="0"/>
                  <w:marTop w:val="0"/>
                  <w:marBottom w:val="0"/>
                  <w:divBdr>
                    <w:top w:val="none" w:sz="0" w:space="0" w:color="auto"/>
                    <w:left w:val="none" w:sz="0" w:space="0" w:color="auto"/>
                    <w:bottom w:val="none" w:sz="0" w:space="0" w:color="auto"/>
                    <w:right w:val="none" w:sz="0" w:space="0" w:color="auto"/>
                  </w:divBdr>
                  <w:divsChild>
                    <w:div w:id="705253677">
                      <w:marLeft w:val="0"/>
                      <w:marRight w:val="0"/>
                      <w:marTop w:val="0"/>
                      <w:marBottom w:val="0"/>
                      <w:divBdr>
                        <w:top w:val="none" w:sz="0" w:space="0" w:color="auto"/>
                        <w:left w:val="none" w:sz="0" w:space="0" w:color="auto"/>
                        <w:bottom w:val="none" w:sz="0" w:space="0" w:color="auto"/>
                        <w:right w:val="none" w:sz="0" w:space="0" w:color="auto"/>
                      </w:divBdr>
                    </w:div>
                  </w:divsChild>
                </w:div>
                <w:div w:id="1113552941">
                  <w:marLeft w:val="0"/>
                  <w:marRight w:val="0"/>
                  <w:marTop w:val="0"/>
                  <w:marBottom w:val="0"/>
                  <w:divBdr>
                    <w:top w:val="none" w:sz="0" w:space="0" w:color="auto"/>
                    <w:left w:val="none" w:sz="0" w:space="0" w:color="auto"/>
                    <w:bottom w:val="none" w:sz="0" w:space="0" w:color="auto"/>
                    <w:right w:val="none" w:sz="0" w:space="0" w:color="auto"/>
                  </w:divBdr>
                  <w:divsChild>
                    <w:div w:id="475344307">
                      <w:marLeft w:val="0"/>
                      <w:marRight w:val="0"/>
                      <w:marTop w:val="0"/>
                      <w:marBottom w:val="0"/>
                      <w:divBdr>
                        <w:top w:val="none" w:sz="0" w:space="0" w:color="auto"/>
                        <w:left w:val="none" w:sz="0" w:space="0" w:color="auto"/>
                        <w:bottom w:val="none" w:sz="0" w:space="0" w:color="auto"/>
                        <w:right w:val="none" w:sz="0" w:space="0" w:color="auto"/>
                      </w:divBdr>
                    </w:div>
                  </w:divsChild>
                </w:div>
                <w:div w:id="1138717492">
                  <w:marLeft w:val="0"/>
                  <w:marRight w:val="0"/>
                  <w:marTop w:val="0"/>
                  <w:marBottom w:val="0"/>
                  <w:divBdr>
                    <w:top w:val="none" w:sz="0" w:space="0" w:color="auto"/>
                    <w:left w:val="none" w:sz="0" w:space="0" w:color="auto"/>
                    <w:bottom w:val="none" w:sz="0" w:space="0" w:color="auto"/>
                    <w:right w:val="none" w:sz="0" w:space="0" w:color="auto"/>
                  </w:divBdr>
                  <w:divsChild>
                    <w:div w:id="1258253481">
                      <w:marLeft w:val="0"/>
                      <w:marRight w:val="0"/>
                      <w:marTop w:val="0"/>
                      <w:marBottom w:val="0"/>
                      <w:divBdr>
                        <w:top w:val="none" w:sz="0" w:space="0" w:color="auto"/>
                        <w:left w:val="none" w:sz="0" w:space="0" w:color="auto"/>
                        <w:bottom w:val="none" w:sz="0" w:space="0" w:color="auto"/>
                        <w:right w:val="none" w:sz="0" w:space="0" w:color="auto"/>
                      </w:divBdr>
                    </w:div>
                  </w:divsChild>
                </w:div>
                <w:div w:id="1217861627">
                  <w:marLeft w:val="0"/>
                  <w:marRight w:val="0"/>
                  <w:marTop w:val="0"/>
                  <w:marBottom w:val="0"/>
                  <w:divBdr>
                    <w:top w:val="none" w:sz="0" w:space="0" w:color="auto"/>
                    <w:left w:val="none" w:sz="0" w:space="0" w:color="auto"/>
                    <w:bottom w:val="none" w:sz="0" w:space="0" w:color="auto"/>
                    <w:right w:val="none" w:sz="0" w:space="0" w:color="auto"/>
                  </w:divBdr>
                  <w:divsChild>
                    <w:div w:id="125046326">
                      <w:marLeft w:val="0"/>
                      <w:marRight w:val="0"/>
                      <w:marTop w:val="0"/>
                      <w:marBottom w:val="0"/>
                      <w:divBdr>
                        <w:top w:val="none" w:sz="0" w:space="0" w:color="auto"/>
                        <w:left w:val="none" w:sz="0" w:space="0" w:color="auto"/>
                        <w:bottom w:val="none" w:sz="0" w:space="0" w:color="auto"/>
                        <w:right w:val="none" w:sz="0" w:space="0" w:color="auto"/>
                      </w:divBdr>
                    </w:div>
                  </w:divsChild>
                </w:div>
                <w:div w:id="1220094584">
                  <w:marLeft w:val="0"/>
                  <w:marRight w:val="0"/>
                  <w:marTop w:val="0"/>
                  <w:marBottom w:val="0"/>
                  <w:divBdr>
                    <w:top w:val="none" w:sz="0" w:space="0" w:color="auto"/>
                    <w:left w:val="none" w:sz="0" w:space="0" w:color="auto"/>
                    <w:bottom w:val="none" w:sz="0" w:space="0" w:color="auto"/>
                    <w:right w:val="none" w:sz="0" w:space="0" w:color="auto"/>
                  </w:divBdr>
                  <w:divsChild>
                    <w:div w:id="113989850">
                      <w:marLeft w:val="0"/>
                      <w:marRight w:val="0"/>
                      <w:marTop w:val="0"/>
                      <w:marBottom w:val="0"/>
                      <w:divBdr>
                        <w:top w:val="none" w:sz="0" w:space="0" w:color="auto"/>
                        <w:left w:val="none" w:sz="0" w:space="0" w:color="auto"/>
                        <w:bottom w:val="none" w:sz="0" w:space="0" w:color="auto"/>
                        <w:right w:val="none" w:sz="0" w:space="0" w:color="auto"/>
                      </w:divBdr>
                    </w:div>
                    <w:div w:id="1081567126">
                      <w:marLeft w:val="0"/>
                      <w:marRight w:val="0"/>
                      <w:marTop w:val="0"/>
                      <w:marBottom w:val="0"/>
                      <w:divBdr>
                        <w:top w:val="none" w:sz="0" w:space="0" w:color="auto"/>
                        <w:left w:val="none" w:sz="0" w:space="0" w:color="auto"/>
                        <w:bottom w:val="none" w:sz="0" w:space="0" w:color="auto"/>
                        <w:right w:val="none" w:sz="0" w:space="0" w:color="auto"/>
                      </w:divBdr>
                    </w:div>
                  </w:divsChild>
                </w:div>
                <w:div w:id="1505823776">
                  <w:marLeft w:val="0"/>
                  <w:marRight w:val="0"/>
                  <w:marTop w:val="0"/>
                  <w:marBottom w:val="0"/>
                  <w:divBdr>
                    <w:top w:val="none" w:sz="0" w:space="0" w:color="auto"/>
                    <w:left w:val="none" w:sz="0" w:space="0" w:color="auto"/>
                    <w:bottom w:val="none" w:sz="0" w:space="0" w:color="auto"/>
                    <w:right w:val="none" w:sz="0" w:space="0" w:color="auto"/>
                  </w:divBdr>
                  <w:divsChild>
                    <w:div w:id="396056377">
                      <w:marLeft w:val="0"/>
                      <w:marRight w:val="0"/>
                      <w:marTop w:val="0"/>
                      <w:marBottom w:val="0"/>
                      <w:divBdr>
                        <w:top w:val="none" w:sz="0" w:space="0" w:color="auto"/>
                        <w:left w:val="none" w:sz="0" w:space="0" w:color="auto"/>
                        <w:bottom w:val="none" w:sz="0" w:space="0" w:color="auto"/>
                        <w:right w:val="none" w:sz="0" w:space="0" w:color="auto"/>
                      </w:divBdr>
                    </w:div>
                    <w:div w:id="1087532422">
                      <w:marLeft w:val="0"/>
                      <w:marRight w:val="0"/>
                      <w:marTop w:val="0"/>
                      <w:marBottom w:val="0"/>
                      <w:divBdr>
                        <w:top w:val="none" w:sz="0" w:space="0" w:color="auto"/>
                        <w:left w:val="none" w:sz="0" w:space="0" w:color="auto"/>
                        <w:bottom w:val="none" w:sz="0" w:space="0" w:color="auto"/>
                        <w:right w:val="none" w:sz="0" w:space="0" w:color="auto"/>
                      </w:divBdr>
                    </w:div>
                  </w:divsChild>
                </w:div>
                <w:div w:id="1587156514">
                  <w:marLeft w:val="0"/>
                  <w:marRight w:val="0"/>
                  <w:marTop w:val="0"/>
                  <w:marBottom w:val="0"/>
                  <w:divBdr>
                    <w:top w:val="none" w:sz="0" w:space="0" w:color="auto"/>
                    <w:left w:val="none" w:sz="0" w:space="0" w:color="auto"/>
                    <w:bottom w:val="none" w:sz="0" w:space="0" w:color="auto"/>
                    <w:right w:val="none" w:sz="0" w:space="0" w:color="auto"/>
                  </w:divBdr>
                  <w:divsChild>
                    <w:div w:id="407338732">
                      <w:marLeft w:val="0"/>
                      <w:marRight w:val="0"/>
                      <w:marTop w:val="0"/>
                      <w:marBottom w:val="0"/>
                      <w:divBdr>
                        <w:top w:val="none" w:sz="0" w:space="0" w:color="auto"/>
                        <w:left w:val="none" w:sz="0" w:space="0" w:color="auto"/>
                        <w:bottom w:val="none" w:sz="0" w:space="0" w:color="auto"/>
                        <w:right w:val="none" w:sz="0" w:space="0" w:color="auto"/>
                      </w:divBdr>
                    </w:div>
                  </w:divsChild>
                </w:div>
                <w:div w:id="1642878490">
                  <w:marLeft w:val="0"/>
                  <w:marRight w:val="0"/>
                  <w:marTop w:val="0"/>
                  <w:marBottom w:val="0"/>
                  <w:divBdr>
                    <w:top w:val="none" w:sz="0" w:space="0" w:color="auto"/>
                    <w:left w:val="none" w:sz="0" w:space="0" w:color="auto"/>
                    <w:bottom w:val="none" w:sz="0" w:space="0" w:color="auto"/>
                    <w:right w:val="none" w:sz="0" w:space="0" w:color="auto"/>
                  </w:divBdr>
                  <w:divsChild>
                    <w:div w:id="863831136">
                      <w:marLeft w:val="0"/>
                      <w:marRight w:val="0"/>
                      <w:marTop w:val="0"/>
                      <w:marBottom w:val="0"/>
                      <w:divBdr>
                        <w:top w:val="none" w:sz="0" w:space="0" w:color="auto"/>
                        <w:left w:val="none" w:sz="0" w:space="0" w:color="auto"/>
                        <w:bottom w:val="none" w:sz="0" w:space="0" w:color="auto"/>
                        <w:right w:val="none" w:sz="0" w:space="0" w:color="auto"/>
                      </w:divBdr>
                    </w:div>
                  </w:divsChild>
                </w:div>
                <w:div w:id="1700739697">
                  <w:marLeft w:val="0"/>
                  <w:marRight w:val="0"/>
                  <w:marTop w:val="0"/>
                  <w:marBottom w:val="0"/>
                  <w:divBdr>
                    <w:top w:val="none" w:sz="0" w:space="0" w:color="auto"/>
                    <w:left w:val="none" w:sz="0" w:space="0" w:color="auto"/>
                    <w:bottom w:val="none" w:sz="0" w:space="0" w:color="auto"/>
                    <w:right w:val="none" w:sz="0" w:space="0" w:color="auto"/>
                  </w:divBdr>
                  <w:divsChild>
                    <w:div w:id="698092471">
                      <w:marLeft w:val="0"/>
                      <w:marRight w:val="0"/>
                      <w:marTop w:val="0"/>
                      <w:marBottom w:val="0"/>
                      <w:divBdr>
                        <w:top w:val="none" w:sz="0" w:space="0" w:color="auto"/>
                        <w:left w:val="none" w:sz="0" w:space="0" w:color="auto"/>
                        <w:bottom w:val="none" w:sz="0" w:space="0" w:color="auto"/>
                        <w:right w:val="none" w:sz="0" w:space="0" w:color="auto"/>
                      </w:divBdr>
                    </w:div>
                  </w:divsChild>
                </w:div>
                <w:div w:id="1803575791">
                  <w:marLeft w:val="0"/>
                  <w:marRight w:val="0"/>
                  <w:marTop w:val="0"/>
                  <w:marBottom w:val="0"/>
                  <w:divBdr>
                    <w:top w:val="none" w:sz="0" w:space="0" w:color="auto"/>
                    <w:left w:val="none" w:sz="0" w:space="0" w:color="auto"/>
                    <w:bottom w:val="none" w:sz="0" w:space="0" w:color="auto"/>
                    <w:right w:val="none" w:sz="0" w:space="0" w:color="auto"/>
                  </w:divBdr>
                  <w:divsChild>
                    <w:div w:id="129132464">
                      <w:marLeft w:val="0"/>
                      <w:marRight w:val="0"/>
                      <w:marTop w:val="0"/>
                      <w:marBottom w:val="0"/>
                      <w:divBdr>
                        <w:top w:val="none" w:sz="0" w:space="0" w:color="auto"/>
                        <w:left w:val="none" w:sz="0" w:space="0" w:color="auto"/>
                        <w:bottom w:val="none" w:sz="0" w:space="0" w:color="auto"/>
                        <w:right w:val="none" w:sz="0" w:space="0" w:color="auto"/>
                      </w:divBdr>
                    </w:div>
                  </w:divsChild>
                </w:div>
                <w:div w:id="1870332832">
                  <w:marLeft w:val="0"/>
                  <w:marRight w:val="0"/>
                  <w:marTop w:val="0"/>
                  <w:marBottom w:val="0"/>
                  <w:divBdr>
                    <w:top w:val="none" w:sz="0" w:space="0" w:color="auto"/>
                    <w:left w:val="none" w:sz="0" w:space="0" w:color="auto"/>
                    <w:bottom w:val="none" w:sz="0" w:space="0" w:color="auto"/>
                    <w:right w:val="none" w:sz="0" w:space="0" w:color="auto"/>
                  </w:divBdr>
                  <w:divsChild>
                    <w:div w:id="905992905">
                      <w:marLeft w:val="0"/>
                      <w:marRight w:val="0"/>
                      <w:marTop w:val="0"/>
                      <w:marBottom w:val="0"/>
                      <w:divBdr>
                        <w:top w:val="none" w:sz="0" w:space="0" w:color="auto"/>
                        <w:left w:val="none" w:sz="0" w:space="0" w:color="auto"/>
                        <w:bottom w:val="none" w:sz="0" w:space="0" w:color="auto"/>
                        <w:right w:val="none" w:sz="0" w:space="0" w:color="auto"/>
                      </w:divBdr>
                    </w:div>
                  </w:divsChild>
                </w:div>
                <w:div w:id="1883588977">
                  <w:marLeft w:val="0"/>
                  <w:marRight w:val="0"/>
                  <w:marTop w:val="0"/>
                  <w:marBottom w:val="0"/>
                  <w:divBdr>
                    <w:top w:val="none" w:sz="0" w:space="0" w:color="auto"/>
                    <w:left w:val="none" w:sz="0" w:space="0" w:color="auto"/>
                    <w:bottom w:val="none" w:sz="0" w:space="0" w:color="auto"/>
                    <w:right w:val="none" w:sz="0" w:space="0" w:color="auto"/>
                  </w:divBdr>
                  <w:divsChild>
                    <w:div w:id="299727750">
                      <w:marLeft w:val="0"/>
                      <w:marRight w:val="0"/>
                      <w:marTop w:val="0"/>
                      <w:marBottom w:val="0"/>
                      <w:divBdr>
                        <w:top w:val="none" w:sz="0" w:space="0" w:color="auto"/>
                        <w:left w:val="none" w:sz="0" w:space="0" w:color="auto"/>
                        <w:bottom w:val="none" w:sz="0" w:space="0" w:color="auto"/>
                        <w:right w:val="none" w:sz="0" w:space="0" w:color="auto"/>
                      </w:divBdr>
                    </w:div>
                  </w:divsChild>
                </w:div>
                <w:div w:id="1891382363">
                  <w:marLeft w:val="0"/>
                  <w:marRight w:val="0"/>
                  <w:marTop w:val="0"/>
                  <w:marBottom w:val="0"/>
                  <w:divBdr>
                    <w:top w:val="none" w:sz="0" w:space="0" w:color="auto"/>
                    <w:left w:val="none" w:sz="0" w:space="0" w:color="auto"/>
                    <w:bottom w:val="none" w:sz="0" w:space="0" w:color="auto"/>
                    <w:right w:val="none" w:sz="0" w:space="0" w:color="auto"/>
                  </w:divBdr>
                  <w:divsChild>
                    <w:div w:id="1563251774">
                      <w:marLeft w:val="0"/>
                      <w:marRight w:val="0"/>
                      <w:marTop w:val="0"/>
                      <w:marBottom w:val="0"/>
                      <w:divBdr>
                        <w:top w:val="none" w:sz="0" w:space="0" w:color="auto"/>
                        <w:left w:val="none" w:sz="0" w:space="0" w:color="auto"/>
                        <w:bottom w:val="none" w:sz="0" w:space="0" w:color="auto"/>
                        <w:right w:val="none" w:sz="0" w:space="0" w:color="auto"/>
                      </w:divBdr>
                    </w:div>
                  </w:divsChild>
                </w:div>
                <w:div w:id="2046245983">
                  <w:marLeft w:val="0"/>
                  <w:marRight w:val="0"/>
                  <w:marTop w:val="0"/>
                  <w:marBottom w:val="0"/>
                  <w:divBdr>
                    <w:top w:val="none" w:sz="0" w:space="0" w:color="auto"/>
                    <w:left w:val="none" w:sz="0" w:space="0" w:color="auto"/>
                    <w:bottom w:val="none" w:sz="0" w:space="0" w:color="auto"/>
                    <w:right w:val="none" w:sz="0" w:space="0" w:color="auto"/>
                  </w:divBdr>
                  <w:divsChild>
                    <w:div w:id="926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9841">
          <w:marLeft w:val="0"/>
          <w:marRight w:val="0"/>
          <w:marTop w:val="0"/>
          <w:marBottom w:val="0"/>
          <w:divBdr>
            <w:top w:val="none" w:sz="0" w:space="0" w:color="auto"/>
            <w:left w:val="none" w:sz="0" w:space="0" w:color="auto"/>
            <w:bottom w:val="none" w:sz="0" w:space="0" w:color="auto"/>
            <w:right w:val="none" w:sz="0" w:space="0" w:color="auto"/>
          </w:divBdr>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30729193">
      <w:bodyDiv w:val="1"/>
      <w:marLeft w:val="0"/>
      <w:marRight w:val="0"/>
      <w:marTop w:val="0"/>
      <w:marBottom w:val="0"/>
      <w:divBdr>
        <w:top w:val="none" w:sz="0" w:space="0" w:color="auto"/>
        <w:left w:val="none" w:sz="0" w:space="0" w:color="auto"/>
        <w:bottom w:val="none" w:sz="0" w:space="0" w:color="auto"/>
        <w:right w:val="none" w:sz="0" w:space="0" w:color="auto"/>
      </w:divBdr>
      <w:divsChild>
        <w:div w:id="189612252">
          <w:marLeft w:val="0"/>
          <w:marRight w:val="0"/>
          <w:marTop w:val="0"/>
          <w:marBottom w:val="0"/>
          <w:divBdr>
            <w:top w:val="none" w:sz="0" w:space="0" w:color="auto"/>
            <w:left w:val="none" w:sz="0" w:space="0" w:color="auto"/>
            <w:bottom w:val="none" w:sz="0" w:space="0" w:color="auto"/>
            <w:right w:val="none" w:sz="0" w:space="0" w:color="auto"/>
          </w:divBdr>
          <w:divsChild>
            <w:div w:id="511115478">
              <w:marLeft w:val="0"/>
              <w:marRight w:val="0"/>
              <w:marTop w:val="0"/>
              <w:marBottom w:val="0"/>
              <w:divBdr>
                <w:top w:val="none" w:sz="0" w:space="0" w:color="auto"/>
                <w:left w:val="none" w:sz="0" w:space="0" w:color="auto"/>
                <w:bottom w:val="none" w:sz="0" w:space="0" w:color="auto"/>
                <w:right w:val="none" w:sz="0" w:space="0" w:color="auto"/>
              </w:divBdr>
            </w:div>
            <w:div w:id="600258828">
              <w:marLeft w:val="0"/>
              <w:marRight w:val="0"/>
              <w:marTop w:val="0"/>
              <w:marBottom w:val="0"/>
              <w:divBdr>
                <w:top w:val="none" w:sz="0" w:space="0" w:color="auto"/>
                <w:left w:val="none" w:sz="0" w:space="0" w:color="auto"/>
                <w:bottom w:val="none" w:sz="0" w:space="0" w:color="auto"/>
                <w:right w:val="none" w:sz="0" w:space="0" w:color="auto"/>
              </w:divBdr>
            </w:div>
            <w:div w:id="630864489">
              <w:marLeft w:val="0"/>
              <w:marRight w:val="0"/>
              <w:marTop w:val="0"/>
              <w:marBottom w:val="0"/>
              <w:divBdr>
                <w:top w:val="none" w:sz="0" w:space="0" w:color="auto"/>
                <w:left w:val="none" w:sz="0" w:space="0" w:color="auto"/>
                <w:bottom w:val="none" w:sz="0" w:space="0" w:color="auto"/>
                <w:right w:val="none" w:sz="0" w:space="0" w:color="auto"/>
              </w:divBdr>
            </w:div>
            <w:div w:id="877855510">
              <w:marLeft w:val="0"/>
              <w:marRight w:val="0"/>
              <w:marTop w:val="0"/>
              <w:marBottom w:val="0"/>
              <w:divBdr>
                <w:top w:val="none" w:sz="0" w:space="0" w:color="auto"/>
                <w:left w:val="none" w:sz="0" w:space="0" w:color="auto"/>
                <w:bottom w:val="none" w:sz="0" w:space="0" w:color="auto"/>
                <w:right w:val="none" w:sz="0" w:space="0" w:color="auto"/>
              </w:divBdr>
            </w:div>
            <w:div w:id="1006902148">
              <w:marLeft w:val="0"/>
              <w:marRight w:val="0"/>
              <w:marTop w:val="0"/>
              <w:marBottom w:val="0"/>
              <w:divBdr>
                <w:top w:val="none" w:sz="0" w:space="0" w:color="auto"/>
                <w:left w:val="none" w:sz="0" w:space="0" w:color="auto"/>
                <w:bottom w:val="none" w:sz="0" w:space="0" w:color="auto"/>
                <w:right w:val="none" w:sz="0" w:space="0" w:color="auto"/>
              </w:divBdr>
            </w:div>
            <w:div w:id="1202323708">
              <w:marLeft w:val="0"/>
              <w:marRight w:val="0"/>
              <w:marTop w:val="0"/>
              <w:marBottom w:val="0"/>
              <w:divBdr>
                <w:top w:val="none" w:sz="0" w:space="0" w:color="auto"/>
                <w:left w:val="none" w:sz="0" w:space="0" w:color="auto"/>
                <w:bottom w:val="none" w:sz="0" w:space="0" w:color="auto"/>
                <w:right w:val="none" w:sz="0" w:space="0" w:color="auto"/>
              </w:divBdr>
            </w:div>
            <w:div w:id="1732457140">
              <w:marLeft w:val="0"/>
              <w:marRight w:val="0"/>
              <w:marTop w:val="0"/>
              <w:marBottom w:val="0"/>
              <w:divBdr>
                <w:top w:val="none" w:sz="0" w:space="0" w:color="auto"/>
                <w:left w:val="none" w:sz="0" w:space="0" w:color="auto"/>
                <w:bottom w:val="none" w:sz="0" w:space="0" w:color="auto"/>
                <w:right w:val="none" w:sz="0" w:space="0" w:color="auto"/>
              </w:divBdr>
            </w:div>
            <w:div w:id="1821849792">
              <w:marLeft w:val="0"/>
              <w:marRight w:val="0"/>
              <w:marTop w:val="0"/>
              <w:marBottom w:val="0"/>
              <w:divBdr>
                <w:top w:val="none" w:sz="0" w:space="0" w:color="auto"/>
                <w:left w:val="none" w:sz="0" w:space="0" w:color="auto"/>
                <w:bottom w:val="none" w:sz="0" w:space="0" w:color="auto"/>
                <w:right w:val="none" w:sz="0" w:space="0" w:color="auto"/>
              </w:divBdr>
            </w:div>
          </w:divsChild>
        </w:div>
        <w:div w:id="647977396">
          <w:marLeft w:val="0"/>
          <w:marRight w:val="0"/>
          <w:marTop w:val="0"/>
          <w:marBottom w:val="0"/>
          <w:divBdr>
            <w:top w:val="none" w:sz="0" w:space="0" w:color="auto"/>
            <w:left w:val="none" w:sz="0" w:space="0" w:color="auto"/>
            <w:bottom w:val="none" w:sz="0" w:space="0" w:color="auto"/>
            <w:right w:val="none" w:sz="0" w:space="0" w:color="auto"/>
          </w:divBdr>
          <w:divsChild>
            <w:div w:id="1290210033">
              <w:marLeft w:val="0"/>
              <w:marRight w:val="0"/>
              <w:marTop w:val="0"/>
              <w:marBottom w:val="0"/>
              <w:divBdr>
                <w:top w:val="none" w:sz="0" w:space="0" w:color="auto"/>
                <w:left w:val="none" w:sz="0" w:space="0" w:color="auto"/>
                <w:bottom w:val="none" w:sz="0" w:space="0" w:color="auto"/>
                <w:right w:val="none" w:sz="0" w:space="0" w:color="auto"/>
              </w:divBdr>
            </w:div>
            <w:div w:id="1866598281">
              <w:marLeft w:val="0"/>
              <w:marRight w:val="0"/>
              <w:marTop w:val="0"/>
              <w:marBottom w:val="0"/>
              <w:divBdr>
                <w:top w:val="none" w:sz="0" w:space="0" w:color="auto"/>
                <w:left w:val="none" w:sz="0" w:space="0" w:color="auto"/>
                <w:bottom w:val="none" w:sz="0" w:space="0" w:color="auto"/>
                <w:right w:val="none" w:sz="0" w:space="0" w:color="auto"/>
              </w:divBdr>
            </w:div>
            <w:div w:id="18867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575312">
      <w:bodyDiv w:val="1"/>
      <w:marLeft w:val="0"/>
      <w:marRight w:val="0"/>
      <w:marTop w:val="0"/>
      <w:marBottom w:val="0"/>
      <w:divBdr>
        <w:top w:val="none" w:sz="0" w:space="0" w:color="auto"/>
        <w:left w:val="none" w:sz="0" w:space="0" w:color="auto"/>
        <w:bottom w:val="none" w:sz="0" w:space="0" w:color="auto"/>
        <w:right w:val="none" w:sz="0" w:space="0" w:color="auto"/>
      </w:divBdr>
      <w:divsChild>
        <w:div w:id="3943047">
          <w:marLeft w:val="0"/>
          <w:marRight w:val="0"/>
          <w:marTop w:val="0"/>
          <w:marBottom w:val="0"/>
          <w:divBdr>
            <w:top w:val="none" w:sz="0" w:space="0" w:color="auto"/>
            <w:left w:val="none" w:sz="0" w:space="0" w:color="auto"/>
            <w:bottom w:val="none" w:sz="0" w:space="0" w:color="auto"/>
            <w:right w:val="none" w:sz="0" w:space="0" w:color="auto"/>
          </w:divBdr>
        </w:div>
        <w:div w:id="32507207">
          <w:marLeft w:val="0"/>
          <w:marRight w:val="0"/>
          <w:marTop w:val="0"/>
          <w:marBottom w:val="0"/>
          <w:divBdr>
            <w:top w:val="none" w:sz="0" w:space="0" w:color="auto"/>
            <w:left w:val="none" w:sz="0" w:space="0" w:color="auto"/>
            <w:bottom w:val="none" w:sz="0" w:space="0" w:color="auto"/>
            <w:right w:val="none" w:sz="0" w:space="0" w:color="auto"/>
          </w:divBdr>
        </w:div>
        <w:div w:id="57096134">
          <w:marLeft w:val="0"/>
          <w:marRight w:val="0"/>
          <w:marTop w:val="0"/>
          <w:marBottom w:val="0"/>
          <w:divBdr>
            <w:top w:val="none" w:sz="0" w:space="0" w:color="auto"/>
            <w:left w:val="none" w:sz="0" w:space="0" w:color="auto"/>
            <w:bottom w:val="none" w:sz="0" w:space="0" w:color="auto"/>
            <w:right w:val="none" w:sz="0" w:space="0" w:color="auto"/>
          </w:divBdr>
        </w:div>
        <w:div w:id="105152467">
          <w:marLeft w:val="0"/>
          <w:marRight w:val="0"/>
          <w:marTop w:val="0"/>
          <w:marBottom w:val="0"/>
          <w:divBdr>
            <w:top w:val="none" w:sz="0" w:space="0" w:color="auto"/>
            <w:left w:val="none" w:sz="0" w:space="0" w:color="auto"/>
            <w:bottom w:val="none" w:sz="0" w:space="0" w:color="auto"/>
            <w:right w:val="none" w:sz="0" w:space="0" w:color="auto"/>
          </w:divBdr>
        </w:div>
        <w:div w:id="121075106">
          <w:marLeft w:val="0"/>
          <w:marRight w:val="0"/>
          <w:marTop w:val="0"/>
          <w:marBottom w:val="0"/>
          <w:divBdr>
            <w:top w:val="none" w:sz="0" w:space="0" w:color="auto"/>
            <w:left w:val="none" w:sz="0" w:space="0" w:color="auto"/>
            <w:bottom w:val="none" w:sz="0" w:space="0" w:color="auto"/>
            <w:right w:val="none" w:sz="0" w:space="0" w:color="auto"/>
          </w:divBdr>
        </w:div>
        <w:div w:id="256641073">
          <w:marLeft w:val="0"/>
          <w:marRight w:val="0"/>
          <w:marTop w:val="0"/>
          <w:marBottom w:val="0"/>
          <w:divBdr>
            <w:top w:val="none" w:sz="0" w:space="0" w:color="auto"/>
            <w:left w:val="none" w:sz="0" w:space="0" w:color="auto"/>
            <w:bottom w:val="none" w:sz="0" w:space="0" w:color="auto"/>
            <w:right w:val="none" w:sz="0" w:space="0" w:color="auto"/>
          </w:divBdr>
        </w:div>
        <w:div w:id="276763940">
          <w:marLeft w:val="0"/>
          <w:marRight w:val="0"/>
          <w:marTop w:val="0"/>
          <w:marBottom w:val="0"/>
          <w:divBdr>
            <w:top w:val="none" w:sz="0" w:space="0" w:color="auto"/>
            <w:left w:val="none" w:sz="0" w:space="0" w:color="auto"/>
            <w:bottom w:val="none" w:sz="0" w:space="0" w:color="auto"/>
            <w:right w:val="none" w:sz="0" w:space="0" w:color="auto"/>
          </w:divBdr>
        </w:div>
        <w:div w:id="351684678">
          <w:marLeft w:val="0"/>
          <w:marRight w:val="0"/>
          <w:marTop w:val="0"/>
          <w:marBottom w:val="0"/>
          <w:divBdr>
            <w:top w:val="none" w:sz="0" w:space="0" w:color="auto"/>
            <w:left w:val="none" w:sz="0" w:space="0" w:color="auto"/>
            <w:bottom w:val="none" w:sz="0" w:space="0" w:color="auto"/>
            <w:right w:val="none" w:sz="0" w:space="0" w:color="auto"/>
          </w:divBdr>
        </w:div>
        <w:div w:id="407849622">
          <w:marLeft w:val="0"/>
          <w:marRight w:val="0"/>
          <w:marTop w:val="0"/>
          <w:marBottom w:val="0"/>
          <w:divBdr>
            <w:top w:val="none" w:sz="0" w:space="0" w:color="auto"/>
            <w:left w:val="none" w:sz="0" w:space="0" w:color="auto"/>
            <w:bottom w:val="none" w:sz="0" w:space="0" w:color="auto"/>
            <w:right w:val="none" w:sz="0" w:space="0" w:color="auto"/>
          </w:divBdr>
        </w:div>
        <w:div w:id="513039361">
          <w:marLeft w:val="0"/>
          <w:marRight w:val="0"/>
          <w:marTop w:val="0"/>
          <w:marBottom w:val="0"/>
          <w:divBdr>
            <w:top w:val="none" w:sz="0" w:space="0" w:color="auto"/>
            <w:left w:val="none" w:sz="0" w:space="0" w:color="auto"/>
            <w:bottom w:val="none" w:sz="0" w:space="0" w:color="auto"/>
            <w:right w:val="none" w:sz="0" w:space="0" w:color="auto"/>
          </w:divBdr>
        </w:div>
        <w:div w:id="695468680">
          <w:marLeft w:val="0"/>
          <w:marRight w:val="0"/>
          <w:marTop w:val="0"/>
          <w:marBottom w:val="0"/>
          <w:divBdr>
            <w:top w:val="none" w:sz="0" w:space="0" w:color="auto"/>
            <w:left w:val="none" w:sz="0" w:space="0" w:color="auto"/>
            <w:bottom w:val="none" w:sz="0" w:space="0" w:color="auto"/>
            <w:right w:val="none" w:sz="0" w:space="0" w:color="auto"/>
          </w:divBdr>
        </w:div>
        <w:div w:id="865369468">
          <w:marLeft w:val="0"/>
          <w:marRight w:val="0"/>
          <w:marTop w:val="0"/>
          <w:marBottom w:val="0"/>
          <w:divBdr>
            <w:top w:val="none" w:sz="0" w:space="0" w:color="auto"/>
            <w:left w:val="none" w:sz="0" w:space="0" w:color="auto"/>
            <w:bottom w:val="none" w:sz="0" w:space="0" w:color="auto"/>
            <w:right w:val="none" w:sz="0" w:space="0" w:color="auto"/>
          </w:divBdr>
        </w:div>
        <w:div w:id="991102015">
          <w:marLeft w:val="0"/>
          <w:marRight w:val="0"/>
          <w:marTop w:val="0"/>
          <w:marBottom w:val="0"/>
          <w:divBdr>
            <w:top w:val="none" w:sz="0" w:space="0" w:color="auto"/>
            <w:left w:val="none" w:sz="0" w:space="0" w:color="auto"/>
            <w:bottom w:val="none" w:sz="0" w:space="0" w:color="auto"/>
            <w:right w:val="none" w:sz="0" w:space="0" w:color="auto"/>
          </w:divBdr>
        </w:div>
        <w:div w:id="1175729542">
          <w:marLeft w:val="0"/>
          <w:marRight w:val="0"/>
          <w:marTop w:val="0"/>
          <w:marBottom w:val="0"/>
          <w:divBdr>
            <w:top w:val="none" w:sz="0" w:space="0" w:color="auto"/>
            <w:left w:val="none" w:sz="0" w:space="0" w:color="auto"/>
            <w:bottom w:val="none" w:sz="0" w:space="0" w:color="auto"/>
            <w:right w:val="none" w:sz="0" w:space="0" w:color="auto"/>
          </w:divBdr>
        </w:div>
        <w:div w:id="1200777774">
          <w:marLeft w:val="0"/>
          <w:marRight w:val="0"/>
          <w:marTop w:val="0"/>
          <w:marBottom w:val="0"/>
          <w:divBdr>
            <w:top w:val="none" w:sz="0" w:space="0" w:color="auto"/>
            <w:left w:val="none" w:sz="0" w:space="0" w:color="auto"/>
            <w:bottom w:val="none" w:sz="0" w:space="0" w:color="auto"/>
            <w:right w:val="none" w:sz="0" w:space="0" w:color="auto"/>
          </w:divBdr>
        </w:div>
        <w:div w:id="1456173850">
          <w:marLeft w:val="0"/>
          <w:marRight w:val="0"/>
          <w:marTop w:val="0"/>
          <w:marBottom w:val="0"/>
          <w:divBdr>
            <w:top w:val="none" w:sz="0" w:space="0" w:color="auto"/>
            <w:left w:val="none" w:sz="0" w:space="0" w:color="auto"/>
            <w:bottom w:val="none" w:sz="0" w:space="0" w:color="auto"/>
            <w:right w:val="none" w:sz="0" w:space="0" w:color="auto"/>
          </w:divBdr>
        </w:div>
        <w:div w:id="1505046040">
          <w:marLeft w:val="0"/>
          <w:marRight w:val="0"/>
          <w:marTop w:val="0"/>
          <w:marBottom w:val="0"/>
          <w:divBdr>
            <w:top w:val="none" w:sz="0" w:space="0" w:color="auto"/>
            <w:left w:val="none" w:sz="0" w:space="0" w:color="auto"/>
            <w:bottom w:val="none" w:sz="0" w:space="0" w:color="auto"/>
            <w:right w:val="none" w:sz="0" w:space="0" w:color="auto"/>
          </w:divBdr>
        </w:div>
        <w:div w:id="1780181550">
          <w:marLeft w:val="0"/>
          <w:marRight w:val="0"/>
          <w:marTop w:val="0"/>
          <w:marBottom w:val="0"/>
          <w:divBdr>
            <w:top w:val="none" w:sz="0" w:space="0" w:color="auto"/>
            <w:left w:val="none" w:sz="0" w:space="0" w:color="auto"/>
            <w:bottom w:val="none" w:sz="0" w:space="0" w:color="auto"/>
            <w:right w:val="none" w:sz="0" w:space="0" w:color="auto"/>
          </w:divBdr>
        </w:div>
      </w:divsChild>
    </w:div>
    <w:div w:id="15049311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290960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8442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594142">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hyperlink" Target="https://www.dcceew.gov.au/about/reporting/obligations/government-responses/2023-cca-review-nger-legislation" TargetMode="External"/><Relationship Id="rId26" Type="http://schemas.openxmlformats.org/officeDocument/2006/relationships/hyperlink" Target="https://www.climatechangeauthority.gov.au/nger-act-reviews" TargetMode="External"/><Relationship Id="rId3" Type="http://schemas.openxmlformats.org/officeDocument/2006/relationships/customXml" Target="../customXml/item3.xml"/><Relationship Id="rId21" Type="http://schemas.openxmlformats.org/officeDocument/2006/relationships/hyperlink" Target="https://www.greenpower.gov.au/about-greenpower/renewable-gas-certific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cleanenergyregulator.gov.au/NGER/About-the-National-Greenhouse-and-Energy-Reporting-scheme" TargetMode="External"/><Relationship Id="rId25" Type="http://schemas.openxmlformats.org/officeDocument/2006/relationships/hyperlink" Target="https://cer.gov.au/about-us/our-compliance-approach"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hyperlink" Target="https://www.aph.gov.au/Parliamentary_Business/Bills_Legislation/Bills_Search_Results/Result?bId=r724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cer.gov.au/document/estimating-emissions-and-energy-coal-mining-guidelin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dcceew.gov.au/publications" TargetMode="External"/><Relationship Id="rId23" Type="http://schemas.openxmlformats.org/officeDocument/2006/relationships/hyperlink" Target="https://assets.publishing.service.gov.uk/media/624ec79cd3bf7f600d4055d1/fugitive-hydrogen-emissions-future-hydrogen-economy.pdf" TargetMode="External"/><Relationship Id="rId28" Type="http://schemas.openxmlformats.org/officeDocument/2006/relationships/header" Target="header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climatechangeauthority.gov.au/nger-act-review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hyperlink" Target="https://www.dcceew.gov.au/about/reporting/obligations/government-responses/2023-cca-review-nger-legislatio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gov.au/publications/australian-energy-update-2024" TargetMode="External"/><Relationship Id="rId7" Type="http://schemas.openxmlformats.org/officeDocument/2006/relationships/hyperlink" Target="https://www.ipcc-nggip.iges.or.jp/public/2006gl/vol2.html" TargetMode="External"/><Relationship Id="rId2" Type="http://schemas.openxmlformats.org/officeDocument/2006/relationships/hyperlink" Target="https://cer.gov.au/schemes/renewable-energy-target/large-scale-renewable-energy-target/large-scale-generation-certificates/calculate-large-scale-generation-certificate-entitlements" TargetMode="External"/><Relationship Id="rId1" Type="http://schemas.openxmlformats.org/officeDocument/2006/relationships/hyperlink" Target="https://www.energy.gov.au/energy-and-climate-change-ministerial-council/working-groups/gas-working-group/gas/extending-national-gas-regulatory-framework-hydrogen-and-renewable-gases" TargetMode="External"/><Relationship Id="rId6" Type="http://schemas.openxmlformats.org/officeDocument/2006/relationships/hyperlink" Target="https://www.ipcc-nggip.iges.or.jp/public/2006gl/vol2.html" TargetMode="External"/><Relationship Id="rId5" Type="http://schemas.openxmlformats.org/officeDocument/2006/relationships/hyperlink" Target="https://www.ansto.gov.au/sites/default/files/2019-01/ANSTO_Periodic_Table_Poster_Web.pdf" TargetMode="External"/><Relationship Id="rId4" Type="http://schemas.openxmlformats.org/officeDocument/2006/relationships/hyperlink" Target="https://www.ipcc-nggip.iges.or.jp/public/2006gl/vol2.html" TargetMode="External"/></Relationships>
</file>

<file path=word/documenttasks/documenttasks1.xml><?xml version="1.0" encoding="utf-8"?>
<t:Tasks xmlns:t="http://schemas.microsoft.com/office/tasks/2019/documenttasks" xmlns:oel="http://schemas.microsoft.com/office/2019/extlst">
  <t:Task id="{CB37F5EB-DCCA-482B-8325-3C66225D5503}">
    <t:Anchor>
      <t:Comment id="21636869"/>
    </t:Anchor>
    <t:History>
      <t:Event id="{0B583132-CE2A-4E75-BD68-6E7C206F7818}" time="2024-04-08T22:44:44.369Z">
        <t:Attribution userId="S::Melanie.Ford@dcceew.gov.au::ebce7f50-bac5-4684-99c2-69d2d592ed6e" userProvider="AD" userName="Ford, Melanie"/>
        <t:Anchor>
          <t:Comment id="21636869"/>
        </t:Anchor>
        <t:Create/>
      </t:Event>
      <t:Event id="{0F16A2D6-8C17-4045-B7F2-AE45498F3F57}" time="2024-04-08T22:44:44.369Z">
        <t:Attribution userId="S::Melanie.Ford@dcceew.gov.au::ebce7f50-bac5-4684-99c2-69d2d592ed6e" userProvider="AD" userName="Ford, Melanie"/>
        <t:Anchor>
          <t:Comment id="21636869"/>
        </t:Anchor>
        <t:Assign userId="S::Alex.Murray@dcceew.gov.au::81746988-bc69-418c-98bb-6a75436c1be5" userProvider="AD" userName="Murray, Alex"/>
      </t:Event>
      <t:Event id="{C7C1C189-5A13-429A-AB98-4E03326651E0}" time="2024-04-08T22:44:44.369Z">
        <t:Attribution userId="S::Melanie.Ford@dcceew.gov.au::ebce7f50-bac5-4684-99c2-69d2d592ed6e" userProvider="AD" userName="Ford, Melanie"/>
        <t:Anchor>
          <t:Comment id="21636869"/>
        </t:Anchor>
        <t:SetTitle title="@Murray, Alex please check my changes are accurate. Thanks "/>
      </t:Event>
      <t:Event id="{57E9D03A-BF0D-4BF9-B6FF-22CD67A8ED7F}" time="2024-04-09T02:16:09.983Z">
        <t:Attribution userId="S::Alex.Murray@dcceew.gov.au::81746988-bc69-418c-98bb-6a75436c1be5" userProvider="AD" userName="Murray, Alex"/>
        <t:Progress percentComplete="100"/>
      </t:Event>
      <t:Event id="{07F91069-6CE7-4C6B-92CA-B9C96D1ED303}" time="2024-04-09T02:16:24.334Z">
        <t:Attribution userId="S::Alex.Murray@dcceew.gov.au::81746988-bc69-418c-98bb-6a75436c1be5" userProvider="AD" userName="Murray, Alex"/>
        <t:Progress percentComplete="0"/>
      </t:Event>
    </t:History>
  </t:Task>
  <t:Task id="{C6FBF1E0-0B3B-4434-973D-653DBDD41CDC}">
    <t:Anchor>
      <t:Comment id="1042915020"/>
    </t:Anchor>
    <t:History>
      <t:Event id="{118FB401-F5F9-4D1E-91CC-6E6EC3C40BB8}" time="2025-02-14T06:36:13.227Z">
        <t:Attribution userId="S::Alannah.Pentony@dcceew.gov.au::cac9340e-7f5e-40d2-8952-9364e9e4a914" userProvider="AD" userName="Alannah PENTONY"/>
        <t:Anchor>
          <t:Comment id="1042915020"/>
        </t:Anchor>
        <t:Create/>
      </t:Event>
      <t:Event id="{0DBC810D-F991-4187-A7FD-8DD7FFAA79DA}" time="2025-02-14T06:36:13.227Z">
        <t:Attribution userId="S::Alannah.Pentony@dcceew.gov.au::cac9340e-7f5e-40d2-8952-9364e9e4a914" userProvider="AD" userName="Alannah PENTONY"/>
        <t:Anchor>
          <t:Comment id="1042915020"/>
        </t:Anchor>
        <t:Assign userId="S::Mark.Straton@dcceew.gov.au::dc3acf4d-6082-4dc4-85b5-f48401c601d2" userProvider="AD" userName="Mark STRATON"/>
      </t:Event>
      <t:Event id="{7E95B2A1-D831-4BD8-A503-DF470FB4FA83}" time="2025-02-14T06:36:13.227Z">
        <t:Attribution userId="S::Alannah.Pentony@dcceew.gov.au::cac9340e-7f5e-40d2-8952-9364e9e4a914" userProvider="AD" userName="Alannah PENTONY"/>
        <t:Anchor>
          <t:Comment id="1042915020"/>
        </t:Anchor>
        <t:SetTitle title="@Mark STRATON @Mark HUNSTONE there is much less explanation and context for these amendments compared to the other amendments, can you add a little bit more in please?"/>
      </t:Event>
    </t:History>
  </t:Task>
  <t:Task id="{320379E7-0CE0-4359-ABB6-22DA6BB951B1}">
    <t:Anchor>
      <t:Comment id="1305929708"/>
    </t:Anchor>
    <t:History>
      <t:Event id="{2BCFE482-35CD-4231-AF38-274940200C14}" time="2025-02-14T06:34:36.207Z">
        <t:Attribution userId="S::Alannah.Pentony@dcceew.gov.au::cac9340e-7f5e-40d2-8952-9364e9e4a914" userProvider="AD" userName="Alannah PENTONY"/>
        <t:Anchor>
          <t:Comment id="1305929708"/>
        </t:Anchor>
        <t:Create/>
      </t:Event>
      <t:Event id="{89696E1C-1219-46C4-B43B-15096B5D6074}" time="2025-02-14T06:34:36.207Z">
        <t:Attribution userId="S::Alannah.Pentony@dcceew.gov.au::cac9340e-7f5e-40d2-8952-9364e9e4a914" userProvider="AD" userName="Alannah PENTONY"/>
        <t:Anchor>
          <t:Comment id="1305929708"/>
        </t:Anchor>
        <t:Assign userId="S::Mark.Straton@dcceew.gov.au::dc3acf4d-6082-4dc4-85b5-f48401c601d2" userProvider="AD" userName="Mark STRATON"/>
      </t:Event>
      <t:Event id="{46C41EAF-EB9C-40F9-A4C7-BBA42B0C89D6}" time="2025-02-14T06:34:36.207Z">
        <t:Attribution userId="S::Alannah.Pentony@dcceew.gov.au::cac9340e-7f5e-40d2-8952-9364e9e4a914" userProvider="AD" userName="Alannah PENTONY"/>
        <t:Anchor>
          <t:Comment id="1305929708"/>
        </t:Anchor>
        <t:SetTitle title="@Mark STRATON Can we spell out the acronym pls?"/>
      </t:Event>
    </t:History>
  </t:Task>
  <t:Task id="{D802520C-9E75-4F55-BAD8-A70773DFDA26}">
    <t:Anchor>
      <t:Comment id="1242558464"/>
    </t:Anchor>
    <t:History>
      <t:Event id="{A4D3F46E-57E9-42F1-BCEF-E17725A39D7B}" time="2025-02-14T06:30:59.086Z">
        <t:Attribution userId="S::Alannah.Pentony@dcceew.gov.au::cac9340e-7f5e-40d2-8952-9364e9e4a914" userProvider="AD" userName="Alannah PENTONY"/>
        <t:Anchor>
          <t:Comment id="1242558464"/>
        </t:Anchor>
        <t:Create/>
      </t:Event>
      <t:Event id="{E46AE239-7084-4089-8E9F-5E8555D59173}" time="2025-02-14T06:30:59.086Z">
        <t:Attribution userId="S::Alannah.Pentony@dcceew.gov.au::cac9340e-7f5e-40d2-8952-9364e9e4a914" userProvider="AD" userName="Alannah PENTONY"/>
        <t:Anchor>
          <t:Comment id="1242558464"/>
        </t:Anchor>
        <t:Assign userId="S::Haakon.Marold@dcceew.gov.au::c1cdf10b-121f-42e4-a9b7-918910611414" userProvider="AD" userName="Haakon MAROLD"/>
      </t:Event>
      <t:Event id="{BBA08654-14A1-44BA-A5BD-8EB771201187}" time="2025-02-14T06:30:59.086Z">
        <t:Attribution userId="S::Alannah.Pentony@dcceew.gov.au::cac9340e-7f5e-40d2-8952-9364e9e4a914" userProvider="AD" userName="Alannah PENTONY"/>
        <t:Anchor>
          <t:Comment id="1242558464"/>
        </t:Anchor>
        <t:SetTitle title="@Mark HUNSTONE @Haakon MAROLD I think we need a short explanation about why facilities may need to surrender certificates after the reporting year (I’m assuming this is because they won’t know how many they need to surrender before the end of the year?"/>
      </t:Event>
    </t:History>
  </t:Task>
  <t:Task id="{6482B8F2-8484-40F8-BE46-D0324C342CB0}">
    <t:Anchor>
      <t:Comment id="76749060"/>
    </t:Anchor>
    <t:History>
      <t:Event id="{DD049627-D98C-4915-826A-45B4769F7FE6}" time="2025-02-14T06:49:15.336Z">
        <t:Attribution userId="S::Alannah.Pentony@dcceew.gov.au::cac9340e-7f5e-40d2-8952-9364e9e4a914" userProvider="AD" userName="Alannah PENTONY"/>
        <t:Anchor>
          <t:Comment id="76749060"/>
        </t:Anchor>
        <t:Create/>
      </t:Event>
      <t:Event id="{3A81B39A-DDB6-4AC6-98E9-2DE4388F0429}" time="2025-02-14T06:49:15.336Z">
        <t:Attribution userId="S::Alannah.Pentony@dcceew.gov.au::cac9340e-7f5e-40d2-8952-9364e9e4a914" userProvider="AD" userName="Alannah PENTONY"/>
        <t:Anchor>
          <t:Comment id="76749060"/>
        </t:Anchor>
        <t:Assign userId="S::Mark.Hunstone@dcceew.gov.au::f3c5f958-2c71-4f43-9522-f4ae42a04781" userProvider="AD" userName="Mark HUNSTONE"/>
      </t:Event>
      <t:Event id="{1A247D9C-D4F9-42B9-A3A8-475A1D9C50BB}" time="2025-02-14T06:49:15.336Z">
        <t:Attribution userId="S::Alannah.Pentony@dcceew.gov.au::cac9340e-7f5e-40d2-8952-9364e9e4a914" userProvider="AD" userName="Alannah PENTONY"/>
        <t:Anchor>
          <t:Comment id="76749060"/>
        </t:Anchor>
        <t:SetTitle title="@Mark HUNSTONE what do you think about this framing?"/>
      </t:Event>
    </t:History>
  </t:Task>
  <t:Task id="{E5E8E6CF-96CE-4A68-BD25-F74C015C3469}">
    <t:Anchor>
      <t:Comment id="1312532931"/>
    </t:Anchor>
    <t:History>
      <t:Event id="{CEB28D14-4608-43EE-A660-3D6B3D195470}" time="2025-02-14T06:48:16.257Z">
        <t:Attribution userId="S::Alannah.Pentony@dcceew.gov.au::cac9340e-7f5e-40d2-8952-9364e9e4a914" userProvider="AD" userName="Alannah PENTONY"/>
        <t:Anchor>
          <t:Comment id="1312532931"/>
        </t:Anchor>
        <t:Create/>
      </t:Event>
      <t:Event id="{F74970BF-76F0-41D0-9D10-2CFF109FE7DE}" time="2025-02-14T06:48:16.257Z">
        <t:Attribution userId="S::Alannah.Pentony@dcceew.gov.au::cac9340e-7f5e-40d2-8952-9364e9e4a914" userProvider="AD" userName="Alannah PENTONY"/>
        <t:Anchor>
          <t:Comment id="1312532931"/>
        </t:Anchor>
        <t:Assign userId="S::Mark.Hunstone@dcceew.gov.au::f3c5f958-2c71-4f43-9522-f4ae42a04781" userProvider="AD" userName="Mark HUNSTONE"/>
      </t:Event>
      <t:Event id="{56C243A7-346C-4B01-BD73-95D24E321C21}" time="2025-02-14T06:48:16.257Z">
        <t:Attribution userId="S::Alannah.Pentony@dcceew.gov.au::cac9340e-7f5e-40d2-8952-9364e9e4a914" userProvider="AD" userName="Alannah PENTONY"/>
        <t:Anchor>
          <t:Comment id="1312532931"/>
        </t:Anchor>
        <t:SetTitle title="@Mark HUNSTONE what do you think about this?"/>
      </t:Event>
    </t:History>
  </t:Task>
</t:Tasks>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EA700CD7917498DF1D31B63821CF5" ma:contentTypeVersion="4" ma:contentTypeDescription="Create a new document." ma:contentTypeScope="" ma:versionID="04d800b2efc366554a3ff4d8378d632c">
  <xsd:schema xmlns:xsd="http://www.w3.org/2001/XMLSchema" xmlns:xs="http://www.w3.org/2001/XMLSchema" xmlns:p="http://schemas.microsoft.com/office/2006/metadata/properties" xmlns:ns1="http://schemas.microsoft.com/sharepoint/v3" xmlns:ns2="4bcd66f8-7aca-4a67-9421-e3d1c41a7ff3" xmlns:ns3="d3a903fb-62d5-46b0-81c4-3476c9be4ed4" targetNamespace="http://schemas.microsoft.com/office/2006/metadata/properties" ma:root="true" ma:fieldsID="ab083d3054fa72822f144b21fd6e1398" ns1:_="" ns2:_="" ns3:_="">
    <xsd:import namespace="http://schemas.microsoft.com/sharepoint/v3"/>
    <xsd:import namespace="4bcd66f8-7aca-4a67-9421-e3d1c41a7ff3"/>
    <xsd:import namespace="d3a903fb-62d5-46b0-81c4-3476c9be4ed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d66f8-7aca-4a67-9421-e3d1c41a7f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903fb-62d5-46b0-81c4-3476c9be4e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15B0B7-C01E-4EFE-81B1-EE928E73A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cd66f8-7aca-4a67-9421-e3d1c41a7ff3"/>
    <ds:schemaRef ds:uri="d3a903fb-62d5-46b0-81c4-3476c9be4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purl.org/dc/dcmitype/"/>
    <ds:schemaRef ds:uri="http://purl.org/dc/terms/"/>
    <ds:schemaRef ds:uri="d3a903fb-62d5-46b0-81c4-3476c9be4ed4"/>
    <ds:schemaRef ds:uri="http://purl.org/dc/elements/1.1/"/>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4bcd66f8-7aca-4a67-9421-e3d1c41a7ff3"/>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72</TotalTime>
  <Pages>34</Pages>
  <Words>11712</Words>
  <Characters>64302</Characters>
  <Application>Microsoft Office Word</Application>
  <DocSecurity>0</DocSecurity>
  <Lines>1339</Lines>
  <Paragraphs>603</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75411</CharactersWithSpaces>
  <SharedDoc>false</SharedDoc>
  <HLinks>
    <vt:vector size="252" baseType="variant">
      <vt:variant>
        <vt:i4>8192100</vt:i4>
      </vt:variant>
      <vt:variant>
        <vt:i4>126</vt:i4>
      </vt:variant>
      <vt:variant>
        <vt:i4>0</vt:i4>
      </vt:variant>
      <vt:variant>
        <vt:i4>5</vt:i4>
      </vt:variant>
      <vt:variant>
        <vt:lpwstr>https://www.dcceew.gov.au/about/reporting/obligations/government-responses/2023-cca-review-nger-legislation</vt:lpwstr>
      </vt:variant>
      <vt:variant>
        <vt:lpwstr/>
      </vt:variant>
      <vt:variant>
        <vt:i4>8323135</vt:i4>
      </vt:variant>
      <vt:variant>
        <vt:i4>123</vt:i4>
      </vt:variant>
      <vt:variant>
        <vt:i4>0</vt:i4>
      </vt:variant>
      <vt:variant>
        <vt:i4>5</vt:i4>
      </vt:variant>
      <vt:variant>
        <vt:lpwstr>https://www.climatechangeauthority.gov.au/nger-act-reviews</vt:lpwstr>
      </vt:variant>
      <vt:variant>
        <vt:lpwstr/>
      </vt:variant>
      <vt:variant>
        <vt:i4>7733364</vt:i4>
      </vt:variant>
      <vt:variant>
        <vt:i4>120</vt:i4>
      </vt:variant>
      <vt:variant>
        <vt:i4>0</vt:i4>
      </vt:variant>
      <vt:variant>
        <vt:i4>5</vt:i4>
      </vt:variant>
      <vt:variant>
        <vt:lpwstr>https://cer.gov.au/about-us/our-compliance-approach</vt:lpwstr>
      </vt:variant>
      <vt:variant>
        <vt:lpwstr/>
      </vt:variant>
      <vt:variant>
        <vt:i4>4980758</vt:i4>
      </vt:variant>
      <vt:variant>
        <vt:i4>117</vt:i4>
      </vt:variant>
      <vt:variant>
        <vt:i4>0</vt:i4>
      </vt:variant>
      <vt:variant>
        <vt:i4>5</vt:i4>
      </vt:variant>
      <vt:variant>
        <vt:lpwstr>https://cer.gov.au/document/estimating-emissions-and-energy-coal-mining-guideline</vt:lpwstr>
      </vt:variant>
      <vt:variant>
        <vt:lpwstr/>
      </vt:variant>
      <vt:variant>
        <vt:i4>7667765</vt:i4>
      </vt:variant>
      <vt:variant>
        <vt:i4>114</vt:i4>
      </vt:variant>
      <vt:variant>
        <vt:i4>0</vt:i4>
      </vt:variant>
      <vt:variant>
        <vt:i4>5</vt:i4>
      </vt:variant>
      <vt:variant>
        <vt:lpwstr>https://assets.publishing.service.gov.uk/media/624ec79cd3bf7f600d4055d1/fugitive-hydrogen-emissions-future-hydrogen-economy.pdf</vt:lpwstr>
      </vt:variant>
      <vt:variant>
        <vt:lpwstr/>
      </vt:variant>
      <vt:variant>
        <vt:i4>2228332</vt:i4>
      </vt:variant>
      <vt:variant>
        <vt:i4>108</vt:i4>
      </vt:variant>
      <vt:variant>
        <vt:i4>0</vt:i4>
      </vt:variant>
      <vt:variant>
        <vt:i4>5</vt:i4>
      </vt:variant>
      <vt:variant>
        <vt:lpwstr>https://www.greenpower.gov.au/about-greenpower/renewable-gas-certification</vt:lpwstr>
      </vt:variant>
      <vt:variant>
        <vt:lpwstr/>
      </vt:variant>
      <vt:variant>
        <vt:i4>4259861</vt:i4>
      </vt:variant>
      <vt:variant>
        <vt:i4>105</vt:i4>
      </vt:variant>
      <vt:variant>
        <vt:i4>0</vt:i4>
      </vt:variant>
      <vt:variant>
        <vt:i4>5</vt:i4>
      </vt:variant>
      <vt:variant>
        <vt:lpwstr>https://www.aph.gov.au/Parliamentary_Business/Bills_Legislation/Bills_Search_Results/Result?bId=r7245</vt:lpwstr>
      </vt:variant>
      <vt:variant>
        <vt:lpwstr/>
      </vt:variant>
      <vt:variant>
        <vt:i4>8192100</vt:i4>
      </vt:variant>
      <vt:variant>
        <vt:i4>102</vt:i4>
      </vt:variant>
      <vt:variant>
        <vt:i4>0</vt:i4>
      </vt:variant>
      <vt:variant>
        <vt:i4>5</vt:i4>
      </vt:variant>
      <vt:variant>
        <vt:lpwstr>https://www.dcceew.gov.au/about/reporting/obligations/government-responses/2023-cca-review-nger-legislation</vt:lpwstr>
      </vt:variant>
      <vt:variant>
        <vt:lpwstr/>
      </vt:variant>
      <vt:variant>
        <vt:i4>8323135</vt:i4>
      </vt:variant>
      <vt:variant>
        <vt:i4>99</vt:i4>
      </vt:variant>
      <vt:variant>
        <vt:i4>0</vt:i4>
      </vt:variant>
      <vt:variant>
        <vt:i4>5</vt:i4>
      </vt:variant>
      <vt:variant>
        <vt:lpwstr>https://www.climatechangeauthority.gov.au/nger-act-reviews</vt:lpwstr>
      </vt:variant>
      <vt:variant>
        <vt:lpwstr/>
      </vt:variant>
      <vt:variant>
        <vt:i4>8192100</vt:i4>
      </vt:variant>
      <vt:variant>
        <vt:i4>96</vt:i4>
      </vt:variant>
      <vt:variant>
        <vt:i4>0</vt:i4>
      </vt:variant>
      <vt:variant>
        <vt:i4>5</vt:i4>
      </vt:variant>
      <vt:variant>
        <vt:lpwstr>https://www.dcceew.gov.au/about/reporting/obligations/government-responses/2023-cca-review-nger-legislation</vt:lpwstr>
      </vt:variant>
      <vt:variant>
        <vt:lpwstr/>
      </vt:variant>
      <vt:variant>
        <vt:i4>3866731</vt:i4>
      </vt:variant>
      <vt:variant>
        <vt:i4>93</vt:i4>
      </vt:variant>
      <vt:variant>
        <vt:i4>0</vt:i4>
      </vt:variant>
      <vt:variant>
        <vt:i4>5</vt:i4>
      </vt:variant>
      <vt:variant>
        <vt:lpwstr>https://www.cleanenergyregulator.gov.au/NGER/About-the-National-Greenhouse-and-Energy-Reporting-scheme</vt:lpwstr>
      </vt:variant>
      <vt:variant>
        <vt:lpwstr/>
      </vt:variant>
      <vt:variant>
        <vt:i4>1638453</vt:i4>
      </vt:variant>
      <vt:variant>
        <vt:i4>86</vt:i4>
      </vt:variant>
      <vt:variant>
        <vt:i4>0</vt:i4>
      </vt:variant>
      <vt:variant>
        <vt:i4>5</vt:i4>
      </vt:variant>
      <vt:variant>
        <vt:lpwstr/>
      </vt:variant>
      <vt:variant>
        <vt:lpwstr>_Toc190451124</vt:lpwstr>
      </vt:variant>
      <vt:variant>
        <vt:i4>1638453</vt:i4>
      </vt:variant>
      <vt:variant>
        <vt:i4>80</vt:i4>
      </vt:variant>
      <vt:variant>
        <vt:i4>0</vt:i4>
      </vt:variant>
      <vt:variant>
        <vt:i4>5</vt:i4>
      </vt:variant>
      <vt:variant>
        <vt:lpwstr/>
      </vt:variant>
      <vt:variant>
        <vt:lpwstr>_Toc190451123</vt:lpwstr>
      </vt:variant>
      <vt:variant>
        <vt:i4>1638453</vt:i4>
      </vt:variant>
      <vt:variant>
        <vt:i4>74</vt:i4>
      </vt:variant>
      <vt:variant>
        <vt:i4>0</vt:i4>
      </vt:variant>
      <vt:variant>
        <vt:i4>5</vt:i4>
      </vt:variant>
      <vt:variant>
        <vt:lpwstr/>
      </vt:variant>
      <vt:variant>
        <vt:lpwstr>_Toc190451122</vt:lpwstr>
      </vt:variant>
      <vt:variant>
        <vt:i4>1638453</vt:i4>
      </vt:variant>
      <vt:variant>
        <vt:i4>68</vt:i4>
      </vt:variant>
      <vt:variant>
        <vt:i4>0</vt:i4>
      </vt:variant>
      <vt:variant>
        <vt:i4>5</vt:i4>
      </vt:variant>
      <vt:variant>
        <vt:lpwstr/>
      </vt:variant>
      <vt:variant>
        <vt:lpwstr>_Toc190451121</vt:lpwstr>
      </vt:variant>
      <vt:variant>
        <vt:i4>1638453</vt:i4>
      </vt:variant>
      <vt:variant>
        <vt:i4>62</vt:i4>
      </vt:variant>
      <vt:variant>
        <vt:i4>0</vt:i4>
      </vt:variant>
      <vt:variant>
        <vt:i4>5</vt:i4>
      </vt:variant>
      <vt:variant>
        <vt:lpwstr/>
      </vt:variant>
      <vt:variant>
        <vt:lpwstr>_Toc190451120</vt:lpwstr>
      </vt:variant>
      <vt:variant>
        <vt:i4>1703989</vt:i4>
      </vt:variant>
      <vt:variant>
        <vt:i4>56</vt:i4>
      </vt:variant>
      <vt:variant>
        <vt:i4>0</vt:i4>
      </vt:variant>
      <vt:variant>
        <vt:i4>5</vt:i4>
      </vt:variant>
      <vt:variant>
        <vt:lpwstr/>
      </vt:variant>
      <vt:variant>
        <vt:lpwstr>_Toc190451119</vt:lpwstr>
      </vt:variant>
      <vt:variant>
        <vt:i4>1703989</vt:i4>
      </vt:variant>
      <vt:variant>
        <vt:i4>50</vt:i4>
      </vt:variant>
      <vt:variant>
        <vt:i4>0</vt:i4>
      </vt:variant>
      <vt:variant>
        <vt:i4>5</vt:i4>
      </vt:variant>
      <vt:variant>
        <vt:lpwstr/>
      </vt:variant>
      <vt:variant>
        <vt:lpwstr>_Toc190451118</vt:lpwstr>
      </vt:variant>
      <vt:variant>
        <vt:i4>1703989</vt:i4>
      </vt:variant>
      <vt:variant>
        <vt:i4>44</vt:i4>
      </vt:variant>
      <vt:variant>
        <vt:i4>0</vt:i4>
      </vt:variant>
      <vt:variant>
        <vt:i4>5</vt:i4>
      </vt:variant>
      <vt:variant>
        <vt:lpwstr/>
      </vt:variant>
      <vt:variant>
        <vt:lpwstr>_Toc190451117</vt:lpwstr>
      </vt:variant>
      <vt:variant>
        <vt:i4>1703989</vt:i4>
      </vt:variant>
      <vt:variant>
        <vt:i4>38</vt:i4>
      </vt:variant>
      <vt:variant>
        <vt:i4>0</vt:i4>
      </vt:variant>
      <vt:variant>
        <vt:i4>5</vt:i4>
      </vt:variant>
      <vt:variant>
        <vt:lpwstr/>
      </vt:variant>
      <vt:variant>
        <vt:lpwstr>_Toc190451116</vt:lpwstr>
      </vt:variant>
      <vt:variant>
        <vt:i4>1703989</vt:i4>
      </vt:variant>
      <vt:variant>
        <vt:i4>32</vt:i4>
      </vt:variant>
      <vt:variant>
        <vt:i4>0</vt:i4>
      </vt:variant>
      <vt:variant>
        <vt:i4>5</vt:i4>
      </vt:variant>
      <vt:variant>
        <vt:lpwstr/>
      </vt:variant>
      <vt:variant>
        <vt:lpwstr>_Toc190451115</vt:lpwstr>
      </vt:variant>
      <vt:variant>
        <vt:i4>1703989</vt:i4>
      </vt:variant>
      <vt:variant>
        <vt:i4>26</vt:i4>
      </vt:variant>
      <vt:variant>
        <vt:i4>0</vt:i4>
      </vt:variant>
      <vt:variant>
        <vt:i4>5</vt:i4>
      </vt:variant>
      <vt:variant>
        <vt:lpwstr/>
      </vt:variant>
      <vt:variant>
        <vt:lpwstr>_Toc190451114</vt:lpwstr>
      </vt:variant>
      <vt:variant>
        <vt:i4>1703989</vt:i4>
      </vt:variant>
      <vt:variant>
        <vt:i4>20</vt:i4>
      </vt:variant>
      <vt:variant>
        <vt:i4>0</vt:i4>
      </vt:variant>
      <vt:variant>
        <vt:i4>5</vt:i4>
      </vt:variant>
      <vt:variant>
        <vt:lpwstr/>
      </vt:variant>
      <vt:variant>
        <vt:lpwstr>_Toc190451113</vt:lpwstr>
      </vt:variant>
      <vt:variant>
        <vt:i4>1703989</vt:i4>
      </vt:variant>
      <vt:variant>
        <vt:i4>14</vt:i4>
      </vt:variant>
      <vt:variant>
        <vt:i4>0</vt:i4>
      </vt:variant>
      <vt:variant>
        <vt:i4>5</vt:i4>
      </vt:variant>
      <vt:variant>
        <vt:lpwstr/>
      </vt:variant>
      <vt:variant>
        <vt:lpwstr>_Toc190451112</vt:lpwstr>
      </vt:variant>
      <vt:variant>
        <vt:i4>6684728</vt:i4>
      </vt:variant>
      <vt:variant>
        <vt:i4>9</vt:i4>
      </vt:variant>
      <vt:variant>
        <vt:i4>0</vt:i4>
      </vt:variant>
      <vt:variant>
        <vt:i4>5</vt:i4>
      </vt:variant>
      <vt:variant>
        <vt:lpwstr>https://www.dcceew.gov.au/</vt:lpwstr>
      </vt:variant>
      <vt:variant>
        <vt:lpwstr/>
      </vt:variant>
      <vt:variant>
        <vt:i4>7602213</vt:i4>
      </vt:variant>
      <vt:variant>
        <vt:i4>6</vt:i4>
      </vt:variant>
      <vt:variant>
        <vt:i4>0</vt:i4>
      </vt:variant>
      <vt:variant>
        <vt:i4>5</vt:i4>
      </vt:variant>
      <vt:variant>
        <vt:lpwstr>https://www.dcceew.gov.au/publications</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6225948</vt:i4>
      </vt:variant>
      <vt:variant>
        <vt:i4>18</vt:i4>
      </vt:variant>
      <vt:variant>
        <vt:i4>0</vt:i4>
      </vt:variant>
      <vt:variant>
        <vt:i4>5</vt:i4>
      </vt:variant>
      <vt:variant>
        <vt:lpwstr>https://www.ipcc-nggip.iges.or.jp/public/2006gl/vol2.html</vt:lpwstr>
      </vt:variant>
      <vt:variant>
        <vt:lpwstr/>
      </vt:variant>
      <vt:variant>
        <vt:i4>6225948</vt:i4>
      </vt:variant>
      <vt:variant>
        <vt:i4>15</vt:i4>
      </vt:variant>
      <vt:variant>
        <vt:i4>0</vt:i4>
      </vt:variant>
      <vt:variant>
        <vt:i4>5</vt:i4>
      </vt:variant>
      <vt:variant>
        <vt:lpwstr>https://www.ipcc-nggip.iges.or.jp/public/2006gl/vol2.html</vt:lpwstr>
      </vt:variant>
      <vt:variant>
        <vt:lpwstr/>
      </vt:variant>
      <vt:variant>
        <vt:i4>4653080</vt:i4>
      </vt:variant>
      <vt:variant>
        <vt:i4>12</vt:i4>
      </vt:variant>
      <vt:variant>
        <vt:i4>0</vt:i4>
      </vt:variant>
      <vt:variant>
        <vt:i4>5</vt:i4>
      </vt:variant>
      <vt:variant>
        <vt:lpwstr>https://www.ansto.gov.au/sites/default/files/2019-01/ANSTO_Periodic_Table_Poster_Web.pdf</vt:lpwstr>
      </vt:variant>
      <vt:variant>
        <vt:lpwstr/>
      </vt:variant>
      <vt:variant>
        <vt:i4>6225948</vt:i4>
      </vt:variant>
      <vt:variant>
        <vt:i4>9</vt:i4>
      </vt:variant>
      <vt:variant>
        <vt:i4>0</vt:i4>
      </vt:variant>
      <vt:variant>
        <vt:i4>5</vt:i4>
      </vt:variant>
      <vt:variant>
        <vt:lpwstr>https://www.ipcc-nggip.iges.or.jp/public/2006gl/vol2.html</vt:lpwstr>
      </vt:variant>
      <vt:variant>
        <vt:lpwstr/>
      </vt:variant>
      <vt:variant>
        <vt:i4>589910</vt:i4>
      </vt:variant>
      <vt:variant>
        <vt:i4>6</vt:i4>
      </vt:variant>
      <vt:variant>
        <vt:i4>0</vt:i4>
      </vt:variant>
      <vt:variant>
        <vt:i4>5</vt:i4>
      </vt:variant>
      <vt:variant>
        <vt:lpwstr>https://www.energy.gov.au/publications/australian-energy-update-2024</vt:lpwstr>
      </vt:variant>
      <vt:variant>
        <vt:lpwstr/>
      </vt:variant>
      <vt:variant>
        <vt:i4>6029378</vt:i4>
      </vt:variant>
      <vt:variant>
        <vt:i4>3</vt:i4>
      </vt:variant>
      <vt:variant>
        <vt:i4>0</vt:i4>
      </vt:variant>
      <vt:variant>
        <vt:i4>5</vt:i4>
      </vt:variant>
      <vt:variant>
        <vt:lpwstr>https://cer.gov.au/schemes/renewable-energy-target/large-scale-renewable-energy-target/large-scale-generation-certificates/calculate-large-scale-generation-certificate-entitlements</vt:lpwstr>
      </vt:variant>
      <vt:variant>
        <vt:lpwstr/>
      </vt:variant>
      <vt:variant>
        <vt:i4>5242889</vt:i4>
      </vt:variant>
      <vt:variant>
        <vt:i4>0</vt:i4>
      </vt:variant>
      <vt:variant>
        <vt:i4>0</vt:i4>
      </vt:variant>
      <vt:variant>
        <vt:i4>5</vt:i4>
      </vt:variant>
      <vt:variant>
        <vt:lpwstr>https://www.energy.gov.au/energy-and-climate-change-ministerial-council/working-groups/gas-working-group/gas/extending-national-gas-regulatory-framework-hydrogen-and-renewable-gases</vt:lpwstr>
      </vt:variant>
      <vt:variant>
        <vt:lpwstr/>
      </vt:variant>
      <vt:variant>
        <vt:i4>8323163</vt:i4>
      </vt:variant>
      <vt:variant>
        <vt:i4>18</vt:i4>
      </vt:variant>
      <vt:variant>
        <vt:i4>0</vt:i4>
      </vt:variant>
      <vt:variant>
        <vt:i4>5</vt:i4>
      </vt:variant>
      <vt:variant>
        <vt:lpwstr>mailto:Tamara.Curll@dcceew.gov.au</vt:lpwstr>
      </vt:variant>
      <vt:variant>
        <vt:lpwstr/>
      </vt:variant>
      <vt:variant>
        <vt:i4>5308514</vt:i4>
      </vt:variant>
      <vt:variant>
        <vt:i4>15</vt:i4>
      </vt:variant>
      <vt:variant>
        <vt:i4>0</vt:i4>
      </vt:variant>
      <vt:variant>
        <vt:i4>5</vt:i4>
      </vt:variant>
      <vt:variant>
        <vt:lpwstr>mailto:Kath.ROWLEY@dcceew.gov.au</vt:lpwstr>
      </vt:variant>
      <vt:variant>
        <vt:lpwstr/>
      </vt:variant>
      <vt:variant>
        <vt:i4>5308514</vt:i4>
      </vt:variant>
      <vt:variant>
        <vt:i4>12</vt:i4>
      </vt:variant>
      <vt:variant>
        <vt:i4>0</vt:i4>
      </vt:variant>
      <vt:variant>
        <vt:i4>5</vt:i4>
      </vt:variant>
      <vt:variant>
        <vt:lpwstr>mailto:Kath.ROWLEY@dcceew.gov.au</vt:lpwstr>
      </vt:variant>
      <vt:variant>
        <vt:lpwstr/>
      </vt:variant>
      <vt:variant>
        <vt:i4>5308514</vt:i4>
      </vt:variant>
      <vt:variant>
        <vt:i4>9</vt:i4>
      </vt:variant>
      <vt:variant>
        <vt:i4>0</vt:i4>
      </vt:variant>
      <vt:variant>
        <vt:i4>5</vt:i4>
      </vt:variant>
      <vt:variant>
        <vt:lpwstr>mailto:Kath.ROWLEY@dcceew.gov.au</vt:lpwstr>
      </vt:variant>
      <vt:variant>
        <vt:lpwstr/>
      </vt:variant>
      <vt:variant>
        <vt:i4>720935</vt:i4>
      </vt:variant>
      <vt:variant>
        <vt:i4>6</vt:i4>
      </vt:variant>
      <vt:variant>
        <vt:i4>0</vt:i4>
      </vt:variant>
      <vt:variant>
        <vt:i4>5</vt:i4>
      </vt:variant>
      <vt:variant>
        <vt:lpwstr>mailto:Brooke.Perkins@dcceew.gov.au</vt:lpwstr>
      </vt:variant>
      <vt:variant>
        <vt:lpwstr/>
      </vt:variant>
      <vt:variant>
        <vt:i4>1310777</vt:i4>
      </vt:variant>
      <vt:variant>
        <vt:i4>3</vt:i4>
      </vt:variant>
      <vt:variant>
        <vt:i4>0</vt:i4>
      </vt:variant>
      <vt:variant>
        <vt:i4>5</vt:i4>
      </vt:variant>
      <vt:variant>
        <vt:lpwstr>mailto:Alannah.Pentony@dcceew.gov.au</vt:lpwstr>
      </vt:variant>
      <vt:variant>
        <vt:lpwstr/>
      </vt:variant>
      <vt:variant>
        <vt:i4>1310777</vt:i4>
      </vt:variant>
      <vt:variant>
        <vt:i4>0</vt:i4>
      </vt:variant>
      <vt:variant>
        <vt:i4>0</vt:i4>
      </vt:variant>
      <vt:variant>
        <vt:i4>5</vt:i4>
      </vt:variant>
      <vt:variant>
        <vt:lpwstr>mailto:Alannah.Pentony@dcceew.gov.au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Hines, Cassie</dc:creator>
  <cp:keywords/>
  <cp:lastModifiedBy>Mark STRATON</cp:lastModifiedBy>
  <cp:revision>26</cp:revision>
  <cp:lastPrinted>2025-02-25T00:15:00Z</cp:lastPrinted>
  <dcterms:created xsi:type="dcterms:W3CDTF">2025-02-19T01:20:00Z</dcterms:created>
  <dcterms:modified xsi:type="dcterms:W3CDTF">2025-02-25T00:15:00Z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0x0101007E3EA700CD7917498DF1D31B63821CF5</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6a114e9f,1a93ab70,3f772c8c</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11c0ad53,69008c2f,695a3887</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