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F2E4" w14:textId="77777777" w:rsidR="00605655" w:rsidRDefault="00605655" w:rsidP="00FC4C0C">
      <w:pPr>
        <w:pStyle w:val="Heading1"/>
        <w:spacing w:before="200" w:after="120" w:line="276" w:lineRule="auto"/>
      </w:pPr>
    </w:p>
    <w:p w14:paraId="769CDDA5" w14:textId="68E73B17" w:rsidR="00764D6A" w:rsidRPr="000940D2" w:rsidRDefault="004535E5" w:rsidP="00FC4C0C">
      <w:pPr>
        <w:pStyle w:val="Heading1"/>
        <w:spacing w:before="200" w:after="120" w:line="276" w:lineRule="auto"/>
      </w:pPr>
      <w:r w:rsidRPr="000940D2">
        <w:rPr>
          <w:noProof/>
          <w:lang w:val="en-US"/>
        </w:rPr>
        <w:drawing>
          <wp:anchor distT="0" distB="0" distL="114300" distR="114300" simplePos="0" relativeHeight="251658241" behindDoc="1" locked="0" layoutInCell="1" allowOverlap="1" wp14:anchorId="563603CA" wp14:editId="1E9FBC90">
            <wp:simplePos x="0" y="0"/>
            <wp:positionH relativeFrom="page">
              <wp:align>right</wp:align>
            </wp:positionH>
            <wp:positionV relativeFrom="page">
              <wp:align>top</wp:align>
            </wp:positionV>
            <wp:extent cx="7559675" cy="11775195"/>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1775195"/>
                    </a:xfrm>
                    <a:prstGeom prst="rect">
                      <a:avLst/>
                    </a:prstGeom>
                  </pic:spPr>
                </pic:pic>
              </a:graphicData>
            </a:graphic>
            <wp14:sizeRelH relativeFrom="margin">
              <wp14:pctWidth>0</wp14:pctWidth>
            </wp14:sizeRelH>
            <wp14:sizeRelV relativeFrom="margin">
              <wp14:pctHeight>0</wp14:pctHeight>
            </wp14:sizeRelV>
          </wp:anchor>
        </w:drawing>
      </w:r>
      <w:r w:rsidR="001E6F76" w:rsidRPr="000940D2">
        <w:t xml:space="preserve">Review of the </w:t>
      </w:r>
      <w:r w:rsidR="000940D2" w:rsidRPr="000940D2">
        <w:t>Animal Effluent Management</w:t>
      </w:r>
      <w:r w:rsidR="001E6F76" w:rsidRPr="000940D2">
        <w:t xml:space="preserve"> </w:t>
      </w:r>
      <w:r w:rsidR="00053F71">
        <w:t>m</w:t>
      </w:r>
      <w:r w:rsidR="001E6F76" w:rsidRPr="000940D2">
        <w:t>ethod</w:t>
      </w:r>
      <w:r w:rsidR="003110AE">
        <w:t xml:space="preserve"> 2019</w:t>
      </w:r>
    </w:p>
    <w:p w14:paraId="0FE871A9" w14:textId="77777777" w:rsidR="00E91A32" w:rsidRPr="000940D2" w:rsidRDefault="00E91A32" w:rsidP="00891A2B">
      <w:pPr>
        <w:spacing w:before="200" w:after="120"/>
      </w:pPr>
    </w:p>
    <w:p w14:paraId="7A0D88DA" w14:textId="77777777" w:rsidR="00E91A32" w:rsidRPr="000940D2" w:rsidRDefault="00E91A32" w:rsidP="00891A2B">
      <w:pPr>
        <w:spacing w:before="200" w:after="120"/>
      </w:pPr>
    </w:p>
    <w:p w14:paraId="1E557F20" w14:textId="1C7C92CB" w:rsidR="00E91A32" w:rsidRPr="000940D2" w:rsidRDefault="004B6D6F" w:rsidP="00891A2B">
      <w:pPr>
        <w:pStyle w:val="Subtitle"/>
        <w:spacing w:before="200" w:after="120" w:line="276" w:lineRule="auto"/>
      </w:pPr>
      <w:r w:rsidRPr="000940D2">
        <w:t>Consultation paper</w:t>
      </w:r>
    </w:p>
    <w:p w14:paraId="268D3104" w14:textId="77777777" w:rsidR="00E91A32" w:rsidRPr="000940D2" w:rsidRDefault="00E91A32" w:rsidP="00891A2B">
      <w:pPr>
        <w:pStyle w:val="AuthorOrganisationAffiliation"/>
        <w:tabs>
          <w:tab w:val="left" w:pos="7995"/>
        </w:tabs>
        <w:spacing w:before="200" w:after="120"/>
      </w:pPr>
    </w:p>
    <w:p w14:paraId="4DE7850D" w14:textId="4EDBA96D" w:rsidR="00764D6A" w:rsidRPr="000940D2" w:rsidRDefault="004B6D6F" w:rsidP="00891A2B">
      <w:pPr>
        <w:pStyle w:val="AuthorOrganisationAffiliation"/>
        <w:tabs>
          <w:tab w:val="left" w:pos="7995"/>
        </w:tabs>
        <w:spacing w:before="200" w:after="120"/>
      </w:pPr>
      <w:r w:rsidRPr="000940D2">
        <w:t xml:space="preserve">Emissions Reduction </w:t>
      </w:r>
      <w:r w:rsidR="00E307BC" w:rsidRPr="000940D2">
        <w:t>Assurance</w:t>
      </w:r>
      <w:r w:rsidRPr="000940D2">
        <w:t xml:space="preserve"> Committee</w:t>
      </w:r>
    </w:p>
    <w:p w14:paraId="45E81219" w14:textId="0E2599B0" w:rsidR="00764D6A" w:rsidRPr="000940D2" w:rsidRDefault="00333F5A" w:rsidP="00891A2B">
      <w:pPr>
        <w:spacing w:before="200" w:after="120"/>
      </w:pPr>
      <w:r>
        <w:t>February</w:t>
      </w:r>
      <w:r w:rsidRPr="000940D2">
        <w:t xml:space="preserve"> </w:t>
      </w:r>
      <w:r w:rsidR="00415358" w:rsidRPr="000940D2">
        <w:t>202</w:t>
      </w:r>
      <w:r w:rsidR="000940D2" w:rsidRPr="000940D2">
        <w:t>5</w:t>
      </w:r>
    </w:p>
    <w:p w14:paraId="730B22C5" w14:textId="65F6AC40" w:rsidR="00764D6A" w:rsidRPr="000940D2" w:rsidRDefault="00E91D72" w:rsidP="00891A2B">
      <w:pPr>
        <w:pStyle w:val="Normalsmall"/>
        <w:spacing w:before="200"/>
      </w:pPr>
      <w:r w:rsidRPr="000940D2">
        <w:br w:type="page"/>
      </w:r>
      <w:r w:rsidRPr="000940D2">
        <w:lastRenderedPageBreak/>
        <w:t xml:space="preserve">© Commonwealth of Australia </w:t>
      </w:r>
      <w:r w:rsidR="006E0089" w:rsidRPr="000940D2">
        <w:t>202</w:t>
      </w:r>
      <w:r w:rsidR="00180269">
        <w:t>5</w:t>
      </w:r>
    </w:p>
    <w:p w14:paraId="0D41C9AB" w14:textId="77777777" w:rsidR="00764D6A" w:rsidRPr="000940D2" w:rsidRDefault="00E91D72" w:rsidP="00891A2B">
      <w:pPr>
        <w:pStyle w:val="Normalsmall"/>
        <w:spacing w:before="200"/>
        <w:rPr>
          <w:rStyle w:val="Strong"/>
        </w:rPr>
      </w:pPr>
      <w:r w:rsidRPr="000940D2">
        <w:rPr>
          <w:rStyle w:val="Strong"/>
        </w:rPr>
        <w:t>Ownership of intellectual property rights</w:t>
      </w:r>
    </w:p>
    <w:p w14:paraId="2FE26064" w14:textId="77777777" w:rsidR="00764D6A" w:rsidRPr="000940D2" w:rsidRDefault="00E91D72" w:rsidP="00891A2B">
      <w:pPr>
        <w:pStyle w:val="Normalsmall"/>
        <w:spacing w:before="200"/>
      </w:pPr>
      <w:r w:rsidRPr="000940D2">
        <w:t>Unless otherwise noted, copyright (and any other intellectual property rights) in this publication is owned by the Commonwealth of Australia (referred to as the Commonwealth).</w:t>
      </w:r>
    </w:p>
    <w:p w14:paraId="1A98A9CE" w14:textId="77777777" w:rsidR="00764D6A" w:rsidRPr="000940D2" w:rsidRDefault="00E91D72" w:rsidP="00891A2B">
      <w:pPr>
        <w:pStyle w:val="Normalsmall"/>
        <w:spacing w:before="200"/>
        <w:rPr>
          <w:rStyle w:val="Strong"/>
        </w:rPr>
      </w:pPr>
      <w:r w:rsidRPr="000940D2">
        <w:rPr>
          <w:rStyle w:val="Strong"/>
        </w:rPr>
        <w:t>Creative Commons licence</w:t>
      </w:r>
    </w:p>
    <w:p w14:paraId="6DB716A1" w14:textId="77777777" w:rsidR="00764D6A" w:rsidRPr="000940D2" w:rsidRDefault="00E91D72" w:rsidP="00891A2B">
      <w:pPr>
        <w:pStyle w:val="Normalsmall"/>
        <w:spacing w:before="200"/>
      </w:pPr>
      <w:r w:rsidRPr="000940D2">
        <w:t xml:space="preserve">All material in this publication is licensed under a </w:t>
      </w:r>
      <w:hyperlink r:id="rId12" w:history="1">
        <w:r w:rsidRPr="000940D2">
          <w:rPr>
            <w:rStyle w:val="Hyperlink"/>
          </w:rPr>
          <w:t>Creative Commons Attribution 4.0 International Licence</w:t>
        </w:r>
      </w:hyperlink>
      <w:r w:rsidRPr="000940D2">
        <w:t xml:space="preserve"> except content supplied by third parties, logos and the Commonwealth Coat of Arms.</w:t>
      </w:r>
    </w:p>
    <w:p w14:paraId="23EC13AE" w14:textId="77777777" w:rsidR="00764D6A" w:rsidRPr="000940D2" w:rsidRDefault="00E91D72" w:rsidP="00891A2B">
      <w:pPr>
        <w:pStyle w:val="Normalsmall"/>
        <w:spacing w:before="200"/>
      </w:pPr>
      <w:r w:rsidRPr="000940D2">
        <w:t xml:space="preserve">Inquiries about the licence and any use of this document should be emailed to </w:t>
      </w:r>
      <w:hyperlink r:id="rId13" w:history="1">
        <w:r w:rsidR="00D86640" w:rsidRPr="000940D2">
          <w:rPr>
            <w:rStyle w:val="Hyperlink"/>
          </w:rPr>
          <w:t>copyright@dcceew.gov.au</w:t>
        </w:r>
      </w:hyperlink>
      <w:r w:rsidRPr="000940D2">
        <w:t>.</w:t>
      </w:r>
    </w:p>
    <w:p w14:paraId="32BBB0FC" w14:textId="19D033FD" w:rsidR="00764D6A" w:rsidRPr="000940D2" w:rsidRDefault="00E91D72" w:rsidP="00891A2B">
      <w:pPr>
        <w:pStyle w:val="Normalsmall"/>
        <w:spacing w:before="200"/>
      </w:pPr>
      <w:r w:rsidRPr="000940D2">
        <w:rPr>
          <w:noProof/>
          <w:lang w:eastAsia="en-AU"/>
        </w:rPr>
        <w:drawing>
          <wp:anchor distT="0" distB="0" distL="114300" distR="114300" simplePos="0" relativeHeight="251658240" behindDoc="0" locked="0" layoutInCell="1" allowOverlap="1" wp14:anchorId="6B0B3AFF" wp14:editId="6CF1F851">
            <wp:simplePos x="901700" y="2978150"/>
            <wp:positionH relativeFrom="column">
              <wp:align>left</wp:align>
            </wp:positionH>
            <wp:positionV relativeFrom="paragraph">
              <wp:align>top</wp:align>
            </wp:positionV>
            <wp:extent cx="724535" cy="25527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4535" cy="255270"/>
                    </a:xfrm>
                    <a:prstGeom prst="rect">
                      <a:avLst/>
                    </a:prstGeom>
                    <a:noFill/>
                    <a:ln w="9525">
                      <a:noFill/>
                      <a:miter lim="800000"/>
                      <a:headEnd/>
                      <a:tailEnd/>
                    </a:ln>
                  </pic:spPr>
                </pic:pic>
              </a:graphicData>
            </a:graphic>
          </wp:anchor>
        </w:drawing>
      </w:r>
      <w:r w:rsidR="006E0089" w:rsidRPr="000940D2">
        <w:br w:type="textWrapping" w:clear="all"/>
      </w:r>
    </w:p>
    <w:p w14:paraId="658184EB" w14:textId="77777777" w:rsidR="00764D6A" w:rsidRPr="000940D2" w:rsidRDefault="00E91D72" w:rsidP="00891A2B">
      <w:pPr>
        <w:pStyle w:val="Normalsmall"/>
        <w:spacing w:before="200"/>
        <w:rPr>
          <w:rStyle w:val="Strong"/>
        </w:rPr>
      </w:pPr>
      <w:r w:rsidRPr="000940D2">
        <w:rPr>
          <w:rStyle w:val="Strong"/>
        </w:rPr>
        <w:t>Cataloguing data</w:t>
      </w:r>
    </w:p>
    <w:p w14:paraId="34D50F40" w14:textId="69CCBBD6" w:rsidR="00764D6A" w:rsidRPr="000940D2" w:rsidRDefault="00E91D72" w:rsidP="00891A2B">
      <w:pPr>
        <w:pStyle w:val="Normalsmall"/>
        <w:spacing w:before="200"/>
      </w:pPr>
      <w:r w:rsidRPr="000940D2">
        <w:t xml:space="preserve">This publication (and any material sourced from it) should be attributed as: </w:t>
      </w:r>
      <w:r w:rsidR="009D5007" w:rsidRPr="000940D2">
        <w:t>D</w:t>
      </w:r>
      <w:r w:rsidR="000F2194" w:rsidRPr="000940D2">
        <w:t>CCEEW</w:t>
      </w:r>
      <w:r w:rsidR="00B97E61" w:rsidRPr="000940D2">
        <w:t xml:space="preserve"> </w:t>
      </w:r>
      <w:r w:rsidR="004E1859" w:rsidRPr="000940D2">
        <w:t>202</w:t>
      </w:r>
      <w:r w:rsidR="000940D2" w:rsidRPr="000940D2">
        <w:t>5</w:t>
      </w:r>
      <w:r w:rsidRPr="000940D2">
        <w:t xml:space="preserve">, </w:t>
      </w:r>
      <w:r w:rsidR="00627656" w:rsidRPr="000940D2">
        <w:rPr>
          <w:i/>
          <w:iCs/>
        </w:rPr>
        <w:t>R</w:t>
      </w:r>
      <w:r w:rsidR="005308DE" w:rsidRPr="000940D2">
        <w:rPr>
          <w:i/>
          <w:iCs/>
        </w:rPr>
        <w:t>eview of</w:t>
      </w:r>
      <w:r w:rsidR="005308DE" w:rsidRPr="000940D2">
        <w:t xml:space="preserve"> </w:t>
      </w:r>
      <w:r w:rsidR="005308DE" w:rsidRPr="000940D2">
        <w:rPr>
          <w:i/>
          <w:iCs/>
        </w:rPr>
        <w:t xml:space="preserve">the </w:t>
      </w:r>
      <w:r w:rsidR="000940D2" w:rsidRPr="000940D2">
        <w:rPr>
          <w:i/>
          <w:iCs/>
        </w:rPr>
        <w:t>Animal Effluent Management</w:t>
      </w:r>
      <w:r w:rsidR="004E1859" w:rsidRPr="000940D2">
        <w:rPr>
          <w:i/>
        </w:rPr>
        <w:t xml:space="preserve"> method</w:t>
      </w:r>
      <w:r w:rsidR="004C3EC9" w:rsidRPr="000940D2">
        <w:rPr>
          <w:i/>
        </w:rPr>
        <w:t xml:space="preserve"> – </w:t>
      </w:r>
      <w:r w:rsidR="00846160" w:rsidRPr="000940D2">
        <w:rPr>
          <w:i/>
        </w:rPr>
        <w:t xml:space="preserve">consultation </w:t>
      </w:r>
      <w:r w:rsidR="004C3EC9" w:rsidRPr="000940D2">
        <w:rPr>
          <w:i/>
        </w:rPr>
        <w:t>paper</w:t>
      </w:r>
      <w:r w:rsidRPr="000940D2">
        <w:t xml:space="preserve">, </w:t>
      </w:r>
      <w:r w:rsidR="006F065B" w:rsidRPr="000940D2">
        <w:t>Department of Climate Change, Energy, the Environment and Water</w:t>
      </w:r>
      <w:r w:rsidRPr="000940D2">
        <w:t xml:space="preserve">, Canberra, </w:t>
      </w:r>
      <w:r w:rsidR="00644115">
        <w:t>February</w:t>
      </w:r>
      <w:r w:rsidRPr="000940D2">
        <w:t>. CC BY 4.0.</w:t>
      </w:r>
    </w:p>
    <w:p w14:paraId="428E05D3" w14:textId="7F50CE59" w:rsidR="006D6F00" w:rsidRDefault="00E91D72" w:rsidP="00891A2B">
      <w:pPr>
        <w:pStyle w:val="Normalsmall"/>
        <w:spacing w:before="200"/>
      </w:pPr>
      <w:r w:rsidRPr="000940D2">
        <w:t xml:space="preserve">This publication is available at </w:t>
      </w:r>
      <w:hyperlink r:id="rId15" w:history="1">
        <w:r w:rsidR="006D6F00" w:rsidRPr="00C81397">
          <w:rPr>
            <w:rStyle w:val="Hyperlink"/>
          </w:rPr>
          <w:t>https://www.dcceew.gov.au/climate-change/emissions-reduction/accu-scheme/methods/animal-effluent-management</w:t>
        </w:r>
      </w:hyperlink>
      <w:r w:rsidR="00A91DE3">
        <w:t>.</w:t>
      </w:r>
    </w:p>
    <w:p w14:paraId="6CB6E8F5" w14:textId="730C866D" w:rsidR="00764D6A" w:rsidRPr="000940D2" w:rsidRDefault="00E91D72" w:rsidP="00891A2B">
      <w:pPr>
        <w:pStyle w:val="Normalsmall"/>
        <w:spacing w:before="200"/>
      </w:pPr>
      <w:r w:rsidRPr="000940D2">
        <w:t>.</w:t>
      </w:r>
    </w:p>
    <w:p w14:paraId="4013EF9F" w14:textId="77777777" w:rsidR="00DE0AAE" w:rsidRPr="000940D2" w:rsidRDefault="00D86640" w:rsidP="00891A2B">
      <w:pPr>
        <w:pStyle w:val="Normalsmall"/>
        <w:spacing w:before="200"/>
      </w:pPr>
      <w:r w:rsidRPr="000940D2">
        <w:t>Department of Climate Change, Energy, the Environment and Water</w:t>
      </w:r>
    </w:p>
    <w:p w14:paraId="57DC80E6" w14:textId="77777777" w:rsidR="00764D6A" w:rsidRPr="000940D2" w:rsidRDefault="00E91D72" w:rsidP="00891A2B">
      <w:pPr>
        <w:pStyle w:val="Normalsmall"/>
        <w:spacing w:before="200"/>
      </w:pPr>
      <w:r w:rsidRPr="000940D2">
        <w:t xml:space="preserve">GPO Box </w:t>
      </w:r>
      <w:r w:rsidR="008E2377" w:rsidRPr="000940D2">
        <w:t>3090</w:t>
      </w:r>
      <w:r w:rsidRPr="000940D2">
        <w:t xml:space="preserve"> Canberra ACT 2601</w:t>
      </w:r>
    </w:p>
    <w:p w14:paraId="4149E51A" w14:textId="77777777" w:rsidR="00764D6A" w:rsidRPr="000940D2" w:rsidRDefault="00E91D72" w:rsidP="00891A2B">
      <w:pPr>
        <w:pStyle w:val="Normalsmall"/>
        <w:spacing w:before="200"/>
      </w:pPr>
      <w:r w:rsidRPr="000940D2">
        <w:t>Telephone 1800 900 090</w:t>
      </w:r>
    </w:p>
    <w:p w14:paraId="4AE6DF5A" w14:textId="77777777" w:rsidR="00764D6A" w:rsidRPr="000940D2" w:rsidRDefault="00E91D72" w:rsidP="00891A2B">
      <w:pPr>
        <w:pStyle w:val="Normalsmall"/>
        <w:spacing w:before="200"/>
      </w:pPr>
      <w:bookmarkStart w:id="0" w:name="_Hlk108621036"/>
      <w:r w:rsidRPr="000940D2">
        <w:t xml:space="preserve">Web </w:t>
      </w:r>
      <w:hyperlink r:id="rId16" w:history="1">
        <w:r w:rsidR="00D86640" w:rsidRPr="000940D2">
          <w:rPr>
            <w:rStyle w:val="Hyperlink"/>
          </w:rPr>
          <w:t>dcceew.gov.au</w:t>
        </w:r>
      </w:hyperlink>
    </w:p>
    <w:bookmarkEnd w:id="0"/>
    <w:p w14:paraId="16134F6C" w14:textId="77777777" w:rsidR="007C358A" w:rsidRPr="000940D2" w:rsidRDefault="007C358A" w:rsidP="00891A2B">
      <w:pPr>
        <w:pStyle w:val="Normalsmall"/>
        <w:spacing w:before="200"/>
      </w:pPr>
      <w:r w:rsidRPr="000940D2">
        <w:rPr>
          <w:rStyle w:val="Strong"/>
        </w:rPr>
        <w:t>Disclaimer</w:t>
      </w:r>
    </w:p>
    <w:p w14:paraId="7DDA9FE6" w14:textId="77777777" w:rsidR="00764D6A" w:rsidRPr="000940D2" w:rsidRDefault="00E91D72" w:rsidP="00891A2B">
      <w:pPr>
        <w:pStyle w:val="Normalsmall"/>
        <w:spacing w:before="200"/>
      </w:pPr>
      <w:r w:rsidRPr="000940D2">
        <w:t xml:space="preserve">The Australian Government acting through the </w:t>
      </w:r>
      <w:r w:rsidR="00D86640" w:rsidRPr="000940D2">
        <w:t>Department of Climate Change, Energy, the Environment and Water</w:t>
      </w:r>
      <w:r w:rsidRPr="000940D2">
        <w:t xml:space="preserve"> has exercised due care and skill in preparing and compiling the information and data in this publication. Notwithstanding, the </w:t>
      </w:r>
      <w:r w:rsidR="00D86640" w:rsidRPr="000940D2">
        <w:t>Department of Climate Change, Energy, the Environment and Water</w:t>
      </w:r>
      <w:r w:rsidRPr="000940D2">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DFAB379" w14:textId="77777777" w:rsidR="00B02B9B" w:rsidRPr="000940D2" w:rsidRDefault="00B02B9B" w:rsidP="00891A2B">
      <w:pPr>
        <w:pStyle w:val="Normalsmall"/>
        <w:spacing w:before="200"/>
      </w:pPr>
      <w:r w:rsidRPr="000940D2">
        <w:rPr>
          <w:rStyle w:val="Strong"/>
        </w:rPr>
        <w:t>Acknowledgement of Country</w:t>
      </w:r>
    </w:p>
    <w:p w14:paraId="55C4003F" w14:textId="71440B1D" w:rsidR="00FC0B39" w:rsidRPr="000940D2" w:rsidRDefault="00B8745D" w:rsidP="00891A2B">
      <w:pPr>
        <w:pStyle w:val="Normalsmall"/>
        <w:spacing w:before="200"/>
      </w:pPr>
      <w:r w:rsidRPr="000940D2">
        <w:t>We acknowledge the Traditional Owners of Country throughout Australia and recognise their continuing connection to land, waters and culture. We pay our respects to their Elders past and present</w:t>
      </w:r>
      <w:r w:rsidR="00FC0B39" w:rsidRPr="000940D2">
        <w:t>.</w:t>
      </w:r>
    </w:p>
    <w:p w14:paraId="58B36287" w14:textId="77777777" w:rsidR="006E0089" w:rsidRPr="000940D2" w:rsidRDefault="006E0089" w:rsidP="004E650E">
      <w:pPr>
        <w:spacing w:before="200" w:after="120"/>
        <w:rPr>
          <w:b/>
          <w:bCs/>
        </w:rPr>
      </w:pPr>
      <w:r w:rsidRPr="000940D2">
        <w:rPr>
          <w:b/>
          <w:bCs/>
        </w:rPr>
        <w:br w:type="page"/>
      </w:r>
    </w:p>
    <w:p w14:paraId="2CE5D074" w14:textId="7E2CD8A2" w:rsidR="006E0089" w:rsidRPr="000940D2" w:rsidRDefault="000940D2" w:rsidP="004E650E">
      <w:pPr>
        <w:spacing w:before="120" w:after="120"/>
        <w:rPr>
          <w:b/>
          <w:color w:val="017097" w:themeColor="accent1"/>
          <w:sz w:val="24"/>
          <w:szCs w:val="24"/>
        </w:rPr>
      </w:pPr>
      <w:r w:rsidRPr="000940D2">
        <w:rPr>
          <w:b/>
          <w:color w:val="017097" w:themeColor="accent1"/>
          <w:sz w:val="24"/>
          <w:szCs w:val="24"/>
        </w:rPr>
        <w:lastRenderedPageBreak/>
        <w:t>Animal Effluent Management</w:t>
      </w:r>
      <w:r w:rsidR="00053F71">
        <w:rPr>
          <w:b/>
          <w:color w:val="017097" w:themeColor="accent1"/>
          <w:sz w:val="24"/>
          <w:szCs w:val="24"/>
        </w:rPr>
        <w:t xml:space="preserve"> method</w:t>
      </w:r>
      <w:r w:rsidR="00F06C26" w:rsidRPr="000940D2">
        <w:rPr>
          <w:b/>
          <w:color w:val="017097" w:themeColor="accent1"/>
          <w:sz w:val="24"/>
          <w:szCs w:val="24"/>
        </w:rPr>
        <w:t xml:space="preserve"> – </w:t>
      </w:r>
      <w:r w:rsidR="007C58DB" w:rsidRPr="000940D2">
        <w:rPr>
          <w:b/>
          <w:color w:val="017097" w:themeColor="accent1"/>
          <w:sz w:val="24"/>
          <w:szCs w:val="24"/>
        </w:rPr>
        <w:t>P</w:t>
      </w:r>
      <w:r w:rsidR="00F06C26" w:rsidRPr="000940D2">
        <w:rPr>
          <w:b/>
          <w:color w:val="017097" w:themeColor="accent1"/>
          <w:sz w:val="24"/>
          <w:szCs w:val="24"/>
        </w:rPr>
        <w:t>eriodic review</w:t>
      </w:r>
      <w:r w:rsidR="00E03E1C" w:rsidRPr="000940D2">
        <w:rPr>
          <w:b/>
          <w:color w:val="017097" w:themeColor="accent1"/>
          <w:sz w:val="24"/>
          <w:szCs w:val="24"/>
        </w:rPr>
        <w:t xml:space="preserve">: </w:t>
      </w:r>
      <w:r w:rsidR="006E0089" w:rsidRPr="000940D2">
        <w:rPr>
          <w:b/>
          <w:color w:val="017097" w:themeColor="accent1"/>
          <w:sz w:val="24"/>
          <w:szCs w:val="24"/>
        </w:rPr>
        <w:t xml:space="preserve">Have your say </w:t>
      </w:r>
    </w:p>
    <w:p w14:paraId="52193DFD" w14:textId="480D7CD5" w:rsidR="004979D5" w:rsidRPr="00B20990" w:rsidRDefault="006C7A3F" w:rsidP="004E650E">
      <w:pPr>
        <w:spacing w:before="120" w:after="120"/>
        <w:rPr>
          <w:rFonts w:eastAsia="Calibri"/>
        </w:rPr>
      </w:pPr>
      <w:r w:rsidRPr="00B20990">
        <w:rPr>
          <w:rFonts w:eastAsia="Calibri"/>
        </w:rPr>
        <w:t xml:space="preserve">The Emissions Reduction Assurance Committee </w:t>
      </w:r>
      <w:r w:rsidR="00E03E1C" w:rsidRPr="00B20990">
        <w:rPr>
          <w:rFonts w:eastAsia="Calibri"/>
        </w:rPr>
        <w:t>(</w:t>
      </w:r>
      <w:r w:rsidR="003110AE">
        <w:rPr>
          <w:rFonts w:eastAsia="Calibri"/>
        </w:rPr>
        <w:t xml:space="preserve">the </w:t>
      </w:r>
      <w:r w:rsidR="00E03E1C" w:rsidRPr="00B20990">
        <w:rPr>
          <w:rFonts w:eastAsia="Calibri"/>
        </w:rPr>
        <w:t xml:space="preserve">Committee) </w:t>
      </w:r>
      <w:r w:rsidRPr="00B20990">
        <w:rPr>
          <w:rFonts w:eastAsia="Calibri"/>
        </w:rPr>
        <w:t xml:space="preserve">is seeking feedback on </w:t>
      </w:r>
      <w:r w:rsidR="00E40098" w:rsidRPr="00B20990">
        <w:rPr>
          <w:rFonts w:eastAsia="Calibri"/>
        </w:rPr>
        <w:t xml:space="preserve">the </w:t>
      </w:r>
      <w:r w:rsidR="008D335F" w:rsidRPr="00B20990">
        <w:rPr>
          <w:rFonts w:eastAsia="Calibri"/>
        </w:rPr>
        <w:t>ACCU Scheme</w:t>
      </w:r>
      <w:r w:rsidR="00E40098" w:rsidRPr="00B20990">
        <w:rPr>
          <w:rFonts w:eastAsia="Calibri"/>
        </w:rPr>
        <w:t xml:space="preserve"> </w:t>
      </w:r>
      <w:r w:rsidR="00215AC3" w:rsidRPr="00B20990">
        <w:rPr>
          <w:rFonts w:eastAsia="Calibri"/>
          <w:i/>
          <w:iCs/>
        </w:rPr>
        <w:t xml:space="preserve">Carbon Credits (Carbon Farming Initiative– </w:t>
      </w:r>
      <w:r w:rsidR="000940D2" w:rsidRPr="00B20990">
        <w:rPr>
          <w:rFonts w:eastAsia="Calibri"/>
          <w:i/>
          <w:iCs/>
        </w:rPr>
        <w:t>Animal Effluent Management</w:t>
      </w:r>
      <w:r w:rsidR="00215AC3" w:rsidRPr="00B20990">
        <w:rPr>
          <w:rFonts w:eastAsia="Calibri"/>
          <w:i/>
          <w:iCs/>
        </w:rPr>
        <w:t>) Methodology Determination 201</w:t>
      </w:r>
      <w:r w:rsidR="000940D2" w:rsidRPr="00B20990">
        <w:rPr>
          <w:rFonts w:eastAsia="Calibri"/>
          <w:i/>
          <w:iCs/>
        </w:rPr>
        <w:t>9</w:t>
      </w:r>
      <w:r w:rsidR="00E40098" w:rsidRPr="00B20990">
        <w:rPr>
          <w:rFonts w:eastAsia="Calibri"/>
        </w:rPr>
        <w:t xml:space="preserve"> (the </w:t>
      </w:r>
      <w:r w:rsidR="00053F71">
        <w:rPr>
          <w:rFonts w:eastAsia="Calibri"/>
        </w:rPr>
        <w:t>AEM method 2019</w:t>
      </w:r>
      <w:r w:rsidR="00E40098" w:rsidRPr="00B20990">
        <w:rPr>
          <w:rFonts w:eastAsia="Calibri"/>
        </w:rPr>
        <w:t xml:space="preserve">) compliance with the Offset Integrity Standards as set out in the </w:t>
      </w:r>
      <w:r w:rsidR="00E40098" w:rsidRPr="00B20990">
        <w:rPr>
          <w:rFonts w:eastAsia="Calibri"/>
          <w:i/>
          <w:iCs/>
        </w:rPr>
        <w:t xml:space="preserve">Carbon Credits </w:t>
      </w:r>
      <w:r w:rsidR="008B4721" w:rsidRPr="00B20990">
        <w:rPr>
          <w:rFonts w:eastAsia="Calibri"/>
          <w:i/>
          <w:iCs/>
        </w:rPr>
        <w:t xml:space="preserve">(Carbon Farming Initiative) </w:t>
      </w:r>
      <w:r w:rsidR="00E40098" w:rsidRPr="00B20990">
        <w:rPr>
          <w:rFonts w:eastAsia="Calibri"/>
          <w:i/>
          <w:iCs/>
        </w:rPr>
        <w:t>Act</w:t>
      </w:r>
      <w:r w:rsidR="008B4721" w:rsidRPr="00B20990">
        <w:rPr>
          <w:rFonts w:eastAsia="Calibri"/>
          <w:i/>
          <w:iCs/>
        </w:rPr>
        <w:t xml:space="preserve"> 2011</w:t>
      </w:r>
      <w:r w:rsidR="00E40098" w:rsidRPr="00B20990">
        <w:rPr>
          <w:rFonts w:eastAsia="Calibri"/>
        </w:rPr>
        <w:t xml:space="preserve"> (the Act)</w:t>
      </w:r>
      <w:r w:rsidR="007C58DB" w:rsidRPr="00B20990">
        <w:rPr>
          <w:rFonts w:eastAsia="Calibri"/>
        </w:rPr>
        <w:t xml:space="preserve"> and associated matters</w:t>
      </w:r>
      <w:r w:rsidR="000837D5">
        <w:rPr>
          <w:rFonts w:eastAsia="Calibri"/>
        </w:rPr>
        <w:t>.</w:t>
      </w:r>
      <w:r w:rsidR="007C58DB" w:rsidRPr="00B20990">
        <w:rPr>
          <w:rFonts w:eastAsia="Calibri"/>
        </w:rPr>
        <w:t xml:space="preserve"> </w:t>
      </w:r>
    </w:p>
    <w:p w14:paraId="73D6F7D5" w14:textId="559CB70C" w:rsidR="00F718E9" w:rsidRDefault="001F79D5" w:rsidP="004E650E">
      <w:pPr>
        <w:spacing w:before="120" w:after="120"/>
        <w:rPr>
          <w:rFonts w:eastAsia="Calibri"/>
        </w:rPr>
      </w:pPr>
      <w:r w:rsidRPr="00B20990">
        <w:rPr>
          <w:rFonts w:eastAsia="Calibri"/>
        </w:rPr>
        <w:t xml:space="preserve">This will inform the Committee’s advice to the </w:t>
      </w:r>
      <w:r w:rsidR="00053F71">
        <w:rPr>
          <w:rFonts w:eastAsia="Calibri"/>
        </w:rPr>
        <w:t xml:space="preserve">Assistant </w:t>
      </w:r>
      <w:r w:rsidRPr="00B20990">
        <w:rPr>
          <w:rFonts w:eastAsia="Calibri"/>
        </w:rPr>
        <w:t>Minister</w:t>
      </w:r>
      <w:r w:rsidR="00334937" w:rsidRPr="00B20990">
        <w:rPr>
          <w:rFonts w:eastAsia="Calibri"/>
        </w:rPr>
        <w:t xml:space="preserve"> for Climate Change and Energy</w:t>
      </w:r>
      <w:r w:rsidRPr="00B20990">
        <w:rPr>
          <w:rFonts w:eastAsia="Calibri"/>
        </w:rPr>
        <w:t xml:space="preserve"> on whether the </w:t>
      </w:r>
      <w:r w:rsidR="00E03E1C" w:rsidRPr="00B20990">
        <w:rPr>
          <w:rFonts w:eastAsia="Calibri"/>
        </w:rPr>
        <w:t xml:space="preserve">method should be </w:t>
      </w:r>
      <w:r w:rsidR="00835CA9">
        <w:rPr>
          <w:rFonts w:eastAsia="Calibri"/>
        </w:rPr>
        <w:t>varied</w:t>
      </w:r>
      <w:r w:rsidR="00E03E1C" w:rsidRPr="00B20990">
        <w:rPr>
          <w:rFonts w:eastAsia="Calibri"/>
        </w:rPr>
        <w:t>.</w:t>
      </w:r>
    </w:p>
    <w:p w14:paraId="3A7D0B62" w14:textId="77777777" w:rsidR="00285FAF" w:rsidRPr="00835CA9" w:rsidRDefault="00285FAF" w:rsidP="004E650E">
      <w:pPr>
        <w:spacing w:before="120" w:after="120"/>
        <w:rPr>
          <w:rFonts w:eastAsia="Calibri"/>
          <w:b/>
          <w:bCs/>
          <w:color w:val="017097" w:themeColor="accent1"/>
        </w:rPr>
      </w:pPr>
      <w:r w:rsidRPr="00835CA9">
        <w:rPr>
          <w:rFonts w:eastAsia="Calibri"/>
          <w:b/>
          <w:bCs/>
          <w:color w:val="017097" w:themeColor="accent1"/>
        </w:rPr>
        <w:t>To have your say: </w:t>
      </w:r>
    </w:p>
    <w:p w14:paraId="6A2A8358" w14:textId="54F1689F" w:rsidR="00285FAF" w:rsidRPr="00835CA9" w:rsidRDefault="00285FAF" w:rsidP="004E650E">
      <w:pPr>
        <w:pStyle w:val="ListParagraph"/>
        <w:numPr>
          <w:ilvl w:val="0"/>
          <w:numId w:val="13"/>
        </w:numPr>
        <w:spacing w:before="120" w:after="120" w:line="276" w:lineRule="auto"/>
        <w:ind w:left="426" w:hanging="426"/>
        <w:rPr>
          <w:rFonts w:eastAsia="Calibri"/>
        </w:rPr>
      </w:pPr>
      <w:r w:rsidRPr="00835CA9">
        <w:rPr>
          <w:rFonts w:eastAsia="Calibri"/>
        </w:rPr>
        <w:t xml:space="preserve">Read the consultation paper </w:t>
      </w:r>
    </w:p>
    <w:p w14:paraId="7BFDB183" w14:textId="204977F8" w:rsidR="00285FAF" w:rsidRPr="00835CA9" w:rsidRDefault="00285FAF" w:rsidP="004E650E">
      <w:pPr>
        <w:pStyle w:val="ListParagraph"/>
        <w:numPr>
          <w:ilvl w:val="0"/>
          <w:numId w:val="13"/>
        </w:numPr>
        <w:spacing w:before="120" w:after="120" w:line="276" w:lineRule="auto"/>
        <w:ind w:left="426" w:hanging="426"/>
        <w:rPr>
          <w:rFonts w:eastAsia="Calibri"/>
        </w:rPr>
      </w:pPr>
      <w:r w:rsidRPr="00835CA9">
        <w:rPr>
          <w:rFonts w:eastAsia="Calibri"/>
        </w:rPr>
        <w:t xml:space="preserve">Provide </w:t>
      </w:r>
      <w:r w:rsidR="00580EC2" w:rsidRPr="00835CA9">
        <w:rPr>
          <w:rFonts w:eastAsia="Calibri"/>
        </w:rPr>
        <w:t>a written submission</w:t>
      </w:r>
      <w:r w:rsidR="0016334B" w:rsidRPr="00835CA9">
        <w:rPr>
          <w:rFonts w:eastAsia="Calibri"/>
        </w:rPr>
        <w:t xml:space="preserve"> via our Have Your Say portal</w:t>
      </w:r>
    </w:p>
    <w:p w14:paraId="07CD369E" w14:textId="6AEAB341" w:rsidR="005A4115" w:rsidRPr="00835CA9" w:rsidRDefault="005A4115" w:rsidP="004E650E">
      <w:pPr>
        <w:spacing w:before="120" w:after="120"/>
        <w:rPr>
          <w:rFonts w:eastAsia="Calibri"/>
        </w:rPr>
      </w:pPr>
      <w:r w:rsidRPr="00835CA9">
        <w:t xml:space="preserve">The </w:t>
      </w:r>
      <w:r w:rsidR="00E15E36" w:rsidRPr="00835CA9">
        <w:t>D</w:t>
      </w:r>
      <w:r w:rsidRPr="00835CA9">
        <w:t xml:space="preserve">epartment </w:t>
      </w:r>
      <w:r w:rsidR="00E15E36" w:rsidRPr="00835CA9">
        <w:t xml:space="preserve">of Climate Change, Energy, the Environment and Water </w:t>
      </w:r>
      <w:r w:rsidR="00497074" w:rsidRPr="00835CA9">
        <w:t xml:space="preserve">(the department) </w:t>
      </w:r>
      <w:r w:rsidRPr="00835CA9">
        <w:t xml:space="preserve">will host an online information session on this </w:t>
      </w:r>
      <w:r w:rsidR="00D21C24" w:rsidRPr="00835CA9">
        <w:t xml:space="preserve">consultation </w:t>
      </w:r>
      <w:r w:rsidRPr="00835CA9">
        <w:t xml:space="preserve">paper </w:t>
      </w:r>
      <w:r w:rsidR="009F236E" w:rsidRPr="00212FB5">
        <w:t xml:space="preserve">on </w:t>
      </w:r>
      <w:r w:rsidR="00187C4F">
        <w:rPr>
          <w:rFonts w:eastAsia="Calibri"/>
          <w:b/>
          <w:bCs/>
          <w:color w:val="017097" w:themeColor="accent1"/>
        </w:rPr>
        <w:t>Wednesday</w:t>
      </w:r>
      <w:r w:rsidR="00DF2186">
        <w:rPr>
          <w:rFonts w:eastAsia="Calibri"/>
          <w:b/>
          <w:bCs/>
          <w:color w:val="017097" w:themeColor="accent1"/>
        </w:rPr>
        <w:t xml:space="preserve"> </w:t>
      </w:r>
      <w:r w:rsidR="00EE1B51">
        <w:rPr>
          <w:rFonts w:eastAsia="Calibri"/>
          <w:b/>
          <w:bCs/>
          <w:color w:val="017097" w:themeColor="accent1"/>
        </w:rPr>
        <w:t>1</w:t>
      </w:r>
      <w:r w:rsidR="00187C4F">
        <w:rPr>
          <w:rFonts w:eastAsia="Calibri"/>
          <w:b/>
          <w:bCs/>
          <w:color w:val="017097" w:themeColor="accent1"/>
        </w:rPr>
        <w:t>2</w:t>
      </w:r>
      <w:r w:rsidR="00211E30" w:rsidRPr="00EE1B51">
        <w:rPr>
          <w:rFonts w:eastAsia="Calibri"/>
          <w:b/>
          <w:bCs/>
          <w:color w:val="017097" w:themeColor="accent1"/>
        </w:rPr>
        <w:t xml:space="preserve"> </w:t>
      </w:r>
      <w:r w:rsidR="00EE1B51">
        <w:rPr>
          <w:rFonts w:eastAsia="Calibri"/>
          <w:b/>
          <w:bCs/>
          <w:color w:val="017097" w:themeColor="accent1"/>
        </w:rPr>
        <w:t xml:space="preserve">March </w:t>
      </w:r>
      <w:r w:rsidR="009F236E" w:rsidRPr="00EE1B51">
        <w:rPr>
          <w:rFonts w:eastAsia="Calibri"/>
          <w:b/>
          <w:bCs/>
          <w:color w:val="017097" w:themeColor="accent1"/>
        </w:rPr>
        <w:t>202</w:t>
      </w:r>
      <w:r w:rsidR="00835CA9" w:rsidRPr="00EE1B51">
        <w:rPr>
          <w:rFonts w:eastAsia="Calibri"/>
          <w:b/>
          <w:bCs/>
          <w:color w:val="017097" w:themeColor="accent1"/>
        </w:rPr>
        <w:t>5</w:t>
      </w:r>
      <w:r w:rsidRPr="00212FB5">
        <w:t>.</w:t>
      </w:r>
      <w:r w:rsidRPr="00835CA9">
        <w:t xml:space="preserve"> You can register for </w:t>
      </w:r>
      <w:r w:rsidR="00A71949" w:rsidRPr="00835CA9">
        <w:t xml:space="preserve">this session </w:t>
      </w:r>
      <w:r w:rsidRPr="00835CA9">
        <w:t xml:space="preserve">on </w:t>
      </w:r>
      <w:r w:rsidR="00E32177" w:rsidRPr="00835CA9">
        <w:t>the Have Your Say</w:t>
      </w:r>
      <w:r w:rsidRPr="00835CA9">
        <w:t xml:space="preserve"> website.</w:t>
      </w:r>
    </w:p>
    <w:p w14:paraId="335DD9B5" w14:textId="6FEF8287" w:rsidR="006C7A3F" w:rsidRPr="00CC1A66" w:rsidRDefault="006C7A3F" w:rsidP="004E650E">
      <w:pPr>
        <w:spacing w:before="120" w:after="120"/>
        <w:rPr>
          <w:rFonts w:eastAsia="Calibri"/>
        </w:rPr>
      </w:pPr>
      <w:r w:rsidRPr="00831A89">
        <w:rPr>
          <w:rFonts w:eastAsia="Calibri"/>
        </w:rPr>
        <w:t>Submi</w:t>
      </w:r>
      <w:r w:rsidR="00456069" w:rsidRPr="00831A89">
        <w:rPr>
          <w:rFonts w:eastAsia="Calibri"/>
        </w:rPr>
        <w:t xml:space="preserve">ssions are welcome until </w:t>
      </w:r>
      <w:r w:rsidRPr="00CC1A66">
        <w:rPr>
          <w:rFonts w:eastAsia="Calibri"/>
          <w:b/>
          <w:bCs/>
          <w:color w:val="017097" w:themeColor="accent1"/>
        </w:rPr>
        <w:t xml:space="preserve">11:59pm AEDT on </w:t>
      </w:r>
      <w:r w:rsidR="007C74BB" w:rsidRPr="007C74BB">
        <w:rPr>
          <w:rFonts w:eastAsia="Calibri"/>
          <w:b/>
          <w:bCs/>
          <w:color w:val="017097" w:themeColor="accent1"/>
        </w:rPr>
        <w:t>Tuesday</w:t>
      </w:r>
      <w:r w:rsidRPr="007C74BB">
        <w:rPr>
          <w:rFonts w:eastAsia="Calibri"/>
          <w:b/>
          <w:bCs/>
          <w:color w:val="017097" w:themeColor="accent1"/>
        </w:rPr>
        <w:t xml:space="preserve">, </w:t>
      </w:r>
      <w:r w:rsidR="00B04299" w:rsidRPr="007C74BB">
        <w:rPr>
          <w:rFonts w:eastAsia="Calibri"/>
          <w:b/>
          <w:bCs/>
          <w:color w:val="017097" w:themeColor="accent1"/>
        </w:rPr>
        <w:t>2</w:t>
      </w:r>
      <w:r w:rsidR="007C74BB" w:rsidRPr="007C74BB">
        <w:rPr>
          <w:rFonts w:eastAsia="Calibri"/>
          <w:b/>
          <w:bCs/>
          <w:color w:val="017097" w:themeColor="accent1"/>
        </w:rPr>
        <w:t>5</w:t>
      </w:r>
      <w:r w:rsidR="00831A89" w:rsidRPr="007C74BB">
        <w:rPr>
          <w:rFonts w:eastAsia="Calibri"/>
          <w:b/>
          <w:bCs/>
          <w:color w:val="017097" w:themeColor="accent1"/>
        </w:rPr>
        <w:t xml:space="preserve"> </w:t>
      </w:r>
      <w:r w:rsidR="00A21E34" w:rsidRPr="007C74BB">
        <w:rPr>
          <w:rFonts w:eastAsia="Calibri"/>
          <w:b/>
          <w:bCs/>
          <w:color w:val="017097" w:themeColor="accent1"/>
        </w:rPr>
        <w:t>March</w:t>
      </w:r>
      <w:r w:rsidR="00A21E34">
        <w:rPr>
          <w:rFonts w:eastAsia="Calibri"/>
          <w:b/>
          <w:bCs/>
          <w:color w:val="017097" w:themeColor="accent1"/>
        </w:rPr>
        <w:t xml:space="preserve"> </w:t>
      </w:r>
      <w:r w:rsidRPr="00CC1A66">
        <w:rPr>
          <w:rFonts w:eastAsia="Calibri"/>
          <w:b/>
          <w:bCs/>
          <w:color w:val="017097" w:themeColor="accent1"/>
        </w:rPr>
        <w:t>202</w:t>
      </w:r>
      <w:r w:rsidR="0023190E" w:rsidRPr="00CC1A66">
        <w:rPr>
          <w:rFonts w:eastAsia="Calibri"/>
          <w:b/>
          <w:bCs/>
          <w:color w:val="017097" w:themeColor="accent1"/>
        </w:rPr>
        <w:t>5</w:t>
      </w:r>
      <w:r w:rsidR="0046354E">
        <w:rPr>
          <w:rFonts w:eastAsia="Calibri"/>
          <w:b/>
          <w:bCs/>
          <w:color w:val="017097" w:themeColor="accent1"/>
        </w:rPr>
        <w:t>.</w:t>
      </w:r>
    </w:p>
    <w:p w14:paraId="4F79603D" w14:textId="573C024C" w:rsidR="00D20B3B" w:rsidRPr="005C4620" w:rsidRDefault="00D20B3B" w:rsidP="004E650E">
      <w:pPr>
        <w:spacing w:before="120" w:after="120"/>
      </w:pPr>
      <w:r w:rsidRPr="005C4620">
        <w:t xml:space="preserve">If you have questions about the consultation process or would like to request an extension, please contact the Emissions Reduction Assurance Committee Secretariat at </w:t>
      </w:r>
      <w:hyperlink r:id="rId17" w:history="1">
        <w:r w:rsidR="00CB3752" w:rsidRPr="005C4620">
          <w:rPr>
            <w:rStyle w:val="Hyperlink"/>
          </w:rPr>
          <w:t>ACCUSecretariat@dcceew.gov.au</w:t>
        </w:r>
      </w:hyperlink>
      <w:r w:rsidRPr="005C4620">
        <w:t xml:space="preserve">. </w:t>
      </w:r>
    </w:p>
    <w:p w14:paraId="7E6DE244" w14:textId="3484706A" w:rsidR="00D20B3B" w:rsidRPr="005C4620" w:rsidRDefault="00D20B3B" w:rsidP="004E650E">
      <w:pPr>
        <w:spacing w:before="120" w:after="120"/>
        <w:rPr>
          <w:b/>
          <w:bCs/>
          <w:color w:val="017097" w:themeColor="accent1"/>
        </w:rPr>
      </w:pPr>
      <w:r w:rsidRPr="005C4620">
        <w:rPr>
          <w:b/>
          <w:bCs/>
          <w:color w:val="017097" w:themeColor="accent1"/>
        </w:rPr>
        <w:t>Confidentiality and publication</w:t>
      </w:r>
    </w:p>
    <w:p w14:paraId="588E504D" w14:textId="1C81D49D" w:rsidR="00D20B3B" w:rsidRPr="005C4620" w:rsidRDefault="00D20B3B" w:rsidP="004E650E">
      <w:pPr>
        <w:spacing w:before="120" w:after="120"/>
      </w:pPr>
      <w:r w:rsidRPr="005C4620">
        <w:t xml:space="preserve">Unless you indicate that your submission is confidential, it will be treated as a public document. It may be published in full on the </w:t>
      </w:r>
      <w:r w:rsidR="00497074" w:rsidRPr="005C4620">
        <w:t>d</w:t>
      </w:r>
      <w:r w:rsidR="00587669" w:rsidRPr="005C4620">
        <w:t>epartment’s</w:t>
      </w:r>
      <w:r w:rsidRPr="005C4620">
        <w:t xml:space="preserve"> website or included in a published summary report of submissions.</w:t>
      </w:r>
      <w:r w:rsidR="00E32177" w:rsidRPr="005C4620">
        <w:t xml:space="preserve"> </w:t>
      </w:r>
    </w:p>
    <w:p w14:paraId="66AB6EB7" w14:textId="04A0D507" w:rsidR="00D20B3B" w:rsidRPr="005C4620" w:rsidRDefault="00AB646E" w:rsidP="004E650E">
      <w:pPr>
        <w:spacing w:before="120" w:after="120"/>
      </w:pPr>
      <w:r w:rsidRPr="005C4620">
        <w:t xml:space="preserve">The Have Your Say portal </w:t>
      </w:r>
      <w:r w:rsidR="00E32177" w:rsidRPr="005C4620">
        <w:t xml:space="preserve">will </w:t>
      </w:r>
      <w:r w:rsidRPr="005C4620">
        <w:t xml:space="preserve">ask you </w:t>
      </w:r>
      <w:r w:rsidR="00E32177" w:rsidRPr="005C4620">
        <w:t xml:space="preserve">to </w:t>
      </w:r>
      <w:r w:rsidR="00D20B3B" w:rsidRPr="005C4620">
        <w:t xml:space="preserve">indicate </w:t>
      </w:r>
      <w:r w:rsidR="00E32177" w:rsidRPr="005C4620">
        <w:t xml:space="preserve">whether your </w:t>
      </w:r>
      <w:r w:rsidRPr="005C4620">
        <w:t xml:space="preserve">submission </w:t>
      </w:r>
      <w:r w:rsidR="00D20B3B" w:rsidRPr="005C4620">
        <w:t>is confidential</w:t>
      </w:r>
      <w:r w:rsidR="00682414" w:rsidRPr="005C4620">
        <w:t>. If you indicate your submission is confidential</w:t>
      </w:r>
      <w:r w:rsidR="00D20B3B" w:rsidRPr="005C4620">
        <w:t xml:space="preserve">, it will not be published on the </w:t>
      </w:r>
      <w:r w:rsidR="00497074" w:rsidRPr="005C4620">
        <w:t>d</w:t>
      </w:r>
      <w:r w:rsidR="00D20B3B" w:rsidRPr="005C4620">
        <w:t>epartment’s website, but will be provided to the:</w:t>
      </w:r>
    </w:p>
    <w:p w14:paraId="59C34D07" w14:textId="1D913994" w:rsidR="00D20B3B" w:rsidRPr="005C4620" w:rsidRDefault="00D20B3B" w:rsidP="004E650E">
      <w:pPr>
        <w:pStyle w:val="ListParagraph"/>
        <w:widowControl w:val="0"/>
        <w:numPr>
          <w:ilvl w:val="0"/>
          <w:numId w:val="14"/>
        </w:numPr>
        <w:autoSpaceDE w:val="0"/>
        <w:autoSpaceDN w:val="0"/>
        <w:spacing w:before="120" w:after="120" w:line="276" w:lineRule="auto"/>
        <w:rPr>
          <w:rFonts w:asciiTheme="minorHAnsi" w:hAnsiTheme="minorHAnsi" w:cstheme="minorHAnsi"/>
        </w:rPr>
      </w:pPr>
      <w:r w:rsidRPr="005C4620">
        <w:rPr>
          <w:rFonts w:asciiTheme="minorHAnsi" w:hAnsiTheme="minorHAnsi" w:cstheme="minorHAnsi"/>
        </w:rPr>
        <w:t>Emissions Reduction Assurance Committee</w:t>
      </w:r>
      <w:r w:rsidR="00A555F5" w:rsidRPr="005C4620">
        <w:rPr>
          <w:rFonts w:asciiTheme="minorHAnsi" w:hAnsiTheme="minorHAnsi" w:cstheme="minorHAnsi"/>
        </w:rPr>
        <w:t xml:space="preserve"> </w:t>
      </w:r>
    </w:p>
    <w:p w14:paraId="346EEA9F" w14:textId="58896977" w:rsidR="00D20B3B" w:rsidRPr="005C4620" w:rsidRDefault="00D20B3B" w:rsidP="004E650E">
      <w:pPr>
        <w:pStyle w:val="ListParagraph"/>
        <w:widowControl w:val="0"/>
        <w:numPr>
          <w:ilvl w:val="0"/>
          <w:numId w:val="14"/>
        </w:numPr>
        <w:autoSpaceDE w:val="0"/>
        <w:autoSpaceDN w:val="0"/>
        <w:spacing w:before="120" w:after="120" w:line="276" w:lineRule="auto"/>
        <w:rPr>
          <w:rFonts w:asciiTheme="minorHAnsi" w:hAnsiTheme="minorHAnsi" w:cstheme="minorBidi"/>
        </w:rPr>
      </w:pPr>
      <w:r w:rsidRPr="005C4620">
        <w:rPr>
          <w:rFonts w:asciiTheme="minorHAnsi" w:hAnsiTheme="minorHAnsi" w:cstheme="minorBidi"/>
        </w:rPr>
        <w:t xml:space="preserve">Department of Climate Change, Energy, the Environment and Water </w:t>
      </w:r>
    </w:p>
    <w:p w14:paraId="1E2BB0E0" w14:textId="3D8C3AAA" w:rsidR="00D20B3B" w:rsidRPr="005C4620" w:rsidRDefault="00D20B3B" w:rsidP="004E650E">
      <w:pPr>
        <w:pStyle w:val="ListParagraph"/>
        <w:widowControl w:val="0"/>
        <w:numPr>
          <w:ilvl w:val="0"/>
          <w:numId w:val="14"/>
        </w:numPr>
        <w:autoSpaceDE w:val="0"/>
        <w:autoSpaceDN w:val="0"/>
        <w:spacing w:before="120" w:after="120" w:line="276" w:lineRule="auto"/>
        <w:rPr>
          <w:rFonts w:asciiTheme="minorHAnsi" w:hAnsiTheme="minorHAnsi" w:cstheme="minorHAnsi"/>
        </w:rPr>
      </w:pPr>
      <w:r w:rsidRPr="005C4620">
        <w:rPr>
          <w:rFonts w:asciiTheme="minorHAnsi" w:hAnsiTheme="minorHAnsi" w:cstheme="minorHAnsi"/>
        </w:rPr>
        <w:t>Clean Energy Regulator</w:t>
      </w:r>
    </w:p>
    <w:p w14:paraId="1F5926EE" w14:textId="670025B4" w:rsidR="00D20B3B" w:rsidRPr="005C4620" w:rsidRDefault="00D20B3B" w:rsidP="004E650E">
      <w:pPr>
        <w:spacing w:before="120" w:after="120"/>
      </w:pPr>
      <w:r w:rsidRPr="005C4620">
        <w:t xml:space="preserve">If only a part of your submission is confidential, for example, because it contains a small amount of commercially sensitive information, </w:t>
      </w:r>
      <w:r w:rsidR="00682414" w:rsidRPr="005C4620">
        <w:t xml:space="preserve">you may </w:t>
      </w:r>
      <w:r w:rsidR="00CF752C" w:rsidRPr="005C4620">
        <w:t xml:space="preserve">wish </w:t>
      </w:r>
      <w:r w:rsidR="00682414" w:rsidRPr="005C4620">
        <w:t xml:space="preserve">to </w:t>
      </w:r>
      <w:r w:rsidRPr="005C4620">
        <w:t xml:space="preserve">provide </w:t>
      </w:r>
      <w:r w:rsidR="00497074" w:rsidRPr="005C4620">
        <w:t xml:space="preserve">2 </w:t>
      </w:r>
      <w:r w:rsidRPr="005C4620">
        <w:t>clearly marked versions of the submission: a full version and one with the confidential information removed for publication.</w:t>
      </w:r>
    </w:p>
    <w:p w14:paraId="3A374D0E" w14:textId="462D2C4F" w:rsidR="00D20B3B" w:rsidRPr="005C4620" w:rsidRDefault="00D20B3B" w:rsidP="004E650E">
      <w:pPr>
        <w:spacing w:before="120" w:after="120"/>
      </w:pPr>
      <w:r w:rsidRPr="005C4620">
        <w:t xml:space="preserve">If your submission is published, the </w:t>
      </w:r>
      <w:r w:rsidR="00497074" w:rsidRPr="005C4620">
        <w:t>d</w:t>
      </w:r>
      <w:r w:rsidR="00587669" w:rsidRPr="005C4620">
        <w:t>epartment</w:t>
      </w:r>
      <w:r w:rsidRPr="005C4620">
        <w:t xml:space="preserve"> will include identifying details (author name and state/territory). Contact information (such as names, signatures, addresses or phone numbers) and information may be included in published submissions.</w:t>
      </w:r>
    </w:p>
    <w:p w14:paraId="7693EEB2" w14:textId="0A8B7300" w:rsidR="00D20B3B" w:rsidRPr="005C4620" w:rsidRDefault="00DF4DBA" w:rsidP="004E650E">
      <w:pPr>
        <w:spacing w:before="120" w:after="120"/>
      </w:pPr>
      <w:r w:rsidRPr="005C4620">
        <w:t xml:space="preserve">The </w:t>
      </w:r>
      <w:r w:rsidR="004E245D" w:rsidRPr="005C4620">
        <w:t xml:space="preserve">department </w:t>
      </w:r>
      <w:r w:rsidR="00D20B3B" w:rsidRPr="005C4620">
        <w:t>is under no obligation to publish submissions it receives and reserves the right to not publish submissions on its website that raise legal or other concerns.</w:t>
      </w:r>
    </w:p>
    <w:p w14:paraId="24390FFD" w14:textId="1C0D9F12" w:rsidR="00D20B3B" w:rsidRPr="005C4620" w:rsidRDefault="00D20B3B" w:rsidP="004E650E">
      <w:pPr>
        <w:spacing w:before="120" w:after="120"/>
      </w:pPr>
      <w:r w:rsidRPr="005C4620">
        <w:lastRenderedPageBreak/>
        <w:t xml:space="preserve">Those making submissions may be invited to provide additional information. All submissions will be considered by the Emissions Reductions Assurance Committee. </w:t>
      </w:r>
    </w:p>
    <w:p w14:paraId="3C2710FC" w14:textId="72A144CC" w:rsidR="00D20B3B" w:rsidRPr="005C4620" w:rsidRDefault="00D20B3B" w:rsidP="004E650E">
      <w:pPr>
        <w:spacing w:before="120" w:after="120"/>
        <w:rPr>
          <w:b/>
          <w:bCs/>
          <w:color w:val="017097" w:themeColor="accent1"/>
        </w:rPr>
      </w:pPr>
      <w:r w:rsidRPr="005C4620">
        <w:rPr>
          <w:b/>
          <w:bCs/>
          <w:color w:val="017097" w:themeColor="accent1"/>
        </w:rPr>
        <w:t>Privacy</w:t>
      </w:r>
    </w:p>
    <w:p w14:paraId="41C3769A" w14:textId="1BEB0FFA" w:rsidR="00D20B3B" w:rsidRPr="005C4620" w:rsidRDefault="00D20B3B" w:rsidP="004E650E">
      <w:pPr>
        <w:spacing w:before="120" w:after="120"/>
      </w:pPr>
      <w:r w:rsidRPr="005C4620">
        <w:t xml:space="preserve">The </w:t>
      </w:r>
      <w:r w:rsidR="004E245D" w:rsidRPr="005C4620">
        <w:t xml:space="preserve">department </w:t>
      </w:r>
      <w:r w:rsidRPr="005C4620">
        <w:t>will deal with personal information contained in, or provided in relation to, submissions in accordance with its Privacy Policy</w:t>
      </w:r>
      <w:r w:rsidR="00333048" w:rsidRPr="005C4620">
        <w:t>.</w:t>
      </w:r>
    </w:p>
    <w:p w14:paraId="02A9D0BC" w14:textId="65C5FD7C" w:rsidR="00D20B3B" w:rsidRPr="005C4620" w:rsidRDefault="00D20B3B" w:rsidP="004E650E">
      <w:pPr>
        <w:spacing w:before="120" w:after="120"/>
      </w:pPr>
      <w:r w:rsidRPr="005C4620">
        <w:t xml:space="preserve">Contact information is collected for the purposes of identifying authors and in case we need to contact you </w:t>
      </w:r>
      <w:r w:rsidR="00DF4DBA" w:rsidRPr="005C4620">
        <w:t xml:space="preserve">regarding </w:t>
      </w:r>
      <w:r w:rsidRPr="005C4620">
        <w:t xml:space="preserve">your submission. Contact information and other personal information contained in submissions may be used and disclosed within the </w:t>
      </w:r>
      <w:r w:rsidR="004E245D" w:rsidRPr="005C4620">
        <w:t xml:space="preserve">department </w:t>
      </w:r>
      <w:r w:rsidRPr="005C4620">
        <w:t xml:space="preserve">and to other persons for the purposes of </w:t>
      </w:r>
      <w:r w:rsidR="00DF4DBA" w:rsidRPr="005C4620">
        <w:t xml:space="preserve">the </w:t>
      </w:r>
      <w:r w:rsidR="00053F71">
        <w:t>AEM method 2019</w:t>
      </w:r>
      <w:r w:rsidR="004B05AA" w:rsidRPr="005C4620">
        <w:t xml:space="preserve"> periodic </w:t>
      </w:r>
      <w:r w:rsidR="00DF4DBA" w:rsidRPr="005C4620">
        <w:t>review</w:t>
      </w:r>
      <w:r w:rsidRPr="005C4620">
        <w:t xml:space="preserve">, other related purposes, and other required reasons under Australian law. Submissions may also be shared with </w:t>
      </w:r>
      <w:r w:rsidR="002C1AC2" w:rsidRPr="005C4620">
        <w:t xml:space="preserve">the Clean Energy Regulator. </w:t>
      </w:r>
    </w:p>
    <w:p w14:paraId="47B96728" w14:textId="51FEE5CB" w:rsidR="00D20B3B" w:rsidRPr="005C4620" w:rsidRDefault="00D20B3B" w:rsidP="004E650E">
      <w:pPr>
        <w:spacing w:before="120" w:after="120"/>
        <w:rPr>
          <w:b/>
          <w:bCs/>
          <w:noProof/>
        </w:rPr>
      </w:pPr>
      <w:r w:rsidRPr="005C4620">
        <w:t xml:space="preserve">If you are making a submission which contains the personal information of another person, and you have not obtained the person’s consent to their information being (i) included in your submission, and (ii) used and potentially published by the </w:t>
      </w:r>
      <w:r w:rsidR="004E245D" w:rsidRPr="005C4620">
        <w:t xml:space="preserve">department </w:t>
      </w:r>
      <w:r w:rsidRPr="005C4620">
        <w:t xml:space="preserve">for the purposes in this notice, then please de-identify or otherwise remove the personal information before providing your submission to the </w:t>
      </w:r>
      <w:r w:rsidR="004E245D" w:rsidRPr="005C4620">
        <w:t>department</w:t>
      </w:r>
      <w:r w:rsidRPr="005C4620">
        <w:t>.</w:t>
      </w:r>
      <w:r w:rsidRPr="005C4620">
        <w:rPr>
          <w:b/>
          <w:bCs/>
          <w:noProof/>
        </w:rPr>
        <w:t xml:space="preserve"> </w:t>
      </w:r>
    </w:p>
    <w:p w14:paraId="05B16093" w14:textId="3AC29036" w:rsidR="006E0089" w:rsidRPr="005C4620" w:rsidRDefault="006E0089" w:rsidP="004E650E">
      <w:pPr>
        <w:spacing w:before="120" w:after="120"/>
      </w:pPr>
    </w:p>
    <w:p w14:paraId="79CC7037" w14:textId="77777777" w:rsidR="00764D6A" w:rsidRPr="005C4620" w:rsidRDefault="00E91D72" w:rsidP="00CC1A66">
      <w:pPr>
        <w:spacing w:before="200" w:after="120"/>
      </w:pPr>
      <w:r w:rsidRPr="005C4620">
        <w:br w:type="page"/>
      </w:r>
    </w:p>
    <w:sdt>
      <w:sdtPr>
        <w:rPr>
          <w:rFonts w:ascii="Cambria" w:eastAsiaTheme="minorHAnsi" w:hAnsi="Cambria"/>
          <w:b/>
          <w:bCs w:val="0"/>
          <w:noProof/>
          <w:color w:val="auto"/>
          <w:sz w:val="22"/>
          <w:szCs w:val="22"/>
          <w:lang w:eastAsia="en-US"/>
        </w:rPr>
        <w:id w:val="-760297017"/>
        <w:docPartObj>
          <w:docPartGallery w:val="Table of Contents"/>
          <w:docPartUnique/>
        </w:docPartObj>
      </w:sdtPr>
      <w:sdtEndPr>
        <w:rPr>
          <w:rFonts w:asciiTheme="minorHAnsi" w:hAnsiTheme="minorHAnsi"/>
          <w:color w:val="017097" w:themeColor="accent1"/>
          <w:highlight w:val="yellow"/>
        </w:rPr>
      </w:sdtEndPr>
      <w:sdtContent>
        <w:p w14:paraId="32F9EDE2" w14:textId="4CAD7F2D" w:rsidR="00764D6A" w:rsidRPr="005C4620" w:rsidRDefault="00E91D72" w:rsidP="0052350A">
          <w:pPr>
            <w:pStyle w:val="TOCHeading"/>
            <w:spacing w:before="200" w:after="120"/>
          </w:pPr>
          <w:r w:rsidRPr="005C4620">
            <w:t xml:space="preserve">Contents </w:t>
          </w:r>
        </w:p>
        <w:p w14:paraId="1324402B" w14:textId="156BB44E" w:rsidR="0030502A" w:rsidRDefault="00E91D72">
          <w:pPr>
            <w:pStyle w:val="TOC1"/>
            <w:rPr>
              <w:rFonts w:eastAsiaTheme="minorEastAsia"/>
              <w:b w:val="0"/>
              <w:kern w:val="2"/>
              <w:sz w:val="24"/>
              <w:szCs w:val="24"/>
              <w:lang w:eastAsia="en-AU"/>
              <w14:ligatures w14:val="standardContextual"/>
            </w:rPr>
          </w:pPr>
          <w:r w:rsidRPr="00A32F36">
            <w:rPr>
              <w:b w:val="0"/>
              <w:color w:val="017097" w:themeColor="accent1"/>
              <w:highlight w:val="yellow"/>
            </w:rPr>
            <w:fldChar w:fldCharType="begin"/>
          </w:r>
          <w:r w:rsidRPr="00A32F36">
            <w:rPr>
              <w:b w:val="0"/>
              <w:color w:val="017097" w:themeColor="accent1"/>
              <w:highlight w:val="yellow"/>
            </w:rPr>
            <w:instrText xml:space="preserve"> TOC \h \z \u \t "Heading 2,1,Heading 3,2,Style1,2,TOA Heading,1" </w:instrText>
          </w:r>
          <w:r w:rsidRPr="00A32F36">
            <w:rPr>
              <w:b w:val="0"/>
              <w:color w:val="017097" w:themeColor="accent1"/>
              <w:highlight w:val="yellow"/>
            </w:rPr>
            <w:fldChar w:fldCharType="separate"/>
          </w:r>
          <w:hyperlink w:anchor="_Toc192068727" w:history="1">
            <w:r w:rsidR="0030502A" w:rsidRPr="007867DD">
              <w:rPr>
                <w:rStyle w:val="Hyperlink"/>
              </w:rPr>
              <w:t>1</w:t>
            </w:r>
            <w:r w:rsidR="0030502A">
              <w:rPr>
                <w:rFonts w:eastAsiaTheme="minorEastAsia"/>
                <w:b w:val="0"/>
                <w:kern w:val="2"/>
                <w:sz w:val="24"/>
                <w:szCs w:val="24"/>
                <w:lang w:eastAsia="en-AU"/>
                <w14:ligatures w14:val="standardContextual"/>
              </w:rPr>
              <w:tab/>
            </w:r>
            <w:r w:rsidR="0030502A" w:rsidRPr="007867DD">
              <w:rPr>
                <w:rStyle w:val="Hyperlink"/>
              </w:rPr>
              <w:t>Introduction</w:t>
            </w:r>
            <w:r w:rsidR="0030502A">
              <w:rPr>
                <w:webHidden/>
              </w:rPr>
              <w:tab/>
            </w:r>
            <w:r w:rsidR="0030502A">
              <w:rPr>
                <w:webHidden/>
              </w:rPr>
              <w:fldChar w:fldCharType="begin"/>
            </w:r>
            <w:r w:rsidR="0030502A">
              <w:rPr>
                <w:webHidden/>
              </w:rPr>
              <w:instrText xml:space="preserve"> PAGEREF _Toc192068727 \h </w:instrText>
            </w:r>
            <w:r w:rsidR="0030502A">
              <w:rPr>
                <w:webHidden/>
              </w:rPr>
            </w:r>
            <w:r w:rsidR="0030502A">
              <w:rPr>
                <w:webHidden/>
              </w:rPr>
              <w:fldChar w:fldCharType="separate"/>
            </w:r>
            <w:r w:rsidR="00D57CCB">
              <w:rPr>
                <w:webHidden/>
              </w:rPr>
              <w:t>6</w:t>
            </w:r>
            <w:r w:rsidR="0030502A">
              <w:rPr>
                <w:webHidden/>
              </w:rPr>
              <w:fldChar w:fldCharType="end"/>
            </w:r>
          </w:hyperlink>
        </w:p>
        <w:p w14:paraId="70BE694A" w14:textId="4EBF7912" w:rsidR="0030502A" w:rsidRDefault="0030502A">
          <w:pPr>
            <w:pStyle w:val="TOC2"/>
            <w:tabs>
              <w:tab w:val="left" w:pos="1200"/>
            </w:tabs>
            <w:rPr>
              <w:rFonts w:eastAsiaTheme="minorEastAsia"/>
              <w:kern w:val="2"/>
              <w:sz w:val="24"/>
              <w:szCs w:val="24"/>
              <w:lang w:eastAsia="en-AU"/>
              <w14:ligatures w14:val="standardContextual"/>
            </w:rPr>
          </w:pPr>
          <w:hyperlink w:anchor="_Toc192068728" w:history="1">
            <w:r w:rsidRPr="007867DD">
              <w:rPr>
                <w:rStyle w:val="Hyperlink"/>
              </w:rPr>
              <w:t>1.1</w:t>
            </w:r>
            <w:r>
              <w:rPr>
                <w:rFonts w:eastAsiaTheme="minorEastAsia"/>
                <w:kern w:val="2"/>
                <w:sz w:val="24"/>
                <w:szCs w:val="24"/>
                <w:lang w:eastAsia="en-AU"/>
                <w14:ligatures w14:val="standardContextual"/>
              </w:rPr>
              <w:tab/>
            </w:r>
            <w:r w:rsidRPr="007867DD">
              <w:rPr>
                <w:rStyle w:val="Hyperlink"/>
              </w:rPr>
              <w:t>Role of the Emissions Reduction Assurance Committee</w:t>
            </w:r>
            <w:r>
              <w:rPr>
                <w:webHidden/>
              </w:rPr>
              <w:tab/>
            </w:r>
            <w:r>
              <w:rPr>
                <w:webHidden/>
              </w:rPr>
              <w:fldChar w:fldCharType="begin"/>
            </w:r>
            <w:r>
              <w:rPr>
                <w:webHidden/>
              </w:rPr>
              <w:instrText xml:space="preserve"> PAGEREF _Toc192068728 \h </w:instrText>
            </w:r>
            <w:r>
              <w:rPr>
                <w:webHidden/>
              </w:rPr>
            </w:r>
            <w:r>
              <w:rPr>
                <w:webHidden/>
              </w:rPr>
              <w:fldChar w:fldCharType="separate"/>
            </w:r>
            <w:r w:rsidR="00D57CCB">
              <w:rPr>
                <w:webHidden/>
              </w:rPr>
              <w:t>6</w:t>
            </w:r>
            <w:r>
              <w:rPr>
                <w:webHidden/>
              </w:rPr>
              <w:fldChar w:fldCharType="end"/>
            </w:r>
          </w:hyperlink>
        </w:p>
        <w:p w14:paraId="53DA3A83" w14:textId="38E33901" w:rsidR="0030502A" w:rsidRDefault="0030502A">
          <w:pPr>
            <w:pStyle w:val="TOC2"/>
            <w:tabs>
              <w:tab w:val="left" w:pos="1200"/>
            </w:tabs>
            <w:rPr>
              <w:rFonts w:eastAsiaTheme="minorEastAsia"/>
              <w:kern w:val="2"/>
              <w:sz w:val="24"/>
              <w:szCs w:val="24"/>
              <w:lang w:eastAsia="en-AU"/>
              <w14:ligatures w14:val="standardContextual"/>
            </w:rPr>
          </w:pPr>
          <w:hyperlink w:anchor="_Toc192068729" w:history="1">
            <w:r w:rsidRPr="007867DD">
              <w:rPr>
                <w:rStyle w:val="Hyperlink"/>
              </w:rPr>
              <w:t>1.2</w:t>
            </w:r>
            <w:r>
              <w:rPr>
                <w:rFonts w:eastAsiaTheme="minorEastAsia"/>
                <w:kern w:val="2"/>
                <w:sz w:val="24"/>
                <w:szCs w:val="24"/>
                <w:lang w:eastAsia="en-AU"/>
                <w14:ligatures w14:val="standardContextual"/>
              </w:rPr>
              <w:tab/>
            </w:r>
            <w:r w:rsidRPr="007867DD">
              <w:rPr>
                <w:rStyle w:val="Hyperlink"/>
              </w:rPr>
              <w:t>Scope of the review</w:t>
            </w:r>
            <w:r>
              <w:rPr>
                <w:webHidden/>
              </w:rPr>
              <w:tab/>
            </w:r>
            <w:r>
              <w:rPr>
                <w:webHidden/>
              </w:rPr>
              <w:fldChar w:fldCharType="begin"/>
            </w:r>
            <w:r>
              <w:rPr>
                <w:webHidden/>
              </w:rPr>
              <w:instrText xml:space="preserve"> PAGEREF _Toc192068729 \h </w:instrText>
            </w:r>
            <w:r>
              <w:rPr>
                <w:webHidden/>
              </w:rPr>
            </w:r>
            <w:r>
              <w:rPr>
                <w:webHidden/>
              </w:rPr>
              <w:fldChar w:fldCharType="separate"/>
            </w:r>
            <w:r w:rsidR="00D57CCB">
              <w:rPr>
                <w:webHidden/>
              </w:rPr>
              <w:t>7</w:t>
            </w:r>
            <w:r>
              <w:rPr>
                <w:webHidden/>
              </w:rPr>
              <w:fldChar w:fldCharType="end"/>
            </w:r>
          </w:hyperlink>
        </w:p>
        <w:p w14:paraId="76038C87" w14:textId="4B596AF5" w:rsidR="0030502A" w:rsidRDefault="0030502A">
          <w:pPr>
            <w:pStyle w:val="TOC2"/>
            <w:tabs>
              <w:tab w:val="left" w:pos="1200"/>
            </w:tabs>
            <w:rPr>
              <w:rFonts w:eastAsiaTheme="minorEastAsia"/>
              <w:kern w:val="2"/>
              <w:sz w:val="24"/>
              <w:szCs w:val="24"/>
              <w:lang w:eastAsia="en-AU"/>
              <w14:ligatures w14:val="standardContextual"/>
            </w:rPr>
          </w:pPr>
          <w:hyperlink w:anchor="_Toc192068730" w:history="1">
            <w:r w:rsidRPr="007867DD">
              <w:rPr>
                <w:rStyle w:val="Hyperlink"/>
              </w:rPr>
              <w:t>1.3</w:t>
            </w:r>
            <w:r>
              <w:rPr>
                <w:rFonts w:eastAsiaTheme="minorEastAsia"/>
                <w:kern w:val="2"/>
                <w:sz w:val="24"/>
                <w:szCs w:val="24"/>
                <w:lang w:eastAsia="en-AU"/>
                <w14:ligatures w14:val="standardContextual"/>
              </w:rPr>
              <w:tab/>
            </w:r>
            <w:r w:rsidRPr="007867DD">
              <w:rPr>
                <w:rStyle w:val="Hyperlink"/>
              </w:rPr>
              <w:t>Sources of information</w:t>
            </w:r>
            <w:r>
              <w:rPr>
                <w:webHidden/>
              </w:rPr>
              <w:tab/>
            </w:r>
            <w:r>
              <w:rPr>
                <w:webHidden/>
              </w:rPr>
              <w:fldChar w:fldCharType="begin"/>
            </w:r>
            <w:r>
              <w:rPr>
                <w:webHidden/>
              </w:rPr>
              <w:instrText xml:space="preserve"> PAGEREF _Toc192068730 \h </w:instrText>
            </w:r>
            <w:r>
              <w:rPr>
                <w:webHidden/>
              </w:rPr>
            </w:r>
            <w:r>
              <w:rPr>
                <w:webHidden/>
              </w:rPr>
              <w:fldChar w:fldCharType="separate"/>
            </w:r>
            <w:r w:rsidR="00D57CCB">
              <w:rPr>
                <w:webHidden/>
              </w:rPr>
              <w:t>10</w:t>
            </w:r>
            <w:r>
              <w:rPr>
                <w:webHidden/>
              </w:rPr>
              <w:fldChar w:fldCharType="end"/>
            </w:r>
          </w:hyperlink>
        </w:p>
        <w:p w14:paraId="01330830" w14:textId="18417C16" w:rsidR="0030502A" w:rsidRDefault="0030502A">
          <w:pPr>
            <w:pStyle w:val="TOC1"/>
            <w:rPr>
              <w:rFonts w:eastAsiaTheme="minorEastAsia"/>
              <w:b w:val="0"/>
              <w:kern w:val="2"/>
              <w:sz w:val="24"/>
              <w:szCs w:val="24"/>
              <w:lang w:eastAsia="en-AU"/>
              <w14:ligatures w14:val="standardContextual"/>
            </w:rPr>
          </w:pPr>
          <w:hyperlink w:anchor="_Toc192068731" w:history="1">
            <w:r w:rsidRPr="007867DD">
              <w:rPr>
                <w:rStyle w:val="Hyperlink"/>
              </w:rPr>
              <w:t>2</w:t>
            </w:r>
            <w:r>
              <w:rPr>
                <w:rFonts w:eastAsiaTheme="minorEastAsia"/>
                <w:b w:val="0"/>
                <w:kern w:val="2"/>
                <w:sz w:val="24"/>
                <w:szCs w:val="24"/>
                <w:lang w:eastAsia="en-AU"/>
                <w14:ligatures w14:val="standardContextual"/>
              </w:rPr>
              <w:tab/>
            </w:r>
            <w:r w:rsidRPr="007867DD">
              <w:rPr>
                <w:rStyle w:val="Hyperlink"/>
              </w:rPr>
              <w:t>Overview of the relevant methods</w:t>
            </w:r>
            <w:r>
              <w:rPr>
                <w:webHidden/>
              </w:rPr>
              <w:tab/>
            </w:r>
            <w:r>
              <w:rPr>
                <w:webHidden/>
              </w:rPr>
              <w:fldChar w:fldCharType="begin"/>
            </w:r>
            <w:r>
              <w:rPr>
                <w:webHidden/>
              </w:rPr>
              <w:instrText xml:space="preserve"> PAGEREF _Toc192068731 \h </w:instrText>
            </w:r>
            <w:r>
              <w:rPr>
                <w:webHidden/>
              </w:rPr>
            </w:r>
            <w:r>
              <w:rPr>
                <w:webHidden/>
              </w:rPr>
              <w:fldChar w:fldCharType="separate"/>
            </w:r>
            <w:r w:rsidR="00D57CCB">
              <w:rPr>
                <w:webHidden/>
              </w:rPr>
              <w:t>11</w:t>
            </w:r>
            <w:r>
              <w:rPr>
                <w:webHidden/>
              </w:rPr>
              <w:fldChar w:fldCharType="end"/>
            </w:r>
          </w:hyperlink>
        </w:p>
        <w:p w14:paraId="1DCDD7B5" w14:textId="373D7216" w:rsidR="0030502A" w:rsidRDefault="0030502A">
          <w:pPr>
            <w:pStyle w:val="TOC2"/>
            <w:tabs>
              <w:tab w:val="left" w:pos="1200"/>
            </w:tabs>
            <w:rPr>
              <w:rFonts w:eastAsiaTheme="minorEastAsia"/>
              <w:kern w:val="2"/>
              <w:sz w:val="24"/>
              <w:szCs w:val="24"/>
              <w:lang w:eastAsia="en-AU"/>
              <w14:ligatures w14:val="standardContextual"/>
            </w:rPr>
          </w:pPr>
          <w:hyperlink w:anchor="_Toc192068732" w:history="1">
            <w:r w:rsidRPr="007867DD">
              <w:rPr>
                <w:rStyle w:val="Hyperlink"/>
                <w:rFonts w:eastAsia="Calibri"/>
              </w:rPr>
              <w:t>2.1</w:t>
            </w:r>
            <w:r>
              <w:rPr>
                <w:rFonts w:eastAsiaTheme="minorEastAsia"/>
                <w:kern w:val="2"/>
                <w:sz w:val="24"/>
                <w:szCs w:val="24"/>
                <w:lang w:eastAsia="en-AU"/>
                <w14:ligatures w14:val="standardContextual"/>
              </w:rPr>
              <w:tab/>
            </w:r>
            <w:r w:rsidRPr="007867DD">
              <w:rPr>
                <w:rStyle w:val="Hyperlink"/>
                <w:rFonts w:eastAsia="Calibri"/>
              </w:rPr>
              <w:t>Animal Effluent Management (AEM) method 2019</w:t>
            </w:r>
            <w:r>
              <w:rPr>
                <w:webHidden/>
              </w:rPr>
              <w:tab/>
            </w:r>
            <w:r>
              <w:rPr>
                <w:webHidden/>
              </w:rPr>
              <w:fldChar w:fldCharType="begin"/>
            </w:r>
            <w:r>
              <w:rPr>
                <w:webHidden/>
              </w:rPr>
              <w:instrText xml:space="preserve"> PAGEREF _Toc192068732 \h </w:instrText>
            </w:r>
            <w:r>
              <w:rPr>
                <w:webHidden/>
              </w:rPr>
            </w:r>
            <w:r>
              <w:rPr>
                <w:webHidden/>
              </w:rPr>
              <w:fldChar w:fldCharType="separate"/>
            </w:r>
            <w:r w:rsidR="00D57CCB">
              <w:rPr>
                <w:webHidden/>
              </w:rPr>
              <w:t>11</w:t>
            </w:r>
            <w:r>
              <w:rPr>
                <w:webHidden/>
              </w:rPr>
              <w:fldChar w:fldCharType="end"/>
            </w:r>
          </w:hyperlink>
        </w:p>
        <w:p w14:paraId="7CD8EC0E" w14:textId="1EEB1BD2" w:rsidR="0030502A" w:rsidRDefault="0030502A">
          <w:pPr>
            <w:pStyle w:val="TOC2"/>
            <w:tabs>
              <w:tab w:val="left" w:pos="1200"/>
            </w:tabs>
            <w:rPr>
              <w:rFonts w:eastAsiaTheme="minorEastAsia"/>
              <w:kern w:val="2"/>
              <w:sz w:val="24"/>
              <w:szCs w:val="24"/>
              <w:lang w:eastAsia="en-AU"/>
              <w14:ligatures w14:val="standardContextual"/>
            </w:rPr>
          </w:pPr>
          <w:hyperlink w:anchor="_Toc192068733" w:history="1">
            <w:r w:rsidRPr="007867DD">
              <w:rPr>
                <w:rStyle w:val="Hyperlink"/>
                <w:rFonts w:eastAsia="Calibri"/>
              </w:rPr>
              <w:t>2.2</w:t>
            </w:r>
            <w:r>
              <w:rPr>
                <w:rFonts w:eastAsiaTheme="minorEastAsia"/>
                <w:kern w:val="2"/>
                <w:sz w:val="24"/>
                <w:szCs w:val="24"/>
                <w:lang w:eastAsia="en-AU"/>
                <w14:ligatures w14:val="standardContextual"/>
              </w:rPr>
              <w:tab/>
            </w:r>
            <w:r w:rsidRPr="007867DD">
              <w:rPr>
                <w:rStyle w:val="Hyperlink"/>
                <w:rFonts w:eastAsia="Calibri"/>
              </w:rPr>
              <w:t>Wastewater method 2015</w:t>
            </w:r>
            <w:r>
              <w:rPr>
                <w:webHidden/>
              </w:rPr>
              <w:tab/>
            </w:r>
            <w:r>
              <w:rPr>
                <w:webHidden/>
              </w:rPr>
              <w:fldChar w:fldCharType="begin"/>
            </w:r>
            <w:r>
              <w:rPr>
                <w:webHidden/>
              </w:rPr>
              <w:instrText xml:space="preserve"> PAGEREF _Toc192068733 \h </w:instrText>
            </w:r>
            <w:r>
              <w:rPr>
                <w:webHidden/>
              </w:rPr>
            </w:r>
            <w:r>
              <w:rPr>
                <w:webHidden/>
              </w:rPr>
              <w:fldChar w:fldCharType="separate"/>
            </w:r>
            <w:r w:rsidR="00D57CCB">
              <w:rPr>
                <w:webHidden/>
              </w:rPr>
              <w:t>12</w:t>
            </w:r>
            <w:r>
              <w:rPr>
                <w:webHidden/>
              </w:rPr>
              <w:fldChar w:fldCharType="end"/>
            </w:r>
          </w:hyperlink>
        </w:p>
        <w:p w14:paraId="28E4CE5C" w14:textId="0B82F050" w:rsidR="0030502A" w:rsidRDefault="0030502A">
          <w:pPr>
            <w:pStyle w:val="TOC1"/>
            <w:rPr>
              <w:rFonts w:eastAsiaTheme="minorEastAsia"/>
              <w:b w:val="0"/>
              <w:kern w:val="2"/>
              <w:sz w:val="24"/>
              <w:szCs w:val="24"/>
              <w:lang w:eastAsia="en-AU"/>
              <w14:ligatures w14:val="standardContextual"/>
            </w:rPr>
          </w:pPr>
          <w:hyperlink w:anchor="_Toc192068734" w:history="1">
            <w:r w:rsidRPr="007867DD">
              <w:rPr>
                <w:rStyle w:val="Hyperlink"/>
              </w:rPr>
              <w:t>3</w:t>
            </w:r>
            <w:r>
              <w:rPr>
                <w:rFonts w:eastAsiaTheme="minorEastAsia"/>
                <w:b w:val="0"/>
                <w:kern w:val="2"/>
                <w:sz w:val="24"/>
                <w:szCs w:val="24"/>
                <w:lang w:eastAsia="en-AU"/>
                <w14:ligatures w14:val="standardContextual"/>
              </w:rPr>
              <w:tab/>
            </w:r>
            <w:r w:rsidRPr="007867DD">
              <w:rPr>
                <w:rStyle w:val="Hyperlink"/>
              </w:rPr>
              <w:t>Feedback sought from stakeholders</w:t>
            </w:r>
            <w:r>
              <w:rPr>
                <w:webHidden/>
              </w:rPr>
              <w:tab/>
            </w:r>
            <w:r>
              <w:rPr>
                <w:webHidden/>
              </w:rPr>
              <w:fldChar w:fldCharType="begin"/>
            </w:r>
            <w:r>
              <w:rPr>
                <w:webHidden/>
              </w:rPr>
              <w:instrText xml:space="preserve"> PAGEREF _Toc192068734 \h </w:instrText>
            </w:r>
            <w:r>
              <w:rPr>
                <w:webHidden/>
              </w:rPr>
            </w:r>
            <w:r>
              <w:rPr>
                <w:webHidden/>
              </w:rPr>
              <w:fldChar w:fldCharType="separate"/>
            </w:r>
            <w:r w:rsidR="00D57CCB">
              <w:rPr>
                <w:webHidden/>
              </w:rPr>
              <w:t>14</w:t>
            </w:r>
            <w:r>
              <w:rPr>
                <w:webHidden/>
              </w:rPr>
              <w:fldChar w:fldCharType="end"/>
            </w:r>
          </w:hyperlink>
        </w:p>
        <w:p w14:paraId="6CCD65A1" w14:textId="6223C0B5" w:rsidR="0030502A" w:rsidRDefault="0030502A">
          <w:pPr>
            <w:pStyle w:val="TOC2"/>
            <w:tabs>
              <w:tab w:val="left" w:pos="1200"/>
            </w:tabs>
            <w:rPr>
              <w:rFonts w:eastAsiaTheme="minorEastAsia"/>
              <w:kern w:val="2"/>
              <w:sz w:val="24"/>
              <w:szCs w:val="24"/>
              <w:lang w:eastAsia="en-AU"/>
              <w14:ligatures w14:val="standardContextual"/>
            </w:rPr>
          </w:pPr>
          <w:hyperlink w:anchor="_Toc192068735" w:history="1">
            <w:r w:rsidRPr="007867DD">
              <w:rPr>
                <w:rStyle w:val="Hyperlink"/>
                <w:lang w:eastAsia="ja-JP"/>
              </w:rPr>
              <w:t>3.1</w:t>
            </w:r>
            <w:r>
              <w:rPr>
                <w:rFonts w:eastAsiaTheme="minorEastAsia"/>
                <w:kern w:val="2"/>
                <w:sz w:val="24"/>
                <w:szCs w:val="24"/>
                <w:lang w:eastAsia="en-AU"/>
                <w14:ligatures w14:val="standardContextual"/>
              </w:rPr>
              <w:tab/>
            </w:r>
            <w:r w:rsidRPr="007867DD">
              <w:rPr>
                <w:rStyle w:val="Hyperlink"/>
                <w:lang w:eastAsia="ja-JP"/>
              </w:rPr>
              <w:t>Assessment against the Offsets Integrity Standards</w:t>
            </w:r>
            <w:r>
              <w:rPr>
                <w:webHidden/>
              </w:rPr>
              <w:tab/>
            </w:r>
            <w:r>
              <w:rPr>
                <w:webHidden/>
              </w:rPr>
              <w:fldChar w:fldCharType="begin"/>
            </w:r>
            <w:r>
              <w:rPr>
                <w:webHidden/>
              </w:rPr>
              <w:instrText xml:space="preserve"> PAGEREF _Toc192068735 \h </w:instrText>
            </w:r>
            <w:r>
              <w:rPr>
                <w:webHidden/>
              </w:rPr>
            </w:r>
            <w:r>
              <w:rPr>
                <w:webHidden/>
              </w:rPr>
              <w:fldChar w:fldCharType="separate"/>
            </w:r>
            <w:r w:rsidR="00D57CCB">
              <w:rPr>
                <w:webHidden/>
              </w:rPr>
              <w:t>14</w:t>
            </w:r>
            <w:r>
              <w:rPr>
                <w:webHidden/>
              </w:rPr>
              <w:fldChar w:fldCharType="end"/>
            </w:r>
          </w:hyperlink>
        </w:p>
        <w:p w14:paraId="1EC0B2E6" w14:textId="1EB23CE1" w:rsidR="0030502A" w:rsidRDefault="0030502A">
          <w:pPr>
            <w:pStyle w:val="TOC2"/>
            <w:tabs>
              <w:tab w:val="left" w:pos="1200"/>
            </w:tabs>
            <w:rPr>
              <w:rFonts w:eastAsiaTheme="minorEastAsia"/>
              <w:kern w:val="2"/>
              <w:sz w:val="24"/>
              <w:szCs w:val="24"/>
              <w:lang w:eastAsia="en-AU"/>
              <w14:ligatures w14:val="standardContextual"/>
            </w:rPr>
          </w:pPr>
          <w:hyperlink w:anchor="_Toc192068736" w:history="1">
            <w:r w:rsidRPr="007867DD">
              <w:rPr>
                <w:rStyle w:val="Hyperlink"/>
                <w:lang w:eastAsia="ja-JP"/>
              </w:rPr>
              <w:t>3.2</w:t>
            </w:r>
            <w:r>
              <w:rPr>
                <w:rFonts w:eastAsiaTheme="minorEastAsia"/>
                <w:kern w:val="2"/>
                <w:sz w:val="24"/>
                <w:szCs w:val="24"/>
                <w:lang w:eastAsia="en-AU"/>
                <w14:ligatures w14:val="standardContextual"/>
              </w:rPr>
              <w:tab/>
            </w:r>
            <w:r w:rsidRPr="007867DD">
              <w:rPr>
                <w:rStyle w:val="Hyperlink"/>
                <w:lang w:eastAsia="ja-JP"/>
              </w:rPr>
              <w:t>Opportunity to integrate Wastewater method 2015</w:t>
            </w:r>
            <w:r>
              <w:rPr>
                <w:webHidden/>
              </w:rPr>
              <w:tab/>
            </w:r>
            <w:r>
              <w:rPr>
                <w:webHidden/>
              </w:rPr>
              <w:fldChar w:fldCharType="begin"/>
            </w:r>
            <w:r>
              <w:rPr>
                <w:webHidden/>
              </w:rPr>
              <w:instrText xml:space="preserve"> PAGEREF _Toc192068736 \h </w:instrText>
            </w:r>
            <w:r>
              <w:rPr>
                <w:webHidden/>
              </w:rPr>
            </w:r>
            <w:r>
              <w:rPr>
                <w:webHidden/>
              </w:rPr>
              <w:fldChar w:fldCharType="separate"/>
            </w:r>
            <w:r w:rsidR="00D57CCB">
              <w:rPr>
                <w:webHidden/>
              </w:rPr>
              <w:t>16</w:t>
            </w:r>
            <w:r>
              <w:rPr>
                <w:webHidden/>
              </w:rPr>
              <w:fldChar w:fldCharType="end"/>
            </w:r>
          </w:hyperlink>
        </w:p>
        <w:p w14:paraId="619BDA20" w14:textId="54A6586B" w:rsidR="0030502A" w:rsidRDefault="0030502A">
          <w:pPr>
            <w:pStyle w:val="TOC2"/>
            <w:tabs>
              <w:tab w:val="left" w:pos="1200"/>
            </w:tabs>
            <w:rPr>
              <w:rFonts w:eastAsiaTheme="minorEastAsia"/>
              <w:kern w:val="2"/>
              <w:sz w:val="24"/>
              <w:szCs w:val="24"/>
              <w:lang w:eastAsia="en-AU"/>
              <w14:ligatures w14:val="standardContextual"/>
            </w:rPr>
          </w:pPr>
          <w:hyperlink w:anchor="_Toc192068737" w:history="1">
            <w:r w:rsidRPr="007867DD">
              <w:rPr>
                <w:rStyle w:val="Hyperlink"/>
                <w:lang w:eastAsia="ja-JP"/>
              </w:rPr>
              <w:t>3.3</w:t>
            </w:r>
            <w:r>
              <w:rPr>
                <w:rFonts w:eastAsiaTheme="minorEastAsia"/>
                <w:kern w:val="2"/>
                <w:sz w:val="24"/>
                <w:szCs w:val="24"/>
                <w:lang w:eastAsia="en-AU"/>
                <w14:ligatures w14:val="standardContextual"/>
              </w:rPr>
              <w:tab/>
            </w:r>
            <w:r w:rsidRPr="007867DD">
              <w:rPr>
                <w:rStyle w:val="Hyperlink"/>
                <w:lang w:eastAsia="ja-JP"/>
              </w:rPr>
              <w:t>Transitioning and restarting provisions for AEM and Wastewater projects</w:t>
            </w:r>
            <w:r>
              <w:rPr>
                <w:webHidden/>
              </w:rPr>
              <w:tab/>
            </w:r>
            <w:r>
              <w:rPr>
                <w:webHidden/>
              </w:rPr>
              <w:fldChar w:fldCharType="begin"/>
            </w:r>
            <w:r>
              <w:rPr>
                <w:webHidden/>
              </w:rPr>
              <w:instrText xml:space="preserve"> PAGEREF _Toc192068737 \h </w:instrText>
            </w:r>
            <w:r>
              <w:rPr>
                <w:webHidden/>
              </w:rPr>
            </w:r>
            <w:r>
              <w:rPr>
                <w:webHidden/>
              </w:rPr>
              <w:fldChar w:fldCharType="separate"/>
            </w:r>
            <w:r w:rsidR="00D57CCB">
              <w:rPr>
                <w:webHidden/>
              </w:rPr>
              <w:t>17</w:t>
            </w:r>
            <w:r>
              <w:rPr>
                <w:webHidden/>
              </w:rPr>
              <w:fldChar w:fldCharType="end"/>
            </w:r>
          </w:hyperlink>
        </w:p>
        <w:p w14:paraId="330BDCC9" w14:textId="2ADC7444" w:rsidR="0030502A" w:rsidRDefault="0030502A">
          <w:pPr>
            <w:pStyle w:val="TOC2"/>
            <w:tabs>
              <w:tab w:val="left" w:pos="1200"/>
            </w:tabs>
            <w:rPr>
              <w:rFonts w:eastAsiaTheme="minorEastAsia"/>
              <w:kern w:val="2"/>
              <w:sz w:val="24"/>
              <w:szCs w:val="24"/>
              <w:lang w:eastAsia="en-AU"/>
              <w14:ligatures w14:val="standardContextual"/>
            </w:rPr>
          </w:pPr>
          <w:hyperlink w:anchor="_Toc192068738" w:history="1">
            <w:r w:rsidRPr="007867DD">
              <w:rPr>
                <w:rStyle w:val="Hyperlink"/>
                <w:lang w:eastAsia="ja-JP"/>
              </w:rPr>
              <w:t>3.4</w:t>
            </w:r>
            <w:r>
              <w:rPr>
                <w:rFonts w:eastAsiaTheme="minorEastAsia"/>
                <w:kern w:val="2"/>
                <w:sz w:val="24"/>
                <w:szCs w:val="24"/>
                <w:lang w:eastAsia="en-AU"/>
                <w14:ligatures w14:val="standardContextual"/>
              </w:rPr>
              <w:tab/>
            </w:r>
            <w:r w:rsidRPr="007867DD">
              <w:rPr>
                <w:rStyle w:val="Hyperlink"/>
                <w:lang w:eastAsia="ja-JP"/>
              </w:rPr>
              <w:t>Definition and inclusion/exclusion of Eligible Material</w:t>
            </w:r>
            <w:r>
              <w:rPr>
                <w:webHidden/>
              </w:rPr>
              <w:tab/>
            </w:r>
            <w:r>
              <w:rPr>
                <w:webHidden/>
              </w:rPr>
              <w:fldChar w:fldCharType="begin"/>
            </w:r>
            <w:r>
              <w:rPr>
                <w:webHidden/>
              </w:rPr>
              <w:instrText xml:space="preserve"> PAGEREF _Toc192068738 \h </w:instrText>
            </w:r>
            <w:r>
              <w:rPr>
                <w:webHidden/>
              </w:rPr>
            </w:r>
            <w:r>
              <w:rPr>
                <w:webHidden/>
              </w:rPr>
              <w:fldChar w:fldCharType="separate"/>
            </w:r>
            <w:r w:rsidR="00D57CCB">
              <w:rPr>
                <w:webHidden/>
              </w:rPr>
              <w:t>17</w:t>
            </w:r>
            <w:r>
              <w:rPr>
                <w:webHidden/>
              </w:rPr>
              <w:fldChar w:fldCharType="end"/>
            </w:r>
          </w:hyperlink>
        </w:p>
        <w:p w14:paraId="6921D8B8" w14:textId="50EE50BB" w:rsidR="0030502A" w:rsidRDefault="0030502A">
          <w:pPr>
            <w:pStyle w:val="TOC2"/>
            <w:tabs>
              <w:tab w:val="left" w:pos="1200"/>
            </w:tabs>
            <w:rPr>
              <w:rFonts w:eastAsiaTheme="minorEastAsia"/>
              <w:kern w:val="2"/>
              <w:sz w:val="24"/>
              <w:szCs w:val="24"/>
              <w:lang w:eastAsia="en-AU"/>
              <w14:ligatures w14:val="standardContextual"/>
            </w:rPr>
          </w:pPr>
          <w:hyperlink w:anchor="_Toc192068739" w:history="1">
            <w:r w:rsidRPr="007867DD">
              <w:rPr>
                <w:rStyle w:val="Hyperlink"/>
                <w:lang w:eastAsia="ja-JP"/>
              </w:rPr>
              <w:t>3.5</w:t>
            </w:r>
            <w:r>
              <w:rPr>
                <w:rFonts w:eastAsiaTheme="minorEastAsia"/>
                <w:kern w:val="2"/>
                <w:sz w:val="24"/>
                <w:szCs w:val="24"/>
                <w:lang w:eastAsia="en-AU"/>
                <w14:ligatures w14:val="standardContextual"/>
              </w:rPr>
              <w:tab/>
            </w:r>
            <w:r w:rsidRPr="007867DD">
              <w:rPr>
                <w:rStyle w:val="Hyperlink"/>
                <w:lang w:eastAsia="ja-JP"/>
              </w:rPr>
              <w:t>Biomethane activity</w:t>
            </w:r>
            <w:r>
              <w:rPr>
                <w:webHidden/>
              </w:rPr>
              <w:tab/>
            </w:r>
            <w:r>
              <w:rPr>
                <w:webHidden/>
              </w:rPr>
              <w:fldChar w:fldCharType="begin"/>
            </w:r>
            <w:r>
              <w:rPr>
                <w:webHidden/>
              </w:rPr>
              <w:instrText xml:space="preserve"> PAGEREF _Toc192068739 \h </w:instrText>
            </w:r>
            <w:r>
              <w:rPr>
                <w:webHidden/>
              </w:rPr>
            </w:r>
            <w:r>
              <w:rPr>
                <w:webHidden/>
              </w:rPr>
              <w:fldChar w:fldCharType="separate"/>
            </w:r>
            <w:r w:rsidR="00D57CCB">
              <w:rPr>
                <w:webHidden/>
              </w:rPr>
              <w:t>18</w:t>
            </w:r>
            <w:r>
              <w:rPr>
                <w:webHidden/>
              </w:rPr>
              <w:fldChar w:fldCharType="end"/>
            </w:r>
          </w:hyperlink>
        </w:p>
        <w:p w14:paraId="5283F28B" w14:textId="36AEEC13" w:rsidR="0030502A" w:rsidRDefault="0030502A">
          <w:pPr>
            <w:pStyle w:val="TOC2"/>
            <w:tabs>
              <w:tab w:val="left" w:pos="1200"/>
            </w:tabs>
            <w:rPr>
              <w:rFonts w:eastAsiaTheme="minorEastAsia"/>
              <w:kern w:val="2"/>
              <w:sz w:val="24"/>
              <w:szCs w:val="24"/>
              <w:lang w:eastAsia="en-AU"/>
              <w14:ligatures w14:val="standardContextual"/>
            </w:rPr>
          </w:pPr>
          <w:hyperlink w:anchor="_Toc192068740" w:history="1">
            <w:r w:rsidRPr="007867DD">
              <w:rPr>
                <w:rStyle w:val="Hyperlink"/>
                <w:lang w:val="en-US" w:eastAsia="ja-JP"/>
              </w:rPr>
              <w:t>3.6</w:t>
            </w:r>
            <w:r>
              <w:rPr>
                <w:rFonts w:eastAsiaTheme="minorEastAsia"/>
                <w:kern w:val="2"/>
                <w:sz w:val="24"/>
                <w:szCs w:val="24"/>
                <w:lang w:eastAsia="en-AU"/>
                <w14:ligatures w14:val="standardContextual"/>
              </w:rPr>
              <w:tab/>
            </w:r>
            <w:r w:rsidRPr="007867DD">
              <w:rPr>
                <w:rStyle w:val="Hyperlink"/>
                <w:lang w:val="en-US" w:eastAsia="ja-JP"/>
              </w:rPr>
              <w:t>Digestate treatment options &amp; emissions from end-management of digestate</w:t>
            </w:r>
            <w:r>
              <w:rPr>
                <w:webHidden/>
              </w:rPr>
              <w:tab/>
            </w:r>
            <w:r>
              <w:rPr>
                <w:webHidden/>
              </w:rPr>
              <w:fldChar w:fldCharType="begin"/>
            </w:r>
            <w:r>
              <w:rPr>
                <w:webHidden/>
              </w:rPr>
              <w:instrText xml:space="preserve"> PAGEREF _Toc192068740 \h </w:instrText>
            </w:r>
            <w:r>
              <w:rPr>
                <w:webHidden/>
              </w:rPr>
            </w:r>
            <w:r>
              <w:rPr>
                <w:webHidden/>
              </w:rPr>
              <w:fldChar w:fldCharType="separate"/>
            </w:r>
            <w:r w:rsidR="00D57CCB">
              <w:rPr>
                <w:webHidden/>
              </w:rPr>
              <w:t>20</w:t>
            </w:r>
            <w:r>
              <w:rPr>
                <w:webHidden/>
              </w:rPr>
              <w:fldChar w:fldCharType="end"/>
            </w:r>
          </w:hyperlink>
        </w:p>
        <w:p w14:paraId="2AFCA753" w14:textId="6D2C9190" w:rsidR="0030502A" w:rsidRDefault="0030502A">
          <w:pPr>
            <w:pStyle w:val="TOC2"/>
            <w:tabs>
              <w:tab w:val="left" w:pos="1200"/>
            </w:tabs>
            <w:rPr>
              <w:rFonts w:eastAsiaTheme="minorEastAsia"/>
              <w:kern w:val="2"/>
              <w:sz w:val="24"/>
              <w:szCs w:val="24"/>
              <w:lang w:eastAsia="en-AU"/>
              <w14:ligatures w14:val="standardContextual"/>
            </w:rPr>
          </w:pPr>
          <w:hyperlink w:anchor="_Toc192068741" w:history="1">
            <w:r w:rsidRPr="007867DD">
              <w:rPr>
                <w:rStyle w:val="Hyperlink"/>
                <w:lang w:eastAsia="ja-JP"/>
              </w:rPr>
              <w:t>3.7</w:t>
            </w:r>
            <w:r>
              <w:rPr>
                <w:rFonts w:eastAsiaTheme="minorEastAsia"/>
                <w:kern w:val="2"/>
                <w:sz w:val="24"/>
                <w:szCs w:val="24"/>
                <w:lang w:eastAsia="en-AU"/>
                <w14:ligatures w14:val="standardContextual"/>
              </w:rPr>
              <w:tab/>
            </w:r>
            <w:r w:rsidRPr="007867DD">
              <w:rPr>
                <w:rStyle w:val="Hyperlink"/>
                <w:lang w:eastAsia="ja-JP"/>
              </w:rPr>
              <w:t>Need for solids separation and aerobic treatment</w:t>
            </w:r>
            <w:r>
              <w:rPr>
                <w:webHidden/>
              </w:rPr>
              <w:tab/>
            </w:r>
            <w:r>
              <w:rPr>
                <w:webHidden/>
              </w:rPr>
              <w:fldChar w:fldCharType="begin"/>
            </w:r>
            <w:r>
              <w:rPr>
                <w:webHidden/>
              </w:rPr>
              <w:instrText xml:space="preserve"> PAGEREF _Toc192068741 \h </w:instrText>
            </w:r>
            <w:r>
              <w:rPr>
                <w:webHidden/>
              </w:rPr>
            </w:r>
            <w:r>
              <w:rPr>
                <w:webHidden/>
              </w:rPr>
              <w:fldChar w:fldCharType="separate"/>
            </w:r>
            <w:r w:rsidR="00D57CCB">
              <w:rPr>
                <w:webHidden/>
              </w:rPr>
              <w:t>21</w:t>
            </w:r>
            <w:r>
              <w:rPr>
                <w:webHidden/>
              </w:rPr>
              <w:fldChar w:fldCharType="end"/>
            </w:r>
          </w:hyperlink>
        </w:p>
        <w:p w14:paraId="39ABD30D" w14:textId="63605CFA" w:rsidR="0030502A" w:rsidRDefault="0030502A">
          <w:pPr>
            <w:pStyle w:val="TOC2"/>
            <w:tabs>
              <w:tab w:val="left" w:pos="1200"/>
            </w:tabs>
            <w:rPr>
              <w:rFonts w:eastAsiaTheme="minorEastAsia"/>
              <w:kern w:val="2"/>
              <w:sz w:val="24"/>
              <w:szCs w:val="24"/>
              <w:lang w:eastAsia="en-AU"/>
              <w14:ligatures w14:val="standardContextual"/>
            </w:rPr>
          </w:pPr>
          <w:hyperlink w:anchor="_Toc192068742" w:history="1">
            <w:r w:rsidRPr="007867DD">
              <w:rPr>
                <w:rStyle w:val="Hyperlink"/>
                <w:lang w:eastAsia="ja-JP"/>
              </w:rPr>
              <w:t>3.8</w:t>
            </w:r>
            <w:r>
              <w:rPr>
                <w:rFonts w:eastAsiaTheme="minorEastAsia"/>
                <w:kern w:val="2"/>
                <w:sz w:val="24"/>
                <w:szCs w:val="24"/>
                <w:lang w:eastAsia="en-AU"/>
                <w14:ligatures w14:val="standardContextual"/>
              </w:rPr>
              <w:tab/>
            </w:r>
            <w:r w:rsidRPr="007867DD">
              <w:rPr>
                <w:rStyle w:val="Hyperlink"/>
                <w:lang w:eastAsia="ja-JP"/>
              </w:rPr>
              <w:t>Use of biogas for heating</w:t>
            </w:r>
            <w:r>
              <w:rPr>
                <w:webHidden/>
              </w:rPr>
              <w:tab/>
            </w:r>
            <w:r>
              <w:rPr>
                <w:webHidden/>
              </w:rPr>
              <w:fldChar w:fldCharType="begin"/>
            </w:r>
            <w:r>
              <w:rPr>
                <w:webHidden/>
              </w:rPr>
              <w:instrText xml:space="preserve"> PAGEREF _Toc192068742 \h </w:instrText>
            </w:r>
            <w:r>
              <w:rPr>
                <w:webHidden/>
              </w:rPr>
            </w:r>
            <w:r>
              <w:rPr>
                <w:webHidden/>
              </w:rPr>
              <w:fldChar w:fldCharType="separate"/>
            </w:r>
            <w:r w:rsidR="00D57CCB">
              <w:rPr>
                <w:webHidden/>
              </w:rPr>
              <w:t>22</w:t>
            </w:r>
            <w:r>
              <w:rPr>
                <w:webHidden/>
              </w:rPr>
              <w:fldChar w:fldCharType="end"/>
            </w:r>
          </w:hyperlink>
        </w:p>
        <w:p w14:paraId="0FCC6088" w14:textId="4870510D" w:rsidR="0030502A" w:rsidRDefault="0030502A">
          <w:pPr>
            <w:pStyle w:val="TOC2"/>
            <w:tabs>
              <w:tab w:val="left" w:pos="1200"/>
            </w:tabs>
            <w:rPr>
              <w:rFonts w:eastAsiaTheme="minorEastAsia"/>
              <w:kern w:val="2"/>
              <w:sz w:val="24"/>
              <w:szCs w:val="24"/>
              <w:lang w:eastAsia="en-AU"/>
              <w14:ligatures w14:val="standardContextual"/>
            </w:rPr>
          </w:pPr>
          <w:hyperlink w:anchor="_Toc192068743" w:history="1">
            <w:r w:rsidRPr="007867DD">
              <w:rPr>
                <w:rStyle w:val="Hyperlink"/>
                <w:lang w:eastAsia="ja-JP"/>
              </w:rPr>
              <w:t>3.9</w:t>
            </w:r>
            <w:r>
              <w:rPr>
                <w:rFonts w:eastAsiaTheme="minorEastAsia"/>
                <w:kern w:val="2"/>
                <w:sz w:val="24"/>
                <w:szCs w:val="24"/>
                <w:lang w:eastAsia="en-AU"/>
                <w14:ligatures w14:val="standardContextual"/>
              </w:rPr>
              <w:tab/>
            </w:r>
            <w:r w:rsidRPr="007867DD">
              <w:rPr>
                <w:rStyle w:val="Hyperlink"/>
                <w:lang w:eastAsia="ja-JP"/>
              </w:rPr>
              <w:t>Gas (and electricity) displacement abatement</w:t>
            </w:r>
            <w:r>
              <w:rPr>
                <w:webHidden/>
              </w:rPr>
              <w:tab/>
            </w:r>
            <w:r>
              <w:rPr>
                <w:webHidden/>
              </w:rPr>
              <w:fldChar w:fldCharType="begin"/>
            </w:r>
            <w:r>
              <w:rPr>
                <w:webHidden/>
              </w:rPr>
              <w:instrText xml:space="preserve"> PAGEREF _Toc192068743 \h </w:instrText>
            </w:r>
            <w:r>
              <w:rPr>
                <w:webHidden/>
              </w:rPr>
            </w:r>
            <w:r>
              <w:rPr>
                <w:webHidden/>
              </w:rPr>
              <w:fldChar w:fldCharType="separate"/>
            </w:r>
            <w:r w:rsidR="00D57CCB">
              <w:rPr>
                <w:webHidden/>
              </w:rPr>
              <w:t>22</w:t>
            </w:r>
            <w:r>
              <w:rPr>
                <w:webHidden/>
              </w:rPr>
              <w:fldChar w:fldCharType="end"/>
            </w:r>
          </w:hyperlink>
        </w:p>
        <w:p w14:paraId="2EA00DD6" w14:textId="5BB61E46" w:rsidR="0030502A" w:rsidRDefault="0030502A">
          <w:pPr>
            <w:pStyle w:val="TOC2"/>
            <w:tabs>
              <w:tab w:val="left" w:pos="1200"/>
            </w:tabs>
            <w:rPr>
              <w:rFonts w:eastAsiaTheme="minorEastAsia"/>
              <w:kern w:val="2"/>
              <w:sz w:val="24"/>
              <w:szCs w:val="24"/>
              <w:lang w:eastAsia="en-AU"/>
              <w14:ligatures w14:val="standardContextual"/>
            </w:rPr>
          </w:pPr>
          <w:hyperlink w:anchor="_Toc192068744" w:history="1">
            <w:r w:rsidRPr="007867DD">
              <w:rPr>
                <w:rStyle w:val="Hyperlink"/>
                <w:lang w:eastAsia="ja-JP"/>
              </w:rPr>
              <w:t>3.10</w:t>
            </w:r>
            <w:r>
              <w:rPr>
                <w:rFonts w:eastAsiaTheme="minorEastAsia"/>
                <w:kern w:val="2"/>
                <w:sz w:val="24"/>
                <w:szCs w:val="24"/>
                <w:lang w:eastAsia="en-AU"/>
                <w14:ligatures w14:val="standardContextual"/>
              </w:rPr>
              <w:tab/>
            </w:r>
            <w:r w:rsidRPr="007867DD">
              <w:rPr>
                <w:rStyle w:val="Hyperlink"/>
                <w:lang w:eastAsia="ja-JP"/>
              </w:rPr>
              <w:t>Adequacy of deferral to start of crediting period</w:t>
            </w:r>
            <w:r>
              <w:rPr>
                <w:webHidden/>
              </w:rPr>
              <w:tab/>
            </w:r>
            <w:r>
              <w:rPr>
                <w:webHidden/>
              </w:rPr>
              <w:fldChar w:fldCharType="begin"/>
            </w:r>
            <w:r>
              <w:rPr>
                <w:webHidden/>
              </w:rPr>
              <w:instrText xml:space="preserve"> PAGEREF _Toc192068744 \h </w:instrText>
            </w:r>
            <w:r>
              <w:rPr>
                <w:webHidden/>
              </w:rPr>
            </w:r>
            <w:r>
              <w:rPr>
                <w:webHidden/>
              </w:rPr>
              <w:fldChar w:fldCharType="separate"/>
            </w:r>
            <w:r w:rsidR="00D57CCB">
              <w:rPr>
                <w:webHidden/>
              </w:rPr>
              <w:t>23</w:t>
            </w:r>
            <w:r>
              <w:rPr>
                <w:webHidden/>
              </w:rPr>
              <w:fldChar w:fldCharType="end"/>
            </w:r>
          </w:hyperlink>
        </w:p>
        <w:p w14:paraId="4D3F88B5" w14:textId="41601495" w:rsidR="0030502A" w:rsidRDefault="0030502A">
          <w:pPr>
            <w:pStyle w:val="TOC2"/>
            <w:tabs>
              <w:tab w:val="left" w:pos="1200"/>
            </w:tabs>
            <w:rPr>
              <w:rFonts w:eastAsiaTheme="minorEastAsia"/>
              <w:kern w:val="2"/>
              <w:sz w:val="24"/>
              <w:szCs w:val="24"/>
              <w:lang w:eastAsia="en-AU"/>
              <w14:ligatures w14:val="standardContextual"/>
            </w:rPr>
          </w:pPr>
          <w:hyperlink w:anchor="_Toc192068745" w:history="1">
            <w:r w:rsidRPr="007867DD">
              <w:rPr>
                <w:rStyle w:val="Hyperlink"/>
                <w:lang w:eastAsia="ja-JP"/>
              </w:rPr>
              <w:t>3.11</w:t>
            </w:r>
            <w:r>
              <w:rPr>
                <w:rFonts w:eastAsiaTheme="minorEastAsia"/>
                <w:kern w:val="2"/>
                <w:sz w:val="24"/>
                <w:szCs w:val="24"/>
                <w:lang w:eastAsia="en-AU"/>
                <w14:ligatures w14:val="standardContextual"/>
              </w:rPr>
              <w:tab/>
            </w:r>
            <w:r w:rsidRPr="007867DD">
              <w:rPr>
                <w:rStyle w:val="Hyperlink"/>
                <w:lang w:eastAsia="ja-JP"/>
              </w:rPr>
              <w:t>Difficulties meeting newness provisions given approvals processes</w:t>
            </w:r>
            <w:r>
              <w:rPr>
                <w:webHidden/>
              </w:rPr>
              <w:tab/>
            </w:r>
            <w:r>
              <w:rPr>
                <w:webHidden/>
              </w:rPr>
              <w:fldChar w:fldCharType="begin"/>
            </w:r>
            <w:r>
              <w:rPr>
                <w:webHidden/>
              </w:rPr>
              <w:instrText xml:space="preserve"> PAGEREF _Toc192068745 \h </w:instrText>
            </w:r>
            <w:r>
              <w:rPr>
                <w:webHidden/>
              </w:rPr>
            </w:r>
            <w:r>
              <w:rPr>
                <w:webHidden/>
              </w:rPr>
              <w:fldChar w:fldCharType="separate"/>
            </w:r>
            <w:r w:rsidR="00D57CCB">
              <w:rPr>
                <w:webHidden/>
              </w:rPr>
              <w:t>24</w:t>
            </w:r>
            <w:r>
              <w:rPr>
                <w:webHidden/>
              </w:rPr>
              <w:fldChar w:fldCharType="end"/>
            </w:r>
          </w:hyperlink>
        </w:p>
        <w:p w14:paraId="196C69EA" w14:textId="60E0717C" w:rsidR="0030502A" w:rsidRDefault="0030502A">
          <w:pPr>
            <w:pStyle w:val="TOC2"/>
            <w:tabs>
              <w:tab w:val="left" w:pos="1200"/>
            </w:tabs>
            <w:rPr>
              <w:rFonts w:eastAsiaTheme="minorEastAsia"/>
              <w:kern w:val="2"/>
              <w:sz w:val="24"/>
              <w:szCs w:val="24"/>
              <w:lang w:eastAsia="en-AU"/>
              <w14:ligatures w14:val="standardContextual"/>
            </w:rPr>
          </w:pPr>
          <w:hyperlink w:anchor="_Toc192068746" w:history="1">
            <w:r w:rsidRPr="007867DD">
              <w:rPr>
                <w:rStyle w:val="Hyperlink"/>
                <w:lang w:eastAsia="ja-JP"/>
              </w:rPr>
              <w:t>3.12</w:t>
            </w:r>
            <w:r>
              <w:rPr>
                <w:rFonts w:eastAsiaTheme="minorEastAsia"/>
                <w:kern w:val="2"/>
                <w:sz w:val="24"/>
                <w:szCs w:val="24"/>
                <w:lang w:eastAsia="en-AU"/>
                <w14:ligatures w14:val="standardContextual"/>
              </w:rPr>
              <w:tab/>
            </w:r>
            <w:r w:rsidRPr="007867DD">
              <w:rPr>
                <w:rStyle w:val="Hyperlink"/>
                <w:lang w:eastAsia="ja-JP"/>
              </w:rPr>
              <w:t>Usability and other improvements</w:t>
            </w:r>
            <w:r>
              <w:rPr>
                <w:webHidden/>
              </w:rPr>
              <w:tab/>
            </w:r>
            <w:r>
              <w:rPr>
                <w:webHidden/>
              </w:rPr>
              <w:fldChar w:fldCharType="begin"/>
            </w:r>
            <w:r>
              <w:rPr>
                <w:webHidden/>
              </w:rPr>
              <w:instrText xml:space="preserve"> PAGEREF _Toc192068746 \h </w:instrText>
            </w:r>
            <w:r>
              <w:rPr>
                <w:webHidden/>
              </w:rPr>
            </w:r>
            <w:r>
              <w:rPr>
                <w:webHidden/>
              </w:rPr>
              <w:fldChar w:fldCharType="separate"/>
            </w:r>
            <w:r w:rsidR="00D57CCB">
              <w:rPr>
                <w:webHidden/>
              </w:rPr>
              <w:t>24</w:t>
            </w:r>
            <w:r>
              <w:rPr>
                <w:webHidden/>
              </w:rPr>
              <w:fldChar w:fldCharType="end"/>
            </w:r>
          </w:hyperlink>
        </w:p>
        <w:p w14:paraId="4BD58CE8" w14:textId="6F27E788" w:rsidR="00764D6A" w:rsidRPr="00A32F36" w:rsidRDefault="00E91D72" w:rsidP="0052350A">
          <w:pPr>
            <w:pStyle w:val="TOC1"/>
            <w:spacing w:before="200" w:line="276" w:lineRule="auto"/>
            <w:rPr>
              <w:color w:val="017097" w:themeColor="accent1"/>
              <w:highlight w:val="yellow"/>
            </w:rPr>
          </w:pPr>
          <w:r w:rsidRPr="00A32F36">
            <w:rPr>
              <w:b w:val="0"/>
              <w:color w:val="017097" w:themeColor="accent1"/>
              <w:highlight w:val="yellow"/>
            </w:rPr>
            <w:fldChar w:fldCharType="end"/>
          </w:r>
        </w:p>
      </w:sdtContent>
    </w:sdt>
    <w:p w14:paraId="5A8B70FA" w14:textId="77777777" w:rsidR="00764D6A" w:rsidRPr="005C4620" w:rsidRDefault="00E91D72" w:rsidP="0052350A">
      <w:pPr>
        <w:pStyle w:val="TOCHeading2"/>
        <w:spacing w:before="200" w:after="120" w:line="276" w:lineRule="auto"/>
        <w:rPr>
          <w:rStyle w:val="Strong"/>
          <w:rFonts w:ascii="Calibri" w:eastAsiaTheme="minorEastAsia" w:hAnsi="Calibri"/>
          <w:bCs w:val="0"/>
          <w:color w:val="017097" w:themeColor="accent1"/>
          <w:sz w:val="56"/>
          <w:szCs w:val="28"/>
          <w:lang w:eastAsia="ja-JP"/>
        </w:rPr>
      </w:pPr>
      <w:r w:rsidRPr="005C4620">
        <w:rPr>
          <w:rStyle w:val="Strong"/>
          <w:color w:val="017097" w:themeColor="accent1"/>
        </w:rPr>
        <w:t>Tables</w:t>
      </w:r>
    </w:p>
    <w:p w14:paraId="49773F43" w14:textId="26474501" w:rsidR="00AA31A3" w:rsidRDefault="00E91D72">
      <w:pPr>
        <w:pStyle w:val="TableofFigures"/>
        <w:tabs>
          <w:tab w:val="right" w:leader="dot" w:pos="9060"/>
        </w:tabs>
        <w:rPr>
          <w:rFonts w:eastAsiaTheme="minorEastAsia"/>
          <w:noProof/>
          <w:kern w:val="2"/>
          <w:sz w:val="24"/>
          <w:szCs w:val="24"/>
          <w:lang w:eastAsia="en-AU"/>
          <w14:ligatures w14:val="standardContextual"/>
        </w:rPr>
      </w:pPr>
      <w:r w:rsidRPr="00A32F36">
        <w:rPr>
          <w:rStyle w:val="Hyperlink"/>
          <w:color w:val="017097" w:themeColor="accent1"/>
          <w:highlight w:val="yellow"/>
        </w:rPr>
        <w:fldChar w:fldCharType="begin"/>
      </w:r>
      <w:r w:rsidRPr="00A32F36">
        <w:rPr>
          <w:rStyle w:val="Hyperlink"/>
          <w:color w:val="017097" w:themeColor="accent1"/>
          <w:highlight w:val="yellow"/>
        </w:rPr>
        <w:instrText xml:space="preserve"> TOC \h \z \c "Table" </w:instrText>
      </w:r>
      <w:r w:rsidRPr="00A32F36">
        <w:rPr>
          <w:rStyle w:val="Hyperlink"/>
          <w:color w:val="017097" w:themeColor="accent1"/>
          <w:highlight w:val="yellow"/>
        </w:rPr>
        <w:fldChar w:fldCharType="separate"/>
      </w:r>
      <w:hyperlink w:anchor="_Toc189832181" w:history="1">
        <w:r w:rsidR="00AA31A3" w:rsidRPr="00F41FBA">
          <w:rPr>
            <w:rStyle w:val="Hyperlink"/>
            <w:noProof/>
          </w:rPr>
          <w:t>Table 1 Relevant ACCU Scheme methods and reviews</w:t>
        </w:r>
        <w:r w:rsidR="00AA31A3">
          <w:rPr>
            <w:noProof/>
            <w:webHidden/>
          </w:rPr>
          <w:tab/>
        </w:r>
        <w:r w:rsidR="00AA31A3">
          <w:rPr>
            <w:noProof/>
            <w:webHidden/>
          </w:rPr>
          <w:fldChar w:fldCharType="begin"/>
        </w:r>
        <w:r w:rsidR="00AA31A3">
          <w:rPr>
            <w:noProof/>
            <w:webHidden/>
          </w:rPr>
          <w:instrText xml:space="preserve"> PAGEREF _Toc189832181 \h </w:instrText>
        </w:r>
        <w:r w:rsidR="00AA31A3">
          <w:rPr>
            <w:noProof/>
            <w:webHidden/>
          </w:rPr>
        </w:r>
        <w:r w:rsidR="00AA31A3">
          <w:rPr>
            <w:noProof/>
            <w:webHidden/>
          </w:rPr>
          <w:fldChar w:fldCharType="separate"/>
        </w:r>
        <w:r w:rsidR="00D57CCB">
          <w:rPr>
            <w:noProof/>
            <w:webHidden/>
          </w:rPr>
          <w:t>8</w:t>
        </w:r>
        <w:r w:rsidR="00AA31A3">
          <w:rPr>
            <w:noProof/>
            <w:webHidden/>
          </w:rPr>
          <w:fldChar w:fldCharType="end"/>
        </w:r>
      </w:hyperlink>
    </w:p>
    <w:p w14:paraId="54E2926E" w14:textId="2C776778" w:rsidR="00764D6A" w:rsidRPr="00E06D10" w:rsidRDefault="00E91D72" w:rsidP="00E06D10">
      <w:pPr>
        <w:pStyle w:val="TableofFigures"/>
        <w:tabs>
          <w:tab w:val="right" w:leader="dot" w:pos="9060"/>
        </w:tabs>
        <w:rPr>
          <w:rStyle w:val="Hyperlink"/>
          <w:noProof/>
        </w:rPr>
      </w:pPr>
      <w:r w:rsidRPr="00A32F36">
        <w:rPr>
          <w:color w:val="017097" w:themeColor="accent1"/>
          <w:highlight w:val="yellow"/>
        </w:rPr>
        <w:fldChar w:fldCharType="end"/>
      </w:r>
      <w:r w:rsidR="00AA31A3" w:rsidRPr="00E06D10">
        <w:rPr>
          <w:rStyle w:val="Hyperlink"/>
          <w:noProof/>
        </w:rPr>
        <w:t xml:space="preserve">Table 2 </w:t>
      </w:r>
      <w:r w:rsidR="0068295C" w:rsidRPr="00E06D10">
        <w:rPr>
          <w:rStyle w:val="Hyperlink"/>
          <w:noProof/>
        </w:rPr>
        <w:t>Offsets Integrity Standards</w:t>
      </w:r>
      <w:r w:rsidR="0068295C" w:rsidRPr="00E06D10">
        <w:rPr>
          <w:rStyle w:val="Hyperlink"/>
          <w:noProof/>
        </w:rPr>
        <w:tab/>
        <w:t>9</w:t>
      </w:r>
    </w:p>
    <w:p w14:paraId="74320385" w14:textId="1C56CBC5" w:rsidR="00764D6A" w:rsidRPr="005C4620" w:rsidRDefault="00E91D72" w:rsidP="0052350A">
      <w:pPr>
        <w:pStyle w:val="Heading2"/>
        <w:spacing w:before="120" w:after="120" w:line="276" w:lineRule="auto"/>
      </w:pPr>
      <w:bookmarkStart w:id="1" w:name="_Toc430782150"/>
      <w:bookmarkStart w:id="2" w:name="_Toc192068727"/>
      <w:r w:rsidRPr="005C4620">
        <w:lastRenderedPageBreak/>
        <w:t>Introduction</w:t>
      </w:r>
      <w:bookmarkEnd w:id="1"/>
      <w:bookmarkEnd w:id="2"/>
    </w:p>
    <w:p w14:paraId="56E8BB4C" w14:textId="383B074F" w:rsidR="009A20D9" w:rsidRPr="005C4620" w:rsidRDefault="009A20D9" w:rsidP="00003D3E">
      <w:pPr>
        <w:spacing w:before="120" w:after="120"/>
      </w:pPr>
      <w:r w:rsidRPr="005C4620">
        <w:t>The Australian Carbon Credit Unit (ACCU) Scheme plays an important role in helping the Australian Government achieve its legislated emissions reductions targets of a 43</w:t>
      </w:r>
      <w:r w:rsidR="00C615C3" w:rsidRPr="005C4620">
        <w:t>%</w:t>
      </w:r>
      <w:r w:rsidRPr="005C4620">
        <w:t xml:space="preserve"> reduction on 2005 levels by 2030 and net zero by 2050. </w:t>
      </w:r>
      <w:r w:rsidR="0008145D">
        <w:t xml:space="preserve">Approximately 18 </w:t>
      </w:r>
      <w:r w:rsidRPr="005C4620">
        <w:t xml:space="preserve">million ACCUs were issued in </w:t>
      </w:r>
      <w:r w:rsidR="00242AF8">
        <w:t xml:space="preserve">the </w:t>
      </w:r>
      <w:r w:rsidRPr="005C4620">
        <w:t>2023</w:t>
      </w:r>
      <w:r w:rsidR="00242AF8">
        <w:t>-2024</w:t>
      </w:r>
      <w:r w:rsidR="00F3419C">
        <w:t xml:space="preserve"> financial year</w:t>
      </w:r>
      <w:r w:rsidR="006D2922" w:rsidRPr="005C4620">
        <w:t>,</w:t>
      </w:r>
      <w:r w:rsidRPr="005C4620">
        <w:t xml:space="preserve"> </w:t>
      </w:r>
      <w:r w:rsidR="00FD5AF5">
        <w:t xml:space="preserve">equivalent </w:t>
      </w:r>
      <w:r w:rsidRPr="005C4620">
        <w:t xml:space="preserve">to </w:t>
      </w:r>
      <w:r w:rsidR="00242AF8" w:rsidRPr="005C4620">
        <w:t>1</w:t>
      </w:r>
      <w:r w:rsidR="00242AF8">
        <w:t>8</w:t>
      </w:r>
      <w:r w:rsidR="00242AF8" w:rsidRPr="005C4620">
        <w:t xml:space="preserve"> </w:t>
      </w:r>
      <w:r w:rsidRPr="005C4620">
        <w:t>million tonnes (Mt) of abatement. Since 2012</w:t>
      </w:r>
      <w:r w:rsidR="00F53AB2">
        <w:t>,</w:t>
      </w:r>
      <w:r w:rsidRPr="005C4620">
        <w:t xml:space="preserve"> the ACCU Scheme has incentivised </w:t>
      </w:r>
      <w:r w:rsidR="001805E0">
        <w:t>nearly</w:t>
      </w:r>
      <w:r w:rsidRPr="005C4620">
        <w:t xml:space="preserve"> </w:t>
      </w:r>
      <w:r w:rsidR="00B643B3">
        <w:t>48</w:t>
      </w:r>
      <w:r w:rsidR="003E68BE">
        <w:t xml:space="preserve"> Mt </w:t>
      </w:r>
      <w:r w:rsidR="00B643B3">
        <w:t>of abatement from the waste secto</w:t>
      </w:r>
      <w:r w:rsidR="0052202E">
        <w:t>r (around 3</w:t>
      </w:r>
      <w:r w:rsidR="003E68BE">
        <w:t>1</w:t>
      </w:r>
      <w:r w:rsidR="0052202E">
        <w:t>%</w:t>
      </w:r>
      <w:r w:rsidR="007169B0">
        <w:t xml:space="preserve"> </w:t>
      </w:r>
      <w:r w:rsidR="007169B0" w:rsidRPr="005C4620">
        <w:t>of total credited abatement</w:t>
      </w:r>
      <w:r w:rsidR="0052202E">
        <w:t xml:space="preserve">) and </w:t>
      </w:r>
      <w:r w:rsidR="001805E0">
        <w:t xml:space="preserve">2.5 million tonnes </w:t>
      </w:r>
      <w:r w:rsidRPr="005C4620">
        <w:t xml:space="preserve">of abatement from the </w:t>
      </w:r>
      <w:r w:rsidR="001805E0">
        <w:t xml:space="preserve">agriculture </w:t>
      </w:r>
      <w:r w:rsidRPr="005C4620">
        <w:t xml:space="preserve">sector </w:t>
      </w:r>
      <w:r w:rsidR="009C40AC">
        <w:t>(</w:t>
      </w:r>
      <w:r w:rsidR="003E68BE">
        <w:t>almost</w:t>
      </w:r>
      <w:r w:rsidR="003816EE" w:rsidRPr="005C4620">
        <w:t xml:space="preserve"> </w:t>
      </w:r>
      <w:r w:rsidR="003E68BE">
        <w:t>2</w:t>
      </w:r>
      <w:r w:rsidR="00A1237A" w:rsidRPr="005C4620">
        <w:t>%</w:t>
      </w:r>
      <w:r w:rsidR="00880FD3">
        <w:t xml:space="preserve"> </w:t>
      </w:r>
      <w:r w:rsidRPr="005C4620">
        <w:t xml:space="preserve">of total </w:t>
      </w:r>
      <w:r w:rsidR="007B2C78" w:rsidRPr="005C4620">
        <w:t xml:space="preserve">credited </w:t>
      </w:r>
      <w:r w:rsidRPr="005C4620">
        <w:t>abatement</w:t>
      </w:r>
      <w:r w:rsidR="00AC30DF">
        <w:t>)</w:t>
      </w:r>
      <w:r w:rsidRPr="005C4620">
        <w:t>.</w:t>
      </w:r>
      <w:r w:rsidRPr="005C4620">
        <w:rPr>
          <w:rStyle w:val="FootnoteReference"/>
          <w:rFonts w:eastAsia="Calibri"/>
        </w:rPr>
        <w:footnoteReference w:id="2"/>
      </w:r>
    </w:p>
    <w:p w14:paraId="2B3B7305" w14:textId="22B84622" w:rsidR="00815B1B" w:rsidRPr="00CC7154" w:rsidRDefault="00815B1B" w:rsidP="0008145D">
      <w:pPr>
        <w:pStyle w:val="Heading3"/>
        <w:spacing w:before="120" w:after="120" w:line="276" w:lineRule="auto"/>
        <w:ind w:left="0" w:firstLine="0"/>
        <w:rPr>
          <w:color w:val="017097" w:themeColor="accent1"/>
        </w:rPr>
      </w:pPr>
      <w:bookmarkStart w:id="3" w:name="_Toc192068728"/>
      <w:r w:rsidRPr="00CC7154">
        <w:rPr>
          <w:color w:val="017097" w:themeColor="accent1"/>
        </w:rPr>
        <w:t>Role of the Emissions Reduction Assurance Committee</w:t>
      </w:r>
      <w:bookmarkEnd w:id="3"/>
      <w:r w:rsidRPr="00CC7154">
        <w:rPr>
          <w:color w:val="017097" w:themeColor="accent1"/>
        </w:rPr>
        <w:t xml:space="preserve"> </w:t>
      </w:r>
    </w:p>
    <w:p w14:paraId="4D96B48A" w14:textId="77777777" w:rsidR="005E4742" w:rsidRPr="005E4742" w:rsidRDefault="005E4742" w:rsidP="005E4742">
      <w:pPr>
        <w:spacing w:before="120" w:after="120"/>
      </w:pPr>
      <w:r w:rsidRPr="005E4742">
        <w:t xml:space="preserve">The Minister for Climate Change and Energy (the Minister) is responsible for making, varying or revoking methodology determinations (methods) in the ACCU Scheme. Under current administrative arrangements, the Assistant Minister for Climate Change and Energy is responsible for exercising the Minister’s powers regarding methods under the Act. </w:t>
      </w:r>
    </w:p>
    <w:p w14:paraId="6CE62701" w14:textId="09D45406" w:rsidR="005E4742" w:rsidRPr="005E4742" w:rsidRDefault="005E4742" w:rsidP="005E4742">
      <w:pPr>
        <w:spacing w:before="120" w:after="120"/>
      </w:pPr>
      <w:r w:rsidRPr="005E4742">
        <w:t xml:space="preserve">The Emissions Reduction Assurance Committee (the Committee) is an independent statutory committee established under the </w:t>
      </w:r>
      <w:r w:rsidRPr="0095604B">
        <w:rPr>
          <w:i/>
          <w:iCs/>
        </w:rPr>
        <w:t>Carbon Credits (Carbon Farming Initiative) Act 2011</w:t>
      </w:r>
      <w:r w:rsidRPr="005E4742">
        <w:t xml:space="preserve"> (the Act). The Committee’s functions include conducting reviews of ACCU Scheme methods and undertaking public consultation to ensure the methods continue to comply with the Act’s Offsets Integrity Standards (OIS) contained in s133(1). These functions are set out in ss255, 255AA, and 255A of the Act.</w:t>
      </w:r>
    </w:p>
    <w:p w14:paraId="62F6A87F" w14:textId="77777777" w:rsidR="005E4742" w:rsidRPr="005E4742" w:rsidRDefault="005E4742" w:rsidP="005E4742">
      <w:pPr>
        <w:spacing w:before="120" w:after="120"/>
      </w:pPr>
      <w:r w:rsidRPr="005E4742">
        <w:t xml:space="preserve">The outcome of periodic reviews is advice to the Minister on whether a method continues to comply with the OIS and, where appropriate, what amendments could be considered for incorporation into the method to improve its usability and encourage uptake (a variation). </w:t>
      </w:r>
    </w:p>
    <w:p w14:paraId="2BAAF464" w14:textId="77777777" w:rsidR="005E4742" w:rsidRPr="005E4742" w:rsidRDefault="005E4742" w:rsidP="005E4742">
      <w:pPr>
        <w:spacing w:before="120" w:after="120"/>
      </w:pPr>
      <w:r w:rsidRPr="005E4742">
        <w:t xml:space="preserve">If the Committee finds there is reasonable evidence a method no longer complies with one or more of the OIS, it can propose to make an order, by legislative instrument, under s27A(1) of the Act, to suspend the processing of applications for project declarations under the method for up to 12 months. </w:t>
      </w:r>
    </w:p>
    <w:p w14:paraId="218552F8" w14:textId="77777777" w:rsidR="005E4742" w:rsidRPr="005E4742" w:rsidRDefault="005E4742" w:rsidP="005E4742">
      <w:pPr>
        <w:spacing w:before="120" w:after="120"/>
      </w:pPr>
      <w:r w:rsidRPr="005E4742">
        <w:t>The findings of periodic reviews are provided to the Minister and published on the department’s website. In accordance with s114(6) and s123(2) of the Act, the Minister can then seek advice from the Committee as to whether the reviewed method should be varied or revoked.</w:t>
      </w:r>
    </w:p>
    <w:p w14:paraId="12CCA9AC" w14:textId="32009D45" w:rsidR="005E4742" w:rsidRPr="005E4742" w:rsidRDefault="005E4742" w:rsidP="005E4742">
      <w:pPr>
        <w:spacing w:before="120" w:after="120"/>
      </w:pPr>
      <w:r w:rsidRPr="005E4742">
        <w:t xml:space="preserve">In line with its method review function, the Committee is undertaking a periodic review of the </w:t>
      </w:r>
      <w:r w:rsidR="009810E9" w:rsidRPr="009810E9">
        <w:t xml:space="preserve">Carbon Credits (Carbon Farming Initiative – Animal Effluent Management) Methodology Determination 2019 </w:t>
      </w:r>
      <w:r w:rsidRPr="005E4742">
        <w:t>(</w:t>
      </w:r>
      <w:r w:rsidR="004A7255">
        <w:t>AEM method 2019</w:t>
      </w:r>
      <w:r w:rsidRPr="005E4742">
        <w:t>).</w:t>
      </w:r>
    </w:p>
    <w:p w14:paraId="63621FA4" w14:textId="57C3B90B" w:rsidR="005B2190" w:rsidRPr="00115C37" w:rsidRDefault="004B54AC" w:rsidP="00616DB7">
      <w:pPr>
        <w:pStyle w:val="Heading3"/>
        <w:spacing w:before="120" w:after="120" w:line="276" w:lineRule="auto"/>
        <w:rPr>
          <w:color w:val="017097" w:themeColor="accent1"/>
        </w:rPr>
      </w:pPr>
      <w:bookmarkStart w:id="4" w:name="_Toc192068729"/>
      <w:r w:rsidRPr="00115C37">
        <w:rPr>
          <w:color w:val="017097" w:themeColor="accent1"/>
        </w:rPr>
        <w:lastRenderedPageBreak/>
        <w:t>Scope of the review</w:t>
      </w:r>
      <w:bookmarkEnd w:id="4"/>
    </w:p>
    <w:p w14:paraId="11D44E27" w14:textId="06BB02D5" w:rsidR="00F31875" w:rsidRDefault="00460426" w:rsidP="00616DB7">
      <w:pPr>
        <w:spacing w:before="120" w:after="120"/>
        <w:rPr>
          <w:lang w:eastAsia="ja-JP"/>
        </w:rPr>
      </w:pPr>
      <w:r w:rsidRPr="00EC280A">
        <w:rPr>
          <w:lang w:eastAsia="ja-JP"/>
        </w:rPr>
        <w:t xml:space="preserve">The Committee is reviewing the </w:t>
      </w:r>
      <w:r w:rsidR="00053F71">
        <w:rPr>
          <w:lang w:eastAsia="ja-JP"/>
        </w:rPr>
        <w:t>AEM method 2019</w:t>
      </w:r>
      <w:r w:rsidRPr="00EC280A">
        <w:rPr>
          <w:lang w:eastAsia="ja-JP"/>
        </w:rPr>
        <w:t xml:space="preserve"> </w:t>
      </w:r>
      <w:r w:rsidR="00CB0A89">
        <w:rPr>
          <w:lang w:eastAsia="ja-JP"/>
        </w:rPr>
        <w:t xml:space="preserve">to </w:t>
      </w:r>
      <w:r w:rsidR="00CB0A89" w:rsidRPr="00400B61">
        <w:rPr>
          <w:lang w:eastAsia="ja-JP"/>
        </w:rPr>
        <w:t xml:space="preserve">determine whether it continues to meet the </w:t>
      </w:r>
      <w:r w:rsidR="004F7291">
        <w:rPr>
          <w:lang w:eastAsia="ja-JP"/>
        </w:rPr>
        <w:t>OIS</w:t>
      </w:r>
      <w:r w:rsidR="00BD096D">
        <w:rPr>
          <w:lang w:eastAsia="ja-JP"/>
        </w:rPr>
        <w:t>,</w:t>
      </w:r>
      <w:r w:rsidR="00CB0A89" w:rsidRPr="00400B61">
        <w:rPr>
          <w:lang w:eastAsia="ja-JP"/>
        </w:rPr>
        <w:t xml:space="preserve"> and </w:t>
      </w:r>
      <w:r w:rsidR="00BD096D">
        <w:rPr>
          <w:lang w:eastAsia="ja-JP"/>
        </w:rPr>
        <w:t xml:space="preserve">if it </w:t>
      </w:r>
      <w:r w:rsidRPr="00400B61">
        <w:rPr>
          <w:lang w:eastAsia="ja-JP"/>
        </w:rPr>
        <w:t xml:space="preserve">should be </w:t>
      </w:r>
      <w:r w:rsidR="00CD7DDF" w:rsidRPr="00400B61">
        <w:rPr>
          <w:lang w:eastAsia="ja-JP"/>
        </w:rPr>
        <w:t>varied</w:t>
      </w:r>
      <w:r w:rsidR="000D0C9B">
        <w:rPr>
          <w:lang w:eastAsia="ja-JP"/>
        </w:rPr>
        <w:t xml:space="preserve"> </w:t>
      </w:r>
      <w:r w:rsidR="00400B61" w:rsidRPr="00400B61">
        <w:rPr>
          <w:lang w:eastAsia="ja-JP"/>
        </w:rPr>
        <w:t xml:space="preserve">to </w:t>
      </w:r>
      <w:r w:rsidR="00B36DFE">
        <w:rPr>
          <w:lang w:eastAsia="ja-JP"/>
        </w:rPr>
        <w:t xml:space="preserve">account for emerging technologies, scientific knowledge, or </w:t>
      </w:r>
      <w:r w:rsidR="009B7395" w:rsidRPr="00400B61">
        <w:rPr>
          <w:lang w:eastAsia="ja-JP"/>
        </w:rPr>
        <w:t>outstanding issues identified in previous reviews</w:t>
      </w:r>
      <w:r w:rsidR="007117EC">
        <w:rPr>
          <w:lang w:eastAsia="ja-JP"/>
        </w:rPr>
        <w:t xml:space="preserve"> undertaken by the </w:t>
      </w:r>
      <w:r w:rsidR="001D209E">
        <w:rPr>
          <w:lang w:eastAsia="ja-JP"/>
        </w:rPr>
        <w:t>Committee</w:t>
      </w:r>
      <w:r w:rsidR="00316D8C">
        <w:rPr>
          <w:lang w:eastAsia="ja-JP"/>
        </w:rPr>
        <w:t>, including:</w:t>
      </w:r>
      <w:r w:rsidR="009B7395" w:rsidRPr="00400B61">
        <w:rPr>
          <w:lang w:eastAsia="ja-JP"/>
        </w:rPr>
        <w:t xml:space="preserve"> </w:t>
      </w:r>
    </w:p>
    <w:p w14:paraId="723B2E30" w14:textId="77777777" w:rsidR="0088079D" w:rsidRDefault="00144745" w:rsidP="00BA6E31">
      <w:pPr>
        <w:pStyle w:val="ListBullet"/>
        <w:tabs>
          <w:tab w:val="clear" w:pos="360"/>
          <w:tab w:val="num" w:pos="284"/>
        </w:tabs>
        <w:ind w:left="284" w:hanging="284"/>
        <w:rPr>
          <w:lang w:eastAsia="ja-JP"/>
        </w:rPr>
      </w:pPr>
      <w:r>
        <w:rPr>
          <w:lang w:eastAsia="ja-JP"/>
        </w:rPr>
        <w:t xml:space="preserve">2024 </w:t>
      </w:r>
      <w:r w:rsidR="00F31F57" w:rsidRPr="00115C37">
        <w:rPr>
          <w:lang w:eastAsia="ja-JP"/>
        </w:rPr>
        <w:t xml:space="preserve">consultations on </w:t>
      </w:r>
      <w:r w:rsidR="00E17B06" w:rsidRPr="00115C37">
        <w:rPr>
          <w:lang w:eastAsia="ja-JP"/>
        </w:rPr>
        <w:t xml:space="preserve">the </w:t>
      </w:r>
      <w:r w:rsidR="00880FD3">
        <w:rPr>
          <w:lang w:eastAsia="ja-JP"/>
        </w:rPr>
        <w:t>c</w:t>
      </w:r>
      <w:r w:rsidR="00F31F57" w:rsidRPr="00115C37">
        <w:rPr>
          <w:lang w:eastAsia="ja-JP"/>
        </w:rPr>
        <w:t xml:space="preserve">rediting </w:t>
      </w:r>
      <w:r w:rsidR="00880FD3">
        <w:rPr>
          <w:lang w:eastAsia="ja-JP"/>
        </w:rPr>
        <w:t>p</w:t>
      </w:r>
      <w:r w:rsidR="00F31F57" w:rsidRPr="00115C37">
        <w:rPr>
          <w:lang w:eastAsia="ja-JP"/>
        </w:rPr>
        <w:t xml:space="preserve">eriod </w:t>
      </w:r>
      <w:r w:rsidR="00880FD3">
        <w:rPr>
          <w:lang w:eastAsia="ja-JP"/>
        </w:rPr>
        <w:t>e</w:t>
      </w:r>
      <w:r w:rsidR="00B3728E" w:rsidRPr="00115C37">
        <w:rPr>
          <w:lang w:eastAsia="ja-JP"/>
        </w:rPr>
        <w:t xml:space="preserve">xtension </w:t>
      </w:r>
      <w:r w:rsidR="0063032D">
        <w:rPr>
          <w:lang w:eastAsia="ja-JP"/>
        </w:rPr>
        <w:t xml:space="preserve">(CPE) </w:t>
      </w:r>
      <w:r w:rsidR="00B3728E" w:rsidRPr="00115C37">
        <w:rPr>
          <w:lang w:eastAsia="ja-JP"/>
        </w:rPr>
        <w:t xml:space="preserve">review </w:t>
      </w:r>
      <w:r w:rsidR="00F31F57" w:rsidRPr="00115C37">
        <w:rPr>
          <w:lang w:eastAsia="ja-JP"/>
        </w:rPr>
        <w:t xml:space="preserve">for </w:t>
      </w:r>
      <w:r w:rsidR="00960E6E" w:rsidRPr="00115C37">
        <w:rPr>
          <w:lang w:eastAsia="ja-JP"/>
        </w:rPr>
        <w:t xml:space="preserve">the </w:t>
      </w:r>
      <w:r w:rsidR="00053F71">
        <w:rPr>
          <w:lang w:eastAsia="ja-JP"/>
        </w:rPr>
        <w:t>AEM method 2019</w:t>
      </w:r>
      <w:r w:rsidR="0060354F" w:rsidRPr="00115C37">
        <w:rPr>
          <w:lang w:eastAsia="ja-JP"/>
        </w:rPr>
        <w:t xml:space="preserve"> </w:t>
      </w:r>
    </w:p>
    <w:p w14:paraId="11909A82" w14:textId="0DF44EC0" w:rsidR="0088079D" w:rsidRPr="00BA6E31" w:rsidRDefault="0088079D" w:rsidP="00BA6E31">
      <w:pPr>
        <w:pStyle w:val="ListBullet"/>
        <w:tabs>
          <w:tab w:val="clear" w:pos="360"/>
          <w:tab w:val="num" w:pos="284"/>
        </w:tabs>
        <w:ind w:left="284" w:hanging="284"/>
        <w:rPr>
          <w:lang w:eastAsia="ja-JP"/>
        </w:rPr>
      </w:pPr>
      <w:r>
        <w:rPr>
          <w:lang w:eastAsia="ja-JP"/>
        </w:rPr>
        <w:t>2023/</w:t>
      </w:r>
      <w:r w:rsidR="00735391">
        <w:rPr>
          <w:lang w:eastAsia="ja-JP"/>
        </w:rPr>
        <w:t xml:space="preserve">24 </w:t>
      </w:r>
      <w:r>
        <w:rPr>
          <w:lang w:eastAsia="ja-JP"/>
        </w:rPr>
        <w:t xml:space="preserve">consultations for the </w:t>
      </w:r>
      <w:r w:rsidR="0063032D">
        <w:rPr>
          <w:lang w:eastAsia="ja-JP"/>
        </w:rPr>
        <w:t xml:space="preserve">CPE review of </w:t>
      </w:r>
      <w:r w:rsidR="00F31F57" w:rsidRPr="00115C37">
        <w:rPr>
          <w:lang w:eastAsia="ja-JP"/>
        </w:rPr>
        <w:t xml:space="preserve">the </w:t>
      </w:r>
      <w:r w:rsidR="00355CB1" w:rsidRPr="001149B4">
        <w:rPr>
          <w:i/>
          <w:iCs/>
          <w:lang w:eastAsia="ja-JP"/>
        </w:rPr>
        <w:t>Carbon Credits (Carbon Farming Initiative – Domestic, Commercial and Industrial Wastewater) Methodology Determination 2015</w:t>
      </w:r>
      <w:r w:rsidR="00C73289">
        <w:rPr>
          <w:rStyle w:val="FootnoteReference"/>
          <w:i/>
          <w:iCs/>
          <w:lang w:eastAsia="ja-JP"/>
        </w:rPr>
        <w:footnoteReference w:id="3"/>
      </w:r>
      <w:r w:rsidR="009B5090">
        <w:rPr>
          <w:i/>
          <w:iCs/>
          <w:lang w:eastAsia="ja-JP"/>
        </w:rPr>
        <w:t xml:space="preserve"> </w:t>
      </w:r>
      <w:r w:rsidR="00DE7661" w:rsidRPr="00BA6E31">
        <w:rPr>
          <w:lang w:eastAsia="ja-JP"/>
        </w:rPr>
        <w:t>(</w:t>
      </w:r>
      <w:r w:rsidR="002C0D81" w:rsidRPr="00BA6E31">
        <w:rPr>
          <w:lang w:eastAsia="ja-JP"/>
        </w:rPr>
        <w:t>Wastewater method 2015</w:t>
      </w:r>
      <w:r w:rsidR="00DE7661" w:rsidRPr="00BA6E31">
        <w:rPr>
          <w:lang w:eastAsia="ja-JP"/>
        </w:rPr>
        <w:t>)</w:t>
      </w:r>
      <w:r w:rsidR="00771DE5">
        <w:rPr>
          <w:lang w:eastAsia="ja-JP"/>
        </w:rPr>
        <w:t>.</w:t>
      </w:r>
    </w:p>
    <w:p w14:paraId="6EB5176C" w14:textId="720A28AC" w:rsidR="009F466C" w:rsidRDefault="004F7291" w:rsidP="009F466C">
      <w:pPr>
        <w:pStyle w:val="ListBullet"/>
        <w:numPr>
          <w:ilvl w:val="0"/>
          <w:numId w:val="0"/>
        </w:numPr>
        <w:rPr>
          <w:lang w:eastAsia="ja-JP"/>
        </w:rPr>
      </w:pPr>
      <w:r>
        <w:rPr>
          <w:lang w:eastAsia="ja-JP"/>
        </w:rPr>
        <w:t>During</w:t>
      </w:r>
      <w:r w:rsidR="000A07D7">
        <w:rPr>
          <w:lang w:eastAsia="ja-JP"/>
        </w:rPr>
        <w:t xml:space="preserve"> those reviews, stakeholders i</w:t>
      </w:r>
      <w:r w:rsidR="009F466C">
        <w:rPr>
          <w:lang w:eastAsia="ja-JP"/>
        </w:rPr>
        <w:t xml:space="preserve">dentified </w:t>
      </w:r>
      <w:r w:rsidR="000A07D7">
        <w:rPr>
          <w:lang w:eastAsia="ja-JP"/>
        </w:rPr>
        <w:t xml:space="preserve">a range of </w:t>
      </w:r>
      <w:r w:rsidR="009F466C">
        <w:rPr>
          <w:lang w:eastAsia="ja-JP"/>
        </w:rPr>
        <w:t>i</w:t>
      </w:r>
      <w:r w:rsidR="009F466C" w:rsidRPr="00115C37">
        <w:rPr>
          <w:lang w:eastAsia="ja-JP"/>
        </w:rPr>
        <w:t xml:space="preserve">ssues </w:t>
      </w:r>
      <w:r w:rsidR="009F466C">
        <w:rPr>
          <w:lang w:eastAsia="ja-JP"/>
        </w:rPr>
        <w:t xml:space="preserve">and opportunities </w:t>
      </w:r>
      <w:r w:rsidR="000A07D7">
        <w:rPr>
          <w:lang w:eastAsia="ja-JP"/>
        </w:rPr>
        <w:t>that t</w:t>
      </w:r>
      <w:r w:rsidR="00001D44">
        <w:rPr>
          <w:lang w:eastAsia="ja-JP"/>
        </w:rPr>
        <w:t xml:space="preserve">his periodic review seeks to explore and, if deemed consistent with the OIS, </w:t>
      </w:r>
      <w:r w:rsidR="00E06D10">
        <w:rPr>
          <w:lang w:eastAsia="ja-JP"/>
        </w:rPr>
        <w:t xml:space="preserve">recommend to the Minister for </w:t>
      </w:r>
      <w:r w:rsidR="00001D44">
        <w:rPr>
          <w:lang w:eastAsia="ja-JP"/>
        </w:rPr>
        <w:t>action</w:t>
      </w:r>
      <w:r w:rsidR="009F466C">
        <w:rPr>
          <w:lang w:eastAsia="ja-JP"/>
        </w:rPr>
        <w:t>:</w:t>
      </w:r>
      <w:r w:rsidR="009F466C" w:rsidRPr="00115C37">
        <w:rPr>
          <w:lang w:eastAsia="ja-JP"/>
        </w:rPr>
        <w:t xml:space="preserve"> </w:t>
      </w:r>
    </w:p>
    <w:p w14:paraId="34507383" w14:textId="65B2EA05" w:rsidR="009F466C" w:rsidRDefault="009F466C" w:rsidP="00BA6E31">
      <w:pPr>
        <w:pStyle w:val="ListBullet"/>
        <w:tabs>
          <w:tab w:val="clear" w:pos="360"/>
          <w:tab w:val="num" w:pos="284"/>
        </w:tabs>
        <w:ind w:left="284" w:hanging="284"/>
        <w:rPr>
          <w:lang w:eastAsia="ja-JP"/>
        </w:rPr>
      </w:pPr>
      <w:r w:rsidRPr="00115C37">
        <w:rPr>
          <w:lang w:eastAsia="ja-JP"/>
        </w:rPr>
        <w:t xml:space="preserve">allow completed projects from the </w:t>
      </w:r>
      <w:r>
        <w:rPr>
          <w:lang w:eastAsia="ja-JP"/>
        </w:rPr>
        <w:t>AEM method 2019</w:t>
      </w:r>
      <w:r w:rsidRPr="00115C37">
        <w:rPr>
          <w:lang w:eastAsia="ja-JP"/>
        </w:rPr>
        <w:t xml:space="preserve"> and legacy animal effluent methods to restart creditin</w:t>
      </w:r>
      <w:r>
        <w:rPr>
          <w:lang w:eastAsia="ja-JP"/>
        </w:rPr>
        <w:t>g</w:t>
      </w:r>
    </w:p>
    <w:p w14:paraId="0D6C2F8D" w14:textId="2C5C274E" w:rsidR="009F466C" w:rsidRDefault="0018163B" w:rsidP="00BA6E31">
      <w:pPr>
        <w:pStyle w:val="ListBullet"/>
        <w:tabs>
          <w:tab w:val="clear" w:pos="360"/>
          <w:tab w:val="num" w:pos="284"/>
        </w:tabs>
        <w:ind w:left="284" w:hanging="284"/>
        <w:rPr>
          <w:lang w:eastAsia="ja-JP"/>
        </w:rPr>
      </w:pPr>
      <w:r>
        <w:rPr>
          <w:lang w:eastAsia="ja-JP"/>
        </w:rPr>
        <w:t xml:space="preserve">integrate </w:t>
      </w:r>
      <w:r w:rsidR="009F466C">
        <w:rPr>
          <w:lang w:eastAsia="ja-JP"/>
        </w:rPr>
        <w:t>Wastewater method 2015</w:t>
      </w:r>
      <w:r w:rsidR="009F466C" w:rsidRPr="00115C37">
        <w:rPr>
          <w:lang w:eastAsia="ja-JP"/>
        </w:rPr>
        <w:t xml:space="preserve"> activities into the </w:t>
      </w:r>
      <w:r w:rsidR="009F466C">
        <w:rPr>
          <w:lang w:eastAsia="ja-JP"/>
        </w:rPr>
        <w:t>AEM method 2019</w:t>
      </w:r>
      <w:r w:rsidR="009F466C" w:rsidRPr="00115C37">
        <w:rPr>
          <w:lang w:eastAsia="ja-JP"/>
        </w:rPr>
        <w:t xml:space="preserve"> and allow completed </w:t>
      </w:r>
      <w:r w:rsidR="00A45352">
        <w:rPr>
          <w:lang w:eastAsia="ja-JP"/>
        </w:rPr>
        <w:t xml:space="preserve">Wastewater </w:t>
      </w:r>
      <w:r w:rsidR="009F466C" w:rsidRPr="00115C37">
        <w:rPr>
          <w:lang w:eastAsia="ja-JP"/>
        </w:rPr>
        <w:t>projects to restart creditin</w:t>
      </w:r>
      <w:r w:rsidR="009F466C">
        <w:rPr>
          <w:lang w:eastAsia="ja-JP"/>
        </w:rPr>
        <w:t>g</w:t>
      </w:r>
    </w:p>
    <w:p w14:paraId="489B2291" w14:textId="6321CD8B" w:rsidR="00FC77A8" w:rsidRDefault="009F466C" w:rsidP="00BA6E31">
      <w:pPr>
        <w:pStyle w:val="ListBullet"/>
        <w:tabs>
          <w:tab w:val="clear" w:pos="360"/>
          <w:tab w:val="num" w:pos="284"/>
        </w:tabs>
        <w:ind w:left="284" w:hanging="284"/>
        <w:rPr>
          <w:lang w:eastAsia="ja-JP"/>
        </w:rPr>
      </w:pPr>
      <w:r w:rsidRPr="00115C37">
        <w:rPr>
          <w:lang w:eastAsia="ja-JP"/>
        </w:rPr>
        <w:t xml:space="preserve">expand the range of eligible materials allowed under the method, with suitable calculations to subtract process emissions and ensure only eligible emissions abatement is credited </w:t>
      </w:r>
    </w:p>
    <w:p w14:paraId="3BE95D9E" w14:textId="251D4021" w:rsidR="00AA42D0" w:rsidRPr="00D33236" w:rsidRDefault="00137782" w:rsidP="00EC28CF">
      <w:pPr>
        <w:pStyle w:val="ListBullet"/>
        <w:tabs>
          <w:tab w:val="clear" w:pos="360"/>
          <w:tab w:val="num" w:pos="284"/>
        </w:tabs>
        <w:ind w:left="284" w:hanging="284"/>
        <w:rPr>
          <w:lang w:eastAsia="ja-JP"/>
        </w:rPr>
      </w:pPr>
      <w:r>
        <w:rPr>
          <w:lang w:eastAsia="ja-JP"/>
        </w:rPr>
        <w:t>mak</w:t>
      </w:r>
      <w:r w:rsidR="00B33DAD">
        <w:rPr>
          <w:lang w:eastAsia="ja-JP"/>
        </w:rPr>
        <w:t>e</w:t>
      </w:r>
      <w:r>
        <w:t xml:space="preserve"> </w:t>
      </w:r>
      <w:r w:rsidR="00FC77A8" w:rsidRPr="00115C37">
        <w:t xml:space="preserve">changes to the </w:t>
      </w:r>
      <w:r w:rsidR="00FC77A8">
        <w:t xml:space="preserve">method </w:t>
      </w:r>
      <w:r w:rsidR="00FC77A8" w:rsidRPr="00115C37">
        <w:t xml:space="preserve">to improve the implementation and operation of </w:t>
      </w:r>
      <w:r w:rsidR="00FC77A8">
        <w:t xml:space="preserve">AEM </w:t>
      </w:r>
      <w:r w:rsidR="00AE5FFC">
        <w:t xml:space="preserve">method 2019 </w:t>
      </w:r>
      <w:r w:rsidR="00FC77A8">
        <w:t>projects</w:t>
      </w:r>
      <w:r w:rsidR="009026B5">
        <w:t>.</w:t>
      </w:r>
    </w:p>
    <w:p w14:paraId="61E61A2D" w14:textId="7F9A9428" w:rsidR="00A81763" w:rsidRDefault="00F62924" w:rsidP="00A81763">
      <w:pPr>
        <w:spacing w:before="120" w:after="120"/>
        <w:rPr>
          <w:b/>
          <w:i/>
          <w:color w:val="017097" w:themeColor="accent1"/>
          <w:sz w:val="24"/>
          <w:szCs w:val="24"/>
          <w:lang w:eastAsia="ja-JP"/>
        </w:rPr>
      </w:pPr>
      <w:r>
        <w:rPr>
          <w:b/>
          <w:i/>
          <w:color w:val="017097" w:themeColor="accent1"/>
          <w:sz w:val="24"/>
          <w:szCs w:val="24"/>
          <w:lang w:eastAsia="ja-JP"/>
        </w:rPr>
        <w:t>Other r</w:t>
      </w:r>
      <w:r w:rsidR="00A81763" w:rsidRPr="00E06D10">
        <w:rPr>
          <w:b/>
          <w:i/>
          <w:color w:val="017097" w:themeColor="accent1"/>
          <w:sz w:val="24"/>
          <w:szCs w:val="24"/>
          <w:lang w:eastAsia="ja-JP"/>
        </w:rPr>
        <w:t>elevant method reviews</w:t>
      </w:r>
    </w:p>
    <w:p w14:paraId="6853E56B" w14:textId="06BC845A" w:rsidR="00D0738A" w:rsidRDefault="00056670" w:rsidP="00D0738A">
      <w:pPr>
        <w:pStyle w:val="ListBullet"/>
        <w:numPr>
          <w:ilvl w:val="0"/>
          <w:numId w:val="0"/>
        </w:numPr>
      </w:pPr>
      <w:r w:rsidRPr="00E06D10">
        <w:t>Apart from the Wastewater method 2015 and AEM method 2019, a</w:t>
      </w:r>
      <w:r w:rsidR="009818FB" w:rsidRPr="00E06D10">
        <w:t xml:space="preserve"> </w:t>
      </w:r>
      <w:r w:rsidR="00DB63CE" w:rsidRPr="00E06D10">
        <w:t xml:space="preserve">range of </w:t>
      </w:r>
      <w:r w:rsidR="009818FB" w:rsidRPr="00E06D10">
        <w:t xml:space="preserve">other </w:t>
      </w:r>
      <w:r w:rsidR="00DB63CE" w:rsidRPr="00E06D10">
        <w:t>waste-related methods</w:t>
      </w:r>
      <w:r w:rsidR="00383BE7" w:rsidRPr="00E06D10">
        <w:t xml:space="preserve"> are </w:t>
      </w:r>
      <w:r w:rsidR="00E558C5" w:rsidRPr="00E06D10">
        <w:t xml:space="preserve">available </w:t>
      </w:r>
      <w:r w:rsidR="009D7C9B">
        <w:t>under</w:t>
      </w:r>
      <w:r w:rsidR="00E558C5" w:rsidRPr="00E06D10">
        <w:t xml:space="preserve"> the ACCU Scheme</w:t>
      </w:r>
      <w:r w:rsidR="00873EFE" w:rsidRPr="00E06D10">
        <w:t xml:space="preserve">, as </w:t>
      </w:r>
      <w:r w:rsidR="00A9481C" w:rsidRPr="00E06D10">
        <w:t xml:space="preserve">outlined in Table 1. </w:t>
      </w:r>
      <w:r w:rsidR="00D0738A" w:rsidRPr="00F53309">
        <w:t xml:space="preserve">The Committee is currently undertaking periodic reviews </w:t>
      </w:r>
      <w:r w:rsidR="00BC1C65">
        <w:t xml:space="preserve">of some of these methods </w:t>
      </w:r>
      <w:r w:rsidR="002C2E42">
        <w:t>and will use th</w:t>
      </w:r>
      <w:r w:rsidR="003E2D7E">
        <w:t>ese</w:t>
      </w:r>
      <w:r w:rsidR="002C2E42">
        <w:t xml:space="preserve"> </w:t>
      </w:r>
      <w:r w:rsidR="003E2D7E">
        <w:t>reviews</w:t>
      </w:r>
      <w:r w:rsidR="002C2E42">
        <w:t xml:space="preserve"> to </w:t>
      </w:r>
      <w:r w:rsidR="00052C4D">
        <w:t xml:space="preserve">identify synergies between the methods </w:t>
      </w:r>
      <w:r w:rsidR="003E2D7E">
        <w:t>and/</w:t>
      </w:r>
      <w:r w:rsidR="00052C4D">
        <w:t>or</w:t>
      </w:r>
      <w:r w:rsidR="00E236EC">
        <w:t xml:space="preserve"> recommend</w:t>
      </w:r>
      <w:r w:rsidR="00052C4D">
        <w:t xml:space="preserve"> </w:t>
      </w:r>
      <w:r w:rsidR="008A0BD7">
        <w:t>consolidat</w:t>
      </w:r>
      <w:r w:rsidR="00E236EC">
        <w:t>ion of</w:t>
      </w:r>
      <w:r w:rsidR="00052C4D">
        <w:t xml:space="preserve"> the methods into a</w:t>
      </w:r>
      <w:r w:rsidR="0043495B">
        <w:t xml:space="preserve"> smaller</w:t>
      </w:r>
      <w:r w:rsidR="00D33A42">
        <w:t xml:space="preserve"> </w:t>
      </w:r>
      <w:r w:rsidR="0043495B">
        <w:t xml:space="preserve">number of methods </w:t>
      </w:r>
      <w:r w:rsidR="003E2D7E">
        <w:t>(</w:t>
      </w:r>
      <w:r w:rsidR="0043495B">
        <w:t xml:space="preserve">if a decision is made </w:t>
      </w:r>
      <w:r w:rsidR="00E236EC">
        <w:t xml:space="preserve">by the </w:t>
      </w:r>
      <w:r w:rsidR="00696504">
        <w:t xml:space="preserve">Assistant </w:t>
      </w:r>
      <w:r w:rsidR="00E236EC">
        <w:t xml:space="preserve">Minister </w:t>
      </w:r>
      <w:r w:rsidR="0043495B">
        <w:t>to remake the methods</w:t>
      </w:r>
      <w:r w:rsidR="003E2D7E">
        <w:t>)</w:t>
      </w:r>
      <w:r w:rsidR="0043495B">
        <w:t>.</w:t>
      </w:r>
      <w:r w:rsidR="00052C4D">
        <w:t xml:space="preserve"> </w:t>
      </w:r>
      <w:r w:rsidR="002C2E42">
        <w:t xml:space="preserve"> </w:t>
      </w:r>
      <w:r w:rsidR="004E3593">
        <w:t xml:space="preserve"> </w:t>
      </w:r>
    </w:p>
    <w:p w14:paraId="36672390" w14:textId="77777777" w:rsidR="00BA1EB1" w:rsidRDefault="00BA1EB1" w:rsidP="00E06D10">
      <w:pPr>
        <w:pStyle w:val="ListBullet"/>
        <w:numPr>
          <w:ilvl w:val="0"/>
          <w:numId w:val="0"/>
        </w:numPr>
        <w:spacing w:after="0"/>
        <w:ind w:left="360" w:hanging="360"/>
        <w:rPr>
          <w:color w:val="017097" w:themeColor="accent1"/>
          <w:szCs w:val="24"/>
        </w:rPr>
      </w:pPr>
      <w:bookmarkStart w:id="5" w:name="_Toc189832181"/>
    </w:p>
    <w:p w14:paraId="1DF506E2" w14:textId="77777777" w:rsidR="00BA1EB1" w:rsidRDefault="00BA1EB1" w:rsidP="00E06D10">
      <w:pPr>
        <w:pStyle w:val="ListBullet"/>
        <w:numPr>
          <w:ilvl w:val="0"/>
          <w:numId w:val="0"/>
        </w:numPr>
        <w:spacing w:after="0"/>
        <w:ind w:left="360" w:hanging="360"/>
        <w:rPr>
          <w:color w:val="017097" w:themeColor="accent1"/>
          <w:szCs w:val="24"/>
        </w:rPr>
      </w:pPr>
    </w:p>
    <w:p w14:paraId="646A543E" w14:textId="77777777" w:rsidR="00BA1EB1" w:rsidRDefault="00BA1EB1" w:rsidP="00E06D10">
      <w:pPr>
        <w:pStyle w:val="ListBullet"/>
        <w:numPr>
          <w:ilvl w:val="0"/>
          <w:numId w:val="0"/>
        </w:numPr>
        <w:spacing w:after="0"/>
        <w:ind w:left="360" w:hanging="360"/>
        <w:rPr>
          <w:color w:val="017097" w:themeColor="accent1"/>
          <w:szCs w:val="24"/>
        </w:rPr>
      </w:pPr>
    </w:p>
    <w:p w14:paraId="46942609" w14:textId="77777777" w:rsidR="00C73289" w:rsidRDefault="00C73289" w:rsidP="00E06D10">
      <w:pPr>
        <w:pStyle w:val="ListBullet"/>
        <w:numPr>
          <w:ilvl w:val="0"/>
          <w:numId w:val="0"/>
        </w:numPr>
        <w:spacing w:after="0"/>
        <w:ind w:left="360" w:hanging="360"/>
        <w:rPr>
          <w:color w:val="017097" w:themeColor="accent1"/>
          <w:szCs w:val="24"/>
        </w:rPr>
      </w:pPr>
    </w:p>
    <w:p w14:paraId="6AF45560" w14:textId="77777777" w:rsidR="00D33A42" w:rsidRDefault="00D33A42">
      <w:pPr>
        <w:spacing w:after="0" w:line="240" w:lineRule="auto"/>
        <w:rPr>
          <w:color w:val="017097" w:themeColor="accent1"/>
          <w:szCs w:val="24"/>
        </w:rPr>
      </w:pPr>
      <w:r>
        <w:rPr>
          <w:color w:val="017097" w:themeColor="accent1"/>
          <w:szCs w:val="24"/>
        </w:rPr>
        <w:br w:type="page"/>
      </w:r>
    </w:p>
    <w:p w14:paraId="138A3E90" w14:textId="4752B3FF" w:rsidR="00BA4D8B" w:rsidRPr="0038226D" w:rsidRDefault="00BA4D8B" w:rsidP="00E06D10">
      <w:pPr>
        <w:pStyle w:val="ListBullet"/>
        <w:numPr>
          <w:ilvl w:val="0"/>
          <w:numId w:val="0"/>
        </w:numPr>
        <w:spacing w:after="0"/>
        <w:ind w:left="360" w:hanging="360"/>
        <w:rPr>
          <w:color w:val="017097" w:themeColor="accent1"/>
          <w:szCs w:val="24"/>
        </w:rPr>
      </w:pPr>
      <w:r w:rsidRPr="0038226D">
        <w:rPr>
          <w:color w:val="017097" w:themeColor="accent1"/>
          <w:szCs w:val="24"/>
        </w:rPr>
        <w:lastRenderedPageBreak/>
        <w:t xml:space="preserve">Table </w:t>
      </w:r>
      <w:r w:rsidRPr="0038226D">
        <w:rPr>
          <w:color w:val="017097" w:themeColor="accent1"/>
          <w:szCs w:val="24"/>
        </w:rPr>
        <w:fldChar w:fldCharType="begin"/>
      </w:r>
      <w:r w:rsidRPr="0038226D">
        <w:rPr>
          <w:color w:val="017097" w:themeColor="accent1"/>
          <w:szCs w:val="24"/>
        </w:rPr>
        <w:instrText xml:space="preserve"> SEQ Table \* ARABIC </w:instrText>
      </w:r>
      <w:r w:rsidRPr="0038226D">
        <w:rPr>
          <w:color w:val="017097" w:themeColor="accent1"/>
          <w:szCs w:val="24"/>
        </w:rPr>
        <w:fldChar w:fldCharType="separate"/>
      </w:r>
      <w:r w:rsidR="00D57CCB">
        <w:rPr>
          <w:noProof/>
          <w:color w:val="017097" w:themeColor="accent1"/>
          <w:szCs w:val="24"/>
        </w:rPr>
        <w:t>1</w:t>
      </w:r>
      <w:r w:rsidRPr="0038226D">
        <w:rPr>
          <w:color w:val="017097" w:themeColor="accent1"/>
          <w:szCs w:val="24"/>
        </w:rPr>
        <w:fldChar w:fldCharType="end"/>
      </w:r>
      <w:r w:rsidRPr="0038226D">
        <w:rPr>
          <w:color w:val="017097" w:themeColor="accent1"/>
          <w:szCs w:val="24"/>
        </w:rPr>
        <w:t xml:space="preserve"> </w:t>
      </w:r>
      <w:r w:rsidR="00E91E28">
        <w:rPr>
          <w:color w:val="017097" w:themeColor="accent1"/>
          <w:szCs w:val="24"/>
        </w:rPr>
        <w:t>Relevant ACCU Scheme methods and reviews</w:t>
      </w:r>
      <w:bookmarkEnd w:id="5"/>
    </w:p>
    <w:tbl>
      <w:tblPr>
        <w:tblStyle w:val="TableGrid"/>
        <w:tblpPr w:leftFromText="180" w:rightFromText="180" w:vertAnchor="text" w:horzAnchor="margin" w:tblpY="254"/>
        <w:tblW w:w="9060" w:type="dxa"/>
        <w:tblLook w:val="04A0" w:firstRow="1" w:lastRow="0" w:firstColumn="1" w:lastColumn="0" w:noHBand="0" w:noVBand="1"/>
      </w:tblPr>
      <w:tblGrid>
        <w:gridCol w:w="2428"/>
        <w:gridCol w:w="958"/>
        <w:gridCol w:w="4143"/>
        <w:gridCol w:w="1531"/>
      </w:tblGrid>
      <w:tr w:rsidR="00EF6297" w:rsidRPr="0038226D" w14:paraId="03443768" w14:textId="1E31AE7E" w:rsidTr="008416FE">
        <w:trPr>
          <w:tblHeader/>
        </w:trPr>
        <w:tc>
          <w:tcPr>
            <w:tcW w:w="2428" w:type="dxa"/>
            <w:shd w:val="clear" w:color="auto" w:fill="D9D9D9" w:themeFill="background1" w:themeFillShade="D9"/>
          </w:tcPr>
          <w:p w14:paraId="398EC47F" w14:textId="280BAE23" w:rsidR="00EF697A" w:rsidRPr="0038226D" w:rsidRDefault="00EF697A" w:rsidP="00EF697A">
            <w:pPr>
              <w:spacing w:after="120"/>
              <w:rPr>
                <w:rFonts w:cs="Arial"/>
                <w:b/>
                <w:sz w:val="21"/>
                <w:szCs w:val="21"/>
              </w:rPr>
            </w:pPr>
            <w:r>
              <w:rPr>
                <w:rFonts w:cs="Arial"/>
                <w:b/>
                <w:sz w:val="21"/>
                <w:szCs w:val="21"/>
              </w:rPr>
              <w:t>Method</w:t>
            </w:r>
          </w:p>
        </w:tc>
        <w:tc>
          <w:tcPr>
            <w:tcW w:w="958" w:type="dxa"/>
            <w:shd w:val="clear" w:color="auto" w:fill="D9D9D9" w:themeFill="background1" w:themeFillShade="D9"/>
          </w:tcPr>
          <w:p w14:paraId="35152018" w14:textId="7F2CA578" w:rsidR="00EF697A" w:rsidRPr="0038226D" w:rsidRDefault="00EF697A" w:rsidP="00EF697A">
            <w:pPr>
              <w:spacing w:after="120"/>
              <w:rPr>
                <w:rFonts w:cs="Arial"/>
                <w:b/>
                <w:sz w:val="21"/>
                <w:szCs w:val="21"/>
              </w:rPr>
            </w:pPr>
            <w:r>
              <w:rPr>
                <w:rFonts w:cs="Arial"/>
                <w:b/>
                <w:sz w:val="21"/>
                <w:szCs w:val="21"/>
              </w:rPr>
              <w:t>Expiry</w:t>
            </w:r>
          </w:p>
        </w:tc>
        <w:tc>
          <w:tcPr>
            <w:tcW w:w="4143" w:type="dxa"/>
            <w:shd w:val="clear" w:color="auto" w:fill="D9D9D9" w:themeFill="background1" w:themeFillShade="D9"/>
          </w:tcPr>
          <w:p w14:paraId="067CF809" w14:textId="23C288A5" w:rsidR="00EF697A" w:rsidRPr="0038226D" w:rsidRDefault="00EF697A" w:rsidP="00EF697A">
            <w:pPr>
              <w:spacing w:after="120"/>
              <w:rPr>
                <w:rFonts w:cs="Arial"/>
                <w:b/>
                <w:sz w:val="21"/>
                <w:szCs w:val="21"/>
              </w:rPr>
            </w:pPr>
            <w:r>
              <w:rPr>
                <w:rFonts w:cs="Arial"/>
                <w:b/>
                <w:sz w:val="21"/>
                <w:szCs w:val="21"/>
              </w:rPr>
              <w:t>Coverage</w:t>
            </w:r>
            <w:r w:rsidR="00F43F6D">
              <w:rPr>
                <w:rFonts w:cs="Arial"/>
                <w:b/>
                <w:sz w:val="21"/>
                <w:szCs w:val="21"/>
              </w:rPr>
              <w:t xml:space="preserve"> / Activity</w:t>
            </w:r>
          </w:p>
        </w:tc>
        <w:tc>
          <w:tcPr>
            <w:tcW w:w="1531" w:type="dxa"/>
            <w:shd w:val="clear" w:color="auto" w:fill="D9D9D9" w:themeFill="background1" w:themeFillShade="D9"/>
          </w:tcPr>
          <w:p w14:paraId="4CC1A815" w14:textId="7CB03D7B" w:rsidR="00EF697A" w:rsidRDefault="00BF7BFA" w:rsidP="00EF697A">
            <w:pPr>
              <w:spacing w:after="120"/>
              <w:rPr>
                <w:rFonts w:cs="Arial"/>
                <w:b/>
                <w:sz w:val="21"/>
                <w:szCs w:val="21"/>
              </w:rPr>
            </w:pPr>
            <w:r>
              <w:rPr>
                <w:rFonts w:cs="Arial"/>
                <w:b/>
                <w:sz w:val="21"/>
                <w:szCs w:val="21"/>
              </w:rPr>
              <w:t>S</w:t>
            </w:r>
            <w:r w:rsidR="00EF697A">
              <w:rPr>
                <w:rFonts w:cs="Arial"/>
                <w:b/>
                <w:sz w:val="21"/>
                <w:szCs w:val="21"/>
              </w:rPr>
              <w:t>tatus</w:t>
            </w:r>
            <w:r w:rsidR="00793CE7">
              <w:rPr>
                <w:rFonts w:cs="Arial"/>
                <w:b/>
                <w:sz w:val="21"/>
                <w:szCs w:val="21"/>
              </w:rPr>
              <w:t xml:space="preserve"> as at February 2025</w:t>
            </w:r>
          </w:p>
        </w:tc>
      </w:tr>
      <w:tr w:rsidR="008416FE" w:rsidRPr="00056670" w14:paraId="7792CBB5" w14:textId="77777777" w:rsidTr="008416FE">
        <w:tc>
          <w:tcPr>
            <w:tcW w:w="2428" w:type="dxa"/>
          </w:tcPr>
          <w:p w14:paraId="6B0E44DB" w14:textId="2F59FD44" w:rsidR="00EF697A" w:rsidRPr="00E06D10" w:rsidRDefault="00EF697A" w:rsidP="00EF697A">
            <w:pPr>
              <w:pStyle w:val="ListBullet"/>
              <w:numPr>
                <w:ilvl w:val="0"/>
                <w:numId w:val="0"/>
              </w:numPr>
              <w:spacing w:before="60"/>
              <w:rPr>
                <w:i/>
                <w:iCs/>
              </w:rPr>
            </w:pPr>
            <w:hyperlink r:id="rId18" w:tgtFrame="_blank" w:history="1">
              <w:r w:rsidRPr="00E06D10">
                <w:rPr>
                  <w:rStyle w:val="Hyperlink"/>
                  <w:i/>
                  <w:iCs/>
                </w:rPr>
                <w:t>Carbon Credits (Carbon Farming Initiative – Alternative Waste Treatment) Methodology Determination 2015</w:t>
              </w:r>
            </w:hyperlink>
          </w:p>
        </w:tc>
        <w:tc>
          <w:tcPr>
            <w:tcW w:w="958" w:type="dxa"/>
          </w:tcPr>
          <w:p w14:paraId="1D74689E" w14:textId="553C6410" w:rsidR="00EF697A" w:rsidRPr="00056670" w:rsidRDefault="00EF697A" w:rsidP="00EF697A">
            <w:pPr>
              <w:pStyle w:val="ListBullet"/>
              <w:numPr>
                <w:ilvl w:val="0"/>
                <w:numId w:val="0"/>
              </w:numPr>
              <w:spacing w:before="60"/>
            </w:pPr>
            <w:r w:rsidRPr="00056670">
              <w:t>31 March 2025</w:t>
            </w:r>
          </w:p>
        </w:tc>
        <w:tc>
          <w:tcPr>
            <w:tcW w:w="4143" w:type="dxa"/>
          </w:tcPr>
          <w:p w14:paraId="2C0B99F7" w14:textId="77777777" w:rsidR="00D33A42" w:rsidRDefault="00F43F6D" w:rsidP="00363D7A">
            <w:pPr>
              <w:pStyle w:val="ListBullet"/>
              <w:numPr>
                <w:ilvl w:val="0"/>
                <w:numId w:val="0"/>
              </w:numPr>
              <w:spacing w:before="60"/>
            </w:pPr>
            <w:r w:rsidRPr="00056670">
              <w:t>Projects introduce waste facilit</w:t>
            </w:r>
            <w:r w:rsidR="0031118A">
              <w:t>ies</w:t>
            </w:r>
            <w:r w:rsidRPr="00056670">
              <w:t xml:space="preserve"> to reuse mixed solid waste.</w:t>
            </w:r>
            <w:r w:rsidR="000739AF">
              <w:t xml:space="preserve"> </w:t>
            </w:r>
          </w:p>
          <w:p w14:paraId="15DE44E6" w14:textId="11A96EC8" w:rsidR="00EF697A" w:rsidRPr="00056670" w:rsidRDefault="00741E64" w:rsidP="00363D7A">
            <w:pPr>
              <w:pStyle w:val="ListBullet"/>
              <w:numPr>
                <w:ilvl w:val="0"/>
                <w:numId w:val="0"/>
              </w:numPr>
              <w:spacing w:before="60"/>
            </w:pPr>
            <w:r>
              <w:t>Facilities</w:t>
            </w:r>
            <w:r w:rsidR="005B303D" w:rsidRPr="00E06D10">
              <w:t xml:space="preserve"> </w:t>
            </w:r>
            <w:r w:rsidR="005B303D" w:rsidRPr="005B303D">
              <w:t>process solid waste that would otherwise go to landfill</w:t>
            </w:r>
            <w:r w:rsidR="002B7241">
              <w:t xml:space="preserve">; </w:t>
            </w:r>
            <w:r w:rsidR="005B303D" w:rsidRPr="005B303D">
              <w:t xml:space="preserve">process commercial, industrial, construction, demolition </w:t>
            </w:r>
            <w:r w:rsidR="00363D7A">
              <w:t xml:space="preserve">or </w:t>
            </w:r>
            <w:r w:rsidR="005B303D" w:rsidRPr="00E06D10">
              <w:t>Class I or II municipal solid waste</w:t>
            </w:r>
            <w:r w:rsidR="00363D7A">
              <w:t xml:space="preserve">, or </w:t>
            </w:r>
            <w:r w:rsidR="005B303D" w:rsidRPr="005B303D">
              <w:t>use an enclosed composting facility, an anaerobic digester or process engineered fuel manufacturer technology.</w:t>
            </w:r>
          </w:p>
        </w:tc>
        <w:tc>
          <w:tcPr>
            <w:tcW w:w="1531" w:type="dxa"/>
          </w:tcPr>
          <w:p w14:paraId="1BB4B873" w14:textId="62CCA035" w:rsidR="00EF697A" w:rsidRPr="00056670" w:rsidRDefault="00EF697A" w:rsidP="00EF697A">
            <w:pPr>
              <w:pStyle w:val="ListBullet"/>
              <w:numPr>
                <w:ilvl w:val="0"/>
                <w:numId w:val="0"/>
              </w:numPr>
              <w:spacing w:before="60"/>
            </w:pPr>
            <w:r w:rsidRPr="00056670">
              <w:t>Periodic review</w:t>
            </w:r>
            <w:r w:rsidR="00E06D10">
              <w:t xml:space="preserve"> underway by ERAC</w:t>
            </w:r>
          </w:p>
        </w:tc>
      </w:tr>
      <w:tr w:rsidR="008416FE" w:rsidRPr="0038226D" w14:paraId="30CE5F52" w14:textId="77777777" w:rsidTr="008416FE">
        <w:tc>
          <w:tcPr>
            <w:tcW w:w="2428" w:type="dxa"/>
          </w:tcPr>
          <w:p w14:paraId="5338DBE6" w14:textId="37B0FBBD" w:rsidR="00EF697A" w:rsidRPr="00E06D10" w:rsidRDefault="00EF697A" w:rsidP="00EF697A">
            <w:pPr>
              <w:pStyle w:val="ListBullet"/>
              <w:numPr>
                <w:ilvl w:val="0"/>
                <w:numId w:val="0"/>
              </w:numPr>
              <w:spacing w:before="60"/>
              <w:rPr>
                <w:i/>
                <w:iCs/>
              </w:rPr>
            </w:pPr>
            <w:hyperlink r:id="rId19" w:tgtFrame="_blank" w:history="1">
              <w:r w:rsidRPr="00E06D10">
                <w:rPr>
                  <w:rStyle w:val="Hyperlink"/>
                  <w:i/>
                  <w:iCs/>
                </w:rPr>
                <w:t>Carbon Credits (Carbon Farming Initiative – Landfill Gas) Methodology Determination 2015</w:t>
              </w:r>
            </w:hyperlink>
            <w:r w:rsidRPr="00E06D10">
              <w:rPr>
                <w:i/>
                <w:iCs/>
              </w:rPr>
              <w:t> </w:t>
            </w:r>
          </w:p>
        </w:tc>
        <w:tc>
          <w:tcPr>
            <w:tcW w:w="958" w:type="dxa"/>
          </w:tcPr>
          <w:p w14:paraId="4758D5AE" w14:textId="3D6A0EE3" w:rsidR="00EF697A" w:rsidRPr="0038226D" w:rsidRDefault="00EF697A" w:rsidP="00EF697A">
            <w:pPr>
              <w:pStyle w:val="ListBullet"/>
              <w:numPr>
                <w:ilvl w:val="0"/>
                <w:numId w:val="0"/>
              </w:numPr>
              <w:spacing w:before="60"/>
            </w:pPr>
            <w:r>
              <w:t>31 March 2025</w:t>
            </w:r>
          </w:p>
        </w:tc>
        <w:tc>
          <w:tcPr>
            <w:tcW w:w="4143" w:type="dxa"/>
          </w:tcPr>
          <w:p w14:paraId="360A46DC" w14:textId="183033F1" w:rsidR="00EF697A" w:rsidRPr="0038226D" w:rsidRDefault="002007F9" w:rsidP="00AC37B3">
            <w:pPr>
              <w:pStyle w:val="ListBullet"/>
              <w:numPr>
                <w:ilvl w:val="0"/>
                <w:numId w:val="0"/>
              </w:numPr>
              <w:spacing w:before="60"/>
            </w:pPr>
            <w:r>
              <w:t xml:space="preserve">Projects </w:t>
            </w:r>
            <w:r w:rsidRPr="002007F9">
              <w:t>updat</w:t>
            </w:r>
            <w:r>
              <w:t>e</w:t>
            </w:r>
            <w:r w:rsidRPr="002007F9">
              <w:t xml:space="preserve"> landfill gas collection system</w:t>
            </w:r>
            <w:r w:rsidR="00553EF1">
              <w:t>s</w:t>
            </w:r>
            <w:r>
              <w:t xml:space="preserve">, </w:t>
            </w:r>
            <w:r w:rsidRPr="002007F9">
              <w:t>re-start non-operational system</w:t>
            </w:r>
            <w:r w:rsidR="00553EF1">
              <w:t>s</w:t>
            </w:r>
            <w:r>
              <w:t xml:space="preserve">, </w:t>
            </w:r>
            <w:r w:rsidR="00426317">
              <w:t xml:space="preserve">or </w:t>
            </w:r>
            <w:r w:rsidRPr="002007F9">
              <w:t>instal</w:t>
            </w:r>
            <w:r w:rsidR="00DB1DE9">
              <w:t>l</w:t>
            </w:r>
            <w:r w:rsidRPr="002007F9">
              <w:t xml:space="preserve"> new systems to regulate and combust landfill gas </w:t>
            </w:r>
            <w:r w:rsidR="00135DF9">
              <w:t xml:space="preserve">to </w:t>
            </w:r>
            <w:r w:rsidRPr="002007F9">
              <w:t>reduce methane emissions.</w:t>
            </w:r>
          </w:p>
        </w:tc>
        <w:tc>
          <w:tcPr>
            <w:tcW w:w="1531" w:type="dxa"/>
          </w:tcPr>
          <w:p w14:paraId="62E7B046" w14:textId="46A87E77" w:rsidR="00EF697A" w:rsidRDefault="00EF6297" w:rsidP="00EF697A">
            <w:pPr>
              <w:pStyle w:val="ListBullet"/>
              <w:numPr>
                <w:ilvl w:val="0"/>
                <w:numId w:val="0"/>
              </w:numPr>
              <w:spacing w:before="60"/>
            </w:pPr>
            <w:r>
              <w:t>Proposed m</w:t>
            </w:r>
            <w:r w:rsidR="00EF697A">
              <w:t>ethod remake</w:t>
            </w:r>
            <w:r w:rsidR="00E06D10">
              <w:t xml:space="preserve"> in development by </w:t>
            </w:r>
            <w:r w:rsidR="000C2237">
              <w:t>the department</w:t>
            </w:r>
          </w:p>
        </w:tc>
      </w:tr>
      <w:tr w:rsidR="008416FE" w:rsidRPr="0038226D" w14:paraId="2090DB44" w14:textId="77777777" w:rsidTr="008416FE">
        <w:tc>
          <w:tcPr>
            <w:tcW w:w="2428" w:type="dxa"/>
          </w:tcPr>
          <w:p w14:paraId="780F7879" w14:textId="6C55DB45" w:rsidR="009D7621" w:rsidRPr="00E06D10" w:rsidRDefault="009D7621" w:rsidP="009D7621">
            <w:pPr>
              <w:pStyle w:val="ListBullet"/>
              <w:numPr>
                <w:ilvl w:val="0"/>
                <w:numId w:val="0"/>
              </w:numPr>
              <w:spacing w:before="60"/>
              <w:rPr>
                <w:i/>
                <w:iCs/>
              </w:rPr>
            </w:pPr>
            <w:hyperlink r:id="rId20" w:tgtFrame="_blank" w:history="1">
              <w:r w:rsidRPr="00E06D10">
                <w:rPr>
                  <w:rStyle w:val="Hyperlink"/>
                  <w:i/>
                  <w:iCs/>
                </w:rPr>
                <w:t>Carbon Credits (Carbon Farming Initiative—Electricity Generation from Landfill Gas) Methodology Determination 2021</w:t>
              </w:r>
            </w:hyperlink>
            <w:r w:rsidRPr="00E06D10">
              <w:rPr>
                <w:i/>
                <w:iCs/>
              </w:rPr>
              <w:t> </w:t>
            </w:r>
          </w:p>
        </w:tc>
        <w:tc>
          <w:tcPr>
            <w:tcW w:w="958" w:type="dxa"/>
          </w:tcPr>
          <w:p w14:paraId="048DA795" w14:textId="29E41224" w:rsidR="009D7621" w:rsidRPr="0038226D" w:rsidRDefault="009D7621" w:rsidP="009D7621">
            <w:pPr>
              <w:pStyle w:val="ListBullet"/>
              <w:numPr>
                <w:ilvl w:val="0"/>
                <w:numId w:val="0"/>
              </w:numPr>
              <w:spacing w:before="60"/>
            </w:pPr>
            <w:r>
              <w:t>31 March 2031</w:t>
            </w:r>
          </w:p>
        </w:tc>
        <w:tc>
          <w:tcPr>
            <w:tcW w:w="4143" w:type="dxa"/>
          </w:tcPr>
          <w:p w14:paraId="305531C8" w14:textId="6A95B64E" w:rsidR="009D7621" w:rsidRPr="00AC37B3" w:rsidRDefault="009D7621" w:rsidP="00E06D10">
            <w:pPr>
              <w:pStyle w:val="ListBullet"/>
              <w:numPr>
                <w:ilvl w:val="0"/>
                <w:numId w:val="0"/>
              </w:numPr>
              <w:spacing w:before="60"/>
            </w:pPr>
            <w:r w:rsidRPr="00AC37B3">
              <w:t>Projects combus</w:t>
            </w:r>
            <w:r>
              <w:t>t</w:t>
            </w:r>
            <w:r w:rsidRPr="00AC37B3">
              <w:t xml:space="preserve"> landfill gas from waste to generate electricity or produce biomethane. Projects must use a new gas collection system or upgrade an existing gas collection system.</w:t>
            </w:r>
          </w:p>
          <w:p w14:paraId="4962A8B7" w14:textId="77777777" w:rsidR="009D7621" w:rsidRPr="0038226D" w:rsidRDefault="009D7621" w:rsidP="009D7621">
            <w:pPr>
              <w:pStyle w:val="ListBullet"/>
              <w:numPr>
                <w:ilvl w:val="0"/>
                <w:numId w:val="0"/>
              </w:numPr>
              <w:spacing w:before="60"/>
            </w:pPr>
          </w:p>
        </w:tc>
        <w:tc>
          <w:tcPr>
            <w:tcW w:w="1531" w:type="dxa"/>
          </w:tcPr>
          <w:p w14:paraId="3AE46FB8" w14:textId="6F075423" w:rsidR="009D7621" w:rsidRPr="0038226D" w:rsidRDefault="00EF6297" w:rsidP="009D7621">
            <w:pPr>
              <w:pStyle w:val="ListBullet"/>
              <w:numPr>
                <w:ilvl w:val="0"/>
                <w:numId w:val="0"/>
              </w:numPr>
              <w:spacing w:before="60"/>
            </w:pPr>
            <w:r>
              <w:t>Proposed m</w:t>
            </w:r>
            <w:r w:rsidR="009D7621">
              <w:t>ethod remake</w:t>
            </w:r>
            <w:r w:rsidR="00E06D10">
              <w:t xml:space="preserve"> in development by </w:t>
            </w:r>
            <w:r w:rsidR="000C2237">
              <w:t>the d</w:t>
            </w:r>
            <w:r w:rsidR="00E06D10">
              <w:t>epartment</w:t>
            </w:r>
          </w:p>
        </w:tc>
      </w:tr>
      <w:tr w:rsidR="008416FE" w:rsidRPr="0038226D" w14:paraId="32F6BEF7" w14:textId="77777777" w:rsidTr="008416FE">
        <w:tc>
          <w:tcPr>
            <w:tcW w:w="2428" w:type="dxa"/>
          </w:tcPr>
          <w:p w14:paraId="6166289B" w14:textId="1CA89FA8" w:rsidR="009D7621" w:rsidRPr="00E06D10" w:rsidRDefault="009D7621" w:rsidP="009D7621">
            <w:pPr>
              <w:pStyle w:val="ListBullet"/>
              <w:numPr>
                <w:ilvl w:val="0"/>
                <w:numId w:val="0"/>
              </w:numPr>
              <w:spacing w:before="60"/>
              <w:rPr>
                <w:i/>
                <w:iCs/>
              </w:rPr>
            </w:pPr>
            <w:hyperlink r:id="rId21" w:tgtFrame="_blank" w:history="1">
              <w:r w:rsidRPr="00E06D10">
                <w:rPr>
                  <w:rStyle w:val="Hyperlink"/>
                  <w:i/>
                  <w:iCs/>
                </w:rPr>
                <w:t>Carbon Credits (Carbon Farming Initiative – Source Separated Organic Waste) Methodology Determination 2016</w:t>
              </w:r>
            </w:hyperlink>
          </w:p>
        </w:tc>
        <w:tc>
          <w:tcPr>
            <w:tcW w:w="958" w:type="dxa"/>
          </w:tcPr>
          <w:p w14:paraId="2730A07F" w14:textId="4101A9E8" w:rsidR="009D7621" w:rsidRPr="0038226D" w:rsidRDefault="009D7621" w:rsidP="009D7621">
            <w:pPr>
              <w:pStyle w:val="ListBullet"/>
              <w:numPr>
                <w:ilvl w:val="0"/>
                <w:numId w:val="0"/>
              </w:numPr>
              <w:spacing w:before="60"/>
            </w:pPr>
            <w:r>
              <w:t>31 March 2026</w:t>
            </w:r>
          </w:p>
        </w:tc>
        <w:tc>
          <w:tcPr>
            <w:tcW w:w="4143" w:type="dxa"/>
          </w:tcPr>
          <w:p w14:paraId="0F89E7FB" w14:textId="3B7AC784" w:rsidR="009D7621" w:rsidRPr="0038226D" w:rsidRDefault="009D7621" w:rsidP="009D7621">
            <w:pPr>
              <w:pStyle w:val="ListBullet"/>
              <w:numPr>
                <w:ilvl w:val="0"/>
                <w:numId w:val="0"/>
              </w:numPr>
              <w:spacing w:before="60"/>
            </w:pPr>
            <w:r w:rsidRPr="000B6E30">
              <w:t>Projects separat</w:t>
            </w:r>
            <w:r>
              <w:t>e</w:t>
            </w:r>
            <w:r w:rsidRPr="000B6E30">
              <w:t xml:space="preserve"> their organic waste from other waste, reducing the amount that goes to landfill</w:t>
            </w:r>
            <w:r>
              <w:t xml:space="preserve">, or </w:t>
            </w:r>
            <w:r w:rsidRPr="000B6E30">
              <w:t>divert food from landfill and donate it to registered charities.</w:t>
            </w:r>
          </w:p>
        </w:tc>
        <w:tc>
          <w:tcPr>
            <w:tcW w:w="1531" w:type="dxa"/>
          </w:tcPr>
          <w:p w14:paraId="01CEB883" w14:textId="492F6989" w:rsidR="009D7621" w:rsidRPr="0038226D" w:rsidRDefault="00A456DC" w:rsidP="009D7621">
            <w:pPr>
              <w:pStyle w:val="ListBullet"/>
              <w:numPr>
                <w:ilvl w:val="0"/>
                <w:numId w:val="0"/>
              </w:numPr>
              <w:spacing w:before="60"/>
            </w:pPr>
            <w:r>
              <w:t>Sunset</w:t>
            </w:r>
            <w:r w:rsidR="00D0738A">
              <w:t>ting r</w:t>
            </w:r>
            <w:r w:rsidR="008416FE">
              <w:t>eview</w:t>
            </w:r>
            <w:r w:rsidR="002F37FD">
              <w:t xml:space="preserve"> </w:t>
            </w:r>
            <w:r w:rsidR="00C94114">
              <w:t>to be conducted</w:t>
            </w:r>
            <w:r w:rsidR="002F37FD">
              <w:t xml:space="preserve"> </w:t>
            </w:r>
            <w:r w:rsidR="00E06D10">
              <w:t xml:space="preserve">by the </w:t>
            </w:r>
            <w:r w:rsidR="000C2237">
              <w:t xml:space="preserve">department </w:t>
            </w:r>
            <w:r w:rsidR="002F37FD">
              <w:t>prior to expiry</w:t>
            </w:r>
            <w:r w:rsidR="005A007B">
              <w:t xml:space="preserve"> of the method</w:t>
            </w:r>
          </w:p>
        </w:tc>
      </w:tr>
    </w:tbl>
    <w:p w14:paraId="0D1E7AB4" w14:textId="6E874630" w:rsidR="00460426" w:rsidRPr="009332A8" w:rsidRDefault="00CC7292" w:rsidP="00616DB7">
      <w:pPr>
        <w:spacing w:before="120" w:after="120"/>
        <w:rPr>
          <w:b/>
          <w:i/>
          <w:color w:val="017097" w:themeColor="accent1"/>
          <w:lang w:eastAsia="ja-JP"/>
        </w:rPr>
      </w:pPr>
      <w:r w:rsidRPr="009332A8">
        <w:rPr>
          <w:b/>
          <w:i/>
          <w:color w:val="017097" w:themeColor="accent1"/>
          <w:lang w:eastAsia="ja-JP"/>
        </w:rPr>
        <w:t>Offset</w:t>
      </w:r>
      <w:r w:rsidR="00C444C2" w:rsidRPr="009332A8">
        <w:rPr>
          <w:b/>
          <w:i/>
          <w:color w:val="017097" w:themeColor="accent1"/>
          <w:lang w:eastAsia="ja-JP"/>
        </w:rPr>
        <w:t>s</w:t>
      </w:r>
      <w:r w:rsidRPr="009332A8">
        <w:rPr>
          <w:b/>
          <w:i/>
          <w:color w:val="017097" w:themeColor="accent1"/>
          <w:lang w:eastAsia="ja-JP"/>
        </w:rPr>
        <w:t xml:space="preserve"> Integrity Standards</w:t>
      </w:r>
      <w:r w:rsidR="00C234DE">
        <w:rPr>
          <w:b/>
          <w:i/>
          <w:color w:val="017097" w:themeColor="accent1"/>
          <w:lang w:eastAsia="ja-JP"/>
        </w:rPr>
        <w:t xml:space="preserve"> (OIS)</w:t>
      </w:r>
    </w:p>
    <w:p w14:paraId="45A815A3" w14:textId="45689762" w:rsidR="005455A5" w:rsidRPr="009332A8" w:rsidRDefault="005455A5" w:rsidP="00616DB7">
      <w:pPr>
        <w:spacing w:before="120" w:after="120"/>
      </w:pPr>
      <w:r w:rsidRPr="009332A8">
        <w:t>In conducting th</w:t>
      </w:r>
      <w:r w:rsidR="00935F51" w:rsidRPr="009332A8">
        <w:t>is</w:t>
      </w:r>
      <w:r w:rsidRPr="009332A8">
        <w:t xml:space="preserve"> review, the Committee will assess whether </w:t>
      </w:r>
      <w:r w:rsidR="005C298D" w:rsidRPr="009332A8">
        <w:t xml:space="preserve">the </w:t>
      </w:r>
      <w:r w:rsidR="00BA6E31">
        <w:t xml:space="preserve">AEM </w:t>
      </w:r>
      <w:r w:rsidR="005C298D" w:rsidRPr="009332A8">
        <w:t xml:space="preserve">method </w:t>
      </w:r>
      <w:r w:rsidR="00BA6E31">
        <w:t xml:space="preserve">2019 </w:t>
      </w:r>
      <w:r w:rsidR="00A062DC">
        <w:t xml:space="preserve">and any proposed changes </w:t>
      </w:r>
      <w:r w:rsidR="005C298D" w:rsidRPr="009332A8">
        <w:t xml:space="preserve">align with the </w:t>
      </w:r>
      <w:r w:rsidR="00866CDA">
        <w:t>OIS</w:t>
      </w:r>
      <w:r w:rsidR="001E782B" w:rsidRPr="009332A8">
        <w:t>.</w:t>
      </w:r>
      <w:r w:rsidRPr="009332A8">
        <w:t xml:space="preserve"> </w:t>
      </w:r>
      <w:r w:rsidR="00A062DC">
        <w:t>A</w:t>
      </w:r>
      <w:r w:rsidR="003A2FF3" w:rsidRPr="009332A8">
        <w:t xml:space="preserve">ssessment </w:t>
      </w:r>
      <w:r w:rsidR="0058552C" w:rsidRPr="009332A8">
        <w:t>against the</w:t>
      </w:r>
      <w:r w:rsidR="003A2FF3" w:rsidRPr="009332A8">
        <w:t xml:space="preserve"> </w:t>
      </w:r>
      <w:r w:rsidR="00866CDA">
        <w:t xml:space="preserve">OIS </w:t>
      </w:r>
      <w:r w:rsidR="003A2FF3" w:rsidRPr="009332A8">
        <w:t>considers</w:t>
      </w:r>
      <w:r w:rsidRPr="009332A8">
        <w:t xml:space="preserve"> developments in the industry, advancements in</w:t>
      </w:r>
      <w:r w:rsidR="00793CE7">
        <w:t xml:space="preserve"> scientific knowledge and</w:t>
      </w:r>
      <w:r w:rsidRPr="009332A8">
        <w:t xml:space="preserve"> technology</w:t>
      </w:r>
      <w:r w:rsidR="002973B3" w:rsidRPr="009332A8">
        <w:t>,</w:t>
      </w:r>
      <w:r w:rsidRPr="009332A8">
        <w:t xml:space="preserve"> and changes in state and territory regulations and policy settings. </w:t>
      </w:r>
    </w:p>
    <w:p w14:paraId="2C3D7574" w14:textId="5D301805" w:rsidR="005455A5" w:rsidRPr="009332A8" w:rsidRDefault="005455A5" w:rsidP="00616DB7">
      <w:pPr>
        <w:spacing w:before="120" w:after="120"/>
      </w:pPr>
      <w:r w:rsidRPr="009332A8">
        <w:lastRenderedPageBreak/>
        <w:t xml:space="preserve">The purpose of the </w:t>
      </w:r>
      <w:r w:rsidR="003466B6">
        <w:t xml:space="preserve">OIS </w:t>
      </w:r>
      <w:r w:rsidRPr="009332A8">
        <w:t xml:space="preserve">is to ensure abatement credited by a method is genuine and additional to what would </w:t>
      </w:r>
      <w:r w:rsidR="00BA6E31">
        <w:t xml:space="preserve">otherwise </w:t>
      </w:r>
      <w:r w:rsidRPr="009332A8">
        <w:t xml:space="preserve">occur </w:t>
      </w:r>
      <w:r w:rsidR="00BA6E31">
        <w:t>in the ordinary course of events (</w:t>
      </w:r>
      <w:r w:rsidRPr="009332A8">
        <w:t>business-as-usual</w:t>
      </w:r>
      <w:r w:rsidR="00BA6E31">
        <w:t>)</w:t>
      </w:r>
      <w:r w:rsidRPr="009332A8">
        <w:t xml:space="preserve">. </w:t>
      </w:r>
      <w:r w:rsidR="003D0DED" w:rsidRPr="009332A8">
        <w:t xml:space="preserve">Table </w:t>
      </w:r>
      <w:r w:rsidR="003E2D7E">
        <w:t xml:space="preserve">2 </w:t>
      </w:r>
      <w:r w:rsidR="003D0DED" w:rsidRPr="009332A8">
        <w:t xml:space="preserve">summarises the </w:t>
      </w:r>
      <w:r w:rsidR="003466B6">
        <w:t>OIS</w:t>
      </w:r>
      <w:r w:rsidR="003D0DED" w:rsidRPr="009332A8">
        <w:t xml:space="preserve">. </w:t>
      </w:r>
    </w:p>
    <w:p w14:paraId="07479390" w14:textId="2EA17912" w:rsidR="00E414D9" w:rsidRPr="0038226D" w:rsidRDefault="00E414D9" w:rsidP="009526C1">
      <w:pPr>
        <w:pStyle w:val="Caption"/>
        <w:spacing w:before="120" w:after="0" w:line="276" w:lineRule="auto"/>
        <w:rPr>
          <w:color w:val="017097" w:themeColor="accent1"/>
          <w:szCs w:val="24"/>
        </w:rPr>
      </w:pPr>
      <w:r w:rsidRPr="0038226D">
        <w:rPr>
          <w:color w:val="017097" w:themeColor="accent1"/>
          <w:szCs w:val="24"/>
        </w:rPr>
        <w:t xml:space="preserve">Table </w:t>
      </w:r>
      <w:r w:rsidR="00BA4D8B">
        <w:rPr>
          <w:color w:val="017097" w:themeColor="accent1"/>
          <w:szCs w:val="24"/>
        </w:rPr>
        <w:t>2</w:t>
      </w:r>
      <w:r w:rsidR="00BA4D8B" w:rsidRPr="0038226D">
        <w:rPr>
          <w:color w:val="017097" w:themeColor="accent1"/>
          <w:szCs w:val="24"/>
        </w:rPr>
        <w:t xml:space="preserve"> </w:t>
      </w:r>
      <w:r w:rsidRPr="0038226D">
        <w:rPr>
          <w:color w:val="017097" w:themeColor="accent1"/>
          <w:szCs w:val="24"/>
        </w:rPr>
        <w:t>Offset</w:t>
      </w:r>
      <w:r w:rsidR="00C444C2" w:rsidRPr="0038226D">
        <w:rPr>
          <w:color w:val="017097" w:themeColor="accent1"/>
          <w:szCs w:val="24"/>
        </w:rPr>
        <w:t>s</w:t>
      </w:r>
      <w:r w:rsidR="00E30A0A" w:rsidRPr="0038226D">
        <w:rPr>
          <w:color w:val="017097" w:themeColor="accent1"/>
          <w:szCs w:val="24"/>
        </w:rPr>
        <w:t xml:space="preserve"> Integrity Standards</w:t>
      </w:r>
      <w:r w:rsidR="003E2D7E">
        <w:rPr>
          <w:color w:val="017097" w:themeColor="accent1"/>
          <w:szCs w:val="24"/>
        </w:rPr>
        <w:t xml:space="preserve"> </w:t>
      </w:r>
      <w:r w:rsidR="0040257B">
        <w:rPr>
          <w:color w:val="017097" w:themeColor="accent1"/>
          <w:szCs w:val="24"/>
        </w:rPr>
        <w:t>(OIS)</w:t>
      </w:r>
    </w:p>
    <w:tbl>
      <w:tblPr>
        <w:tblStyle w:val="TableGrid"/>
        <w:tblpPr w:leftFromText="180" w:rightFromText="180" w:vertAnchor="text" w:horzAnchor="margin" w:tblpY="254"/>
        <w:tblW w:w="0" w:type="auto"/>
        <w:tblLook w:val="04A0" w:firstRow="1" w:lastRow="0" w:firstColumn="1" w:lastColumn="0" w:noHBand="0" w:noVBand="1"/>
      </w:tblPr>
      <w:tblGrid>
        <w:gridCol w:w="1836"/>
        <w:gridCol w:w="1278"/>
        <w:gridCol w:w="5946"/>
      </w:tblGrid>
      <w:tr w:rsidR="005455A5" w:rsidRPr="0038226D" w14:paraId="59CA4DD7" w14:textId="77777777" w:rsidTr="00716050">
        <w:trPr>
          <w:tblHeader/>
        </w:trPr>
        <w:tc>
          <w:tcPr>
            <w:tcW w:w="1836" w:type="dxa"/>
            <w:shd w:val="clear" w:color="auto" w:fill="D9D9D9" w:themeFill="background1" w:themeFillShade="D9"/>
          </w:tcPr>
          <w:p w14:paraId="53B512DA" w14:textId="45E55ED2" w:rsidR="005455A5" w:rsidRPr="0038226D" w:rsidRDefault="00716050" w:rsidP="00616DB7">
            <w:pPr>
              <w:spacing w:after="120"/>
              <w:rPr>
                <w:rFonts w:cs="Arial"/>
                <w:b/>
                <w:sz w:val="21"/>
                <w:szCs w:val="21"/>
              </w:rPr>
            </w:pPr>
            <w:r w:rsidRPr="0038226D">
              <w:rPr>
                <w:rFonts w:cs="Arial"/>
                <w:b/>
                <w:sz w:val="21"/>
                <w:szCs w:val="21"/>
              </w:rPr>
              <w:t>Offsets Integrity Standards</w:t>
            </w:r>
          </w:p>
        </w:tc>
        <w:tc>
          <w:tcPr>
            <w:tcW w:w="1278" w:type="dxa"/>
            <w:shd w:val="clear" w:color="auto" w:fill="D9D9D9" w:themeFill="background1" w:themeFillShade="D9"/>
          </w:tcPr>
          <w:p w14:paraId="64A1224A" w14:textId="0F47A86E" w:rsidR="005455A5" w:rsidRPr="0038226D" w:rsidRDefault="005455A5" w:rsidP="00616DB7">
            <w:pPr>
              <w:spacing w:after="120"/>
              <w:rPr>
                <w:rFonts w:cs="Arial"/>
                <w:b/>
                <w:sz w:val="21"/>
                <w:szCs w:val="21"/>
              </w:rPr>
            </w:pPr>
            <w:r w:rsidRPr="0038226D">
              <w:rPr>
                <w:rFonts w:cs="Arial"/>
                <w:b/>
                <w:sz w:val="21"/>
                <w:szCs w:val="21"/>
              </w:rPr>
              <w:t>Statutory reference</w:t>
            </w:r>
            <w:r w:rsidR="00EC43D1">
              <w:rPr>
                <w:rFonts w:cs="Arial"/>
                <w:b/>
                <w:sz w:val="21"/>
                <w:szCs w:val="21"/>
              </w:rPr>
              <w:t xml:space="preserve"> (sections in the CFI Act)</w:t>
            </w:r>
          </w:p>
        </w:tc>
        <w:tc>
          <w:tcPr>
            <w:tcW w:w="5946" w:type="dxa"/>
            <w:shd w:val="clear" w:color="auto" w:fill="D9D9D9" w:themeFill="background1" w:themeFillShade="D9"/>
          </w:tcPr>
          <w:p w14:paraId="14AD5CB5" w14:textId="7E782818" w:rsidR="005455A5" w:rsidRPr="0038226D" w:rsidRDefault="00716050" w:rsidP="00616DB7">
            <w:pPr>
              <w:spacing w:after="120"/>
              <w:rPr>
                <w:rFonts w:cs="Arial"/>
                <w:b/>
                <w:sz w:val="21"/>
                <w:szCs w:val="21"/>
              </w:rPr>
            </w:pPr>
            <w:r w:rsidRPr="0038226D">
              <w:rPr>
                <w:rFonts w:cs="Arial"/>
                <w:b/>
                <w:sz w:val="21"/>
                <w:szCs w:val="21"/>
              </w:rPr>
              <w:t>Description</w:t>
            </w:r>
          </w:p>
        </w:tc>
      </w:tr>
      <w:tr w:rsidR="005455A5" w:rsidRPr="0038226D" w14:paraId="6746B7E5" w14:textId="77777777" w:rsidTr="00716050">
        <w:tc>
          <w:tcPr>
            <w:tcW w:w="1836" w:type="dxa"/>
          </w:tcPr>
          <w:p w14:paraId="411912E3" w14:textId="77777777" w:rsidR="005455A5" w:rsidRPr="0038226D" w:rsidRDefault="005455A5" w:rsidP="00616DB7">
            <w:pPr>
              <w:pStyle w:val="ListBullet"/>
              <w:numPr>
                <w:ilvl w:val="0"/>
                <w:numId w:val="0"/>
              </w:numPr>
              <w:spacing w:before="60"/>
            </w:pPr>
            <w:r w:rsidRPr="0038226D">
              <w:t>Additionality</w:t>
            </w:r>
          </w:p>
        </w:tc>
        <w:tc>
          <w:tcPr>
            <w:tcW w:w="1278" w:type="dxa"/>
          </w:tcPr>
          <w:p w14:paraId="79F669E0" w14:textId="77777777" w:rsidR="005455A5" w:rsidRPr="0038226D" w:rsidRDefault="005455A5" w:rsidP="00616DB7">
            <w:pPr>
              <w:pStyle w:val="ListBullet"/>
              <w:numPr>
                <w:ilvl w:val="0"/>
                <w:numId w:val="0"/>
              </w:numPr>
              <w:spacing w:before="60"/>
            </w:pPr>
            <w:r w:rsidRPr="0038226D">
              <w:t>133(1)(a)</w:t>
            </w:r>
          </w:p>
        </w:tc>
        <w:tc>
          <w:tcPr>
            <w:tcW w:w="5946" w:type="dxa"/>
          </w:tcPr>
          <w:p w14:paraId="7D48A74A" w14:textId="77777777" w:rsidR="005455A5" w:rsidRPr="0038226D" w:rsidRDefault="005455A5" w:rsidP="00616DB7">
            <w:pPr>
              <w:pStyle w:val="ListBullet"/>
              <w:numPr>
                <w:ilvl w:val="0"/>
                <w:numId w:val="0"/>
              </w:numPr>
              <w:spacing w:before="60"/>
            </w:pPr>
            <w:r w:rsidRPr="0038226D">
              <w:t xml:space="preserve">Projects covered by the determination should result in abatement that is unlikely to occur in the ordinary course of events (i.e. unlikely to occur in the absence of the incentive provided by the scheme).  </w:t>
            </w:r>
          </w:p>
        </w:tc>
      </w:tr>
      <w:tr w:rsidR="005455A5" w:rsidRPr="0038226D" w14:paraId="44C982AE" w14:textId="77777777" w:rsidTr="00716050">
        <w:tc>
          <w:tcPr>
            <w:tcW w:w="1836" w:type="dxa"/>
          </w:tcPr>
          <w:p w14:paraId="1F09A954" w14:textId="77777777" w:rsidR="005455A5" w:rsidRPr="0038226D" w:rsidRDefault="005455A5" w:rsidP="00616DB7">
            <w:pPr>
              <w:pStyle w:val="ListBullet"/>
              <w:numPr>
                <w:ilvl w:val="0"/>
                <w:numId w:val="0"/>
              </w:numPr>
              <w:spacing w:before="60"/>
            </w:pPr>
            <w:r w:rsidRPr="0038226D">
              <w:t>Measurement and verification</w:t>
            </w:r>
          </w:p>
        </w:tc>
        <w:tc>
          <w:tcPr>
            <w:tcW w:w="1278" w:type="dxa"/>
          </w:tcPr>
          <w:p w14:paraId="50B1CCE3" w14:textId="77777777" w:rsidR="005455A5" w:rsidRPr="0038226D" w:rsidRDefault="005455A5" w:rsidP="00616DB7">
            <w:pPr>
              <w:pStyle w:val="ListBullet"/>
              <w:numPr>
                <w:ilvl w:val="0"/>
                <w:numId w:val="0"/>
              </w:numPr>
              <w:spacing w:before="60"/>
            </w:pPr>
            <w:r w:rsidRPr="0038226D">
              <w:t>133(1)(b)</w:t>
            </w:r>
          </w:p>
        </w:tc>
        <w:tc>
          <w:tcPr>
            <w:tcW w:w="5946" w:type="dxa"/>
          </w:tcPr>
          <w:p w14:paraId="500E0458" w14:textId="77777777" w:rsidR="005455A5" w:rsidRPr="0038226D" w:rsidRDefault="005455A5" w:rsidP="00616DB7">
            <w:pPr>
              <w:pStyle w:val="ListBullet"/>
              <w:numPr>
                <w:ilvl w:val="0"/>
                <w:numId w:val="0"/>
              </w:numPr>
              <w:spacing w:before="60"/>
            </w:pPr>
            <w:r w:rsidRPr="0038226D">
              <w:t>Removals, reductions and emissions covered by the determination are measurable and capable of being verified.</w:t>
            </w:r>
          </w:p>
        </w:tc>
      </w:tr>
      <w:tr w:rsidR="005455A5" w:rsidRPr="0038226D" w14:paraId="12A9082E" w14:textId="77777777" w:rsidTr="00716050">
        <w:tc>
          <w:tcPr>
            <w:tcW w:w="1836" w:type="dxa"/>
          </w:tcPr>
          <w:p w14:paraId="01A71778" w14:textId="77777777" w:rsidR="005455A5" w:rsidRPr="0038226D" w:rsidRDefault="005455A5" w:rsidP="00616DB7">
            <w:pPr>
              <w:pStyle w:val="ListBullet"/>
              <w:numPr>
                <w:ilvl w:val="0"/>
                <w:numId w:val="0"/>
              </w:numPr>
              <w:spacing w:before="60"/>
            </w:pPr>
            <w:r w:rsidRPr="0038226D">
              <w:t>Eligible carbon abatement</w:t>
            </w:r>
          </w:p>
        </w:tc>
        <w:tc>
          <w:tcPr>
            <w:tcW w:w="1278" w:type="dxa"/>
          </w:tcPr>
          <w:p w14:paraId="023C0A4C" w14:textId="77777777" w:rsidR="005455A5" w:rsidRPr="0038226D" w:rsidRDefault="005455A5" w:rsidP="00616DB7">
            <w:pPr>
              <w:pStyle w:val="ListBullet"/>
              <w:numPr>
                <w:ilvl w:val="0"/>
                <w:numId w:val="0"/>
              </w:numPr>
              <w:spacing w:before="60"/>
            </w:pPr>
            <w:r w:rsidRPr="0038226D">
              <w:t>133(1)(c)</w:t>
            </w:r>
          </w:p>
        </w:tc>
        <w:tc>
          <w:tcPr>
            <w:tcW w:w="5946" w:type="dxa"/>
          </w:tcPr>
          <w:p w14:paraId="5463C5D3" w14:textId="77777777" w:rsidR="005455A5" w:rsidRPr="0038226D" w:rsidRDefault="005455A5" w:rsidP="00616DB7">
            <w:pPr>
              <w:pStyle w:val="ListBullet"/>
              <w:numPr>
                <w:ilvl w:val="0"/>
                <w:numId w:val="0"/>
              </w:numPr>
              <w:spacing w:before="60"/>
            </w:pPr>
            <w:r w:rsidRPr="0038226D">
              <w:t>Abatement accredited under the determination is ‘eligible carbon abatement’ (abatement due to the project that can be used to meet Australia’s international mitigation obligations).</w:t>
            </w:r>
          </w:p>
        </w:tc>
      </w:tr>
      <w:tr w:rsidR="005455A5" w:rsidRPr="0038226D" w14:paraId="770CE154" w14:textId="77777777" w:rsidTr="00716050">
        <w:tc>
          <w:tcPr>
            <w:tcW w:w="1836" w:type="dxa"/>
          </w:tcPr>
          <w:p w14:paraId="79AB93BD" w14:textId="77777777" w:rsidR="005455A5" w:rsidRPr="0038226D" w:rsidRDefault="005455A5" w:rsidP="00616DB7">
            <w:pPr>
              <w:pStyle w:val="ListBullet"/>
              <w:numPr>
                <w:ilvl w:val="0"/>
                <w:numId w:val="0"/>
              </w:numPr>
              <w:spacing w:before="60"/>
            </w:pPr>
            <w:r w:rsidRPr="0038226D">
              <w:t>Evidence</w:t>
            </w:r>
          </w:p>
        </w:tc>
        <w:tc>
          <w:tcPr>
            <w:tcW w:w="1278" w:type="dxa"/>
          </w:tcPr>
          <w:p w14:paraId="464FC15B" w14:textId="77777777" w:rsidR="005455A5" w:rsidRPr="0038226D" w:rsidRDefault="005455A5" w:rsidP="00616DB7">
            <w:pPr>
              <w:pStyle w:val="ListBullet"/>
              <w:numPr>
                <w:ilvl w:val="0"/>
                <w:numId w:val="0"/>
              </w:numPr>
              <w:spacing w:before="60"/>
            </w:pPr>
            <w:r w:rsidRPr="0038226D">
              <w:t>133(1)(d)</w:t>
            </w:r>
          </w:p>
        </w:tc>
        <w:tc>
          <w:tcPr>
            <w:tcW w:w="5946" w:type="dxa"/>
          </w:tcPr>
          <w:p w14:paraId="7CB99819" w14:textId="77777777" w:rsidR="005455A5" w:rsidRPr="0038226D" w:rsidRDefault="005455A5" w:rsidP="00616DB7">
            <w:pPr>
              <w:pStyle w:val="ListBullet"/>
              <w:numPr>
                <w:ilvl w:val="0"/>
                <w:numId w:val="0"/>
              </w:numPr>
              <w:spacing w:before="60"/>
            </w:pPr>
            <w:r w:rsidRPr="0038226D">
              <w:t>The method is supported by clear and convincing evidence.</w:t>
            </w:r>
          </w:p>
        </w:tc>
      </w:tr>
      <w:tr w:rsidR="005455A5" w:rsidRPr="0038226D" w14:paraId="4DD11B7A" w14:textId="77777777" w:rsidTr="00716050">
        <w:tc>
          <w:tcPr>
            <w:tcW w:w="1836" w:type="dxa"/>
          </w:tcPr>
          <w:p w14:paraId="442D433C" w14:textId="77777777" w:rsidR="005455A5" w:rsidRPr="0038226D" w:rsidRDefault="005455A5" w:rsidP="00616DB7">
            <w:pPr>
              <w:pStyle w:val="ListBullet"/>
              <w:numPr>
                <w:ilvl w:val="0"/>
                <w:numId w:val="0"/>
              </w:numPr>
              <w:spacing w:before="60"/>
            </w:pPr>
            <w:r w:rsidRPr="0038226D">
              <w:t>Project emissions and leakage</w:t>
            </w:r>
          </w:p>
        </w:tc>
        <w:tc>
          <w:tcPr>
            <w:tcW w:w="1278" w:type="dxa"/>
          </w:tcPr>
          <w:p w14:paraId="1779280C" w14:textId="77777777" w:rsidR="005455A5" w:rsidRPr="0038226D" w:rsidRDefault="005455A5" w:rsidP="00616DB7">
            <w:pPr>
              <w:pStyle w:val="ListBullet"/>
              <w:numPr>
                <w:ilvl w:val="0"/>
                <w:numId w:val="0"/>
              </w:numPr>
              <w:spacing w:before="60"/>
            </w:pPr>
            <w:r w:rsidRPr="0038226D">
              <w:t>133(1)(e)</w:t>
            </w:r>
          </w:p>
        </w:tc>
        <w:tc>
          <w:tcPr>
            <w:tcW w:w="5946" w:type="dxa"/>
          </w:tcPr>
          <w:p w14:paraId="1E020045" w14:textId="77777777" w:rsidR="005455A5" w:rsidRPr="0038226D" w:rsidRDefault="005455A5" w:rsidP="00616DB7">
            <w:pPr>
              <w:pStyle w:val="ListBullet"/>
              <w:numPr>
                <w:ilvl w:val="0"/>
                <w:numId w:val="0"/>
              </w:numPr>
              <w:spacing w:before="60"/>
            </w:pPr>
            <w:r w:rsidRPr="0038226D">
              <w:t>The method provides for deductions of material emissions that occur as a direct result of the conduct of projects.</w:t>
            </w:r>
          </w:p>
        </w:tc>
      </w:tr>
      <w:tr w:rsidR="005455A5" w:rsidRPr="0038226D" w14:paraId="3C19F892" w14:textId="77777777" w:rsidTr="00716050">
        <w:tc>
          <w:tcPr>
            <w:tcW w:w="1836" w:type="dxa"/>
          </w:tcPr>
          <w:p w14:paraId="6A17EAF0" w14:textId="77777777" w:rsidR="005455A5" w:rsidRPr="0038226D" w:rsidRDefault="005455A5" w:rsidP="00616DB7">
            <w:pPr>
              <w:pStyle w:val="ListBullet"/>
              <w:numPr>
                <w:ilvl w:val="0"/>
                <w:numId w:val="0"/>
              </w:numPr>
              <w:spacing w:before="60"/>
            </w:pPr>
            <w:r w:rsidRPr="0038226D">
              <w:t>Conservativism</w:t>
            </w:r>
          </w:p>
        </w:tc>
        <w:tc>
          <w:tcPr>
            <w:tcW w:w="1278" w:type="dxa"/>
          </w:tcPr>
          <w:p w14:paraId="329CEE4D" w14:textId="77777777" w:rsidR="005455A5" w:rsidRPr="0038226D" w:rsidRDefault="005455A5" w:rsidP="00616DB7">
            <w:pPr>
              <w:pStyle w:val="ListBullet"/>
              <w:numPr>
                <w:ilvl w:val="0"/>
                <w:numId w:val="0"/>
              </w:numPr>
              <w:spacing w:before="60"/>
            </w:pPr>
            <w:r w:rsidRPr="0038226D">
              <w:t>133(1)(g)</w:t>
            </w:r>
          </w:p>
        </w:tc>
        <w:tc>
          <w:tcPr>
            <w:tcW w:w="5946" w:type="dxa"/>
          </w:tcPr>
          <w:p w14:paraId="496ED624" w14:textId="77777777" w:rsidR="005455A5" w:rsidRPr="0038226D" w:rsidRDefault="005455A5" w:rsidP="00616DB7">
            <w:pPr>
              <w:pStyle w:val="ListBullet"/>
              <w:numPr>
                <w:ilvl w:val="0"/>
                <w:numId w:val="0"/>
              </w:numPr>
              <w:spacing w:before="60"/>
            </w:pPr>
            <w:r w:rsidRPr="0038226D">
              <w:t>All estimates, projections or assumptions in the determination are conservative.</w:t>
            </w:r>
          </w:p>
        </w:tc>
      </w:tr>
      <w:tr w:rsidR="005455A5" w:rsidRPr="0038226D" w14:paraId="40BD8C27" w14:textId="77777777" w:rsidTr="00716050">
        <w:tc>
          <w:tcPr>
            <w:tcW w:w="1836" w:type="dxa"/>
          </w:tcPr>
          <w:p w14:paraId="4B61DC8B" w14:textId="77777777" w:rsidR="005455A5" w:rsidRPr="00FC60CF" w:rsidRDefault="005455A5" w:rsidP="00616DB7">
            <w:pPr>
              <w:pStyle w:val="ListBullet"/>
              <w:numPr>
                <w:ilvl w:val="0"/>
                <w:numId w:val="0"/>
              </w:numPr>
              <w:spacing w:before="60"/>
            </w:pPr>
            <w:r w:rsidRPr="00FC60CF">
              <w:t>Legislative rules</w:t>
            </w:r>
          </w:p>
        </w:tc>
        <w:tc>
          <w:tcPr>
            <w:tcW w:w="1278" w:type="dxa"/>
          </w:tcPr>
          <w:p w14:paraId="0456A2BB" w14:textId="77777777" w:rsidR="005455A5" w:rsidRPr="00FC60CF" w:rsidRDefault="005455A5" w:rsidP="00616DB7">
            <w:pPr>
              <w:pStyle w:val="ListBullet"/>
              <w:numPr>
                <w:ilvl w:val="0"/>
                <w:numId w:val="0"/>
              </w:numPr>
              <w:spacing w:before="60"/>
            </w:pPr>
            <w:r w:rsidRPr="00FC60CF">
              <w:t>133(1)(h)</w:t>
            </w:r>
          </w:p>
        </w:tc>
        <w:tc>
          <w:tcPr>
            <w:tcW w:w="5946" w:type="dxa"/>
          </w:tcPr>
          <w:p w14:paraId="0AAD986F" w14:textId="77777777" w:rsidR="005455A5" w:rsidRPr="00106047" w:rsidRDefault="005455A5" w:rsidP="00616DB7">
            <w:pPr>
              <w:pStyle w:val="ListBullet"/>
              <w:numPr>
                <w:ilvl w:val="0"/>
                <w:numId w:val="0"/>
              </w:numPr>
              <w:spacing w:before="60"/>
            </w:pPr>
            <w:r w:rsidRPr="00FC60CF">
              <w:t>The determination satisfies any applicable legislative rules.</w:t>
            </w:r>
          </w:p>
        </w:tc>
      </w:tr>
    </w:tbl>
    <w:p w14:paraId="2B907F51" w14:textId="29E8845E" w:rsidR="0071474B" w:rsidRPr="00E06D10" w:rsidDel="00FD7333" w:rsidRDefault="00131C82" w:rsidP="00616DB7">
      <w:pPr>
        <w:spacing w:before="120" w:after="120"/>
        <w:rPr>
          <w:b/>
          <w:i/>
          <w:color w:val="017097" w:themeColor="accent1"/>
          <w:sz w:val="24"/>
          <w:szCs w:val="24"/>
          <w:lang w:eastAsia="ja-JP"/>
        </w:rPr>
      </w:pPr>
      <w:r w:rsidRPr="00E06D10">
        <w:rPr>
          <w:b/>
          <w:i/>
          <w:color w:val="017097" w:themeColor="accent1"/>
          <w:sz w:val="24"/>
          <w:szCs w:val="24"/>
          <w:lang w:eastAsia="ja-JP"/>
        </w:rPr>
        <w:t>Additional</w:t>
      </w:r>
      <w:r w:rsidR="00815B1B" w:rsidRPr="00E06D10">
        <w:rPr>
          <w:b/>
          <w:i/>
          <w:color w:val="017097" w:themeColor="accent1"/>
          <w:sz w:val="24"/>
          <w:szCs w:val="24"/>
          <w:lang w:eastAsia="ja-JP"/>
        </w:rPr>
        <w:t xml:space="preserve"> considerations</w:t>
      </w:r>
    </w:p>
    <w:p w14:paraId="326658F8" w14:textId="51AF5488" w:rsidR="00CF74BA" w:rsidRPr="0045032A" w:rsidRDefault="00CF74BA" w:rsidP="00616DB7">
      <w:pPr>
        <w:spacing w:before="120" w:after="120"/>
      </w:pPr>
      <w:r w:rsidRPr="0045032A">
        <w:t xml:space="preserve">While </w:t>
      </w:r>
      <w:r w:rsidR="00F34DB1" w:rsidRPr="0045032A">
        <w:t xml:space="preserve">a </w:t>
      </w:r>
      <w:r w:rsidR="009D5288">
        <w:t>p</w:t>
      </w:r>
      <w:r w:rsidR="00F34DB1" w:rsidRPr="0045032A">
        <w:t xml:space="preserve">eriodic </w:t>
      </w:r>
      <w:r w:rsidR="009D5288">
        <w:t>r</w:t>
      </w:r>
      <w:r w:rsidR="00F34DB1" w:rsidRPr="0045032A">
        <w:t xml:space="preserve">eview must consider a </w:t>
      </w:r>
      <w:r w:rsidRPr="0045032A">
        <w:t xml:space="preserve">method’s compliance with the </w:t>
      </w:r>
      <w:r w:rsidR="003466B6">
        <w:t>OIS</w:t>
      </w:r>
      <w:r w:rsidRPr="0045032A">
        <w:t xml:space="preserve">, the Committee will consider other issues, including: </w:t>
      </w:r>
    </w:p>
    <w:p w14:paraId="1B6FF771" w14:textId="50D3BADD" w:rsidR="00CF74BA" w:rsidRPr="0045032A" w:rsidRDefault="00CF74BA" w:rsidP="00BA6E31">
      <w:pPr>
        <w:pStyle w:val="ListBullet"/>
        <w:tabs>
          <w:tab w:val="clear" w:pos="360"/>
        </w:tabs>
        <w:ind w:left="284" w:hanging="284"/>
      </w:pPr>
      <w:r w:rsidRPr="0045032A">
        <w:t>transaction costs associated with its application</w:t>
      </w:r>
    </w:p>
    <w:p w14:paraId="31745942" w14:textId="77777777" w:rsidR="00CF74BA" w:rsidRPr="0045032A" w:rsidRDefault="00CF74BA" w:rsidP="00BA6E31">
      <w:pPr>
        <w:pStyle w:val="ListBullet"/>
        <w:tabs>
          <w:tab w:val="clear" w:pos="360"/>
        </w:tabs>
        <w:ind w:left="284" w:hanging="284"/>
      </w:pPr>
      <w:r w:rsidRPr="0045032A">
        <w:t xml:space="preserve">its effectiveness in measuring and rewarding genuine abatement </w:t>
      </w:r>
    </w:p>
    <w:p w14:paraId="5790FD16" w14:textId="00B38B21" w:rsidR="00CF74BA" w:rsidRPr="0045032A" w:rsidRDefault="00CF74BA" w:rsidP="00BA6E31">
      <w:pPr>
        <w:pStyle w:val="ListBullet"/>
        <w:tabs>
          <w:tab w:val="clear" w:pos="360"/>
        </w:tabs>
        <w:ind w:left="284" w:hanging="284"/>
      </w:pPr>
      <w:r w:rsidRPr="0045032A">
        <w:t>ease of administration and enforcement</w:t>
      </w:r>
    </w:p>
    <w:p w14:paraId="704A1319" w14:textId="77777777" w:rsidR="00CF74BA" w:rsidRPr="0045032A" w:rsidRDefault="00CF74BA" w:rsidP="00BA6E31">
      <w:pPr>
        <w:pStyle w:val="ListBullet"/>
        <w:tabs>
          <w:tab w:val="clear" w:pos="360"/>
        </w:tabs>
        <w:ind w:left="284" w:hanging="284"/>
      </w:pPr>
      <w:r w:rsidRPr="0045032A">
        <w:t>consistency with other ACCU Scheme methods</w:t>
      </w:r>
    </w:p>
    <w:p w14:paraId="456E4553" w14:textId="0F012CDD" w:rsidR="00CF74BA" w:rsidRPr="0045032A" w:rsidRDefault="00CF74BA" w:rsidP="00BA6E31">
      <w:pPr>
        <w:pStyle w:val="ListBullet"/>
        <w:tabs>
          <w:tab w:val="clear" w:pos="360"/>
        </w:tabs>
        <w:ind w:left="284" w:hanging="284"/>
      </w:pPr>
      <w:r w:rsidRPr="0045032A">
        <w:t xml:space="preserve">positive and negative broader environmental, social and economic impacts of projects </w:t>
      </w:r>
    </w:p>
    <w:p w14:paraId="6AEFA3B1" w14:textId="06EFC249" w:rsidR="00815B1B" w:rsidRPr="008300E0" w:rsidRDefault="00815B1B" w:rsidP="00616DB7">
      <w:pPr>
        <w:pStyle w:val="Heading3"/>
        <w:spacing w:before="120" w:after="120" w:line="276" w:lineRule="auto"/>
        <w:rPr>
          <w:color w:val="017097" w:themeColor="accent1"/>
        </w:rPr>
      </w:pPr>
      <w:bookmarkStart w:id="6" w:name="_Toc192068730"/>
      <w:r w:rsidRPr="008300E0">
        <w:rPr>
          <w:color w:val="017097" w:themeColor="accent1"/>
        </w:rPr>
        <w:lastRenderedPageBreak/>
        <w:t>Sources of information</w:t>
      </w:r>
      <w:bookmarkEnd w:id="6"/>
    </w:p>
    <w:p w14:paraId="216828A6" w14:textId="3010A85F" w:rsidR="00D54C38" w:rsidRPr="00EC43D1" w:rsidRDefault="00D54C38" w:rsidP="00616DB7">
      <w:pPr>
        <w:spacing w:before="120" w:after="120"/>
      </w:pPr>
      <w:r w:rsidRPr="00ED4552">
        <w:t xml:space="preserve">Respondents </w:t>
      </w:r>
      <w:r w:rsidR="006A3750">
        <w:t xml:space="preserve">should consider </w:t>
      </w:r>
      <w:r w:rsidR="00851937" w:rsidRPr="00ED4552">
        <w:t xml:space="preserve">the </w:t>
      </w:r>
      <w:r w:rsidR="009A5043">
        <w:t xml:space="preserve">information at the </w:t>
      </w:r>
      <w:r w:rsidR="00851937">
        <w:t xml:space="preserve">following </w:t>
      </w:r>
      <w:r w:rsidR="009A5043">
        <w:t xml:space="preserve">links </w:t>
      </w:r>
      <w:r w:rsidR="00643526">
        <w:t>to assist with their responses to this consultation process.</w:t>
      </w:r>
    </w:p>
    <w:p w14:paraId="0667BABC" w14:textId="48A1947C" w:rsidR="00815B1B" w:rsidRPr="003E68BE" w:rsidRDefault="00B20990" w:rsidP="00616DB7">
      <w:pPr>
        <w:spacing w:before="120" w:after="120"/>
        <w:rPr>
          <w:b/>
          <w:bCs/>
          <w:i/>
        </w:rPr>
      </w:pPr>
      <w:r w:rsidRPr="003E68BE">
        <w:rPr>
          <w:b/>
          <w:bCs/>
          <w:i/>
        </w:rPr>
        <w:t>AEM</w:t>
      </w:r>
      <w:r w:rsidR="00815B1B" w:rsidRPr="003E68BE">
        <w:rPr>
          <w:b/>
          <w:bCs/>
          <w:i/>
        </w:rPr>
        <w:t xml:space="preserve"> method</w:t>
      </w:r>
      <w:r w:rsidR="00380FA6" w:rsidRPr="003E68BE">
        <w:rPr>
          <w:b/>
          <w:bCs/>
          <w:i/>
        </w:rPr>
        <w:t xml:space="preserve"> 2019</w:t>
      </w:r>
    </w:p>
    <w:p w14:paraId="54737478" w14:textId="1E266392" w:rsidR="00815B1B" w:rsidRPr="0081764F" w:rsidRDefault="0064118E" w:rsidP="00987E4C">
      <w:pPr>
        <w:pStyle w:val="ListBullet"/>
        <w:tabs>
          <w:tab w:val="clear" w:pos="360"/>
        </w:tabs>
        <w:ind w:left="284" w:hanging="284"/>
        <w:rPr>
          <w:i/>
          <w:iCs/>
        </w:rPr>
      </w:pPr>
      <w:hyperlink r:id="rId22" w:history="1">
        <w:r w:rsidRPr="0081764F">
          <w:rPr>
            <w:rStyle w:val="Hyperlink"/>
            <w:i/>
            <w:iCs/>
          </w:rPr>
          <w:t>Carbon Credits (Carbon Farming Initiative—Animal Effluent Management) Methodology Determination 2019</w:t>
        </w:r>
      </w:hyperlink>
    </w:p>
    <w:p w14:paraId="6C4805F2" w14:textId="2642D78F" w:rsidR="00815B1B" w:rsidRPr="00EC43D1" w:rsidRDefault="0080167B" w:rsidP="00987E4C">
      <w:pPr>
        <w:pStyle w:val="ListBullet"/>
        <w:tabs>
          <w:tab w:val="clear" w:pos="360"/>
        </w:tabs>
        <w:ind w:left="284" w:hanging="284"/>
        <w:rPr>
          <w:i/>
          <w:iCs/>
        </w:rPr>
      </w:pPr>
      <w:hyperlink r:id="rId23" w:history="1">
        <w:r w:rsidRPr="00EC43D1">
          <w:rPr>
            <w:rStyle w:val="Hyperlink"/>
          </w:rPr>
          <w:t>Supplement</w:t>
        </w:r>
        <w:r w:rsidR="00AB4CE8" w:rsidRPr="00EC43D1">
          <w:rPr>
            <w:rStyle w:val="Hyperlink"/>
          </w:rPr>
          <w:t xml:space="preserve"> </w:t>
        </w:r>
        <w:r w:rsidRPr="00EC43D1">
          <w:rPr>
            <w:rStyle w:val="Hyperlink"/>
          </w:rPr>
          <w:t>to</w:t>
        </w:r>
        <w:r w:rsidR="00AB4CE8" w:rsidRPr="00EC43D1">
          <w:rPr>
            <w:rStyle w:val="Hyperlink"/>
          </w:rPr>
          <w:t xml:space="preserve"> the</w:t>
        </w:r>
        <w:r w:rsidR="00AB4CE8" w:rsidRPr="00EC43D1">
          <w:rPr>
            <w:rStyle w:val="Hyperlink"/>
            <w:i/>
            <w:iCs/>
          </w:rPr>
          <w:t xml:space="preserve"> </w:t>
        </w:r>
        <w:r w:rsidR="00B93F28" w:rsidRPr="00EC43D1">
          <w:rPr>
            <w:rStyle w:val="Hyperlink"/>
            <w:i/>
            <w:iCs/>
          </w:rPr>
          <w:t>C</w:t>
        </w:r>
        <w:r w:rsidRPr="00EC43D1">
          <w:rPr>
            <w:rStyle w:val="Hyperlink"/>
            <w:i/>
            <w:iCs/>
          </w:rPr>
          <w:t>arbon</w:t>
        </w:r>
        <w:r w:rsidR="00AB4CE8" w:rsidRPr="00EC43D1">
          <w:rPr>
            <w:rStyle w:val="Hyperlink"/>
            <w:i/>
            <w:iCs/>
          </w:rPr>
          <w:t xml:space="preserve"> </w:t>
        </w:r>
        <w:r w:rsidR="00B93F28" w:rsidRPr="00EC43D1">
          <w:rPr>
            <w:rStyle w:val="Hyperlink"/>
            <w:i/>
            <w:iCs/>
          </w:rPr>
          <w:t>C</w:t>
        </w:r>
        <w:r w:rsidRPr="00EC43D1">
          <w:rPr>
            <w:rStyle w:val="Hyperlink"/>
            <w:i/>
            <w:iCs/>
          </w:rPr>
          <w:t>redits</w:t>
        </w:r>
        <w:r w:rsidR="00AB4CE8" w:rsidRPr="00EC43D1">
          <w:rPr>
            <w:rStyle w:val="Hyperlink"/>
            <w:i/>
            <w:iCs/>
          </w:rPr>
          <w:t xml:space="preserve"> (</w:t>
        </w:r>
        <w:r w:rsidR="00B93F28" w:rsidRPr="00EC43D1">
          <w:rPr>
            <w:rStyle w:val="Hyperlink"/>
            <w:i/>
            <w:iCs/>
          </w:rPr>
          <w:t>C</w:t>
        </w:r>
        <w:r w:rsidRPr="00EC43D1">
          <w:rPr>
            <w:rStyle w:val="Hyperlink"/>
            <w:i/>
            <w:iCs/>
          </w:rPr>
          <w:t>arbon</w:t>
        </w:r>
        <w:r w:rsidR="00B93F28" w:rsidRPr="00EC43D1">
          <w:rPr>
            <w:rStyle w:val="Hyperlink"/>
            <w:i/>
            <w:iCs/>
          </w:rPr>
          <w:t xml:space="preserve"> F</w:t>
        </w:r>
        <w:r w:rsidRPr="00EC43D1">
          <w:rPr>
            <w:rStyle w:val="Hyperlink"/>
            <w:i/>
            <w:iCs/>
          </w:rPr>
          <w:t>arming</w:t>
        </w:r>
        <w:r w:rsidR="00B93F28" w:rsidRPr="00EC43D1">
          <w:rPr>
            <w:rStyle w:val="Hyperlink"/>
            <w:i/>
            <w:iCs/>
          </w:rPr>
          <w:t xml:space="preserve"> I</w:t>
        </w:r>
        <w:r w:rsidRPr="00EC43D1">
          <w:rPr>
            <w:rStyle w:val="Hyperlink"/>
            <w:i/>
            <w:iCs/>
          </w:rPr>
          <w:t>nitiative</w:t>
        </w:r>
        <w:r w:rsidR="00B93F28" w:rsidRPr="00EC43D1">
          <w:rPr>
            <w:rStyle w:val="Hyperlink"/>
            <w:i/>
            <w:iCs/>
          </w:rPr>
          <w:t xml:space="preserve"> – A</w:t>
        </w:r>
        <w:r w:rsidRPr="00EC43D1">
          <w:rPr>
            <w:rStyle w:val="Hyperlink"/>
            <w:i/>
            <w:iCs/>
          </w:rPr>
          <w:t>nimal</w:t>
        </w:r>
        <w:r w:rsidR="00B93F28" w:rsidRPr="00EC43D1">
          <w:rPr>
            <w:rStyle w:val="Hyperlink"/>
            <w:i/>
            <w:iCs/>
          </w:rPr>
          <w:t xml:space="preserve"> E</w:t>
        </w:r>
        <w:r w:rsidRPr="00EC43D1">
          <w:rPr>
            <w:rStyle w:val="Hyperlink"/>
            <w:i/>
            <w:iCs/>
          </w:rPr>
          <w:t>ffluent</w:t>
        </w:r>
        <w:r w:rsidR="00B93F28" w:rsidRPr="00EC43D1">
          <w:rPr>
            <w:rStyle w:val="Hyperlink"/>
            <w:i/>
            <w:iCs/>
          </w:rPr>
          <w:t xml:space="preserve"> M</w:t>
        </w:r>
        <w:r w:rsidRPr="00EC43D1">
          <w:rPr>
            <w:rStyle w:val="Hyperlink"/>
            <w:i/>
            <w:iCs/>
          </w:rPr>
          <w:t>anagement</w:t>
        </w:r>
        <w:r w:rsidR="00F974FD" w:rsidRPr="00EC43D1">
          <w:rPr>
            <w:rStyle w:val="Hyperlink"/>
            <w:i/>
            <w:iCs/>
          </w:rPr>
          <w:t>)</w:t>
        </w:r>
        <w:r w:rsidR="00B93F28" w:rsidRPr="00EC43D1">
          <w:rPr>
            <w:rStyle w:val="Hyperlink"/>
            <w:i/>
            <w:iCs/>
          </w:rPr>
          <w:t xml:space="preserve"> M</w:t>
        </w:r>
        <w:r w:rsidRPr="00EC43D1">
          <w:rPr>
            <w:rStyle w:val="Hyperlink"/>
            <w:i/>
            <w:iCs/>
          </w:rPr>
          <w:t>ethodology</w:t>
        </w:r>
      </w:hyperlink>
      <w:r w:rsidR="00F974FD" w:rsidRPr="00EC43D1">
        <w:rPr>
          <w:rStyle w:val="Hyperlink"/>
          <w:i/>
          <w:iCs/>
        </w:rPr>
        <w:t xml:space="preserve"> Determination 2019</w:t>
      </w:r>
      <w:r w:rsidR="00CD084C">
        <w:rPr>
          <w:rStyle w:val="Hyperlink"/>
          <w:i/>
          <w:iCs/>
        </w:rPr>
        <w:t xml:space="preserve"> </w:t>
      </w:r>
      <w:r w:rsidR="00CD084C" w:rsidRPr="00CD084C">
        <w:rPr>
          <w:rStyle w:val="Hyperlink"/>
        </w:rPr>
        <w:t>(AEM method 2019 Supplement)</w:t>
      </w:r>
    </w:p>
    <w:p w14:paraId="6EF505CA" w14:textId="1CB288FC" w:rsidR="00DC238B" w:rsidRPr="00FF4FC3" w:rsidRDefault="00090694" w:rsidP="00987E4C">
      <w:pPr>
        <w:pStyle w:val="ListBullet"/>
        <w:tabs>
          <w:tab w:val="clear" w:pos="360"/>
        </w:tabs>
        <w:ind w:left="284" w:hanging="284"/>
        <w:rPr>
          <w:rStyle w:val="Hyperlink"/>
          <w:color w:val="auto"/>
          <w:u w:val="none"/>
        </w:rPr>
      </w:pPr>
      <w:hyperlink r:id="rId24" w:history="1">
        <w:r w:rsidRPr="00FF4FC3">
          <w:rPr>
            <w:rStyle w:val="Hyperlink"/>
          </w:rPr>
          <w:t xml:space="preserve">Animal </w:t>
        </w:r>
        <w:r w:rsidR="00987E4C">
          <w:rPr>
            <w:rStyle w:val="Hyperlink"/>
          </w:rPr>
          <w:t>E</w:t>
        </w:r>
        <w:r w:rsidRPr="00FF4FC3">
          <w:rPr>
            <w:rStyle w:val="Hyperlink"/>
          </w:rPr>
          <w:t xml:space="preserve">ffluent </w:t>
        </w:r>
        <w:r w:rsidR="00987E4C">
          <w:rPr>
            <w:rStyle w:val="Hyperlink"/>
          </w:rPr>
          <w:t>M</w:t>
        </w:r>
        <w:r w:rsidRPr="00FF4FC3">
          <w:rPr>
            <w:rStyle w:val="Hyperlink"/>
          </w:rPr>
          <w:t xml:space="preserve">anagement method </w:t>
        </w:r>
        <w:r w:rsidR="0041471B">
          <w:rPr>
            <w:rStyle w:val="Hyperlink"/>
          </w:rPr>
          <w:t>–</w:t>
        </w:r>
        <w:r w:rsidRPr="00FF4FC3">
          <w:rPr>
            <w:rStyle w:val="Hyperlink"/>
          </w:rPr>
          <w:t xml:space="preserve"> </w:t>
        </w:r>
        <w:r w:rsidR="0041471B">
          <w:rPr>
            <w:rStyle w:val="Hyperlink"/>
          </w:rPr>
          <w:t>the</w:t>
        </w:r>
      </w:hyperlink>
      <w:r w:rsidR="0041471B">
        <w:rPr>
          <w:rStyle w:val="Hyperlink"/>
        </w:rPr>
        <w:t xml:space="preserve"> department</w:t>
      </w:r>
    </w:p>
    <w:p w14:paraId="2218F367" w14:textId="6B46CFB4" w:rsidR="00815B1B" w:rsidRPr="00FF4FC3" w:rsidDel="00D30BA7" w:rsidRDefault="00E674CE" w:rsidP="00987E4C">
      <w:pPr>
        <w:pStyle w:val="ListBullet"/>
        <w:tabs>
          <w:tab w:val="clear" w:pos="360"/>
        </w:tabs>
        <w:ind w:left="284" w:hanging="284"/>
      </w:pPr>
      <w:hyperlink r:id="rId25" w:history="1">
        <w:r w:rsidRPr="00FF4FC3">
          <w:rPr>
            <w:rStyle w:val="Hyperlink"/>
          </w:rPr>
          <w:t xml:space="preserve">Animal </w:t>
        </w:r>
        <w:r w:rsidR="00987E4C">
          <w:rPr>
            <w:rStyle w:val="Hyperlink"/>
          </w:rPr>
          <w:t>E</w:t>
        </w:r>
        <w:r w:rsidRPr="00FF4FC3">
          <w:rPr>
            <w:rStyle w:val="Hyperlink"/>
          </w:rPr>
          <w:t xml:space="preserve">ffluent </w:t>
        </w:r>
        <w:r w:rsidR="00987E4C">
          <w:rPr>
            <w:rStyle w:val="Hyperlink"/>
          </w:rPr>
          <w:t>M</w:t>
        </w:r>
        <w:r w:rsidRPr="00FF4FC3">
          <w:rPr>
            <w:rStyle w:val="Hyperlink"/>
          </w:rPr>
          <w:t xml:space="preserve">anagement method </w:t>
        </w:r>
        <w:r w:rsidR="0041471B">
          <w:rPr>
            <w:rStyle w:val="Hyperlink"/>
          </w:rPr>
          <w:t>-</w:t>
        </w:r>
        <w:r w:rsidRPr="00FF4FC3">
          <w:rPr>
            <w:rStyle w:val="Hyperlink"/>
          </w:rPr>
          <w:t xml:space="preserve"> Clean Energy Regulator</w:t>
        </w:r>
      </w:hyperlink>
      <w:r w:rsidRPr="00FF4FC3">
        <w:t xml:space="preserve"> </w:t>
      </w:r>
    </w:p>
    <w:p w14:paraId="4CB39D2D" w14:textId="4029FBC9" w:rsidR="00DF0746" w:rsidRPr="003E68BE" w:rsidRDefault="00987E4C" w:rsidP="00616DB7">
      <w:pPr>
        <w:spacing w:before="120" w:after="120"/>
        <w:rPr>
          <w:b/>
          <w:bCs/>
          <w:i/>
        </w:rPr>
      </w:pPr>
      <w:r w:rsidRPr="003E68BE">
        <w:rPr>
          <w:b/>
          <w:bCs/>
          <w:i/>
        </w:rPr>
        <w:t>Wastewater method 2015</w:t>
      </w:r>
    </w:p>
    <w:p w14:paraId="21A19EA4" w14:textId="26F932B9" w:rsidR="00DF0746" w:rsidRPr="0081764F" w:rsidRDefault="000B755A" w:rsidP="00987E4C">
      <w:pPr>
        <w:pStyle w:val="ListBullet"/>
        <w:tabs>
          <w:tab w:val="clear" w:pos="360"/>
        </w:tabs>
        <w:ind w:left="284" w:hanging="284"/>
        <w:rPr>
          <w:i/>
          <w:iCs/>
        </w:rPr>
      </w:pPr>
      <w:hyperlink r:id="rId26" w:history="1">
        <w:r w:rsidRPr="0081764F">
          <w:rPr>
            <w:rStyle w:val="Hyperlink"/>
            <w:i/>
            <w:iCs/>
          </w:rPr>
          <w:t>Carbon Credits (Carbon Farming Initiative—Domestic, Commercial and Industrial Wastewater) Methodology Determination 2015</w:t>
        </w:r>
      </w:hyperlink>
    </w:p>
    <w:p w14:paraId="504FC481" w14:textId="45027D2C" w:rsidR="00DF0746" w:rsidRPr="00493635" w:rsidRDefault="00EE2585" w:rsidP="00987E4C">
      <w:pPr>
        <w:pStyle w:val="ListBullet"/>
        <w:tabs>
          <w:tab w:val="clear" w:pos="360"/>
        </w:tabs>
        <w:ind w:left="284" w:hanging="284"/>
        <w:rPr>
          <w:rStyle w:val="Hyperlink"/>
          <w:color w:val="auto"/>
          <w:u w:val="none"/>
        </w:rPr>
      </w:pPr>
      <w:r>
        <w:t xml:space="preserve">Participating in the Emissions Reduction Fund - </w:t>
      </w:r>
      <w:hyperlink r:id="rId27" w:history="1">
        <w:r w:rsidR="007D5513">
          <w:rPr>
            <w:rStyle w:val="Hyperlink"/>
          </w:rPr>
          <w:t>U</w:t>
        </w:r>
        <w:r w:rsidR="00A57D61" w:rsidRPr="00A57D61">
          <w:rPr>
            <w:rStyle w:val="Hyperlink"/>
          </w:rPr>
          <w:t>sing</w:t>
        </w:r>
        <w:r w:rsidR="007D5513">
          <w:rPr>
            <w:rStyle w:val="Hyperlink"/>
          </w:rPr>
          <w:t xml:space="preserve"> the </w:t>
        </w:r>
        <w:r w:rsidR="00A57D61" w:rsidRPr="00A57D61">
          <w:rPr>
            <w:rStyle w:val="Hyperlink"/>
          </w:rPr>
          <w:t>domestic</w:t>
        </w:r>
        <w:r>
          <w:rPr>
            <w:rStyle w:val="Hyperlink"/>
          </w:rPr>
          <w:t xml:space="preserve">, </w:t>
        </w:r>
        <w:r w:rsidR="00A57D61" w:rsidRPr="00A57D61">
          <w:rPr>
            <w:rStyle w:val="Hyperlink"/>
          </w:rPr>
          <w:t>commercial</w:t>
        </w:r>
        <w:r>
          <w:rPr>
            <w:rStyle w:val="Hyperlink"/>
          </w:rPr>
          <w:t xml:space="preserve"> </w:t>
        </w:r>
        <w:r w:rsidR="00A57D61" w:rsidRPr="00A57D61">
          <w:rPr>
            <w:rStyle w:val="Hyperlink"/>
          </w:rPr>
          <w:t>and</w:t>
        </w:r>
        <w:r>
          <w:rPr>
            <w:rStyle w:val="Hyperlink"/>
          </w:rPr>
          <w:t xml:space="preserve"> </w:t>
        </w:r>
        <w:r w:rsidR="00A57D61" w:rsidRPr="00A57D61">
          <w:rPr>
            <w:rStyle w:val="Hyperlink"/>
          </w:rPr>
          <w:t>industrial</w:t>
        </w:r>
        <w:r>
          <w:rPr>
            <w:rStyle w:val="Hyperlink"/>
          </w:rPr>
          <w:t xml:space="preserve"> </w:t>
        </w:r>
        <w:r w:rsidR="00A57D61" w:rsidRPr="00A57D61">
          <w:rPr>
            <w:rStyle w:val="Hyperlink"/>
          </w:rPr>
          <w:t>wastewater</w:t>
        </w:r>
        <w:r>
          <w:rPr>
            <w:rStyle w:val="Hyperlink"/>
          </w:rPr>
          <w:t xml:space="preserve"> </w:t>
        </w:r>
        <w:r w:rsidR="00A57D61" w:rsidRPr="00A57D61">
          <w:rPr>
            <w:rStyle w:val="Hyperlink"/>
          </w:rPr>
          <w:t>method</w:t>
        </w:r>
      </w:hyperlink>
      <w:r w:rsidR="00B60742">
        <w:rPr>
          <w:rStyle w:val="Hyperlink"/>
        </w:rPr>
        <w:t xml:space="preserve"> (Clean Energy Regulator)</w:t>
      </w:r>
    </w:p>
    <w:p w14:paraId="14CF85AD" w14:textId="1756E930" w:rsidR="00493635" w:rsidRDefault="00493635" w:rsidP="00987E4C">
      <w:pPr>
        <w:pStyle w:val="ListBullet"/>
        <w:tabs>
          <w:tab w:val="clear" w:pos="360"/>
        </w:tabs>
        <w:ind w:left="284" w:hanging="284"/>
      </w:pPr>
      <w:hyperlink r:id="rId28" w:history="1">
        <w:bookmarkStart w:id="7" w:name="_Hlk188370913"/>
        <w:r w:rsidRPr="00493635">
          <w:rPr>
            <w:rStyle w:val="Hyperlink"/>
          </w:rPr>
          <w:t xml:space="preserve">Domestic, commercial and industrial wastewater method </w:t>
        </w:r>
        <w:r w:rsidR="00FE1C66">
          <w:rPr>
            <w:rStyle w:val="Hyperlink"/>
          </w:rPr>
          <w:t>–</w:t>
        </w:r>
        <w:bookmarkEnd w:id="7"/>
        <w:r w:rsidRPr="00493635">
          <w:rPr>
            <w:rStyle w:val="Hyperlink"/>
          </w:rPr>
          <w:t xml:space="preserve"> </w:t>
        </w:r>
        <w:r w:rsidR="00FE1C66">
          <w:rPr>
            <w:rStyle w:val="Hyperlink"/>
          </w:rPr>
          <w:t>the</w:t>
        </w:r>
      </w:hyperlink>
      <w:r w:rsidR="00FE1C66">
        <w:rPr>
          <w:rStyle w:val="Hyperlink"/>
        </w:rPr>
        <w:t xml:space="preserve"> department</w:t>
      </w:r>
    </w:p>
    <w:p w14:paraId="0A5FEE01" w14:textId="364AC90D" w:rsidR="00FA4B66" w:rsidRPr="009526C1" w:rsidRDefault="00892970" w:rsidP="00987E4C">
      <w:pPr>
        <w:pStyle w:val="ListBullet"/>
        <w:tabs>
          <w:tab w:val="clear" w:pos="360"/>
        </w:tabs>
        <w:ind w:left="284" w:hanging="284"/>
        <w:rPr>
          <w:rStyle w:val="Hyperlink"/>
        </w:rPr>
      </w:pPr>
      <w:hyperlink r:id="rId29" w:history="1">
        <w:r w:rsidRPr="009526C1">
          <w:rPr>
            <w:rStyle w:val="Hyperlink"/>
          </w:rPr>
          <w:t>Domestic, commercial and industrial wastewater method | Clean Energy Regulator</w:t>
        </w:r>
      </w:hyperlink>
      <w:r w:rsidR="00D73076" w:rsidRPr="009526C1">
        <w:rPr>
          <w:rStyle w:val="Hyperlink"/>
        </w:rPr>
        <w:t xml:space="preserve"> </w:t>
      </w:r>
    </w:p>
    <w:p w14:paraId="1FBC0481" w14:textId="77777777" w:rsidR="00815B1B" w:rsidRPr="003E68BE" w:rsidRDefault="00815B1B" w:rsidP="00616DB7">
      <w:pPr>
        <w:spacing w:before="120" w:after="120"/>
        <w:rPr>
          <w:b/>
          <w:bCs/>
          <w:i/>
        </w:rPr>
      </w:pPr>
      <w:r w:rsidRPr="003E68BE">
        <w:rPr>
          <w:b/>
          <w:bCs/>
          <w:i/>
        </w:rPr>
        <w:t>ACCU Scheme legislative framework</w:t>
      </w:r>
    </w:p>
    <w:p w14:paraId="0B0583D6" w14:textId="187512AD" w:rsidR="00815B1B" w:rsidRPr="003F538C" w:rsidRDefault="00815B1B" w:rsidP="00987E4C">
      <w:pPr>
        <w:pStyle w:val="ListBullet"/>
        <w:tabs>
          <w:tab w:val="clear" w:pos="360"/>
        </w:tabs>
        <w:ind w:left="284" w:hanging="284"/>
        <w:rPr>
          <w:i/>
          <w:iCs/>
        </w:rPr>
      </w:pPr>
      <w:r w:rsidRPr="00024590">
        <w:rPr>
          <w:i/>
          <w:iCs/>
        </w:rPr>
        <w:t>Carbon Credits (Carbon Farming Initiative) Act 2011</w:t>
      </w:r>
    </w:p>
    <w:p w14:paraId="6D9F5A58" w14:textId="1BA43077" w:rsidR="00815B1B" w:rsidRPr="00CC5115" w:rsidRDefault="00815B1B" w:rsidP="00987E4C">
      <w:pPr>
        <w:pStyle w:val="ListBullet"/>
        <w:tabs>
          <w:tab w:val="clear" w:pos="360"/>
        </w:tabs>
        <w:ind w:left="284" w:hanging="284"/>
        <w:rPr>
          <w:i/>
        </w:rPr>
      </w:pPr>
      <w:r w:rsidRPr="00CC5115">
        <w:rPr>
          <w:i/>
        </w:rPr>
        <w:t>Carbon Credits (Carbon Farming Initiative) Rule 2015</w:t>
      </w:r>
    </w:p>
    <w:p w14:paraId="09691AEE" w14:textId="4C731871" w:rsidR="004B54AC" w:rsidRPr="00C70983" w:rsidRDefault="004B54AC" w:rsidP="00616DB7">
      <w:pPr>
        <w:pStyle w:val="Heading2"/>
        <w:spacing w:before="120" w:after="120" w:line="276" w:lineRule="auto"/>
      </w:pPr>
      <w:bookmarkStart w:id="8" w:name="_Toc192068731"/>
      <w:r w:rsidRPr="00C70983">
        <w:lastRenderedPageBreak/>
        <w:t xml:space="preserve">Overview of the </w:t>
      </w:r>
      <w:r w:rsidR="004A6520">
        <w:t xml:space="preserve">relevant </w:t>
      </w:r>
      <w:r w:rsidRPr="00C70983">
        <w:t>method</w:t>
      </w:r>
      <w:r w:rsidR="004A6520">
        <w:t>s</w:t>
      </w:r>
      <w:bookmarkEnd w:id="8"/>
    </w:p>
    <w:p w14:paraId="60649B8C" w14:textId="5B736AB6" w:rsidR="00D46C59" w:rsidRPr="00C2446A" w:rsidRDefault="00B20990" w:rsidP="00616DB7">
      <w:pPr>
        <w:pStyle w:val="Heading3"/>
        <w:spacing w:before="120" w:after="120" w:line="276" w:lineRule="auto"/>
        <w:rPr>
          <w:rFonts w:eastAsia="Calibri"/>
          <w:color w:val="017097" w:themeColor="accent1"/>
        </w:rPr>
      </w:pPr>
      <w:bookmarkStart w:id="9" w:name="_Toc192068732"/>
      <w:r w:rsidRPr="00C2446A">
        <w:rPr>
          <w:rFonts w:eastAsia="Calibri"/>
          <w:color w:val="017097" w:themeColor="accent1"/>
        </w:rPr>
        <w:t>A</w:t>
      </w:r>
      <w:r w:rsidR="00A0302C" w:rsidRPr="00C2446A">
        <w:rPr>
          <w:rFonts w:eastAsia="Calibri"/>
          <w:color w:val="017097" w:themeColor="accent1"/>
        </w:rPr>
        <w:t>nimal Effluent Management</w:t>
      </w:r>
      <w:r w:rsidR="003755C0" w:rsidRPr="00C2446A">
        <w:rPr>
          <w:rFonts w:eastAsia="Calibri"/>
          <w:color w:val="017097" w:themeColor="accent1"/>
        </w:rPr>
        <w:t xml:space="preserve"> </w:t>
      </w:r>
      <w:r w:rsidR="001A0CD6">
        <w:rPr>
          <w:rFonts w:eastAsia="Calibri"/>
          <w:color w:val="017097" w:themeColor="accent1"/>
        </w:rPr>
        <w:t>(AEM) m</w:t>
      </w:r>
      <w:r w:rsidR="00D46C59" w:rsidRPr="00C2446A">
        <w:rPr>
          <w:rFonts w:eastAsia="Calibri"/>
          <w:color w:val="017097" w:themeColor="accent1"/>
        </w:rPr>
        <w:t>ethod</w:t>
      </w:r>
      <w:r w:rsidR="00BF2567">
        <w:rPr>
          <w:rFonts w:eastAsia="Calibri"/>
          <w:color w:val="017097" w:themeColor="accent1"/>
        </w:rPr>
        <w:t xml:space="preserve"> 2019</w:t>
      </w:r>
      <w:bookmarkEnd w:id="9"/>
    </w:p>
    <w:p w14:paraId="093BF631" w14:textId="78EB88E9" w:rsidR="004A6520" w:rsidRPr="00364C17" w:rsidRDefault="004A6520" w:rsidP="00616DB7">
      <w:pPr>
        <w:spacing w:after="120"/>
      </w:pPr>
      <w:r w:rsidRPr="008C2F24">
        <w:rPr>
          <w:rFonts w:cstheme="minorHAnsi"/>
        </w:rPr>
        <w:t xml:space="preserve">The </w:t>
      </w:r>
      <w:r w:rsidR="0046454C">
        <w:rPr>
          <w:rFonts w:cstheme="minorHAnsi"/>
        </w:rPr>
        <w:t xml:space="preserve">AEM </w:t>
      </w:r>
      <w:r w:rsidRPr="008C2F24">
        <w:rPr>
          <w:rFonts w:cstheme="minorHAnsi"/>
        </w:rPr>
        <w:t xml:space="preserve">method </w:t>
      </w:r>
      <w:r w:rsidR="0046454C">
        <w:rPr>
          <w:rFonts w:cstheme="minorHAnsi"/>
        </w:rPr>
        <w:t>2</w:t>
      </w:r>
      <w:r w:rsidR="00053F71">
        <w:rPr>
          <w:rFonts w:cstheme="minorHAnsi"/>
        </w:rPr>
        <w:t xml:space="preserve">019 </w:t>
      </w:r>
      <w:r w:rsidRPr="008C2F24">
        <w:rPr>
          <w:rFonts w:cstheme="minorHAnsi"/>
        </w:rPr>
        <w:t xml:space="preserve">incentivises projects to capture and destroy methane in biogas that would otherwise have been released to the atmosphere from open anaerobic </w:t>
      </w:r>
      <w:r w:rsidR="002F47CE">
        <w:rPr>
          <w:rFonts w:cstheme="minorHAnsi"/>
        </w:rPr>
        <w:t>ponds</w:t>
      </w:r>
      <w:r w:rsidRPr="008C2F24">
        <w:rPr>
          <w:rFonts w:cstheme="minorHAnsi"/>
        </w:rPr>
        <w:t xml:space="preserve"> used to treat animal effluent. Eligible </w:t>
      </w:r>
      <w:r w:rsidR="00D33A54">
        <w:rPr>
          <w:rFonts w:cstheme="minorHAnsi"/>
        </w:rPr>
        <w:t xml:space="preserve">methane </w:t>
      </w:r>
      <w:r w:rsidRPr="008C2F24">
        <w:rPr>
          <w:rFonts w:cstheme="minorHAnsi"/>
        </w:rPr>
        <w:t>destruction (combustion) devices include boilers, internal combustion engines and</w:t>
      </w:r>
      <w:r w:rsidRPr="008C2F24">
        <w:rPr>
          <w:rFonts w:cstheme="minorHAnsi"/>
          <w:lang w:val="en-US"/>
        </w:rPr>
        <w:t xml:space="preserve"> flares. </w:t>
      </w:r>
      <w:r w:rsidRPr="008C2F24">
        <w:rPr>
          <w:rFonts w:cstheme="minorHAnsi"/>
        </w:rPr>
        <w:t xml:space="preserve">The </w:t>
      </w:r>
      <w:r w:rsidR="00987E4C">
        <w:rPr>
          <w:rFonts w:cstheme="minorHAnsi"/>
        </w:rPr>
        <w:t xml:space="preserve">AEM </w:t>
      </w:r>
      <w:r w:rsidRPr="008C2F24">
        <w:rPr>
          <w:rFonts w:cstheme="minorHAnsi"/>
        </w:rPr>
        <w:t xml:space="preserve">method </w:t>
      </w:r>
      <w:r w:rsidR="00987E4C">
        <w:rPr>
          <w:rFonts w:cstheme="minorHAnsi"/>
        </w:rPr>
        <w:t xml:space="preserve">2019 </w:t>
      </w:r>
      <w:r w:rsidRPr="008C2F24">
        <w:rPr>
          <w:rFonts w:cstheme="minorHAnsi"/>
        </w:rPr>
        <w:t>also incentivises upgrading biogas into biomethane</w:t>
      </w:r>
      <w:r w:rsidR="003431A7" w:rsidRPr="008C2F24">
        <w:rPr>
          <w:rFonts w:cstheme="minorHAnsi"/>
        </w:rPr>
        <w:t xml:space="preserve">, </w:t>
      </w:r>
      <w:r w:rsidRPr="008C2F24">
        <w:rPr>
          <w:rFonts w:cstheme="minorHAnsi"/>
        </w:rPr>
        <w:t>and emissions avoidance by removing volatile solids and treating them using an aerobic process (aerobic treatment).</w:t>
      </w:r>
      <w:r w:rsidRPr="00364C17">
        <w:t xml:space="preserve"> </w:t>
      </w:r>
      <w:r w:rsidRPr="008C2F24">
        <w:rPr>
          <w:lang w:val="en-US"/>
        </w:rPr>
        <w:t xml:space="preserve">The method replaced 3 </w:t>
      </w:r>
      <w:r w:rsidR="00B90440">
        <w:rPr>
          <w:lang w:val="en-US"/>
        </w:rPr>
        <w:t xml:space="preserve">legacy </w:t>
      </w:r>
      <w:r w:rsidRPr="008C2F24">
        <w:rPr>
          <w:lang w:val="en-US"/>
        </w:rPr>
        <w:t>related</w:t>
      </w:r>
      <w:r w:rsidR="00BE3B0B" w:rsidRPr="008C2F24">
        <w:rPr>
          <w:lang w:val="en-US"/>
        </w:rPr>
        <w:t xml:space="preserve"> </w:t>
      </w:r>
      <w:r w:rsidRPr="008C2F24">
        <w:rPr>
          <w:lang w:val="en-US"/>
        </w:rPr>
        <w:t>methods</w:t>
      </w:r>
      <w:r w:rsidR="002470C2" w:rsidRPr="00186450">
        <w:rPr>
          <w:rStyle w:val="FootnoteReference"/>
        </w:rPr>
        <w:footnoteReference w:id="4"/>
      </w:r>
      <w:r w:rsidRPr="008C2F24">
        <w:rPr>
          <w:lang w:val="en-US"/>
        </w:rPr>
        <w:t>.</w:t>
      </w:r>
    </w:p>
    <w:p w14:paraId="5C606DD9" w14:textId="7FE682CB" w:rsidR="004A6520" w:rsidRPr="00C034CC" w:rsidRDefault="004A6520" w:rsidP="00616DB7">
      <w:pPr>
        <w:spacing w:after="120"/>
      </w:pPr>
      <w:r w:rsidRPr="008C2F24">
        <w:rPr>
          <w:lang w:val="en-US"/>
        </w:rPr>
        <w:t xml:space="preserve">As of </w:t>
      </w:r>
      <w:r w:rsidR="00873F49" w:rsidRPr="008C2F24">
        <w:rPr>
          <w:lang w:val="en-US"/>
        </w:rPr>
        <w:t>2</w:t>
      </w:r>
      <w:r w:rsidR="006E6EA9">
        <w:rPr>
          <w:lang w:val="en-US"/>
        </w:rPr>
        <w:t>4</w:t>
      </w:r>
      <w:r w:rsidR="00873F49" w:rsidRPr="008C2F24">
        <w:rPr>
          <w:lang w:val="en-US"/>
        </w:rPr>
        <w:t xml:space="preserve"> </w:t>
      </w:r>
      <w:r w:rsidR="006E6EA9">
        <w:rPr>
          <w:lang w:val="en-US"/>
        </w:rPr>
        <w:t xml:space="preserve">November </w:t>
      </w:r>
      <w:r w:rsidR="00873F49" w:rsidRPr="008C2F24">
        <w:rPr>
          <w:lang w:val="en-US"/>
        </w:rPr>
        <w:t>2024,</w:t>
      </w:r>
      <w:r w:rsidRPr="008C2F24">
        <w:rPr>
          <w:lang w:val="en-US"/>
        </w:rPr>
        <w:t xml:space="preserve"> 3</w:t>
      </w:r>
      <w:r w:rsidR="00930350">
        <w:rPr>
          <w:lang w:val="en-US"/>
        </w:rPr>
        <w:t>1</w:t>
      </w:r>
      <w:r w:rsidRPr="008C2F24">
        <w:rPr>
          <w:lang w:val="en-US"/>
        </w:rPr>
        <w:t xml:space="preserve"> projects </w:t>
      </w:r>
      <w:r w:rsidR="00FA3C1A">
        <w:rPr>
          <w:lang w:val="en-US"/>
        </w:rPr>
        <w:t xml:space="preserve">have </w:t>
      </w:r>
      <w:r w:rsidRPr="008C2F24">
        <w:rPr>
          <w:lang w:val="en-US"/>
        </w:rPr>
        <w:t xml:space="preserve">been registered under the </w:t>
      </w:r>
      <w:r w:rsidR="00053F71">
        <w:rPr>
          <w:lang w:val="en-US"/>
        </w:rPr>
        <w:t>AEM method 2019</w:t>
      </w:r>
      <w:r w:rsidRPr="008C2F24">
        <w:rPr>
          <w:lang w:val="en-US"/>
        </w:rPr>
        <w:t xml:space="preserve"> and </w:t>
      </w:r>
      <w:r w:rsidR="00BE3B0B" w:rsidRPr="008C2F24">
        <w:rPr>
          <w:lang w:val="en-US"/>
        </w:rPr>
        <w:t xml:space="preserve">legacy animal effluent </w:t>
      </w:r>
      <w:r w:rsidRPr="008C2F24">
        <w:rPr>
          <w:lang w:val="en-US"/>
        </w:rPr>
        <w:t>methods</w:t>
      </w:r>
      <w:r w:rsidR="00053825">
        <w:rPr>
          <w:lang w:val="en-US"/>
        </w:rPr>
        <w:t>.</w:t>
      </w:r>
    </w:p>
    <w:p w14:paraId="7A62F293" w14:textId="5B00E5A7" w:rsidR="004A6520" w:rsidRPr="00C034CC" w:rsidRDefault="004A6520" w:rsidP="00616DB7">
      <w:pPr>
        <w:pStyle w:val="ListParagraph"/>
        <w:numPr>
          <w:ilvl w:val="0"/>
          <w:numId w:val="15"/>
        </w:numPr>
        <w:spacing w:after="120" w:line="276" w:lineRule="auto"/>
      </w:pPr>
      <w:r w:rsidRPr="00C034CC">
        <w:rPr>
          <w:lang w:val="en-US"/>
        </w:rPr>
        <w:t xml:space="preserve">1,251,113 ACCUs have been issued to 11 projects under </w:t>
      </w:r>
      <w:r w:rsidR="00D7411F" w:rsidRPr="00D7411F">
        <w:t xml:space="preserve">the AEM method 2019 and 3 legacy </w:t>
      </w:r>
      <w:r w:rsidR="00D7411F" w:rsidRPr="008C2F24">
        <w:rPr>
          <w:lang w:val="en-US"/>
        </w:rPr>
        <w:t xml:space="preserve">animal effluent </w:t>
      </w:r>
      <w:r w:rsidR="00D7411F" w:rsidRPr="00D7411F">
        <w:t>methods</w:t>
      </w:r>
    </w:p>
    <w:p w14:paraId="4100DBF3" w14:textId="437C7D75" w:rsidR="004A6520" w:rsidRPr="00645BAB" w:rsidRDefault="004A6520" w:rsidP="00767ECC">
      <w:pPr>
        <w:pStyle w:val="ListParagraph"/>
        <w:numPr>
          <w:ilvl w:val="0"/>
          <w:numId w:val="15"/>
        </w:numPr>
        <w:spacing w:after="120" w:line="276" w:lineRule="auto"/>
      </w:pPr>
      <w:r w:rsidRPr="00C034CC">
        <w:rPr>
          <w:lang w:val="en-US"/>
        </w:rPr>
        <w:t xml:space="preserve">417,980 ACCUs have been issued to 4 projects under the </w:t>
      </w:r>
      <w:r w:rsidR="00053F71">
        <w:rPr>
          <w:lang w:val="en-US"/>
        </w:rPr>
        <w:t>AEM method 2019</w:t>
      </w:r>
      <w:r w:rsidR="002470C2">
        <w:rPr>
          <w:lang w:val="en-US"/>
        </w:rPr>
        <w:t>. A</w:t>
      </w:r>
      <w:r w:rsidRPr="00C034CC">
        <w:rPr>
          <w:lang w:val="en-US"/>
        </w:rPr>
        <w:t>ll are projects that transferred from the</w:t>
      </w:r>
      <w:r w:rsidR="008B5A80">
        <w:rPr>
          <w:lang w:val="en-US"/>
        </w:rPr>
        <w:t xml:space="preserve"> </w:t>
      </w:r>
      <w:r w:rsidR="008B5A80" w:rsidRPr="00767ECC">
        <w:rPr>
          <w:i/>
          <w:iCs/>
        </w:rPr>
        <w:t>Carbon Credits (Carbon Farming Initiative) (Destruction of Methane Generated from Manure in Piggeries-1.1) Methodology Determination 2013</w:t>
      </w:r>
      <w:r w:rsidRPr="00767ECC">
        <w:rPr>
          <w:lang w:val="en-US"/>
        </w:rPr>
        <w:t xml:space="preserve"> </w:t>
      </w:r>
      <w:r w:rsidR="00767ECC">
        <w:rPr>
          <w:lang w:val="en-US"/>
        </w:rPr>
        <w:t>(</w:t>
      </w:r>
      <w:r w:rsidRPr="00767ECC">
        <w:rPr>
          <w:lang w:val="en-US"/>
        </w:rPr>
        <w:t>Manure in Piggeries</w:t>
      </w:r>
      <w:r w:rsidR="008E114C" w:rsidRPr="00767ECC">
        <w:rPr>
          <w:lang w:val="en-US"/>
        </w:rPr>
        <w:t xml:space="preserve"> </w:t>
      </w:r>
      <w:r w:rsidR="00767ECC">
        <w:rPr>
          <w:lang w:val="en-US"/>
        </w:rPr>
        <w:t xml:space="preserve">1.1 </w:t>
      </w:r>
      <w:r w:rsidR="008E114C" w:rsidRPr="00767ECC">
        <w:rPr>
          <w:lang w:val="en-US"/>
        </w:rPr>
        <w:t xml:space="preserve">method </w:t>
      </w:r>
      <w:r w:rsidRPr="00767ECC">
        <w:rPr>
          <w:lang w:val="en-US"/>
        </w:rPr>
        <w:t>2013</w:t>
      </w:r>
      <w:r w:rsidR="00767ECC">
        <w:rPr>
          <w:lang w:val="en-US"/>
        </w:rPr>
        <w:t>)</w:t>
      </w:r>
    </w:p>
    <w:p w14:paraId="348F8CE4" w14:textId="6FEC6457" w:rsidR="00645BAB" w:rsidRPr="00973C38" w:rsidRDefault="00645BAB" w:rsidP="00767ECC">
      <w:pPr>
        <w:pStyle w:val="ListParagraph"/>
        <w:numPr>
          <w:ilvl w:val="0"/>
          <w:numId w:val="15"/>
        </w:numPr>
        <w:spacing w:after="120" w:line="276" w:lineRule="auto"/>
      </w:pPr>
      <w:r>
        <w:rPr>
          <w:lang w:val="en-US"/>
        </w:rPr>
        <w:t xml:space="preserve">Four projects </w:t>
      </w:r>
      <w:r w:rsidR="00152BA1">
        <w:rPr>
          <w:lang w:val="en-US"/>
        </w:rPr>
        <w:t xml:space="preserve">under all methods </w:t>
      </w:r>
      <w:r>
        <w:rPr>
          <w:lang w:val="en-US"/>
        </w:rPr>
        <w:t>have been revoked</w:t>
      </w:r>
    </w:p>
    <w:p w14:paraId="77DFB404" w14:textId="4DC80090" w:rsidR="00973C38" w:rsidRPr="00C034CC" w:rsidRDefault="00973C38" w:rsidP="00767ECC">
      <w:pPr>
        <w:pStyle w:val="ListParagraph"/>
        <w:numPr>
          <w:ilvl w:val="0"/>
          <w:numId w:val="15"/>
        </w:numPr>
        <w:spacing w:after="120" w:line="276" w:lineRule="auto"/>
      </w:pPr>
      <w:r>
        <w:rPr>
          <w:lang w:val="en-US"/>
        </w:rPr>
        <w:t xml:space="preserve">Nine projects </w:t>
      </w:r>
      <w:r w:rsidR="000B04BA">
        <w:rPr>
          <w:lang w:val="en-US"/>
        </w:rPr>
        <w:t xml:space="preserve">under all methods </w:t>
      </w:r>
      <w:r>
        <w:rPr>
          <w:lang w:val="en-US"/>
        </w:rPr>
        <w:t xml:space="preserve">have </w:t>
      </w:r>
      <w:r w:rsidR="008136F6">
        <w:rPr>
          <w:lang w:val="en-US"/>
        </w:rPr>
        <w:t xml:space="preserve">completed </w:t>
      </w:r>
      <w:r>
        <w:rPr>
          <w:lang w:val="en-US"/>
        </w:rPr>
        <w:t>Carbon Abatement Contracts</w:t>
      </w:r>
    </w:p>
    <w:p w14:paraId="5902DE81" w14:textId="7D854130" w:rsidR="004A6520" w:rsidRPr="00C034CC" w:rsidRDefault="004A6520" w:rsidP="00616DB7">
      <w:pPr>
        <w:pStyle w:val="ListParagraph"/>
        <w:numPr>
          <w:ilvl w:val="0"/>
          <w:numId w:val="15"/>
        </w:numPr>
        <w:spacing w:after="120" w:line="276" w:lineRule="auto"/>
      </w:pPr>
      <w:r w:rsidRPr="00C034CC">
        <w:rPr>
          <w:lang w:val="en-US"/>
        </w:rPr>
        <w:t xml:space="preserve">One biomethane project and one composting project are registered under the </w:t>
      </w:r>
      <w:r w:rsidR="00053F71">
        <w:rPr>
          <w:lang w:val="en-US"/>
        </w:rPr>
        <w:t>AEM method 2019</w:t>
      </w:r>
      <w:r w:rsidRPr="00C034CC">
        <w:rPr>
          <w:lang w:val="en-US"/>
        </w:rPr>
        <w:t xml:space="preserve"> but neither have generated ACCUs</w:t>
      </w:r>
      <w:r w:rsidR="007932A4">
        <w:rPr>
          <w:lang w:val="en-US"/>
        </w:rPr>
        <w:t>.</w:t>
      </w:r>
    </w:p>
    <w:p w14:paraId="24331144" w14:textId="5DDCF117" w:rsidR="00C37C6B" w:rsidRPr="00C034CC" w:rsidRDefault="00C37C6B" w:rsidP="00342522">
      <w:pPr>
        <w:spacing w:after="120"/>
      </w:pPr>
      <w:r w:rsidRPr="00C034CC">
        <w:t xml:space="preserve">The </w:t>
      </w:r>
      <w:r w:rsidRPr="00C37C6B">
        <w:rPr>
          <w:lang w:val="en-US"/>
        </w:rPr>
        <w:t xml:space="preserve">AEM method </w:t>
      </w:r>
      <w:r w:rsidR="00053F71">
        <w:rPr>
          <w:lang w:val="en-US"/>
        </w:rPr>
        <w:t xml:space="preserve">2019 </w:t>
      </w:r>
      <w:r w:rsidRPr="00C37C6B">
        <w:rPr>
          <w:lang w:val="en-US"/>
        </w:rPr>
        <w:t>was made on 6 December 2019 and varied on 21 January 2022 to include converting captured biogas into biomethane</w:t>
      </w:r>
      <w:r w:rsidR="007932A4">
        <w:rPr>
          <w:lang w:val="en-US"/>
        </w:rPr>
        <w:t>.</w:t>
      </w:r>
    </w:p>
    <w:p w14:paraId="5E1EE3E9" w14:textId="512FB065" w:rsidR="004A6520" w:rsidRPr="00C034CC" w:rsidRDefault="004A6520" w:rsidP="00616DB7">
      <w:pPr>
        <w:spacing w:after="120"/>
      </w:pPr>
      <w:r w:rsidRPr="008C2F24">
        <w:rPr>
          <w:lang w:val="en-US"/>
        </w:rPr>
        <w:t xml:space="preserve">The </w:t>
      </w:r>
      <w:r w:rsidR="00171753">
        <w:rPr>
          <w:lang w:val="en-US"/>
        </w:rPr>
        <w:t xml:space="preserve">AEM </w:t>
      </w:r>
      <w:r w:rsidRPr="008C2F24">
        <w:rPr>
          <w:lang w:val="en-US"/>
        </w:rPr>
        <w:t xml:space="preserve">method </w:t>
      </w:r>
      <w:r w:rsidR="00616A30">
        <w:rPr>
          <w:lang w:val="en-US"/>
        </w:rPr>
        <w:t xml:space="preserve">2019 </w:t>
      </w:r>
      <w:r w:rsidRPr="008C2F24">
        <w:rPr>
          <w:lang w:val="en-US"/>
        </w:rPr>
        <w:t>is due to expire on 31 March 2030 and sunset on 1 April 2030</w:t>
      </w:r>
      <w:r w:rsidR="007932A4">
        <w:rPr>
          <w:lang w:val="en-US"/>
        </w:rPr>
        <w:t>.</w:t>
      </w:r>
    </w:p>
    <w:p w14:paraId="621A54CF" w14:textId="1FD52EEF" w:rsidR="004A6520" w:rsidRPr="00E74BCE" w:rsidRDefault="004A6520" w:rsidP="00616DB7">
      <w:pPr>
        <w:spacing w:after="120"/>
      </w:pPr>
      <w:r w:rsidRPr="00E74BCE">
        <w:t xml:space="preserve">In 2024, the Committee undertook a CPE review of the </w:t>
      </w:r>
      <w:r w:rsidR="00053F71">
        <w:t>AEM method 2019</w:t>
      </w:r>
      <w:r w:rsidRPr="00E74BCE">
        <w:t>, as required under s255A of the Act, and considered</w:t>
      </w:r>
      <w:r w:rsidR="00C666B5">
        <w:t xml:space="preserve"> whether</w:t>
      </w:r>
      <w:r w:rsidRPr="00E74BCE">
        <w:t>:</w:t>
      </w:r>
    </w:p>
    <w:p w14:paraId="27346A02" w14:textId="4967EC78" w:rsidR="004A6520" w:rsidRPr="002044B7" w:rsidRDefault="004A6520" w:rsidP="00616DB7">
      <w:pPr>
        <w:pStyle w:val="ListParagraph"/>
        <w:numPr>
          <w:ilvl w:val="0"/>
          <w:numId w:val="15"/>
        </w:numPr>
        <w:spacing w:after="120" w:line="276" w:lineRule="auto"/>
      </w:pPr>
      <w:r w:rsidRPr="002044B7">
        <w:t xml:space="preserve">existing AEM </w:t>
      </w:r>
      <w:r w:rsidR="00AA70CB">
        <w:t xml:space="preserve">method 2019 </w:t>
      </w:r>
      <w:r w:rsidRPr="002044B7">
        <w:t>projects are likely to continue in the absence of revenue from ACCUs</w:t>
      </w:r>
    </w:p>
    <w:p w14:paraId="20D39C48" w14:textId="6781FB51" w:rsidR="004A6520" w:rsidRPr="002044B7" w:rsidRDefault="004A6520" w:rsidP="00616DB7">
      <w:pPr>
        <w:pStyle w:val="ListParagraph"/>
        <w:numPr>
          <w:ilvl w:val="0"/>
          <w:numId w:val="15"/>
        </w:numPr>
        <w:spacing w:after="120" w:line="276" w:lineRule="auto"/>
      </w:pPr>
      <w:r w:rsidRPr="002044B7">
        <w:lastRenderedPageBreak/>
        <w:t>ACCUs generated in the future under an extended crediting period will continue to be additional and provide genuine abatement</w:t>
      </w:r>
      <w:r w:rsidR="007932A4">
        <w:t>.</w:t>
      </w:r>
    </w:p>
    <w:p w14:paraId="711F298E" w14:textId="77777777" w:rsidR="004A6520" w:rsidRPr="002044B7" w:rsidRDefault="004A6520" w:rsidP="00616DB7">
      <w:pPr>
        <w:spacing w:after="120"/>
      </w:pPr>
      <w:r w:rsidRPr="002044B7">
        <w:t>The Committee found sufficient evidence to demonstrate that project activities were unlikely to occur in the ordinary course of events. This includes potential opportunities for new projects that would otherwise be uneconomic with the existing crediting period.</w:t>
      </w:r>
    </w:p>
    <w:p w14:paraId="538A1DA7" w14:textId="2B5C7C22" w:rsidR="004A6520" w:rsidRDefault="00C666B5" w:rsidP="00616DB7">
      <w:pPr>
        <w:spacing w:after="120"/>
      </w:pPr>
      <w:r>
        <w:t>Based o</w:t>
      </w:r>
      <w:r w:rsidR="004A6520" w:rsidRPr="00E91EEA">
        <w:t xml:space="preserve">n its findings, the Committee recommended the crediting period for flaring projects be extended by 3 years and electricity generation projects by 8 years, </w:t>
      </w:r>
      <w:r w:rsidR="004A6520">
        <w:t xml:space="preserve">each </w:t>
      </w:r>
      <w:r w:rsidR="004A6520" w:rsidRPr="00E91EEA">
        <w:t>to a total of 15 years.</w:t>
      </w:r>
    </w:p>
    <w:p w14:paraId="12ED76CD" w14:textId="237A530F" w:rsidR="009A02E1" w:rsidRPr="00A32F36" w:rsidRDefault="009A02E1" w:rsidP="00616DB7">
      <w:pPr>
        <w:spacing w:after="120"/>
        <w:rPr>
          <w:highlight w:val="yellow"/>
          <w:lang w:eastAsia="ja-JP"/>
        </w:rPr>
      </w:pPr>
      <w:r w:rsidRPr="00D8044A">
        <w:t xml:space="preserve">Steps </w:t>
      </w:r>
      <w:r w:rsidR="00774A21">
        <w:t xml:space="preserve">to </w:t>
      </w:r>
      <w:r w:rsidRPr="00D8044A">
        <w:t xml:space="preserve">implement the CPE are proceeding. </w:t>
      </w:r>
    </w:p>
    <w:p w14:paraId="792A245B" w14:textId="0732A5CA" w:rsidR="008C2F24" w:rsidRPr="00C2446A" w:rsidRDefault="002C0D81" w:rsidP="00616DB7">
      <w:pPr>
        <w:pStyle w:val="Heading3"/>
        <w:spacing w:before="120" w:after="120" w:line="276" w:lineRule="auto"/>
        <w:rPr>
          <w:rFonts w:eastAsia="Calibri"/>
          <w:color w:val="017097" w:themeColor="accent1"/>
        </w:rPr>
      </w:pPr>
      <w:bookmarkStart w:id="10" w:name="_Toc192068733"/>
      <w:r>
        <w:rPr>
          <w:rFonts w:eastAsia="Calibri"/>
          <w:color w:val="017097" w:themeColor="accent1"/>
        </w:rPr>
        <w:t>Wastewater method 2015</w:t>
      </w:r>
      <w:bookmarkEnd w:id="10"/>
    </w:p>
    <w:p w14:paraId="7B12916A" w14:textId="5853E064" w:rsidR="002337D4" w:rsidRPr="00C45AEB" w:rsidRDefault="002337D4" w:rsidP="00616DB7">
      <w:pPr>
        <w:spacing w:after="120"/>
      </w:pPr>
      <w:r w:rsidRPr="00C45AEB">
        <w:t xml:space="preserve">The </w:t>
      </w:r>
      <w:r w:rsidR="00785227">
        <w:t>Wastewater method 2015</w:t>
      </w:r>
      <w:r w:rsidRPr="00C45AEB">
        <w:t xml:space="preserve"> incentivises projects to capture and use or destroy methane in biogas that would otherwise have been released to the atmosphere from open anaerobic lagoons used to treat domestic, commercial, or industrial wastewater. The </w:t>
      </w:r>
      <w:r w:rsidR="00774A21">
        <w:t xml:space="preserve">Wastewater </w:t>
      </w:r>
      <w:r w:rsidRPr="00C45AEB">
        <w:t xml:space="preserve">method </w:t>
      </w:r>
      <w:r w:rsidR="00774A21">
        <w:t xml:space="preserve">2015 </w:t>
      </w:r>
      <w:r w:rsidRPr="00C45AEB">
        <w:t>also incentivises upgrading biogas into biomethane.</w:t>
      </w:r>
    </w:p>
    <w:p w14:paraId="12618A78" w14:textId="77777777" w:rsidR="002337D4" w:rsidRPr="00C45AEB" w:rsidRDefault="002337D4" w:rsidP="00616DB7">
      <w:pPr>
        <w:spacing w:after="120"/>
      </w:pPr>
      <w:r w:rsidRPr="00C45AEB">
        <w:t xml:space="preserve">The method was made on 26 March 2015 and varied on 2 January 2022 to include upgrading captured biogas into biomethane.   </w:t>
      </w:r>
    </w:p>
    <w:p w14:paraId="6B13AC4B" w14:textId="68051673" w:rsidR="002337D4" w:rsidRPr="00C45AEB" w:rsidRDefault="002337D4" w:rsidP="00616DB7">
      <w:pPr>
        <w:spacing w:after="120"/>
      </w:pPr>
      <w:r w:rsidRPr="00C45AEB">
        <w:t xml:space="preserve">Projects involving combusting methane in a flare, in an engine to generate electricity or in a device to generate heat </w:t>
      </w:r>
      <w:r>
        <w:t xml:space="preserve">currently </w:t>
      </w:r>
      <w:r w:rsidRPr="00C45AEB">
        <w:t>ha</w:t>
      </w:r>
      <w:r>
        <w:t>ve</w:t>
      </w:r>
      <w:r w:rsidRPr="00C45AEB">
        <w:t xml:space="preserve"> a 7-year crediting period. Biomethane projects have a 12-year crediting period.  </w:t>
      </w:r>
    </w:p>
    <w:p w14:paraId="6CC5B5D9" w14:textId="5C6D4547" w:rsidR="002337D4" w:rsidRPr="00C45AEB" w:rsidRDefault="002337D4" w:rsidP="00616DB7">
      <w:pPr>
        <w:spacing w:after="120"/>
      </w:pPr>
      <w:r w:rsidRPr="00C45AEB">
        <w:t xml:space="preserve">As </w:t>
      </w:r>
      <w:r w:rsidR="00060E51">
        <w:t>at</w:t>
      </w:r>
      <w:r w:rsidRPr="00C45AEB">
        <w:t xml:space="preserve"> </w:t>
      </w:r>
      <w:r w:rsidR="00B10464">
        <w:t>10</w:t>
      </w:r>
      <w:r w:rsidRPr="00C45AEB">
        <w:t xml:space="preserve"> </w:t>
      </w:r>
      <w:r w:rsidR="00B10464">
        <w:t>November</w:t>
      </w:r>
      <w:r w:rsidRPr="00C45AEB">
        <w:t xml:space="preserve"> 2024, </w:t>
      </w:r>
      <w:r w:rsidR="00C77FC2">
        <w:t>9</w:t>
      </w:r>
      <w:r w:rsidRPr="00C45AEB">
        <w:t xml:space="preserve"> projects </w:t>
      </w:r>
      <w:r w:rsidR="00B10464">
        <w:t>have</w:t>
      </w:r>
      <w:r w:rsidR="00BF05CE">
        <w:t xml:space="preserve"> </w:t>
      </w:r>
      <w:r w:rsidRPr="00C45AEB">
        <w:t xml:space="preserve">registered under the method.  </w:t>
      </w:r>
    </w:p>
    <w:p w14:paraId="77DE48BB" w14:textId="3D2E86BF" w:rsidR="002337D4" w:rsidRPr="00C45AEB" w:rsidRDefault="002337D4" w:rsidP="00616DB7">
      <w:pPr>
        <w:pStyle w:val="ListParagraph"/>
        <w:numPr>
          <w:ilvl w:val="0"/>
          <w:numId w:val="15"/>
        </w:numPr>
        <w:spacing w:after="120" w:line="276" w:lineRule="auto"/>
      </w:pPr>
      <w:r w:rsidRPr="00C45AEB">
        <w:t>Two</w:t>
      </w:r>
      <w:r w:rsidR="00E4403F">
        <w:t xml:space="preserve"> </w:t>
      </w:r>
      <w:r w:rsidRPr="00C45AEB">
        <w:t xml:space="preserve">have been revoked  </w:t>
      </w:r>
    </w:p>
    <w:p w14:paraId="2599145D" w14:textId="3CF42A13" w:rsidR="002337D4" w:rsidRPr="00C45AEB" w:rsidRDefault="002337D4" w:rsidP="00616DB7">
      <w:pPr>
        <w:pStyle w:val="ListParagraph"/>
        <w:numPr>
          <w:ilvl w:val="0"/>
          <w:numId w:val="15"/>
        </w:numPr>
        <w:spacing w:after="120" w:line="276" w:lineRule="auto"/>
      </w:pPr>
      <w:r w:rsidRPr="00C45AEB">
        <w:t>1</w:t>
      </w:r>
      <w:r w:rsidR="00C77FC2">
        <w:t>77</w:t>
      </w:r>
      <w:r w:rsidRPr="00C45AEB">
        <w:t>,</w:t>
      </w:r>
      <w:r w:rsidR="00C77FC2">
        <w:t>409</w:t>
      </w:r>
      <w:r w:rsidRPr="00C45AEB">
        <w:t xml:space="preserve"> Australian Carbon Credit Units (ACCUs) have been issued to </w:t>
      </w:r>
      <w:r w:rsidR="00B10464">
        <w:t>3</w:t>
      </w:r>
      <w:r w:rsidRPr="00C45AEB">
        <w:t xml:space="preserve"> projects </w:t>
      </w:r>
    </w:p>
    <w:p w14:paraId="7CAEF2F2" w14:textId="7DFEE8D3" w:rsidR="002337D4" w:rsidRPr="00C45AEB" w:rsidRDefault="0069230F" w:rsidP="00786E10">
      <w:pPr>
        <w:pStyle w:val="ListParagraph"/>
        <w:numPr>
          <w:ilvl w:val="1"/>
          <w:numId w:val="34"/>
        </w:numPr>
        <w:spacing w:after="120" w:line="276" w:lineRule="auto"/>
        <w:ind w:left="567" w:hanging="283"/>
      </w:pPr>
      <w:r>
        <w:t xml:space="preserve">The first </w:t>
      </w:r>
      <w:r w:rsidR="002337D4" w:rsidRPr="00C45AEB">
        <w:t xml:space="preserve">of these finished its crediting period on 1 January 2024. The </w:t>
      </w:r>
      <w:r>
        <w:t>second</w:t>
      </w:r>
      <w:r w:rsidR="002337D4" w:rsidRPr="00C45AEB">
        <w:t xml:space="preserve"> finish</w:t>
      </w:r>
      <w:r w:rsidR="00BF05CE">
        <w:t>ed</w:t>
      </w:r>
      <w:r w:rsidR="002337D4" w:rsidRPr="00C45AEB">
        <w:t xml:space="preserve"> its crediting period on </w:t>
      </w:r>
      <w:r w:rsidR="0054572A" w:rsidRPr="0054572A">
        <w:t xml:space="preserve">14 October </w:t>
      </w:r>
      <w:r w:rsidR="002337D4" w:rsidRPr="00C45AEB">
        <w:t xml:space="preserve">2024  </w:t>
      </w:r>
    </w:p>
    <w:p w14:paraId="5EAB32D6" w14:textId="4672B9C3" w:rsidR="002337D4" w:rsidRPr="00C45AEB" w:rsidRDefault="002337D4" w:rsidP="00616DB7">
      <w:pPr>
        <w:pStyle w:val="ListParagraph"/>
        <w:numPr>
          <w:ilvl w:val="0"/>
          <w:numId w:val="15"/>
        </w:numPr>
        <w:spacing w:after="120" w:line="276" w:lineRule="auto"/>
      </w:pPr>
      <w:r w:rsidRPr="00C45AEB">
        <w:t xml:space="preserve">The 4 remaining projects were registered </w:t>
      </w:r>
      <w:r w:rsidR="002C499B">
        <w:t xml:space="preserve">between </w:t>
      </w:r>
      <w:r w:rsidR="002E5998">
        <w:t>June</w:t>
      </w:r>
      <w:r w:rsidRPr="00C45AEB">
        <w:t xml:space="preserve"> 20</w:t>
      </w:r>
      <w:r w:rsidR="002C499B">
        <w:t xml:space="preserve">20 and September 2024 (the last after the </w:t>
      </w:r>
      <w:r w:rsidR="000617E2">
        <w:t xml:space="preserve">results of the </w:t>
      </w:r>
      <w:r w:rsidR="002C499B">
        <w:t xml:space="preserve">CPE </w:t>
      </w:r>
      <w:r w:rsidR="000617E2">
        <w:t xml:space="preserve">outlined below </w:t>
      </w:r>
      <w:r w:rsidR="002C499B">
        <w:t>was ann</w:t>
      </w:r>
      <w:r w:rsidR="000617E2">
        <w:t>ounced)</w:t>
      </w:r>
      <w:r w:rsidRPr="00C45AEB">
        <w:t>. These projects are yet to be credited any ACCUs</w:t>
      </w:r>
      <w:r w:rsidR="00A321B0">
        <w:t>.</w:t>
      </w:r>
      <w:r w:rsidRPr="00C45AEB">
        <w:t xml:space="preserve"> </w:t>
      </w:r>
    </w:p>
    <w:p w14:paraId="68CA1E92" w14:textId="77777777" w:rsidR="002337D4" w:rsidRPr="00C45AEB" w:rsidRDefault="002337D4" w:rsidP="00616DB7">
      <w:pPr>
        <w:spacing w:after="120"/>
      </w:pPr>
      <w:r w:rsidRPr="00C45AEB">
        <w:t xml:space="preserve">There are no biomethane projects registered under the method.  </w:t>
      </w:r>
    </w:p>
    <w:p w14:paraId="2D03B748" w14:textId="77777777" w:rsidR="002337D4" w:rsidRPr="00C45AEB" w:rsidRDefault="002337D4" w:rsidP="00616DB7">
      <w:pPr>
        <w:spacing w:after="120"/>
      </w:pPr>
      <w:r w:rsidRPr="00F1451D">
        <w:rPr>
          <w:lang w:val="en-US"/>
        </w:rPr>
        <w:t xml:space="preserve">The method is due to expire on 31 March 2025 and sunset on 1 April 2025. </w:t>
      </w:r>
    </w:p>
    <w:p w14:paraId="029B22BF" w14:textId="3D1F1866" w:rsidR="002337D4" w:rsidRPr="004D793B" w:rsidRDefault="002337D4" w:rsidP="00616DB7">
      <w:pPr>
        <w:spacing w:after="120"/>
      </w:pPr>
      <w:r w:rsidRPr="004D793B">
        <w:t xml:space="preserve">In 2024, the Committee undertook a CPE review of the </w:t>
      </w:r>
      <w:r w:rsidR="00785227">
        <w:t>Wastewater method 2015</w:t>
      </w:r>
      <w:r w:rsidRPr="004D793B">
        <w:t>, as required under s255A of the Act, and considered</w:t>
      </w:r>
      <w:r w:rsidR="00786E10">
        <w:t xml:space="preserve"> whether</w:t>
      </w:r>
      <w:r w:rsidRPr="004D793B">
        <w:t>:</w:t>
      </w:r>
    </w:p>
    <w:p w14:paraId="1490A7D8" w14:textId="4BC0703C" w:rsidR="002337D4" w:rsidRPr="004D793B" w:rsidRDefault="002337D4" w:rsidP="00616DB7">
      <w:pPr>
        <w:pStyle w:val="ListParagraph"/>
        <w:numPr>
          <w:ilvl w:val="0"/>
          <w:numId w:val="15"/>
        </w:numPr>
        <w:spacing w:after="120" w:line="276" w:lineRule="auto"/>
      </w:pPr>
      <w:r w:rsidRPr="004D793B">
        <w:t xml:space="preserve">existing </w:t>
      </w:r>
      <w:r w:rsidR="00785227">
        <w:t>Wastewater method 2015</w:t>
      </w:r>
      <w:r w:rsidR="003B5005">
        <w:t xml:space="preserve"> </w:t>
      </w:r>
      <w:r w:rsidRPr="004D793B">
        <w:t>projects are likely to continue in the absence of revenue from ACCUs</w:t>
      </w:r>
    </w:p>
    <w:p w14:paraId="0C83D4A1" w14:textId="2C43FCD3" w:rsidR="002337D4" w:rsidRPr="004D793B" w:rsidRDefault="002337D4" w:rsidP="00616DB7">
      <w:pPr>
        <w:pStyle w:val="ListParagraph"/>
        <w:numPr>
          <w:ilvl w:val="0"/>
          <w:numId w:val="15"/>
        </w:numPr>
        <w:spacing w:after="120" w:line="276" w:lineRule="auto"/>
      </w:pPr>
      <w:r w:rsidRPr="004D793B">
        <w:t>ACCUs generated in the future under an extended crediting period will continue to be additional and provide genuine abatement</w:t>
      </w:r>
      <w:r w:rsidR="00A321B0">
        <w:t>.</w:t>
      </w:r>
    </w:p>
    <w:p w14:paraId="3880CFB9" w14:textId="77777777" w:rsidR="002337D4" w:rsidRPr="004D793B" w:rsidRDefault="002337D4" w:rsidP="00616DB7">
      <w:pPr>
        <w:spacing w:after="120"/>
      </w:pPr>
      <w:r w:rsidRPr="004D793B">
        <w:lastRenderedPageBreak/>
        <w:t>The Committee found sufficient evidence was provided to demonstrate that project activities were unlikely to occur in the ordinary course of events. This includes potential opportunities for new projects that would otherwise be uneconomic with the existing crediting period.</w:t>
      </w:r>
    </w:p>
    <w:p w14:paraId="40ADBEA1" w14:textId="0034ACC6" w:rsidR="002337D4" w:rsidRPr="004D793B" w:rsidRDefault="00786E10" w:rsidP="00616DB7">
      <w:pPr>
        <w:spacing w:after="120"/>
      </w:pPr>
      <w:r>
        <w:t>Based o</w:t>
      </w:r>
      <w:r w:rsidR="002337D4" w:rsidRPr="004D793B">
        <w:t>n its findings, the Committee recommended the crediting period for projects other than biomethane projects be extended by 5 years to a total of 12 years.</w:t>
      </w:r>
    </w:p>
    <w:p w14:paraId="325C374A" w14:textId="1A7DC52E" w:rsidR="004B54AC" w:rsidRPr="00A32F36" w:rsidRDefault="00AF2C56" w:rsidP="00616DB7">
      <w:pPr>
        <w:spacing w:after="120"/>
        <w:rPr>
          <w:highlight w:val="yellow"/>
          <w:lang w:eastAsia="ja-JP"/>
        </w:rPr>
      </w:pPr>
      <w:r w:rsidRPr="00AF2C56">
        <w:t xml:space="preserve">The department is implementing </w:t>
      </w:r>
      <w:r>
        <w:t>this</w:t>
      </w:r>
      <w:r w:rsidRPr="00AF2C56">
        <w:t xml:space="preserve"> variation</w:t>
      </w:r>
      <w:r w:rsidR="002337D4" w:rsidRPr="00D8044A">
        <w:t xml:space="preserve">. </w:t>
      </w:r>
    </w:p>
    <w:p w14:paraId="4037DE68" w14:textId="77777777" w:rsidR="00485367" w:rsidRPr="00F37E83" w:rsidRDefault="00485367" w:rsidP="00616DB7">
      <w:pPr>
        <w:pStyle w:val="Heading2"/>
        <w:spacing w:before="120" w:after="120" w:line="276" w:lineRule="auto"/>
      </w:pPr>
      <w:bookmarkStart w:id="11" w:name="_Toc192068734"/>
      <w:r w:rsidRPr="00F37E83">
        <w:lastRenderedPageBreak/>
        <w:t>Feedback sought from stakeholders</w:t>
      </w:r>
      <w:bookmarkEnd w:id="11"/>
    </w:p>
    <w:p w14:paraId="21DBA09B" w14:textId="700E4658" w:rsidR="000D2217" w:rsidRDefault="00485367" w:rsidP="00616DB7">
      <w:pPr>
        <w:spacing w:before="120" w:after="120"/>
        <w:rPr>
          <w:lang w:eastAsia="ja-JP"/>
        </w:rPr>
      </w:pPr>
      <w:r w:rsidRPr="00F37E83">
        <w:rPr>
          <w:lang w:eastAsia="ja-JP"/>
        </w:rPr>
        <w:t xml:space="preserve">To assist its review, the Committee welcomes submissions from stakeholders on </w:t>
      </w:r>
      <w:r w:rsidR="005226AE">
        <w:rPr>
          <w:lang w:eastAsia="ja-JP"/>
        </w:rPr>
        <w:t xml:space="preserve">any </w:t>
      </w:r>
      <w:r w:rsidRPr="00F37E83">
        <w:rPr>
          <w:lang w:eastAsia="ja-JP"/>
        </w:rPr>
        <w:t xml:space="preserve">matters </w:t>
      </w:r>
      <w:r w:rsidR="008A21B6">
        <w:rPr>
          <w:lang w:eastAsia="ja-JP"/>
        </w:rPr>
        <w:t>w</w:t>
      </w:r>
      <w:r w:rsidR="005226AE">
        <w:rPr>
          <w:lang w:eastAsia="ja-JP"/>
        </w:rPr>
        <w:t xml:space="preserve">ithin the </w:t>
      </w:r>
      <w:r w:rsidR="008A21B6">
        <w:rPr>
          <w:lang w:eastAsia="ja-JP"/>
        </w:rPr>
        <w:t>s</w:t>
      </w:r>
      <w:r w:rsidR="005226AE">
        <w:rPr>
          <w:lang w:eastAsia="ja-JP"/>
        </w:rPr>
        <w:t>cope of the review.</w:t>
      </w:r>
    </w:p>
    <w:p w14:paraId="1973AA92" w14:textId="3A06D151" w:rsidR="0030423B" w:rsidRPr="00245320" w:rsidRDefault="0030423B" w:rsidP="00616DB7">
      <w:pPr>
        <w:pStyle w:val="Heading3"/>
        <w:spacing w:before="120" w:after="120" w:line="276" w:lineRule="auto"/>
        <w:rPr>
          <w:color w:val="017097" w:themeColor="accent1"/>
          <w:lang w:eastAsia="ja-JP"/>
        </w:rPr>
      </w:pPr>
      <w:bookmarkStart w:id="12" w:name="_Toc192068735"/>
      <w:r w:rsidRPr="00245320">
        <w:rPr>
          <w:color w:val="017097" w:themeColor="accent1"/>
          <w:lang w:eastAsia="ja-JP"/>
        </w:rPr>
        <w:t>Assessment against the Offsets Integrity Standards</w:t>
      </w:r>
      <w:bookmarkEnd w:id="12"/>
    </w:p>
    <w:p w14:paraId="2DB54D12" w14:textId="0E76ACF2" w:rsidR="0030423B" w:rsidRPr="00245320" w:rsidRDefault="00FC705F" w:rsidP="00616DB7">
      <w:pPr>
        <w:spacing w:before="120" w:after="120"/>
        <w:rPr>
          <w:lang w:eastAsia="ja-JP"/>
        </w:rPr>
      </w:pPr>
      <w:r w:rsidRPr="00245320">
        <w:rPr>
          <w:lang w:eastAsia="ja-JP"/>
        </w:rPr>
        <w:t>This section outlines elements of the</w:t>
      </w:r>
      <w:r w:rsidR="00786E10">
        <w:rPr>
          <w:lang w:eastAsia="ja-JP"/>
        </w:rPr>
        <w:t xml:space="preserve"> AEM</w:t>
      </w:r>
      <w:r w:rsidRPr="00245320">
        <w:rPr>
          <w:lang w:eastAsia="ja-JP"/>
        </w:rPr>
        <w:t xml:space="preserve"> method </w:t>
      </w:r>
      <w:r w:rsidR="00786E10">
        <w:rPr>
          <w:lang w:eastAsia="ja-JP"/>
        </w:rPr>
        <w:t xml:space="preserve">2019 </w:t>
      </w:r>
      <w:r w:rsidRPr="00245320">
        <w:rPr>
          <w:lang w:eastAsia="ja-JP"/>
        </w:rPr>
        <w:t xml:space="preserve">designed to meet the </w:t>
      </w:r>
      <w:r w:rsidR="00615CE4">
        <w:rPr>
          <w:lang w:eastAsia="ja-JP"/>
        </w:rPr>
        <w:t xml:space="preserve">OIS </w:t>
      </w:r>
      <w:r w:rsidRPr="00245320">
        <w:rPr>
          <w:lang w:eastAsia="ja-JP"/>
        </w:rPr>
        <w:t>(Table</w:t>
      </w:r>
      <w:r w:rsidR="000C52F3">
        <w:rPr>
          <w:lang w:eastAsia="ja-JP"/>
        </w:rPr>
        <w:t> </w:t>
      </w:r>
      <w:r w:rsidRPr="00245320">
        <w:rPr>
          <w:lang w:eastAsia="ja-JP"/>
        </w:rPr>
        <w:t>1).</w:t>
      </w:r>
      <w:r w:rsidR="00C65C0D">
        <w:rPr>
          <w:lang w:eastAsia="ja-JP"/>
        </w:rPr>
        <w:t xml:space="preserve"> Compliance with </w:t>
      </w:r>
      <w:r w:rsidR="00786E10">
        <w:rPr>
          <w:lang w:eastAsia="ja-JP"/>
        </w:rPr>
        <w:t>the a</w:t>
      </w:r>
      <w:r w:rsidR="00C65C0D">
        <w:rPr>
          <w:lang w:eastAsia="ja-JP"/>
        </w:rPr>
        <w:t>dditionality</w:t>
      </w:r>
      <w:r w:rsidR="00786E10">
        <w:rPr>
          <w:lang w:eastAsia="ja-JP"/>
        </w:rPr>
        <w:t xml:space="preserve"> OIS</w:t>
      </w:r>
      <w:r w:rsidR="00C65C0D">
        <w:rPr>
          <w:lang w:eastAsia="ja-JP"/>
        </w:rPr>
        <w:t xml:space="preserve"> was considered during the CPE reviews. </w:t>
      </w:r>
      <w:r w:rsidR="00B10F8B">
        <w:rPr>
          <w:lang w:eastAsia="ja-JP"/>
        </w:rPr>
        <w:t xml:space="preserve">Compliance with </w:t>
      </w:r>
      <w:r w:rsidR="004A0C1B">
        <w:rPr>
          <w:lang w:eastAsia="ja-JP"/>
        </w:rPr>
        <w:t xml:space="preserve">all </w:t>
      </w:r>
      <w:r w:rsidR="00B10F8B">
        <w:rPr>
          <w:lang w:eastAsia="ja-JP"/>
        </w:rPr>
        <w:t xml:space="preserve">the OIS needs to be considered </w:t>
      </w:r>
      <w:r w:rsidR="004A0C1B">
        <w:rPr>
          <w:lang w:eastAsia="ja-JP"/>
        </w:rPr>
        <w:t>as part of a periodic review</w:t>
      </w:r>
      <w:r w:rsidR="00B10F8B">
        <w:rPr>
          <w:lang w:eastAsia="ja-JP"/>
        </w:rPr>
        <w:t>.</w:t>
      </w:r>
    </w:p>
    <w:p w14:paraId="21E71B16" w14:textId="48703988" w:rsidR="0030423B" w:rsidRPr="00245320" w:rsidRDefault="002925ED" w:rsidP="00616DB7">
      <w:pPr>
        <w:pStyle w:val="Heading4"/>
        <w:numPr>
          <w:ilvl w:val="0"/>
          <w:numId w:val="0"/>
        </w:numPr>
        <w:spacing w:before="120" w:after="120" w:line="276" w:lineRule="auto"/>
        <w:rPr>
          <w:b w:val="0"/>
          <w:i/>
          <w:sz w:val="22"/>
          <w:szCs w:val="22"/>
          <w:lang w:eastAsia="ja-JP"/>
        </w:rPr>
      </w:pPr>
      <w:r w:rsidRPr="00245320">
        <w:rPr>
          <w:b w:val="0"/>
          <w:i/>
          <w:sz w:val="22"/>
          <w:szCs w:val="22"/>
          <w:lang w:eastAsia="ja-JP"/>
        </w:rPr>
        <w:t>Additionality: A method should result in carbon abatement that is unlikely to occur in the ordinary course of events (disregarding the effect of the Act)</w:t>
      </w:r>
    </w:p>
    <w:p w14:paraId="76D2927F" w14:textId="77777777" w:rsidR="00786E10" w:rsidRDefault="00157322" w:rsidP="00616DB7">
      <w:pPr>
        <w:spacing w:before="120" w:after="120"/>
        <w:rPr>
          <w:lang w:eastAsia="ja-JP"/>
        </w:rPr>
      </w:pPr>
      <w:r w:rsidRPr="00172E62">
        <w:rPr>
          <w:lang w:eastAsia="ja-JP"/>
        </w:rPr>
        <w:t>At the time the</w:t>
      </w:r>
      <w:r w:rsidR="007D28CC" w:rsidRPr="00172E62">
        <w:rPr>
          <w:lang w:eastAsia="ja-JP"/>
        </w:rPr>
        <w:t xml:space="preserve"> </w:t>
      </w:r>
      <w:r w:rsidR="00053F71">
        <w:rPr>
          <w:lang w:eastAsia="ja-JP"/>
        </w:rPr>
        <w:t>AEM method 2019</w:t>
      </w:r>
      <w:r w:rsidRPr="00172E62">
        <w:rPr>
          <w:lang w:eastAsia="ja-JP"/>
        </w:rPr>
        <w:t xml:space="preserve"> was made, the Committee </w:t>
      </w:r>
      <w:r w:rsidR="00DF1E09">
        <w:rPr>
          <w:lang w:eastAsia="ja-JP"/>
        </w:rPr>
        <w:t>noted th</w:t>
      </w:r>
      <w:r w:rsidR="00E269F2">
        <w:rPr>
          <w:lang w:eastAsia="ja-JP"/>
        </w:rPr>
        <w:t xml:space="preserve">at </w:t>
      </w:r>
      <w:r w:rsidR="00786E10">
        <w:rPr>
          <w:lang w:eastAsia="ja-JP"/>
        </w:rPr>
        <w:t>c</w:t>
      </w:r>
      <w:r w:rsidR="00DF1E09">
        <w:rPr>
          <w:lang w:eastAsia="ja-JP"/>
        </w:rPr>
        <w:t>arbon abatement is genuine and additional and is unlikely to occur in the absence of</w:t>
      </w:r>
      <w:r w:rsidR="00786E10">
        <w:rPr>
          <w:lang w:eastAsia="ja-JP"/>
        </w:rPr>
        <w:t xml:space="preserve"> the ACCU Scheme</w:t>
      </w:r>
      <w:r w:rsidR="00DF1E09">
        <w:rPr>
          <w:lang w:eastAsia="ja-JP"/>
        </w:rPr>
        <w:t xml:space="preserve">. </w:t>
      </w:r>
      <w:r w:rsidR="00D72901">
        <w:rPr>
          <w:lang w:eastAsia="ja-JP"/>
        </w:rPr>
        <w:t>The Committee noted that p</w:t>
      </w:r>
      <w:r w:rsidR="00DF1E09">
        <w:rPr>
          <w:lang w:eastAsia="ja-JP"/>
        </w:rPr>
        <w:t xml:space="preserve">roject activities required to realise abatement are complex and costly, and atypical of </w:t>
      </w:r>
      <w:r w:rsidR="00786E10">
        <w:rPr>
          <w:lang w:eastAsia="ja-JP"/>
        </w:rPr>
        <w:t>most</w:t>
      </w:r>
      <w:r w:rsidR="00DF1E09">
        <w:rPr>
          <w:lang w:eastAsia="ja-JP"/>
        </w:rPr>
        <w:t xml:space="preserve"> pork and dairy production in Australia. </w:t>
      </w:r>
    </w:p>
    <w:p w14:paraId="5E6C746F" w14:textId="04A6DA70" w:rsidR="00CD0A51" w:rsidRDefault="00D72901" w:rsidP="00616DB7">
      <w:pPr>
        <w:spacing w:before="120" w:after="120"/>
        <w:rPr>
          <w:lang w:eastAsia="ja-JP"/>
        </w:rPr>
      </w:pPr>
      <w:r>
        <w:rPr>
          <w:lang w:eastAsia="ja-JP"/>
        </w:rPr>
        <w:t>The Committee also noted t</w:t>
      </w:r>
      <w:r w:rsidR="00DF1E09">
        <w:rPr>
          <w:lang w:eastAsia="ja-JP"/>
        </w:rPr>
        <w:t xml:space="preserve">he use of technologies eligible under the draft method for reducing methane emissions </w:t>
      </w:r>
      <w:r w:rsidR="003C64DA">
        <w:rPr>
          <w:lang w:eastAsia="ja-JP"/>
        </w:rPr>
        <w:t>w</w:t>
      </w:r>
      <w:r w:rsidR="00786E10">
        <w:rPr>
          <w:lang w:eastAsia="ja-JP"/>
        </w:rPr>
        <w:t>ere n</w:t>
      </w:r>
      <w:r w:rsidR="00DF1E09">
        <w:rPr>
          <w:lang w:eastAsia="ja-JP"/>
        </w:rPr>
        <w:t xml:space="preserve">ot required by state or territory regulations. </w:t>
      </w:r>
      <w:r w:rsidR="00AD4100">
        <w:rPr>
          <w:lang w:eastAsia="ja-JP"/>
        </w:rPr>
        <w:t xml:space="preserve">The Committee referenced the </w:t>
      </w:r>
      <w:r w:rsidR="00DF1E09">
        <w:rPr>
          <w:lang w:eastAsia="ja-JP"/>
        </w:rPr>
        <w:t>financial assessment</w:t>
      </w:r>
      <w:r w:rsidR="00786E10">
        <w:rPr>
          <w:lang w:eastAsia="ja-JP"/>
        </w:rPr>
        <w:t>,</w:t>
      </w:r>
      <w:r w:rsidR="00DF1E09">
        <w:rPr>
          <w:lang w:eastAsia="ja-JP"/>
        </w:rPr>
        <w:t xml:space="preserve"> </w:t>
      </w:r>
      <w:r w:rsidR="00AD4100">
        <w:rPr>
          <w:lang w:eastAsia="ja-JP"/>
        </w:rPr>
        <w:t xml:space="preserve">which </w:t>
      </w:r>
      <w:r w:rsidR="00DF1E09">
        <w:rPr>
          <w:lang w:eastAsia="ja-JP"/>
        </w:rPr>
        <w:t xml:space="preserve">concluded that despite returns from electricity generation for some emissions destruction projects, these </w:t>
      </w:r>
      <w:r w:rsidR="00C24F90">
        <w:rPr>
          <w:lang w:eastAsia="ja-JP"/>
        </w:rPr>
        <w:t xml:space="preserve">were </w:t>
      </w:r>
      <w:r w:rsidR="00DF1E09">
        <w:rPr>
          <w:lang w:eastAsia="ja-JP"/>
        </w:rPr>
        <w:t xml:space="preserve">unlikely to be sufficient to incentivise activities in the absence of the generation of ACCUs from registered </w:t>
      </w:r>
      <w:r w:rsidR="00310B05">
        <w:rPr>
          <w:lang w:eastAsia="ja-JP"/>
        </w:rPr>
        <w:t xml:space="preserve">ACCU </w:t>
      </w:r>
      <w:r w:rsidR="00DF1E09">
        <w:rPr>
          <w:lang w:eastAsia="ja-JP"/>
        </w:rPr>
        <w:t xml:space="preserve">projects. Emissions destruction technologies </w:t>
      </w:r>
      <w:r w:rsidR="00C24F90">
        <w:rPr>
          <w:lang w:eastAsia="ja-JP"/>
        </w:rPr>
        <w:t>we</w:t>
      </w:r>
      <w:r w:rsidR="00DF1E09">
        <w:rPr>
          <w:lang w:eastAsia="ja-JP"/>
        </w:rPr>
        <w:t xml:space="preserve">re relatively new in Australia, with uncertainties around the guarantee of supply, installation, operation and maintenance. </w:t>
      </w:r>
      <w:r w:rsidR="009E3063">
        <w:rPr>
          <w:lang w:eastAsia="ja-JP"/>
        </w:rPr>
        <w:t>U</w:t>
      </w:r>
      <w:r w:rsidR="00DF1E09">
        <w:rPr>
          <w:lang w:eastAsia="ja-JP"/>
        </w:rPr>
        <w:t xml:space="preserve">ptake </w:t>
      </w:r>
      <w:r w:rsidR="00E73E29">
        <w:rPr>
          <w:lang w:eastAsia="ja-JP"/>
        </w:rPr>
        <w:t>wa</w:t>
      </w:r>
      <w:r w:rsidR="00DF1E09">
        <w:rPr>
          <w:lang w:eastAsia="ja-JP"/>
        </w:rPr>
        <w:t>s only at large facilities</w:t>
      </w:r>
      <w:r w:rsidR="009E3063">
        <w:rPr>
          <w:lang w:eastAsia="ja-JP"/>
        </w:rPr>
        <w:t xml:space="preserve">. </w:t>
      </w:r>
    </w:p>
    <w:p w14:paraId="26314D57" w14:textId="58845FB8" w:rsidR="009E3063" w:rsidRDefault="00CD0A51" w:rsidP="00616DB7">
      <w:pPr>
        <w:spacing w:before="120" w:after="120"/>
        <w:rPr>
          <w:lang w:eastAsia="ja-JP"/>
        </w:rPr>
      </w:pPr>
      <w:r>
        <w:rPr>
          <w:lang w:eastAsia="ja-JP"/>
        </w:rPr>
        <w:t>T</w:t>
      </w:r>
      <w:r w:rsidR="0071245E">
        <w:rPr>
          <w:lang w:eastAsia="ja-JP"/>
        </w:rPr>
        <w:t xml:space="preserve">he </w:t>
      </w:r>
      <w:r>
        <w:rPr>
          <w:lang w:eastAsia="ja-JP"/>
        </w:rPr>
        <w:t xml:space="preserve">Committee’s </w:t>
      </w:r>
      <w:r w:rsidR="0071245E">
        <w:rPr>
          <w:lang w:eastAsia="ja-JP"/>
        </w:rPr>
        <w:t>2024</w:t>
      </w:r>
      <w:r w:rsidR="00245320" w:rsidRPr="00172E62">
        <w:rPr>
          <w:lang w:eastAsia="ja-JP"/>
        </w:rPr>
        <w:t xml:space="preserve"> CPE review</w:t>
      </w:r>
      <w:r w:rsidR="0071245E">
        <w:rPr>
          <w:lang w:eastAsia="ja-JP"/>
        </w:rPr>
        <w:t xml:space="preserve"> of the </w:t>
      </w:r>
      <w:r w:rsidR="009E3063">
        <w:rPr>
          <w:lang w:eastAsia="ja-JP"/>
        </w:rPr>
        <w:t xml:space="preserve">AEM </w:t>
      </w:r>
      <w:r w:rsidR="0071245E">
        <w:rPr>
          <w:lang w:eastAsia="ja-JP"/>
        </w:rPr>
        <w:t xml:space="preserve">method </w:t>
      </w:r>
      <w:r w:rsidR="009E3063">
        <w:rPr>
          <w:lang w:eastAsia="ja-JP"/>
        </w:rPr>
        <w:t xml:space="preserve">2019 </w:t>
      </w:r>
      <w:r w:rsidR="00960F22">
        <w:rPr>
          <w:lang w:eastAsia="ja-JP"/>
        </w:rPr>
        <w:t xml:space="preserve">confirmed </w:t>
      </w:r>
      <w:r w:rsidR="009E3063">
        <w:rPr>
          <w:lang w:eastAsia="ja-JP"/>
        </w:rPr>
        <w:t xml:space="preserve">it was </w:t>
      </w:r>
      <w:r w:rsidR="00960F22">
        <w:rPr>
          <w:lang w:eastAsia="ja-JP"/>
        </w:rPr>
        <w:t>still additional</w:t>
      </w:r>
      <w:r w:rsidR="00CF34F1">
        <w:rPr>
          <w:lang w:eastAsia="ja-JP"/>
        </w:rPr>
        <w:t>,</w:t>
      </w:r>
      <w:r w:rsidR="00960F22">
        <w:rPr>
          <w:lang w:eastAsia="ja-JP"/>
        </w:rPr>
        <w:t xml:space="preserve"> </w:t>
      </w:r>
      <w:r w:rsidR="00D814C2">
        <w:rPr>
          <w:lang w:eastAsia="ja-JP"/>
        </w:rPr>
        <w:t xml:space="preserve">noting </w:t>
      </w:r>
      <w:r w:rsidR="006649E3">
        <w:rPr>
          <w:lang w:eastAsia="ja-JP"/>
        </w:rPr>
        <w:t>n</w:t>
      </w:r>
      <w:r>
        <w:rPr>
          <w:lang w:eastAsia="ja-JP"/>
        </w:rPr>
        <w:t xml:space="preserve">o </w:t>
      </w:r>
      <w:r w:rsidR="001403B9">
        <w:rPr>
          <w:lang w:eastAsia="ja-JP"/>
        </w:rPr>
        <w:t>s</w:t>
      </w:r>
      <w:r>
        <w:rPr>
          <w:lang w:eastAsia="ja-JP"/>
        </w:rPr>
        <w:t xml:space="preserve">tate or </w:t>
      </w:r>
      <w:r w:rsidR="001403B9">
        <w:rPr>
          <w:lang w:eastAsia="ja-JP"/>
        </w:rPr>
        <w:t>t</w:t>
      </w:r>
      <w:r>
        <w:rPr>
          <w:lang w:eastAsia="ja-JP"/>
        </w:rPr>
        <w:t xml:space="preserve">erritory indicated </w:t>
      </w:r>
      <w:r w:rsidR="009E3063">
        <w:rPr>
          <w:lang w:eastAsia="ja-JP"/>
        </w:rPr>
        <w:t xml:space="preserve">an intention </w:t>
      </w:r>
      <w:r>
        <w:rPr>
          <w:lang w:eastAsia="ja-JP"/>
        </w:rPr>
        <w:t xml:space="preserve">to introduce regulatory controls for methane emissions in agricultural effluent treatment in the foreseeable future. </w:t>
      </w:r>
    </w:p>
    <w:p w14:paraId="0795239D" w14:textId="2E08671C" w:rsidR="009E3063" w:rsidRDefault="00AF2F28" w:rsidP="00616DB7">
      <w:pPr>
        <w:spacing w:before="120" w:after="120"/>
        <w:rPr>
          <w:lang w:eastAsia="ja-JP"/>
        </w:rPr>
      </w:pPr>
      <w:r>
        <w:rPr>
          <w:lang w:eastAsia="ja-JP"/>
        </w:rPr>
        <w:t>S</w:t>
      </w:r>
      <w:r w:rsidR="00CD0A51">
        <w:rPr>
          <w:lang w:eastAsia="ja-JP"/>
        </w:rPr>
        <w:t xml:space="preserve">ectoral targets and commitments by industry associations are not legally binding and do not preclude </w:t>
      </w:r>
      <w:r w:rsidR="0083182C">
        <w:rPr>
          <w:lang w:eastAsia="ja-JP"/>
        </w:rPr>
        <w:t xml:space="preserve">the </w:t>
      </w:r>
      <w:r w:rsidR="00CD0A51">
        <w:rPr>
          <w:lang w:eastAsia="ja-JP"/>
        </w:rPr>
        <w:t>issu</w:t>
      </w:r>
      <w:r w:rsidR="0083182C">
        <w:rPr>
          <w:lang w:eastAsia="ja-JP"/>
        </w:rPr>
        <w:t>ance</w:t>
      </w:r>
      <w:r w:rsidR="00CD0A51">
        <w:rPr>
          <w:lang w:eastAsia="ja-JP"/>
        </w:rPr>
        <w:t xml:space="preserve"> of ACCUs.</w:t>
      </w:r>
      <w:r>
        <w:rPr>
          <w:lang w:eastAsia="ja-JP"/>
        </w:rPr>
        <w:t xml:space="preserve"> Financial assessment for the CPE review found that m</w:t>
      </w:r>
      <w:r w:rsidR="00CD0A51">
        <w:rPr>
          <w:lang w:eastAsia="ja-JP"/>
        </w:rPr>
        <w:t xml:space="preserve">ost </w:t>
      </w:r>
      <w:r w:rsidR="00777142">
        <w:rPr>
          <w:lang w:eastAsia="ja-JP"/>
        </w:rPr>
        <w:t xml:space="preserve">AEM </w:t>
      </w:r>
      <w:r w:rsidR="005F145C">
        <w:rPr>
          <w:lang w:eastAsia="ja-JP"/>
        </w:rPr>
        <w:t xml:space="preserve">method 2019 </w:t>
      </w:r>
      <w:r w:rsidR="00CD0A51">
        <w:rPr>
          <w:lang w:eastAsia="ja-JP"/>
        </w:rPr>
        <w:t>projects have relied on ACCUs to support project initiation</w:t>
      </w:r>
      <w:r>
        <w:rPr>
          <w:lang w:eastAsia="ja-JP"/>
        </w:rPr>
        <w:t xml:space="preserve"> </w:t>
      </w:r>
      <w:r w:rsidR="00107521">
        <w:rPr>
          <w:lang w:eastAsia="ja-JP"/>
        </w:rPr>
        <w:t>citing i</w:t>
      </w:r>
      <w:r w:rsidR="00CD0A51">
        <w:rPr>
          <w:lang w:eastAsia="ja-JP"/>
        </w:rPr>
        <w:t>ncreases in capital costs and significant operation and maintenance costs and reduced benefits of operation from electricity generation</w:t>
      </w:r>
      <w:r w:rsidR="00107521">
        <w:rPr>
          <w:lang w:eastAsia="ja-JP"/>
        </w:rPr>
        <w:t xml:space="preserve"> as</w:t>
      </w:r>
      <w:r w:rsidR="00CD0A51">
        <w:rPr>
          <w:lang w:eastAsia="ja-JP"/>
        </w:rPr>
        <w:t xml:space="preserve"> </w:t>
      </w:r>
      <w:r w:rsidR="00107521">
        <w:rPr>
          <w:lang w:eastAsia="ja-JP"/>
        </w:rPr>
        <w:t>having</w:t>
      </w:r>
      <w:r w:rsidR="00CD0A51">
        <w:rPr>
          <w:lang w:eastAsia="ja-JP"/>
        </w:rPr>
        <w:t xml:space="preserve"> made project initiation increasingly challenging with the current level of support from ACCUs.</w:t>
      </w:r>
      <w:r w:rsidR="00107521">
        <w:rPr>
          <w:lang w:eastAsia="ja-JP"/>
        </w:rPr>
        <w:t xml:space="preserve"> </w:t>
      </w:r>
    </w:p>
    <w:p w14:paraId="6E3F6105" w14:textId="6958FCDE" w:rsidR="00E22FEF" w:rsidRPr="00172E62" w:rsidRDefault="00107521" w:rsidP="00616DB7">
      <w:pPr>
        <w:spacing w:before="120" w:after="120"/>
        <w:rPr>
          <w:lang w:eastAsia="ja-JP"/>
        </w:rPr>
      </w:pPr>
      <w:r>
        <w:rPr>
          <w:lang w:eastAsia="ja-JP"/>
        </w:rPr>
        <w:t xml:space="preserve">The </w:t>
      </w:r>
      <w:r w:rsidR="00830DDD">
        <w:rPr>
          <w:lang w:eastAsia="ja-JP"/>
        </w:rPr>
        <w:t>assessment concluded that t</w:t>
      </w:r>
      <w:r w:rsidR="00CD0A51">
        <w:rPr>
          <w:lang w:eastAsia="ja-JP"/>
        </w:rPr>
        <w:t>he current financial challenges in the sector limit the risk of claim</w:t>
      </w:r>
      <w:r w:rsidR="00793CE7">
        <w:rPr>
          <w:lang w:eastAsia="ja-JP"/>
        </w:rPr>
        <w:t>s</w:t>
      </w:r>
      <w:r w:rsidR="00CD0A51">
        <w:rPr>
          <w:lang w:eastAsia="ja-JP"/>
        </w:rPr>
        <w:t xml:space="preserve"> to carbon abatement that would have occurred in the ordinary course of events.</w:t>
      </w:r>
    </w:p>
    <w:p w14:paraId="456A48AC" w14:textId="32736925" w:rsidR="00A66B1E" w:rsidRPr="00172E62" w:rsidRDefault="00A11330" w:rsidP="00616DB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lang w:eastAsia="ja-JP"/>
        </w:rPr>
      </w:pPr>
      <w:r w:rsidRPr="00172E62">
        <w:rPr>
          <w:b/>
          <w:bCs/>
          <w:i/>
          <w:iCs/>
          <w:lang w:eastAsia="ja-JP"/>
        </w:rPr>
        <w:t>The Committee welcomes views</w:t>
      </w:r>
      <w:r w:rsidR="001954D0" w:rsidRPr="00172E62">
        <w:rPr>
          <w:b/>
          <w:bCs/>
          <w:i/>
          <w:iCs/>
          <w:lang w:eastAsia="ja-JP"/>
        </w:rPr>
        <w:t xml:space="preserve"> on</w:t>
      </w:r>
      <w:r w:rsidR="004E0247" w:rsidRPr="00172E62">
        <w:rPr>
          <w:b/>
          <w:bCs/>
          <w:i/>
          <w:iCs/>
          <w:lang w:eastAsia="ja-JP"/>
        </w:rPr>
        <w:t>:</w:t>
      </w:r>
      <w:r w:rsidR="001954D0" w:rsidRPr="00172E62">
        <w:rPr>
          <w:lang w:eastAsia="ja-JP"/>
        </w:rPr>
        <w:t xml:space="preserve"> the impact of regulatory and other changes since </w:t>
      </w:r>
      <w:r w:rsidR="005C1F7F" w:rsidRPr="00172E62">
        <w:rPr>
          <w:lang w:eastAsia="ja-JP"/>
        </w:rPr>
        <w:t>2019</w:t>
      </w:r>
      <w:r w:rsidR="001954D0" w:rsidRPr="00172E62">
        <w:rPr>
          <w:lang w:eastAsia="ja-JP"/>
        </w:rPr>
        <w:t xml:space="preserve"> that may influence the additionality of projects under the method</w:t>
      </w:r>
      <w:r w:rsidR="00AD0BE4" w:rsidRPr="00172E62">
        <w:rPr>
          <w:lang w:eastAsia="ja-JP"/>
        </w:rPr>
        <w:t xml:space="preserve"> (Question 1)</w:t>
      </w:r>
      <w:r w:rsidR="007E3F77">
        <w:rPr>
          <w:lang w:eastAsia="ja-JP"/>
        </w:rPr>
        <w:t>.</w:t>
      </w:r>
    </w:p>
    <w:p w14:paraId="2BE34238" w14:textId="1E425531" w:rsidR="002925ED" w:rsidRPr="00172E62" w:rsidRDefault="00A66B1E" w:rsidP="00616DB7">
      <w:pPr>
        <w:pStyle w:val="Heading4"/>
        <w:numPr>
          <w:ilvl w:val="0"/>
          <w:numId w:val="0"/>
        </w:numPr>
        <w:spacing w:before="120" w:after="120" w:line="276" w:lineRule="auto"/>
        <w:rPr>
          <w:b w:val="0"/>
          <w:i/>
          <w:sz w:val="22"/>
          <w:szCs w:val="22"/>
          <w:lang w:eastAsia="ja-JP"/>
        </w:rPr>
      </w:pPr>
      <w:r w:rsidRPr="00172E62">
        <w:rPr>
          <w:b w:val="0"/>
          <w:i/>
          <w:sz w:val="22"/>
          <w:szCs w:val="22"/>
          <w:lang w:eastAsia="ja-JP"/>
        </w:rPr>
        <w:lastRenderedPageBreak/>
        <w:t>Measurable and verifiable: Estimates of abatement should be measurable and capable of being verified</w:t>
      </w:r>
    </w:p>
    <w:p w14:paraId="19280A15" w14:textId="77777777" w:rsidR="00F84CEF" w:rsidRDefault="00D95D2B" w:rsidP="00616DB7">
      <w:pPr>
        <w:spacing w:before="120" w:after="120"/>
        <w:rPr>
          <w:lang w:eastAsia="ja-JP"/>
        </w:rPr>
      </w:pPr>
      <w:r w:rsidRPr="00172E62">
        <w:rPr>
          <w:lang w:eastAsia="ja-JP"/>
        </w:rPr>
        <w:t xml:space="preserve">At the time the </w:t>
      </w:r>
      <w:r w:rsidR="0051633D">
        <w:rPr>
          <w:lang w:eastAsia="ja-JP"/>
        </w:rPr>
        <w:t xml:space="preserve">AEM </w:t>
      </w:r>
      <w:r w:rsidRPr="00172E62">
        <w:rPr>
          <w:lang w:eastAsia="ja-JP"/>
        </w:rPr>
        <w:t xml:space="preserve">method </w:t>
      </w:r>
      <w:r w:rsidR="0051633D">
        <w:rPr>
          <w:lang w:eastAsia="ja-JP"/>
        </w:rPr>
        <w:t xml:space="preserve">2019 </w:t>
      </w:r>
      <w:r w:rsidRPr="00172E62">
        <w:rPr>
          <w:lang w:eastAsia="ja-JP"/>
        </w:rPr>
        <w:t xml:space="preserve">was made, the Committee </w:t>
      </w:r>
      <w:r w:rsidR="005917D0" w:rsidRPr="00172E62">
        <w:rPr>
          <w:lang w:eastAsia="ja-JP"/>
        </w:rPr>
        <w:t xml:space="preserve">assessed </w:t>
      </w:r>
      <w:r w:rsidR="0071245E">
        <w:rPr>
          <w:lang w:eastAsia="ja-JP"/>
        </w:rPr>
        <w:t>th</w:t>
      </w:r>
      <w:r w:rsidR="00F84CEF">
        <w:rPr>
          <w:lang w:eastAsia="ja-JP"/>
        </w:rPr>
        <w:t xml:space="preserve">e </w:t>
      </w:r>
      <w:r w:rsidR="0071245E">
        <w:rPr>
          <w:lang w:eastAsia="ja-JP"/>
        </w:rPr>
        <w:t>e</w:t>
      </w:r>
      <w:r w:rsidR="00954FD6">
        <w:rPr>
          <w:lang w:eastAsia="ja-JP"/>
        </w:rPr>
        <w:t xml:space="preserve">stimations of the net abatement amount use either measured input values or default values that are supported by evidence and do not result in an over-estimation of the net abatement amount. </w:t>
      </w:r>
    </w:p>
    <w:p w14:paraId="35BE246B" w14:textId="2B15EF54" w:rsidR="00954FD6" w:rsidRPr="00172E62" w:rsidRDefault="00830DDD" w:rsidP="00616DB7">
      <w:pPr>
        <w:spacing w:before="120" w:after="120"/>
        <w:rPr>
          <w:lang w:eastAsia="ja-JP"/>
        </w:rPr>
      </w:pPr>
      <w:r>
        <w:rPr>
          <w:lang w:eastAsia="ja-JP"/>
        </w:rPr>
        <w:t>The Committee noted that m</w:t>
      </w:r>
      <w:r w:rsidR="00954FD6">
        <w:rPr>
          <w:lang w:eastAsia="ja-JP"/>
        </w:rPr>
        <w:t>easured values can be verified from laboratory test results, project records and repeat measurement</w:t>
      </w:r>
      <w:r>
        <w:rPr>
          <w:lang w:eastAsia="ja-JP"/>
        </w:rPr>
        <w:t xml:space="preserve"> while </w:t>
      </w:r>
      <w:r w:rsidR="00C82556">
        <w:rPr>
          <w:lang w:eastAsia="ja-JP"/>
        </w:rPr>
        <w:t>default</w:t>
      </w:r>
      <w:r w:rsidR="00954FD6">
        <w:rPr>
          <w:lang w:eastAsia="ja-JP"/>
        </w:rPr>
        <w:t xml:space="preserve"> input values are based on outcomes from previous robust assessment. </w:t>
      </w:r>
      <w:r>
        <w:rPr>
          <w:lang w:eastAsia="ja-JP"/>
        </w:rPr>
        <w:t>The Committee noted that wh</w:t>
      </w:r>
      <w:r w:rsidR="00954FD6">
        <w:rPr>
          <w:lang w:eastAsia="ja-JP"/>
        </w:rPr>
        <w:t xml:space="preserve">ere there is variation in reported values, the </w:t>
      </w:r>
      <w:r w:rsidR="00603158">
        <w:rPr>
          <w:lang w:eastAsia="ja-JP"/>
        </w:rPr>
        <w:t xml:space="preserve">AEM </w:t>
      </w:r>
      <w:r w:rsidR="00954FD6">
        <w:rPr>
          <w:lang w:eastAsia="ja-JP"/>
        </w:rPr>
        <w:t xml:space="preserve">method </w:t>
      </w:r>
      <w:r w:rsidR="00603158">
        <w:rPr>
          <w:lang w:eastAsia="ja-JP"/>
        </w:rPr>
        <w:t xml:space="preserve">2019 </w:t>
      </w:r>
      <w:r w:rsidR="00954FD6">
        <w:rPr>
          <w:lang w:eastAsia="ja-JP"/>
        </w:rPr>
        <w:t>ensures values resulting in conservative estimates of net abatement are used.</w:t>
      </w:r>
    </w:p>
    <w:p w14:paraId="27D2169D" w14:textId="48303F82" w:rsidR="00A66B1E" w:rsidRPr="00172E62" w:rsidRDefault="00A11330" w:rsidP="00616DB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lang w:eastAsia="ja-JP"/>
        </w:rPr>
      </w:pPr>
      <w:r w:rsidRPr="00172E62">
        <w:rPr>
          <w:b/>
          <w:bCs/>
          <w:i/>
          <w:iCs/>
          <w:lang w:eastAsia="ja-JP"/>
        </w:rPr>
        <w:t>The Committee welcomes views</w:t>
      </w:r>
      <w:r w:rsidR="00651B0F" w:rsidRPr="00172E62">
        <w:rPr>
          <w:b/>
          <w:bCs/>
          <w:i/>
          <w:iCs/>
          <w:lang w:eastAsia="ja-JP"/>
        </w:rPr>
        <w:t>, including any supporting examples, on</w:t>
      </w:r>
      <w:r w:rsidR="004E0247" w:rsidRPr="00172E62">
        <w:rPr>
          <w:lang w:eastAsia="ja-JP"/>
        </w:rPr>
        <w:t>:</w:t>
      </w:r>
      <w:r w:rsidR="20D95062" w:rsidRPr="00172E62">
        <w:rPr>
          <w:lang w:eastAsia="ja-JP"/>
        </w:rPr>
        <w:t xml:space="preserve"> </w:t>
      </w:r>
      <w:r w:rsidR="00651B0F" w:rsidRPr="00172E62">
        <w:rPr>
          <w:lang w:eastAsia="ja-JP"/>
        </w:rPr>
        <w:t xml:space="preserve">whether provisions for measuring and verifying abatement estimates are fit for purpose. Are there material </w:t>
      </w:r>
      <w:r w:rsidR="006A584F" w:rsidRPr="00172E62">
        <w:rPr>
          <w:lang w:eastAsia="ja-JP"/>
        </w:rPr>
        <w:t>changes</w:t>
      </w:r>
      <w:r w:rsidR="00651B0F" w:rsidRPr="00172E62">
        <w:rPr>
          <w:lang w:eastAsia="ja-JP"/>
        </w:rPr>
        <w:t xml:space="preserve"> in emissions that should be accounted for in the </w:t>
      </w:r>
      <w:r w:rsidR="00C326E9">
        <w:rPr>
          <w:lang w:eastAsia="ja-JP"/>
        </w:rPr>
        <w:t xml:space="preserve">AEM </w:t>
      </w:r>
      <w:r w:rsidR="00651B0F" w:rsidRPr="00172E62">
        <w:rPr>
          <w:lang w:eastAsia="ja-JP"/>
        </w:rPr>
        <w:t>method</w:t>
      </w:r>
      <w:r w:rsidR="00C326E9">
        <w:rPr>
          <w:lang w:eastAsia="ja-JP"/>
        </w:rPr>
        <w:t xml:space="preserve"> 2019</w:t>
      </w:r>
      <w:r w:rsidR="004867C3" w:rsidRPr="00172E62">
        <w:rPr>
          <w:lang w:eastAsia="ja-JP"/>
        </w:rPr>
        <w:t>?</w:t>
      </w:r>
      <w:r w:rsidR="00651B0F" w:rsidRPr="00172E62">
        <w:rPr>
          <w:lang w:eastAsia="ja-JP"/>
        </w:rPr>
        <w:t xml:space="preserve"> </w:t>
      </w:r>
      <w:r w:rsidR="00AD0BE4" w:rsidRPr="00172E62">
        <w:rPr>
          <w:lang w:eastAsia="ja-JP"/>
        </w:rPr>
        <w:t>(Question 2)</w:t>
      </w:r>
      <w:r w:rsidR="00B95C5D">
        <w:rPr>
          <w:lang w:eastAsia="ja-JP"/>
        </w:rPr>
        <w:t>.</w:t>
      </w:r>
    </w:p>
    <w:p w14:paraId="1F407590" w14:textId="3592A450" w:rsidR="00A66B1E" w:rsidRPr="00172E62" w:rsidRDefault="002529D1" w:rsidP="00616DB7">
      <w:pPr>
        <w:pStyle w:val="Heading4"/>
        <w:numPr>
          <w:ilvl w:val="0"/>
          <w:numId w:val="0"/>
        </w:numPr>
        <w:spacing w:before="120" w:after="120" w:line="276" w:lineRule="auto"/>
        <w:rPr>
          <w:b w:val="0"/>
          <w:i/>
          <w:sz w:val="22"/>
          <w:szCs w:val="22"/>
          <w:lang w:eastAsia="ja-JP"/>
        </w:rPr>
      </w:pPr>
      <w:r w:rsidRPr="00172E62">
        <w:rPr>
          <w:b w:val="0"/>
          <w:i/>
          <w:sz w:val="22"/>
          <w:szCs w:val="22"/>
          <w:lang w:eastAsia="ja-JP"/>
        </w:rPr>
        <w:t>Eligible carbon abatement: A method should provide abatement that is able to be used to meet Australia’s international mitigation obligations</w:t>
      </w:r>
    </w:p>
    <w:p w14:paraId="2081D205" w14:textId="1A1F07D9" w:rsidR="00293C0F" w:rsidRPr="00172E62" w:rsidRDefault="00D95D2B" w:rsidP="00616DB7">
      <w:pPr>
        <w:spacing w:before="120" w:after="120"/>
        <w:rPr>
          <w:lang w:eastAsia="ja-JP"/>
        </w:rPr>
      </w:pPr>
      <w:r w:rsidRPr="00172E62">
        <w:rPr>
          <w:lang w:eastAsia="ja-JP"/>
        </w:rPr>
        <w:t xml:space="preserve">At the time the method was made, the </w:t>
      </w:r>
      <w:r w:rsidR="0071245E">
        <w:rPr>
          <w:lang w:eastAsia="ja-JP"/>
        </w:rPr>
        <w:t>Committee noted that t</w:t>
      </w:r>
      <w:r w:rsidR="00C25E19">
        <w:rPr>
          <w:lang w:eastAsia="ja-JP"/>
        </w:rPr>
        <w:t>he method use</w:t>
      </w:r>
      <w:r w:rsidR="00EA64EA">
        <w:rPr>
          <w:lang w:eastAsia="ja-JP"/>
        </w:rPr>
        <w:t>d</w:t>
      </w:r>
      <w:r w:rsidR="00C25E19">
        <w:rPr>
          <w:lang w:eastAsia="ja-JP"/>
        </w:rPr>
        <w:t xml:space="preserve"> the same approach as the National Inventory Report</w:t>
      </w:r>
      <w:r w:rsidR="00F84CEF">
        <w:rPr>
          <w:lang w:eastAsia="ja-JP"/>
        </w:rPr>
        <w:t xml:space="preserve"> (NIR)</w:t>
      </w:r>
      <w:r w:rsidR="00C25E19">
        <w:rPr>
          <w:lang w:eastAsia="ja-JP"/>
        </w:rPr>
        <w:t xml:space="preserve"> </w:t>
      </w:r>
      <w:r w:rsidR="003E52B4">
        <w:rPr>
          <w:lang w:eastAsia="ja-JP"/>
        </w:rPr>
        <w:t>2016</w:t>
      </w:r>
      <w:r w:rsidR="00C25E19">
        <w:rPr>
          <w:lang w:eastAsia="ja-JP"/>
        </w:rPr>
        <w:t xml:space="preserve"> to determine emissions resulting from the management of animal effluent. </w:t>
      </w:r>
      <w:r w:rsidR="00830DDD">
        <w:rPr>
          <w:lang w:eastAsia="ja-JP"/>
        </w:rPr>
        <w:t>The Committee noted that i</w:t>
      </w:r>
      <w:r w:rsidR="00C25E19">
        <w:rPr>
          <w:lang w:eastAsia="ja-JP"/>
        </w:rPr>
        <w:t xml:space="preserve">nput values to determine abatement are either defaults from the NIR or the </w:t>
      </w:r>
      <w:r w:rsidR="007B0227" w:rsidRPr="007B0227">
        <w:rPr>
          <w:lang w:eastAsia="ja-JP"/>
        </w:rPr>
        <w:t>National Greenhouse and Energy Reporting Scheme</w:t>
      </w:r>
      <w:r w:rsidR="0030502A">
        <w:rPr>
          <w:rStyle w:val="FootnoteReference"/>
          <w:lang w:eastAsia="ja-JP"/>
        </w:rPr>
        <w:footnoteReference w:id="5"/>
      </w:r>
      <w:r w:rsidR="007B0227" w:rsidRPr="007B0227">
        <w:rPr>
          <w:lang w:eastAsia="ja-JP"/>
        </w:rPr>
        <w:t xml:space="preserve"> </w:t>
      </w:r>
      <w:r w:rsidR="00F84CEF">
        <w:rPr>
          <w:lang w:eastAsia="ja-JP"/>
        </w:rPr>
        <w:t>(NGER</w:t>
      </w:r>
      <w:r w:rsidR="00A80F7E">
        <w:rPr>
          <w:lang w:eastAsia="ja-JP"/>
        </w:rPr>
        <w:t>S</w:t>
      </w:r>
      <w:r w:rsidR="00F84CEF">
        <w:rPr>
          <w:lang w:eastAsia="ja-JP"/>
        </w:rPr>
        <w:t xml:space="preserve">) </w:t>
      </w:r>
      <w:r w:rsidR="009D445A">
        <w:rPr>
          <w:lang w:eastAsia="ja-JP"/>
        </w:rPr>
        <w:t>or</w:t>
      </w:r>
      <w:r w:rsidR="00C25E19">
        <w:rPr>
          <w:lang w:eastAsia="ja-JP"/>
        </w:rPr>
        <w:t xml:space="preserve"> measured. </w:t>
      </w:r>
      <w:r w:rsidR="009D445A">
        <w:rPr>
          <w:lang w:eastAsia="ja-JP"/>
        </w:rPr>
        <w:t>The Committee also noted the p</w:t>
      </w:r>
      <w:r w:rsidR="00C25E19">
        <w:rPr>
          <w:lang w:eastAsia="ja-JP"/>
        </w:rPr>
        <w:t xml:space="preserve">rovisions in the method </w:t>
      </w:r>
      <w:r w:rsidR="009D445A">
        <w:rPr>
          <w:lang w:eastAsia="ja-JP"/>
        </w:rPr>
        <w:t xml:space="preserve">that </w:t>
      </w:r>
      <w:r w:rsidR="00C25E19">
        <w:rPr>
          <w:lang w:eastAsia="ja-JP"/>
        </w:rPr>
        <w:t>require inputs in the most recent version of the NIR and NGER</w:t>
      </w:r>
      <w:r w:rsidR="00A80F7E">
        <w:rPr>
          <w:lang w:eastAsia="ja-JP"/>
        </w:rPr>
        <w:t>S</w:t>
      </w:r>
      <w:r w:rsidR="00C25E19">
        <w:rPr>
          <w:lang w:eastAsia="ja-JP"/>
        </w:rPr>
        <w:t xml:space="preserve"> be used when estimating the net abatement amount for each offsets report. This ensures that abatement resulting from </w:t>
      </w:r>
      <w:r w:rsidR="003C1D65">
        <w:rPr>
          <w:lang w:eastAsia="ja-JP"/>
        </w:rPr>
        <w:t xml:space="preserve">AEM </w:t>
      </w:r>
      <w:r w:rsidR="00355134">
        <w:rPr>
          <w:lang w:eastAsia="ja-JP"/>
        </w:rPr>
        <w:t xml:space="preserve">method 2019 </w:t>
      </w:r>
      <w:r w:rsidR="00C25E19">
        <w:rPr>
          <w:lang w:eastAsia="ja-JP"/>
        </w:rPr>
        <w:t>projects is evident in Australia’s accounts and contributes to our international targets.</w:t>
      </w:r>
    </w:p>
    <w:p w14:paraId="4588CCA4" w14:textId="72E995B1" w:rsidR="00125215" w:rsidRPr="00172E62" w:rsidRDefault="00A11330" w:rsidP="00616DB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lang w:eastAsia="ja-JP"/>
        </w:rPr>
      </w:pPr>
      <w:r w:rsidRPr="00172E62">
        <w:rPr>
          <w:b/>
          <w:bCs/>
          <w:i/>
          <w:iCs/>
          <w:lang w:eastAsia="ja-JP"/>
        </w:rPr>
        <w:t>The Committee welcomes views</w:t>
      </w:r>
      <w:r w:rsidR="00AD48AA" w:rsidRPr="00172E62">
        <w:rPr>
          <w:b/>
          <w:bCs/>
          <w:i/>
          <w:iCs/>
          <w:lang w:eastAsia="ja-JP"/>
        </w:rPr>
        <w:t>, including evidence, on</w:t>
      </w:r>
      <w:r w:rsidR="004E0247" w:rsidRPr="00172E62">
        <w:rPr>
          <w:lang w:eastAsia="ja-JP"/>
        </w:rPr>
        <w:t>:</w:t>
      </w:r>
      <w:r w:rsidR="00AD48AA" w:rsidRPr="00172E62">
        <w:rPr>
          <w:lang w:eastAsia="ja-JP"/>
        </w:rPr>
        <w:t xml:space="preserve"> whether changes to the </w:t>
      </w:r>
      <w:r w:rsidR="00C326E9">
        <w:rPr>
          <w:lang w:eastAsia="ja-JP"/>
        </w:rPr>
        <w:t xml:space="preserve">AEM </w:t>
      </w:r>
      <w:r w:rsidR="00AD48AA" w:rsidRPr="0093668E">
        <w:rPr>
          <w:lang w:eastAsia="ja-JP"/>
        </w:rPr>
        <w:t xml:space="preserve">method </w:t>
      </w:r>
      <w:r w:rsidR="00C326E9">
        <w:rPr>
          <w:lang w:eastAsia="ja-JP"/>
        </w:rPr>
        <w:t xml:space="preserve">2019 </w:t>
      </w:r>
      <w:r w:rsidR="00AD48AA" w:rsidRPr="00172E62">
        <w:rPr>
          <w:lang w:eastAsia="ja-JP"/>
        </w:rPr>
        <w:t>should be made with respect to eligible carbon abatement that can be counted in Australia’s National Greenhouse Accounts</w:t>
      </w:r>
      <w:r w:rsidR="00AD0BE4" w:rsidRPr="00172E62">
        <w:rPr>
          <w:lang w:eastAsia="ja-JP"/>
        </w:rPr>
        <w:t xml:space="preserve"> (Question 3)</w:t>
      </w:r>
      <w:r w:rsidR="00B95C5D">
        <w:rPr>
          <w:lang w:eastAsia="ja-JP"/>
        </w:rPr>
        <w:t>.</w:t>
      </w:r>
    </w:p>
    <w:p w14:paraId="26933AC7" w14:textId="5352262D" w:rsidR="001B48D9" w:rsidRPr="005C4B28" w:rsidRDefault="001B48D9" w:rsidP="00616DB7">
      <w:pPr>
        <w:pStyle w:val="Heading4"/>
        <w:numPr>
          <w:ilvl w:val="0"/>
          <w:numId w:val="0"/>
        </w:numPr>
        <w:spacing w:before="120" w:after="120" w:line="276" w:lineRule="auto"/>
        <w:rPr>
          <w:b w:val="0"/>
          <w:i/>
          <w:sz w:val="22"/>
          <w:szCs w:val="22"/>
          <w:lang w:eastAsia="ja-JP"/>
        </w:rPr>
      </w:pPr>
      <w:r w:rsidRPr="005C4B28">
        <w:rPr>
          <w:b w:val="0"/>
          <w:i/>
          <w:sz w:val="22"/>
          <w:szCs w:val="22"/>
          <w:lang w:eastAsia="ja-JP"/>
        </w:rPr>
        <w:t>Evidence-based: A method should be supported by clear and convincing evidence</w:t>
      </w:r>
    </w:p>
    <w:p w14:paraId="78727B9B" w14:textId="22B51577" w:rsidR="000B5FA0" w:rsidRPr="005C4B28" w:rsidRDefault="00864956" w:rsidP="00616DB7">
      <w:pPr>
        <w:spacing w:before="120" w:after="120"/>
        <w:rPr>
          <w:lang w:eastAsia="ja-JP"/>
        </w:rPr>
      </w:pPr>
      <w:r>
        <w:rPr>
          <w:lang w:eastAsia="ja-JP"/>
        </w:rPr>
        <w:t xml:space="preserve">When </w:t>
      </w:r>
      <w:r w:rsidRPr="0093668E">
        <w:rPr>
          <w:lang w:eastAsia="ja-JP"/>
        </w:rPr>
        <w:t>the</w:t>
      </w:r>
      <w:r w:rsidR="00D95D2B" w:rsidRPr="0093668E">
        <w:rPr>
          <w:lang w:eastAsia="ja-JP"/>
        </w:rPr>
        <w:t xml:space="preserve"> </w:t>
      </w:r>
      <w:r w:rsidR="00000FB9" w:rsidRPr="0093668E">
        <w:rPr>
          <w:lang w:eastAsia="ja-JP"/>
        </w:rPr>
        <w:t xml:space="preserve">AEM </w:t>
      </w:r>
      <w:r w:rsidR="00D95D2B" w:rsidRPr="0093668E">
        <w:rPr>
          <w:lang w:eastAsia="ja-JP"/>
        </w:rPr>
        <w:t>method</w:t>
      </w:r>
      <w:r w:rsidR="00D95D2B" w:rsidRPr="005C4B28">
        <w:rPr>
          <w:lang w:eastAsia="ja-JP"/>
        </w:rPr>
        <w:t xml:space="preserve"> </w:t>
      </w:r>
      <w:r w:rsidR="00000FB9">
        <w:rPr>
          <w:lang w:eastAsia="ja-JP"/>
        </w:rPr>
        <w:t xml:space="preserve">2019 </w:t>
      </w:r>
      <w:r w:rsidR="00D95D2B" w:rsidRPr="005C4B28">
        <w:rPr>
          <w:lang w:eastAsia="ja-JP"/>
        </w:rPr>
        <w:t xml:space="preserve">was made, the Committee </w:t>
      </w:r>
      <w:r w:rsidR="000B5FA0">
        <w:rPr>
          <w:lang w:eastAsia="ja-JP"/>
        </w:rPr>
        <w:t>noted that e</w:t>
      </w:r>
      <w:r w:rsidR="000B5FA0" w:rsidRPr="000B5FA0">
        <w:rPr>
          <w:lang w:eastAsia="ja-JP"/>
        </w:rPr>
        <w:t xml:space="preserve">quations used to estimate abatement are consistent with those used in the </w:t>
      </w:r>
      <w:r w:rsidR="003E52B4">
        <w:rPr>
          <w:lang w:eastAsia="ja-JP"/>
        </w:rPr>
        <w:t>NIR</w:t>
      </w:r>
      <w:r w:rsidR="000B5FA0" w:rsidRPr="000B5FA0">
        <w:rPr>
          <w:lang w:eastAsia="ja-JP"/>
        </w:rPr>
        <w:t xml:space="preserve">. Measurement approaches to determine input parameters are consistent with accepted industry requirements and standards. The </w:t>
      </w:r>
      <w:r w:rsidR="006D3154">
        <w:rPr>
          <w:lang w:eastAsia="ja-JP"/>
        </w:rPr>
        <w:t xml:space="preserve">Committee noted that the </w:t>
      </w:r>
      <w:r w:rsidR="009A2E8D">
        <w:rPr>
          <w:lang w:eastAsia="ja-JP"/>
        </w:rPr>
        <w:t xml:space="preserve">AEM </w:t>
      </w:r>
      <w:r w:rsidR="000B5FA0" w:rsidRPr="0093668E">
        <w:rPr>
          <w:lang w:eastAsia="ja-JP"/>
        </w:rPr>
        <w:t xml:space="preserve">method </w:t>
      </w:r>
      <w:r w:rsidR="009A2E8D" w:rsidRPr="00AF3F82">
        <w:rPr>
          <w:lang w:eastAsia="ja-JP"/>
        </w:rPr>
        <w:t xml:space="preserve">2019 </w:t>
      </w:r>
      <w:r w:rsidR="000B5FA0" w:rsidRPr="0093668E">
        <w:rPr>
          <w:lang w:eastAsia="ja-JP"/>
        </w:rPr>
        <w:t>S</w:t>
      </w:r>
      <w:r w:rsidR="000B5FA0" w:rsidRPr="000B5FA0">
        <w:rPr>
          <w:lang w:eastAsia="ja-JP"/>
        </w:rPr>
        <w:t>upplement allows these factors to be updated in the future to align with updates to the national accounting framework and industry standards for measurement.</w:t>
      </w:r>
    </w:p>
    <w:p w14:paraId="25914D8D" w14:textId="3A7E53B3" w:rsidR="00D8518D" w:rsidRPr="005C4B28" w:rsidRDefault="00A11330" w:rsidP="00616DB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lang w:eastAsia="ja-JP"/>
        </w:rPr>
      </w:pPr>
      <w:r w:rsidRPr="005C4B28">
        <w:rPr>
          <w:b/>
          <w:bCs/>
          <w:i/>
          <w:iCs/>
          <w:lang w:eastAsia="ja-JP"/>
        </w:rPr>
        <w:lastRenderedPageBreak/>
        <w:t xml:space="preserve">The Committee welcomes views </w:t>
      </w:r>
      <w:r w:rsidR="00D8518D" w:rsidRPr="005C4B28">
        <w:rPr>
          <w:b/>
          <w:bCs/>
          <w:i/>
          <w:iCs/>
          <w:lang w:eastAsia="ja-JP"/>
        </w:rPr>
        <w:t>on</w:t>
      </w:r>
      <w:r w:rsidR="004E0247" w:rsidRPr="005C4B28">
        <w:rPr>
          <w:b/>
          <w:bCs/>
          <w:i/>
          <w:iCs/>
          <w:lang w:eastAsia="ja-JP"/>
        </w:rPr>
        <w:t>:</w:t>
      </w:r>
      <w:r w:rsidR="00D8518D" w:rsidRPr="005C4B28">
        <w:rPr>
          <w:lang w:eastAsia="ja-JP"/>
        </w:rPr>
        <w:t xml:space="preserve"> whether there is new or different evidence </w:t>
      </w:r>
      <w:r w:rsidR="00D6127A" w:rsidRPr="005C4B28">
        <w:rPr>
          <w:lang w:eastAsia="ja-JP"/>
        </w:rPr>
        <w:t>on the</w:t>
      </w:r>
      <w:r w:rsidR="00D8518D" w:rsidRPr="005C4B28">
        <w:rPr>
          <w:lang w:eastAsia="ja-JP"/>
        </w:rPr>
        <w:t xml:space="preserve"> </w:t>
      </w:r>
      <w:r w:rsidR="00A53F53" w:rsidRPr="005C4B28">
        <w:rPr>
          <w:lang w:eastAsia="ja-JP"/>
        </w:rPr>
        <w:t>emissions</w:t>
      </w:r>
      <w:r w:rsidR="008A6FE4" w:rsidRPr="005C4B28">
        <w:rPr>
          <w:lang w:eastAsia="ja-JP"/>
        </w:rPr>
        <w:t xml:space="preserve"> </w:t>
      </w:r>
      <w:r w:rsidR="00A53F53" w:rsidRPr="005C4B28">
        <w:rPr>
          <w:lang w:eastAsia="ja-JP"/>
        </w:rPr>
        <w:t xml:space="preserve">reduction </w:t>
      </w:r>
      <w:r w:rsidR="00A41991" w:rsidRPr="005C4B28">
        <w:rPr>
          <w:lang w:eastAsia="ja-JP"/>
        </w:rPr>
        <w:t>arising from</w:t>
      </w:r>
      <w:r w:rsidR="008A6FE4" w:rsidRPr="005C4B28">
        <w:rPr>
          <w:lang w:eastAsia="ja-JP"/>
        </w:rPr>
        <w:t xml:space="preserve"> </w:t>
      </w:r>
      <w:r w:rsidR="00D949E6">
        <w:rPr>
          <w:lang w:eastAsia="ja-JP"/>
        </w:rPr>
        <w:t>a</w:t>
      </w:r>
      <w:r w:rsidR="000940D2" w:rsidRPr="005C4B28">
        <w:rPr>
          <w:lang w:eastAsia="ja-JP"/>
        </w:rPr>
        <w:t xml:space="preserve">nimal </w:t>
      </w:r>
      <w:r w:rsidR="00D949E6">
        <w:rPr>
          <w:lang w:eastAsia="ja-JP"/>
        </w:rPr>
        <w:t>e</w:t>
      </w:r>
      <w:r w:rsidR="000940D2" w:rsidRPr="005C4B28">
        <w:rPr>
          <w:lang w:eastAsia="ja-JP"/>
        </w:rPr>
        <w:t xml:space="preserve">ffluent </w:t>
      </w:r>
      <w:r w:rsidR="00D949E6">
        <w:rPr>
          <w:lang w:eastAsia="ja-JP"/>
        </w:rPr>
        <w:t>m</w:t>
      </w:r>
      <w:r w:rsidR="000940D2" w:rsidRPr="005C4B28">
        <w:rPr>
          <w:lang w:eastAsia="ja-JP"/>
        </w:rPr>
        <w:t>anagement</w:t>
      </w:r>
      <w:r w:rsidR="00D8518D" w:rsidRPr="005C4B28">
        <w:rPr>
          <w:lang w:eastAsia="ja-JP"/>
        </w:rPr>
        <w:t xml:space="preserve"> that should be considered in this review</w:t>
      </w:r>
      <w:r w:rsidR="00AD0BE4" w:rsidRPr="005C4B28">
        <w:rPr>
          <w:lang w:eastAsia="ja-JP"/>
        </w:rPr>
        <w:t xml:space="preserve"> (Question 4)</w:t>
      </w:r>
      <w:r w:rsidR="00B95C5D">
        <w:rPr>
          <w:lang w:eastAsia="ja-JP"/>
        </w:rPr>
        <w:t>.</w:t>
      </w:r>
    </w:p>
    <w:p w14:paraId="4A439449" w14:textId="77777777" w:rsidR="00A00C32" w:rsidRPr="005C4B28" w:rsidRDefault="00A00C32" w:rsidP="00616DB7">
      <w:pPr>
        <w:pStyle w:val="Heading4"/>
        <w:numPr>
          <w:ilvl w:val="0"/>
          <w:numId w:val="0"/>
        </w:numPr>
        <w:spacing w:before="120" w:after="120" w:line="276" w:lineRule="auto"/>
        <w:rPr>
          <w:b w:val="0"/>
          <w:i/>
          <w:sz w:val="22"/>
          <w:szCs w:val="22"/>
          <w:lang w:eastAsia="ja-JP"/>
        </w:rPr>
      </w:pPr>
      <w:bookmarkStart w:id="13" w:name="_Toc100667245"/>
      <w:bookmarkStart w:id="14" w:name="_Toc114499378"/>
      <w:r w:rsidRPr="005C4B28">
        <w:rPr>
          <w:b w:val="0"/>
          <w:i/>
          <w:sz w:val="22"/>
          <w:szCs w:val="22"/>
          <w:lang w:eastAsia="ja-JP"/>
        </w:rPr>
        <w:t>Project emissions: Material greenhouse gas emissions emitted as a direct result of the project should be deducted</w:t>
      </w:r>
      <w:bookmarkEnd w:id="13"/>
      <w:bookmarkEnd w:id="14"/>
    </w:p>
    <w:p w14:paraId="2C5ACDCA" w14:textId="687387D2" w:rsidR="00DF2AFE" w:rsidRPr="000C52F3" w:rsidRDefault="003C1D65" w:rsidP="00616DB7">
      <w:pPr>
        <w:spacing w:before="120" w:after="120"/>
      </w:pPr>
      <w:r>
        <w:rPr>
          <w:lang w:eastAsia="ja-JP"/>
        </w:rPr>
        <w:t xml:space="preserve">When </w:t>
      </w:r>
      <w:r w:rsidR="00D60AA6" w:rsidRPr="000C52F3">
        <w:rPr>
          <w:lang w:eastAsia="ja-JP"/>
        </w:rPr>
        <w:t xml:space="preserve">the </w:t>
      </w:r>
      <w:r w:rsidR="00053F71">
        <w:rPr>
          <w:lang w:eastAsia="ja-JP"/>
        </w:rPr>
        <w:t>AEM method 2019</w:t>
      </w:r>
      <w:r w:rsidR="00D60AA6" w:rsidRPr="000C52F3">
        <w:rPr>
          <w:lang w:eastAsia="ja-JP"/>
        </w:rPr>
        <w:t xml:space="preserve"> was made, the Committee </w:t>
      </w:r>
      <w:r w:rsidR="00FF5BB1">
        <w:rPr>
          <w:lang w:eastAsia="ja-JP"/>
        </w:rPr>
        <w:t xml:space="preserve">noted that </w:t>
      </w:r>
      <w:r w:rsidR="005A7A2E">
        <w:rPr>
          <w:lang w:eastAsia="ja-JP"/>
        </w:rPr>
        <w:t xml:space="preserve">it </w:t>
      </w:r>
      <w:r w:rsidR="00FF5BB1" w:rsidRPr="00FF5BB1">
        <w:rPr>
          <w:lang w:eastAsia="ja-JP"/>
        </w:rPr>
        <w:t>deducts project related emissions from fuel and electricity use. In addition, emissions resulting from post-diversion treatment in emissions avoidance projects are also deducted from the gross abatement.  </w:t>
      </w:r>
      <w:r w:rsidR="006D3154">
        <w:rPr>
          <w:lang w:eastAsia="ja-JP"/>
        </w:rPr>
        <w:t>The Committee also noted that e</w:t>
      </w:r>
      <w:r w:rsidR="00FF5BB1" w:rsidRPr="00FF5BB1">
        <w:rPr>
          <w:lang w:eastAsia="ja-JP"/>
        </w:rPr>
        <w:t>missions from ineligible material added to the destruction devices are also deducted from gross abatement, to ensure these avoided emissions are not credited as being additional. (Ineligible material is material that would not have been diverted to the destruction device in the absence of the project.) </w:t>
      </w:r>
    </w:p>
    <w:p w14:paraId="3FC78E65" w14:textId="22C13DB5" w:rsidR="00125215" w:rsidRPr="000C52F3" w:rsidRDefault="00244AA0" w:rsidP="00616DB7">
      <w:pPr>
        <w:pBdr>
          <w:top w:val="single" w:sz="4" w:space="1" w:color="auto"/>
          <w:left w:val="single" w:sz="4" w:space="4" w:color="auto"/>
          <w:bottom w:val="single" w:sz="4" w:space="1" w:color="auto"/>
          <w:right w:val="single" w:sz="4" w:space="4" w:color="auto"/>
        </w:pBdr>
        <w:spacing w:before="120" w:after="120"/>
        <w:rPr>
          <w:lang w:eastAsia="ja-JP"/>
        </w:rPr>
      </w:pPr>
      <w:r w:rsidRPr="000C52F3">
        <w:rPr>
          <w:b/>
          <w:bCs/>
          <w:i/>
          <w:iCs/>
          <w:lang w:eastAsia="ja-JP"/>
        </w:rPr>
        <w:t>The Committee welcomes views</w:t>
      </w:r>
      <w:r w:rsidR="008A53D9" w:rsidRPr="000C52F3">
        <w:rPr>
          <w:b/>
          <w:bCs/>
          <w:i/>
          <w:iCs/>
          <w:lang w:eastAsia="ja-JP"/>
        </w:rPr>
        <w:t>, including any supporting examples, on</w:t>
      </w:r>
      <w:r w:rsidR="00731021" w:rsidRPr="000C52F3">
        <w:rPr>
          <w:b/>
          <w:bCs/>
          <w:i/>
          <w:iCs/>
          <w:lang w:eastAsia="ja-JP"/>
        </w:rPr>
        <w:t>:</w:t>
      </w:r>
      <w:r w:rsidR="008A53D9" w:rsidRPr="000C52F3">
        <w:rPr>
          <w:lang w:eastAsia="ja-JP"/>
        </w:rPr>
        <w:t xml:space="preserve"> whether the</w:t>
      </w:r>
      <w:r w:rsidR="009A2E8D">
        <w:rPr>
          <w:lang w:eastAsia="ja-JP"/>
        </w:rPr>
        <w:t xml:space="preserve"> AEM</w:t>
      </w:r>
      <w:r w:rsidR="008A53D9" w:rsidRPr="000C52F3">
        <w:rPr>
          <w:lang w:eastAsia="ja-JP"/>
        </w:rPr>
        <w:t xml:space="preserve"> </w:t>
      </w:r>
      <w:r w:rsidR="008A53D9" w:rsidRPr="00AF3F82">
        <w:rPr>
          <w:lang w:eastAsia="ja-JP"/>
        </w:rPr>
        <w:t>method</w:t>
      </w:r>
      <w:r w:rsidR="008A53D9" w:rsidRPr="000C52F3">
        <w:rPr>
          <w:lang w:eastAsia="ja-JP"/>
        </w:rPr>
        <w:t xml:space="preserve"> </w:t>
      </w:r>
      <w:r w:rsidR="009A2E8D">
        <w:rPr>
          <w:lang w:eastAsia="ja-JP"/>
        </w:rPr>
        <w:t xml:space="preserve">2019 </w:t>
      </w:r>
      <w:r w:rsidR="008A53D9" w:rsidRPr="000C52F3">
        <w:rPr>
          <w:lang w:eastAsia="ja-JP"/>
        </w:rPr>
        <w:t xml:space="preserve">sufficiently accounts for material greenhouse gas emissions directly resulting from carrying out the project </w:t>
      </w:r>
      <w:r w:rsidR="00AD0BE4" w:rsidRPr="000C52F3">
        <w:rPr>
          <w:lang w:eastAsia="ja-JP"/>
        </w:rPr>
        <w:t>(Question 5)</w:t>
      </w:r>
      <w:r w:rsidR="00B95C5D">
        <w:rPr>
          <w:lang w:eastAsia="ja-JP"/>
        </w:rPr>
        <w:t>.</w:t>
      </w:r>
    </w:p>
    <w:p w14:paraId="66AA7241" w14:textId="158B5127" w:rsidR="008A093E" w:rsidRPr="000C52F3" w:rsidRDefault="008A093E" w:rsidP="00616DB7">
      <w:pPr>
        <w:pStyle w:val="Heading4"/>
        <w:numPr>
          <w:ilvl w:val="0"/>
          <w:numId w:val="0"/>
        </w:numPr>
        <w:spacing w:before="120" w:after="120" w:line="276" w:lineRule="auto"/>
        <w:rPr>
          <w:b w:val="0"/>
          <w:i/>
          <w:sz w:val="22"/>
          <w:szCs w:val="22"/>
          <w:lang w:eastAsia="ja-JP"/>
        </w:rPr>
      </w:pPr>
      <w:r w:rsidRPr="000C52F3">
        <w:rPr>
          <w:b w:val="0"/>
          <w:i/>
          <w:sz w:val="22"/>
          <w:szCs w:val="22"/>
          <w:lang w:eastAsia="ja-JP"/>
        </w:rPr>
        <w:t>Conservative: Where a method involves an estimate, projection or assumption, it should be conservative</w:t>
      </w:r>
    </w:p>
    <w:p w14:paraId="0C9D0F2E" w14:textId="637E2386" w:rsidR="00A477B9" w:rsidRPr="000C52F3" w:rsidRDefault="00EA04C2" w:rsidP="00FE73FD">
      <w:pPr>
        <w:spacing w:before="120" w:after="120"/>
        <w:rPr>
          <w:lang w:eastAsia="ja-JP"/>
        </w:rPr>
      </w:pPr>
      <w:r>
        <w:rPr>
          <w:lang w:eastAsia="ja-JP"/>
        </w:rPr>
        <w:t>When</w:t>
      </w:r>
      <w:r w:rsidR="00D60AA6" w:rsidRPr="000C52F3">
        <w:rPr>
          <w:lang w:eastAsia="ja-JP"/>
        </w:rPr>
        <w:t xml:space="preserve"> the </w:t>
      </w:r>
      <w:r w:rsidR="00053F71">
        <w:rPr>
          <w:lang w:eastAsia="ja-JP"/>
        </w:rPr>
        <w:t>AEM method 2019</w:t>
      </w:r>
      <w:r w:rsidR="00D60AA6" w:rsidRPr="000C52F3">
        <w:rPr>
          <w:lang w:eastAsia="ja-JP"/>
        </w:rPr>
        <w:t xml:space="preserve"> was made, the Committee </w:t>
      </w:r>
      <w:r w:rsidR="004817E7">
        <w:rPr>
          <w:lang w:eastAsia="ja-JP"/>
        </w:rPr>
        <w:t xml:space="preserve">noted that there are </w:t>
      </w:r>
      <w:r>
        <w:rPr>
          <w:lang w:eastAsia="ja-JP"/>
        </w:rPr>
        <w:t>several</w:t>
      </w:r>
      <w:r w:rsidR="004817E7">
        <w:rPr>
          <w:lang w:eastAsia="ja-JP"/>
        </w:rPr>
        <w:t xml:space="preserve"> mechanisms in the method to ensure that abatement estimates remain conservative. Where a range of values for input factors are known, the value that results in the most conservative estimate of abatement is used. Emissions from ineligible material are always assumed to be the maximum potentially possible, although they are normally less than this maximum potential amount. These are deducted from gross abatement, ensuring that net abatement remains conservative. Input values are determined in the </w:t>
      </w:r>
      <w:r w:rsidR="009A2E8D">
        <w:rPr>
          <w:lang w:eastAsia="ja-JP"/>
        </w:rPr>
        <w:t xml:space="preserve">AEM </w:t>
      </w:r>
      <w:r w:rsidR="004817E7" w:rsidRPr="00AF3F82">
        <w:rPr>
          <w:lang w:eastAsia="ja-JP"/>
        </w:rPr>
        <w:t>method</w:t>
      </w:r>
      <w:r w:rsidR="004817E7">
        <w:rPr>
          <w:lang w:eastAsia="ja-JP"/>
        </w:rPr>
        <w:t xml:space="preserve"> </w:t>
      </w:r>
      <w:r w:rsidR="009A2E8D">
        <w:rPr>
          <w:lang w:eastAsia="ja-JP"/>
        </w:rPr>
        <w:t xml:space="preserve">2019 </w:t>
      </w:r>
      <w:r w:rsidR="004817E7">
        <w:rPr>
          <w:lang w:eastAsia="ja-JP"/>
        </w:rPr>
        <w:t xml:space="preserve">Supplement, allowing updates should understanding change in the future. </w:t>
      </w:r>
    </w:p>
    <w:p w14:paraId="05A81C6F" w14:textId="46FF576E" w:rsidR="00125215" w:rsidRPr="000C52F3" w:rsidRDefault="00244AA0" w:rsidP="00FE73F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lang w:eastAsia="ja-JP"/>
        </w:rPr>
      </w:pPr>
      <w:r w:rsidRPr="000C52F3">
        <w:rPr>
          <w:b/>
          <w:bCs/>
          <w:i/>
          <w:iCs/>
          <w:lang w:eastAsia="ja-JP"/>
        </w:rPr>
        <w:t>The Committee welcomes views</w:t>
      </w:r>
      <w:r w:rsidR="00896848" w:rsidRPr="000C52F3">
        <w:rPr>
          <w:b/>
          <w:bCs/>
          <w:i/>
          <w:iCs/>
          <w:lang w:eastAsia="ja-JP"/>
        </w:rPr>
        <w:t>, including supporting examples, on</w:t>
      </w:r>
      <w:r w:rsidR="00731021" w:rsidRPr="000C52F3">
        <w:rPr>
          <w:b/>
          <w:bCs/>
          <w:i/>
          <w:iCs/>
          <w:lang w:eastAsia="ja-JP"/>
        </w:rPr>
        <w:t>:</w:t>
      </w:r>
      <w:r w:rsidR="00896848" w:rsidRPr="000C52F3">
        <w:rPr>
          <w:lang w:eastAsia="ja-JP"/>
        </w:rPr>
        <w:t xml:space="preserve"> whether the inputs and variables used </w:t>
      </w:r>
      <w:r w:rsidRPr="000C52F3">
        <w:rPr>
          <w:lang w:eastAsia="ja-JP"/>
        </w:rPr>
        <w:t xml:space="preserve">in the </w:t>
      </w:r>
      <w:r w:rsidR="00187F9C" w:rsidRPr="000C52F3">
        <w:rPr>
          <w:lang w:eastAsia="ja-JP"/>
        </w:rPr>
        <w:t>method</w:t>
      </w:r>
      <w:r w:rsidR="00157322" w:rsidRPr="000C52F3">
        <w:rPr>
          <w:lang w:eastAsia="ja-JP"/>
        </w:rPr>
        <w:t>’</w:t>
      </w:r>
      <w:r w:rsidR="00187F9C" w:rsidRPr="000C52F3">
        <w:rPr>
          <w:lang w:eastAsia="ja-JP"/>
        </w:rPr>
        <w:t>s</w:t>
      </w:r>
      <w:r w:rsidRPr="000C52F3">
        <w:rPr>
          <w:lang w:eastAsia="ja-JP"/>
        </w:rPr>
        <w:t xml:space="preserve"> abatement</w:t>
      </w:r>
      <w:r w:rsidR="00187F9C" w:rsidRPr="000C52F3">
        <w:rPr>
          <w:lang w:eastAsia="ja-JP"/>
        </w:rPr>
        <w:t xml:space="preserve"> equations</w:t>
      </w:r>
      <w:r w:rsidR="00896848" w:rsidRPr="000C52F3">
        <w:rPr>
          <w:lang w:eastAsia="ja-JP"/>
        </w:rPr>
        <w:t xml:space="preserve"> remain conservative</w:t>
      </w:r>
      <w:r w:rsidR="00135914" w:rsidRPr="000C52F3">
        <w:rPr>
          <w:lang w:eastAsia="ja-JP"/>
        </w:rPr>
        <w:t xml:space="preserve"> </w:t>
      </w:r>
      <w:r w:rsidR="00AD0BE4" w:rsidRPr="000C52F3">
        <w:rPr>
          <w:lang w:eastAsia="ja-JP"/>
        </w:rPr>
        <w:t>(Question 6)</w:t>
      </w:r>
      <w:r w:rsidR="00B95C5D">
        <w:rPr>
          <w:lang w:eastAsia="ja-JP"/>
        </w:rPr>
        <w:t>.</w:t>
      </w:r>
    </w:p>
    <w:p w14:paraId="6D95691F" w14:textId="4E095B4D" w:rsidR="005B2190" w:rsidRPr="00457B5A" w:rsidRDefault="00042DD9" w:rsidP="000A00A7">
      <w:pPr>
        <w:pStyle w:val="Heading3"/>
        <w:spacing w:before="120" w:after="120" w:line="276" w:lineRule="auto"/>
        <w:rPr>
          <w:color w:val="017097" w:themeColor="accent1"/>
          <w:lang w:eastAsia="ja-JP"/>
        </w:rPr>
      </w:pPr>
      <w:bookmarkStart w:id="15" w:name="_Toc192068736"/>
      <w:r w:rsidRPr="00042DD9">
        <w:rPr>
          <w:color w:val="017097" w:themeColor="accent1"/>
          <w:lang w:eastAsia="ja-JP"/>
        </w:rPr>
        <w:t>Opportunit</w:t>
      </w:r>
      <w:r w:rsidR="00893833">
        <w:rPr>
          <w:color w:val="017097" w:themeColor="accent1"/>
          <w:lang w:eastAsia="ja-JP"/>
        </w:rPr>
        <w:t>y</w:t>
      </w:r>
      <w:r w:rsidRPr="00042DD9">
        <w:rPr>
          <w:color w:val="017097" w:themeColor="accent1"/>
          <w:lang w:eastAsia="ja-JP"/>
        </w:rPr>
        <w:t xml:space="preserve"> to integrate Wastewater method 2015</w:t>
      </w:r>
      <w:bookmarkEnd w:id="15"/>
    </w:p>
    <w:p w14:paraId="2A306819" w14:textId="79A945CB" w:rsidR="000C6E85" w:rsidRPr="0071402B" w:rsidRDefault="00E72415" w:rsidP="000A00A7">
      <w:pPr>
        <w:spacing w:after="120"/>
        <w:rPr>
          <w:lang w:eastAsia="ja-JP"/>
        </w:rPr>
      </w:pPr>
      <w:r w:rsidRPr="0071402B">
        <w:t xml:space="preserve">The </w:t>
      </w:r>
      <w:r w:rsidR="00785227">
        <w:t>Wastewater method 2015</w:t>
      </w:r>
      <w:r w:rsidRPr="0071402B">
        <w:t xml:space="preserve"> </w:t>
      </w:r>
      <w:r w:rsidR="000C6E85" w:rsidRPr="0071402B">
        <w:rPr>
          <w:lang w:eastAsia="ja-JP"/>
        </w:rPr>
        <w:t>is due to expire</w:t>
      </w:r>
      <w:r w:rsidR="000C6E85" w:rsidRPr="0071402B">
        <w:t xml:space="preserve"> </w:t>
      </w:r>
      <w:r w:rsidRPr="0071402B">
        <w:t>on 31 March 2025</w:t>
      </w:r>
      <w:r w:rsidR="000C6E85" w:rsidRPr="0071402B">
        <w:t xml:space="preserve"> </w:t>
      </w:r>
      <w:r w:rsidR="000C6E85" w:rsidRPr="0071402B">
        <w:rPr>
          <w:lang w:eastAsia="ja-JP"/>
        </w:rPr>
        <w:t xml:space="preserve">and sunset on 1 April 2025. While the expiry of </w:t>
      </w:r>
      <w:r w:rsidR="00784C28">
        <w:rPr>
          <w:lang w:eastAsia="ja-JP"/>
        </w:rPr>
        <w:t xml:space="preserve">a </w:t>
      </w:r>
      <w:r w:rsidR="000C6E85" w:rsidRPr="00784C28">
        <w:rPr>
          <w:lang w:eastAsia="ja-JP"/>
        </w:rPr>
        <w:t>method</w:t>
      </w:r>
      <w:r w:rsidR="000C6E85" w:rsidRPr="0071402B">
        <w:rPr>
          <w:lang w:eastAsia="ja-JP"/>
        </w:rPr>
        <w:t xml:space="preserve"> has no impact on existing projects that have commenced their crediting periods, no new projects can register </w:t>
      </w:r>
      <w:r w:rsidR="00152469">
        <w:rPr>
          <w:lang w:eastAsia="ja-JP"/>
        </w:rPr>
        <w:t xml:space="preserve">or commence crediting </w:t>
      </w:r>
      <w:r w:rsidR="000C6E85" w:rsidRPr="0071402B">
        <w:rPr>
          <w:lang w:eastAsia="ja-JP"/>
        </w:rPr>
        <w:t xml:space="preserve">after </w:t>
      </w:r>
      <w:r w:rsidR="00D36D98">
        <w:rPr>
          <w:lang w:eastAsia="ja-JP"/>
        </w:rPr>
        <w:t xml:space="preserve">a </w:t>
      </w:r>
      <w:r w:rsidR="00BE3B97" w:rsidRPr="0071402B">
        <w:rPr>
          <w:lang w:eastAsia="ja-JP"/>
        </w:rPr>
        <w:t xml:space="preserve">method </w:t>
      </w:r>
      <w:r w:rsidR="000C6E85" w:rsidRPr="0071402B">
        <w:rPr>
          <w:lang w:eastAsia="ja-JP"/>
        </w:rPr>
        <w:t xml:space="preserve">expires. </w:t>
      </w:r>
    </w:p>
    <w:p w14:paraId="33572EC3" w14:textId="31C46B82" w:rsidR="00E72415" w:rsidRPr="00D31D80" w:rsidRDefault="00E72415" w:rsidP="000A00A7">
      <w:pPr>
        <w:spacing w:after="120"/>
      </w:pPr>
      <w:r w:rsidRPr="00D31D80">
        <w:t xml:space="preserve">Proponents have indicated ongoing interest in </w:t>
      </w:r>
      <w:r w:rsidR="004C2ED1">
        <w:t xml:space="preserve">registering projects under </w:t>
      </w:r>
      <w:r w:rsidR="00457B5A">
        <w:t xml:space="preserve">the </w:t>
      </w:r>
      <w:r w:rsidR="00785227">
        <w:t>Wastewater method 2015</w:t>
      </w:r>
      <w:r w:rsidRPr="00D31D80">
        <w:t xml:space="preserve"> and the ability to access the CPE approved in May 2024.</w:t>
      </w:r>
      <w:r>
        <w:t xml:space="preserve"> </w:t>
      </w:r>
      <w:r w:rsidR="00FA726F">
        <w:t xml:space="preserve">At its November 2024 meeting, the Committee </w:t>
      </w:r>
      <w:r w:rsidR="00FA726F" w:rsidRPr="00D31D80">
        <w:t xml:space="preserve">agreed </w:t>
      </w:r>
      <w:r w:rsidRPr="00D31D80">
        <w:t xml:space="preserve">to </w:t>
      </w:r>
      <w:r w:rsidR="00FA726F">
        <w:t>examine</w:t>
      </w:r>
      <w:r w:rsidR="003041C9">
        <w:t xml:space="preserve"> the merit of</w:t>
      </w:r>
      <w:r w:rsidR="00FA726F">
        <w:t xml:space="preserve"> </w:t>
      </w:r>
      <w:r w:rsidR="003041C9" w:rsidRPr="00D31D80">
        <w:t>incorporat</w:t>
      </w:r>
      <w:r w:rsidR="003041C9">
        <w:t xml:space="preserve">ing </w:t>
      </w:r>
      <w:r w:rsidRPr="00D31D80">
        <w:t xml:space="preserve">elements of the </w:t>
      </w:r>
      <w:r w:rsidR="00785227">
        <w:t>Wastewater method 2015</w:t>
      </w:r>
      <w:r w:rsidRPr="00D31D80">
        <w:t xml:space="preserve"> into the </w:t>
      </w:r>
      <w:r w:rsidR="00053F71">
        <w:t>AEM method 2019</w:t>
      </w:r>
      <w:r w:rsidRPr="00D31D80">
        <w:t>, which expires on 31 March 2030</w:t>
      </w:r>
      <w:r w:rsidR="00465149">
        <w:t>. The potential merger of the two methods could</w:t>
      </w:r>
      <w:r w:rsidR="003467F7">
        <w:t xml:space="preserve"> provide opportunity for </w:t>
      </w:r>
      <w:r w:rsidR="00BC37A4">
        <w:t>ongoing registration of wastewater-type projects</w:t>
      </w:r>
      <w:r w:rsidR="001D511D">
        <w:t xml:space="preserve"> in a </w:t>
      </w:r>
      <w:r w:rsidR="00465149">
        <w:t>‘</w:t>
      </w:r>
      <w:r w:rsidR="001D511D">
        <w:t>framework</w:t>
      </w:r>
      <w:r w:rsidR="00465149">
        <w:t>’</w:t>
      </w:r>
      <w:r w:rsidR="001D511D">
        <w:t xml:space="preserve"> liquid waste method</w:t>
      </w:r>
      <w:r w:rsidR="00FA726F" w:rsidRPr="00D31D80">
        <w:t>.</w:t>
      </w:r>
      <w:r w:rsidR="00465149">
        <w:t xml:space="preserve"> </w:t>
      </w:r>
    </w:p>
    <w:p w14:paraId="6A66FD50" w14:textId="30257171" w:rsidR="00EA1292" w:rsidRDefault="00E72415" w:rsidP="000A00A7">
      <w:pPr>
        <w:spacing w:after="120"/>
      </w:pPr>
      <w:r w:rsidRPr="00D31D80">
        <w:lastRenderedPageBreak/>
        <w:t xml:space="preserve">The </w:t>
      </w:r>
      <w:r w:rsidRPr="009C0929">
        <w:t>two</w:t>
      </w:r>
      <w:r w:rsidRPr="00D31D80">
        <w:t xml:space="preserve"> methods have </w:t>
      </w:r>
      <w:r w:rsidR="003601AB">
        <w:t xml:space="preserve">very similar </w:t>
      </w:r>
      <w:r w:rsidRPr="00D31D80">
        <w:t>abatement mechanism</w:t>
      </w:r>
      <w:r w:rsidR="003601AB">
        <w:t>s</w:t>
      </w:r>
      <w:r w:rsidRPr="00D31D80">
        <w:t xml:space="preserve"> - avoiding methane emissions by capturing methane from previously uncovered lagoons</w:t>
      </w:r>
      <w:r w:rsidR="003601AB">
        <w:t xml:space="preserve"> or </w:t>
      </w:r>
      <w:r w:rsidRPr="00D31D80">
        <w:t xml:space="preserve">ponds. </w:t>
      </w:r>
      <w:r w:rsidR="00B9112D">
        <w:t>E</w:t>
      </w:r>
      <w:r w:rsidR="00B9112D" w:rsidRPr="00D31D80">
        <w:t>ligible waste sources</w:t>
      </w:r>
      <w:r w:rsidR="00B9112D">
        <w:t xml:space="preserve"> </w:t>
      </w:r>
      <w:r w:rsidR="00875102">
        <w:t xml:space="preserve">are a </w:t>
      </w:r>
      <w:r w:rsidR="00D975DB">
        <w:t xml:space="preserve">major </w:t>
      </w:r>
      <w:r w:rsidRPr="00D31D80">
        <w:t xml:space="preserve">difference </w:t>
      </w:r>
      <w:r w:rsidR="00457B5A">
        <w:t xml:space="preserve">between the </w:t>
      </w:r>
      <w:r w:rsidR="00875102" w:rsidRPr="001C7623">
        <w:t xml:space="preserve">two </w:t>
      </w:r>
      <w:r w:rsidR="00457B5A" w:rsidRPr="001C7623">
        <w:t>m</w:t>
      </w:r>
      <w:r w:rsidR="00457B5A">
        <w:t>ethods</w:t>
      </w:r>
      <w:r w:rsidRPr="00D31D80">
        <w:t>.</w:t>
      </w:r>
      <w:r w:rsidR="003601AB">
        <w:t xml:space="preserve"> </w:t>
      </w:r>
      <w:r w:rsidRPr="00D31D80">
        <w:t>Project eligibility could be merged or expanded</w:t>
      </w:r>
      <w:r w:rsidR="007E0A05">
        <w:t xml:space="preserve">. </w:t>
      </w:r>
    </w:p>
    <w:p w14:paraId="32A9B8F2" w14:textId="097C9B42" w:rsidR="00E72415" w:rsidRDefault="003E06D6" w:rsidP="000A00A7">
      <w:pPr>
        <w:spacing w:after="120"/>
      </w:pPr>
      <w:r>
        <w:t>C</w:t>
      </w:r>
      <w:r w:rsidR="00B9112D">
        <w:t>alculation</w:t>
      </w:r>
      <w:r>
        <w:t xml:space="preserve"> of avoided emissions and process </w:t>
      </w:r>
      <w:r w:rsidR="00FD4898">
        <w:t xml:space="preserve">emissions also differ in the </w:t>
      </w:r>
      <w:r w:rsidR="00FD4898" w:rsidRPr="001C7623">
        <w:t>two</w:t>
      </w:r>
      <w:r w:rsidR="00FD4898">
        <w:t xml:space="preserve"> </w:t>
      </w:r>
      <w:r>
        <w:t>methods</w:t>
      </w:r>
      <w:r w:rsidR="00FD4898">
        <w:t xml:space="preserve">. </w:t>
      </w:r>
      <w:r w:rsidR="00E22FD3">
        <w:t xml:space="preserve">Proponents have </w:t>
      </w:r>
      <w:r w:rsidR="00F2730C">
        <w:t xml:space="preserve">also </w:t>
      </w:r>
      <w:r w:rsidR="005C4375">
        <w:t xml:space="preserve">raised </w:t>
      </w:r>
      <w:r w:rsidR="00E22FD3">
        <w:t xml:space="preserve">difficulties measuring </w:t>
      </w:r>
      <w:r w:rsidR="00F2730C" w:rsidRPr="00D31D80">
        <w:t xml:space="preserve">maximum methane producing capacity </w:t>
      </w:r>
      <w:r w:rsidR="00E22FD3">
        <w:t xml:space="preserve">in the </w:t>
      </w:r>
      <w:r w:rsidR="00785227">
        <w:t>Wastewater method 2015</w:t>
      </w:r>
      <w:r w:rsidR="00F2730C">
        <w:t>.</w:t>
      </w:r>
    </w:p>
    <w:p w14:paraId="24F0C85F" w14:textId="77777777" w:rsidR="002A34D6" w:rsidRDefault="002A34D6" w:rsidP="000A00A7">
      <w:pPr>
        <w:spacing w:after="120"/>
      </w:pPr>
    </w:p>
    <w:p w14:paraId="714729C7" w14:textId="77777777" w:rsidR="002A34D6" w:rsidRDefault="002A34D6" w:rsidP="000A00A7">
      <w:pPr>
        <w:spacing w:after="120"/>
      </w:pPr>
    </w:p>
    <w:p w14:paraId="098F069D" w14:textId="28AE182A" w:rsidR="00A63646" w:rsidRPr="00CA32C1" w:rsidRDefault="00756F7C" w:rsidP="000A00A7">
      <w:pPr>
        <w:pStyle w:val="BoxText"/>
        <w:pBdr>
          <w:left w:val="single" w:sz="4" w:space="2" w:color="auto"/>
        </w:pBdr>
        <w:rPr>
          <w:b/>
          <w:bCs/>
          <w:i/>
          <w:iCs/>
          <w:sz w:val="22"/>
          <w:lang w:eastAsia="ja-JP"/>
        </w:rPr>
      </w:pPr>
      <w:r w:rsidRPr="00CA32C1">
        <w:rPr>
          <w:b/>
          <w:bCs/>
          <w:i/>
          <w:iCs/>
          <w:sz w:val="22"/>
          <w:lang w:eastAsia="ja-JP"/>
        </w:rPr>
        <w:t>The Committee welcomes views on</w:t>
      </w:r>
      <w:r w:rsidR="00951B78">
        <w:rPr>
          <w:b/>
          <w:bCs/>
          <w:i/>
          <w:iCs/>
          <w:sz w:val="22"/>
          <w:lang w:eastAsia="ja-JP"/>
        </w:rPr>
        <w:t xml:space="preserve"> the following questions</w:t>
      </w:r>
      <w:r w:rsidRPr="00CA32C1">
        <w:rPr>
          <w:b/>
          <w:bCs/>
          <w:i/>
          <w:iCs/>
          <w:sz w:val="22"/>
          <w:lang w:eastAsia="ja-JP"/>
        </w:rPr>
        <w:t>:</w:t>
      </w:r>
    </w:p>
    <w:p w14:paraId="397E3127" w14:textId="1CDABAAD" w:rsidR="00F256FC" w:rsidRPr="00CA32C1" w:rsidRDefault="00F256FC" w:rsidP="000A00A7">
      <w:pPr>
        <w:pStyle w:val="BoxText"/>
        <w:pBdr>
          <w:left w:val="single" w:sz="4" w:space="2" w:color="auto"/>
        </w:pBdr>
        <w:rPr>
          <w:sz w:val="22"/>
          <w:lang w:eastAsia="ja-JP"/>
        </w:rPr>
      </w:pPr>
      <w:r w:rsidRPr="00CA32C1">
        <w:rPr>
          <w:sz w:val="22"/>
          <w:lang w:eastAsia="ja-JP"/>
        </w:rPr>
        <w:t>Do you support</w:t>
      </w:r>
      <w:r w:rsidR="00E06D10">
        <w:rPr>
          <w:sz w:val="22"/>
          <w:lang w:eastAsia="ja-JP"/>
        </w:rPr>
        <w:t xml:space="preserve"> the</w:t>
      </w:r>
      <w:r w:rsidRPr="00CA32C1">
        <w:rPr>
          <w:sz w:val="22"/>
          <w:lang w:eastAsia="ja-JP"/>
        </w:rPr>
        <w:t xml:space="preserve"> </w:t>
      </w:r>
      <w:r w:rsidR="00A03D7B" w:rsidRPr="00CA32C1">
        <w:rPr>
          <w:sz w:val="22"/>
          <w:lang w:eastAsia="ja-JP"/>
        </w:rPr>
        <w:t xml:space="preserve">incorporation of </w:t>
      </w:r>
      <w:r w:rsidR="00373A94">
        <w:rPr>
          <w:sz w:val="22"/>
          <w:lang w:eastAsia="ja-JP"/>
        </w:rPr>
        <w:t xml:space="preserve">activities from the </w:t>
      </w:r>
      <w:r w:rsidR="00785227">
        <w:rPr>
          <w:sz w:val="22"/>
          <w:lang w:eastAsia="ja-JP"/>
        </w:rPr>
        <w:t>Wastewater method 2015</w:t>
      </w:r>
      <w:r w:rsidR="00A03D7B" w:rsidRPr="00CA32C1">
        <w:rPr>
          <w:sz w:val="22"/>
          <w:lang w:eastAsia="ja-JP"/>
        </w:rPr>
        <w:t xml:space="preserve"> into the </w:t>
      </w:r>
      <w:r w:rsidR="00053F71">
        <w:rPr>
          <w:sz w:val="22"/>
          <w:lang w:eastAsia="ja-JP"/>
        </w:rPr>
        <w:t>AEM method 2019</w:t>
      </w:r>
      <w:r w:rsidR="00A03D7B" w:rsidRPr="00CA32C1">
        <w:rPr>
          <w:sz w:val="22"/>
          <w:lang w:eastAsia="ja-JP"/>
        </w:rPr>
        <w:t xml:space="preserve">, potentially </w:t>
      </w:r>
      <w:r w:rsidR="00CA32C1" w:rsidRPr="00CA32C1">
        <w:rPr>
          <w:sz w:val="22"/>
          <w:lang w:eastAsia="ja-JP"/>
        </w:rPr>
        <w:t>t</w:t>
      </w:r>
      <w:r w:rsidR="00A03D7B" w:rsidRPr="00CA32C1">
        <w:rPr>
          <w:sz w:val="22"/>
          <w:lang w:eastAsia="ja-JP"/>
        </w:rPr>
        <w:t xml:space="preserve">o create a </w:t>
      </w:r>
      <w:r w:rsidR="00710D80">
        <w:rPr>
          <w:sz w:val="22"/>
          <w:lang w:eastAsia="ja-JP"/>
        </w:rPr>
        <w:t>‘</w:t>
      </w:r>
      <w:r w:rsidRPr="00CA32C1">
        <w:rPr>
          <w:sz w:val="22"/>
          <w:lang w:eastAsia="ja-JP"/>
        </w:rPr>
        <w:t>framework</w:t>
      </w:r>
      <w:r w:rsidR="00710D80">
        <w:rPr>
          <w:sz w:val="22"/>
          <w:lang w:eastAsia="ja-JP"/>
        </w:rPr>
        <w:t>’</w:t>
      </w:r>
      <w:r w:rsidR="004E72AB">
        <w:rPr>
          <w:sz w:val="22"/>
          <w:lang w:eastAsia="ja-JP"/>
        </w:rPr>
        <w:t xml:space="preserve"> or expanded</w:t>
      </w:r>
      <w:r w:rsidRPr="00CA32C1">
        <w:rPr>
          <w:sz w:val="22"/>
          <w:lang w:eastAsia="ja-JP"/>
        </w:rPr>
        <w:t xml:space="preserve"> liquid waste method</w:t>
      </w:r>
      <w:r w:rsidR="00877BF4">
        <w:rPr>
          <w:sz w:val="22"/>
          <w:lang w:eastAsia="ja-JP"/>
        </w:rPr>
        <w:t>, or potentially a broader ‘organic waste’ method</w:t>
      </w:r>
      <w:r w:rsidRPr="00CA32C1">
        <w:rPr>
          <w:sz w:val="22"/>
          <w:lang w:eastAsia="ja-JP"/>
        </w:rPr>
        <w:t>?</w:t>
      </w:r>
      <w:r w:rsidR="00CA32C1" w:rsidRPr="00CA32C1">
        <w:rPr>
          <w:sz w:val="22"/>
          <w:lang w:eastAsia="ja-JP"/>
        </w:rPr>
        <w:t xml:space="preserve"> </w:t>
      </w:r>
      <w:r w:rsidR="00985CA9">
        <w:rPr>
          <w:sz w:val="22"/>
          <w:lang w:eastAsia="ja-JP"/>
        </w:rPr>
        <w:t xml:space="preserve">Please provide details. </w:t>
      </w:r>
      <w:r w:rsidR="00CA32C1" w:rsidRPr="00CA32C1">
        <w:rPr>
          <w:sz w:val="22"/>
          <w:lang w:eastAsia="ja-JP"/>
        </w:rPr>
        <w:t>(Question 7)</w:t>
      </w:r>
      <w:r w:rsidR="00E5172A">
        <w:rPr>
          <w:sz w:val="22"/>
          <w:lang w:eastAsia="ja-JP"/>
        </w:rPr>
        <w:t>.</w:t>
      </w:r>
    </w:p>
    <w:p w14:paraId="39306DED" w14:textId="0E382D3B" w:rsidR="00F256FC" w:rsidRPr="00CA32C1" w:rsidRDefault="005E6ACC" w:rsidP="000A00A7">
      <w:pPr>
        <w:pStyle w:val="BoxText"/>
        <w:pBdr>
          <w:left w:val="single" w:sz="4" w:space="2" w:color="auto"/>
        </w:pBdr>
        <w:rPr>
          <w:sz w:val="22"/>
          <w:lang w:eastAsia="ja-JP"/>
        </w:rPr>
      </w:pPr>
      <w:r>
        <w:rPr>
          <w:sz w:val="22"/>
          <w:lang w:eastAsia="ja-JP"/>
        </w:rPr>
        <w:t xml:space="preserve">What </w:t>
      </w:r>
      <w:r w:rsidR="00373A94">
        <w:rPr>
          <w:sz w:val="22"/>
          <w:lang w:eastAsia="ja-JP"/>
        </w:rPr>
        <w:t>would be the</w:t>
      </w:r>
      <w:r w:rsidR="0019518E">
        <w:rPr>
          <w:sz w:val="22"/>
          <w:lang w:eastAsia="ja-JP"/>
        </w:rPr>
        <w:t xml:space="preserve"> most app</w:t>
      </w:r>
      <w:r w:rsidR="002609CC">
        <w:rPr>
          <w:sz w:val="22"/>
          <w:lang w:eastAsia="ja-JP"/>
        </w:rPr>
        <w:t>ropriate</w:t>
      </w:r>
      <w:r w:rsidR="00F256FC" w:rsidRPr="00CA32C1">
        <w:rPr>
          <w:sz w:val="22"/>
          <w:lang w:eastAsia="ja-JP"/>
        </w:rPr>
        <w:t xml:space="preserve"> structure</w:t>
      </w:r>
      <w:r w:rsidR="007B66BF">
        <w:rPr>
          <w:sz w:val="22"/>
          <w:lang w:eastAsia="ja-JP"/>
        </w:rPr>
        <w:t xml:space="preserve">, </w:t>
      </w:r>
      <w:r w:rsidR="001F0305">
        <w:rPr>
          <w:sz w:val="22"/>
          <w:lang w:eastAsia="ja-JP"/>
        </w:rPr>
        <w:t xml:space="preserve">terminology </w:t>
      </w:r>
      <w:r w:rsidR="00F72546">
        <w:rPr>
          <w:sz w:val="22"/>
          <w:lang w:eastAsia="ja-JP"/>
        </w:rPr>
        <w:t xml:space="preserve">and </w:t>
      </w:r>
      <w:r w:rsidR="00351159">
        <w:rPr>
          <w:sz w:val="22"/>
          <w:lang w:eastAsia="ja-JP"/>
        </w:rPr>
        <w:t xml:space="preserve">set of </w:t>
      </w:r>
      <w:r w:rsidR="00F72546">
        <w:rPr>
          <w:sz w:val="22"/>
          <w:lang w:eastAsia="ja-JP"/>
        </w:rPr>
        <w:t xml:space="preserve">eligible </w:t>
      </w:r>
      <w:r w:rsidR="00D811FD">
        <w:rPr>
          <w:sz w:val="22"/>
          <w:lang w:eastAsia="ja-JP"/>
        </w:rPr>
        <w:t xml:space="preserve">activities </w:t>
      </w:r>
      <w:r w:rsidR="00F72546">
        <w:rPr>
          <w:sz w:val="22"/>
          <w:lang w:eastAsia="ja-JP"/>
        </w:rPr>
        <w:t xml:space="preserve">in </w:t>
      </w:r>
      <w:r w:rsidR="001F0305">
        <w:rPr>
          <w:sz w:val="22"/>
          <w:lang w:eastAsia="ja-JP"/>
        </w:rPr>
        <w:t xml:space="preserve">a </w:t>
      </w:r>
      <w:r w:rsidR="00A03D7B" w:rsidRPr="00CA32C1">
        <w:rPr>
          <w:sz w:val="22"/>
          <w:lang w:eastAsia="ja-JP"/>
        </w:rPr>
        <w:t xml:space="preserve">combined </w:t>
      </w:r>
      <w:r w:rsidR="00F256FC" w:rsidRPr="00CA32C1">
        <w:rPr>
          <w:sz w:val="22"/>
          <w:lang w:eastAsia="ja-JP"/>
        </w:rPr>
        <w:t>method</w:t>
      </w:r>
      <w:r w:rsidR="00985CA9">
        <w:rPr>
          <w:sz w:val="22"/>
          <w:lang w:eastAsia="ja-JP"/>
        </w:rPr>
        <w:t>?</w:t>
      </w:r>
      <w:r w:rsidR="00F256FC" w:rsidRPr="00CA32C1">
        <w:rPr>
          <w:sz w:val="22"/>
          <w:lang w:eastAsia="ja-JP"/>
        </w:rPr>
        <w:t xml:space="preserve"> </w:t>
      </w:r>
      <w:r w:rsidR="00CA32C1" w:rsidRPr="00CA32C1">
        <w:rPr>
          <w:sz w:val="22"/>
          <w:lang w:eastAsia="ja-JP"/>
        </w:rPr>
        <w:t>(Question 8)</w:t>
      </w:r>
      <w:r w:rsidR="00E5172A">
        <w:rPr>
          <w:sz w:val="22"/>
          <w:lang w:eastAsia="ja-JP"/>
        </w:rPr>
        <w:t>.</w:t>
      </w:r>
    </w:p>
    <w:p w14:paraId="11F5DEE3" w14:textId="1C2BF49F" w:rsidR="00F256FC" w:rsidRPr="00CA32C1" w:rsidRDefault="00841A5B" w:rsidP="000A00A7">
      <w:pPr>
        <w:pStyle w:val="BoxText"/>
        <w:pBdr>
          <w:left w:val="single" w:sz="4" w:space="2" w:color="auto"/>
        </w:pBdr>
        <w:rPr>
          <w:sz w:val="22"/>
          <w:lang w:eastAsia="ja-JP"/>
        </w:rPr>
      </w:pPr>
      <w:r>
        <w:rPr>
          <w:sz w:val="22"/>
          <w:lang w:eastAsia="ja-JP"/>
        </w:rPr>
        <w:t>Which</w:t>
      </w:r>
      <w:r w:rsidR="00F256FC" w:rsidRPr="00CA32C1">
        <w:rPr>
          <w:sz w:val="22"/>
          <w:lang w:eastAsia="ja-JP"/>
        </w:rPr>
        <w:t xml:space="preserve"> </w:t>
      </w:r>
      <w:r w:rsidR="00EA2AB3">
        <w:rPr>
          <w:sz w:val="22"/>
          <w:lang w:eastAsia="ja-JP"/>
        </w:rPr>
        <w:t xml:space="preserve">abatement estimation </w:t>
      </w:r>
      <w:r w:rsidR="00F256FC" w:rsidRPr="00CA32C1">
        <w:rPr>
          <w:sz w:val="22"/>
          <w:lang w:eastAsia="ja-JP"/>
        </w:rPr>
        <w:t>approach</w:t>
      </w:r>
      <w:r w:rsidR="008A0BD7">
        <w:rPr>
          <w:sz w:val="22"/>
          <w:lang w:eastAsia="ja-JP"/>
        </w:rPr>
        <w:t>es</w:t>
      </w:r>
      <w:r w:rsidR="00F256FC" w:rsidRPr="00CA32C1">
        <w:rPr>
          <w:sz w:val="22"/>
          <w:lang w:eastAsia="ja-JP"/>
        </w:rPr>
        <w:t xml:space="preserve"> and equations </w:t>
      </w:r>
      <w:r w:rsidR="00C67328">
        <w:rPr>
          <w:sz w:val="22"/>
          <w:lang w:eastAsia="ja-JP"/>
        </w:rPr>
        <w:t>in the two method</w:t>
      </w:r>
      <w:r w:rsidR="008A0BD7">
        <w:rPr>
          <w:sz w:val="22"/>
          <w:lang w:eastAsia="ja-JP"/>
        </w:rPr>
        <w:t>s</w:t>
      </w:r>
      <w:r w:rsidR="00C67328">
        <w:rPr>
          <w:sz w:val="22"/>
          <w:lang w:eastAsia="ja-JP"/>
        </w:rPr>
        <w:t xml:space="preserve"> </w:t>
      </w:r>
      <w:r w:rsidR="00F256FC" w:rsidRPr="00CA32C1">
        <w:rPr>
          <w:sz w:val="22"/>
          <w:lang w:eastAsia="ja-JP"/>
        </w:rPr>
        <w:t>are useful</w:t>
      </w:r>
      <w:r>
        <w:rPr>
          <w:sz w:val="22"/>
          <w:lang w:eastAsia="ja-JP"/>
        </w:rPr>
        <w:t xml:space="preserve"> and</w:t>
      </w:r>
      <w:r w:rsidRPr="00CA32C1">
        <w:rPr>
          <w:sz w:val="22"/>
          <w:lang w:eastAsia="ja-JP"/>
        </w:rPr>
        <w:t xml:space="preserve"> </w:t>
      </w:r>
      <w:r w:rsidR="00F256FC" w:rsidRPr="00CA32C1">
        <w:rPr>
          <w:sz w:val="22"/>
          <w:lang w:eastAsia="ja-JP"/>
        </w:rPr>
        <w:t>workable</w:t>
      </w:r>
      <w:r w:rsidR="00AD39BF">
        <w:rPr>
          <w:sz w:val="22"/>
          <w:lang w:eastAsia="ja-JP"/>
        </w:rPr>
        <w:t>,</w:t>
      </w:r>
      <w:r w:rsidR="00CA32C1" w:rsidRPr="00CA32C1">
        <w:rPr>
          <w:sz w:val="22"/>
          <w:lang w:eastAsia="ja-JP"/>
        </w:rPr>
        <w:t xml:space="preserve"> </w:t>
      </w:r>
      <w:r w:rsidR="00AD39BF">
        <w:rPr>
          <w:sz w:val="22"/>
          <w:lang w:eastAsia="ja-JP"/>
        </w:rPr>
        <w:t xml:space="preserve">and which </w:t>
      </w:r>
      <w:r w:rsidR="005C4375">
        <w:rPr>
          <w:sz w:val="22"/>
          <w:lang w:eastAsia="ja-JP"/>
        </w:rPr>
        <w:t>are not</w:t>
      </w:r>
      <w:r w:rsidR="00985CA9">
        <w:rPr>
          <w:sz w:val="22"/>
          <w:lang w:eastAsia="ja-JP"/>
        </w:rPr>
        <w:t>?</w:t>
      </w:r>
      <w:r w:rsidR="005C4375">
        <w:rPr>
          <w:sz w:val="22"/>
          <w:lang w:eastAsia="ja-JP"/>
        </w:rPr>
        <w:t xml:space="preserve"> </w:t>
      </w:r>
      <w:r w:rsidR="00CA32C1" w:rsidRPr="00CA32C1">
        <w:rPr>
          <w:sz w:val="22"/>
          <w:lang w:eastAsia="ja-JP"/>
        </w:rPr>
        <w:t>(Question 9)</w:t>
      </w:r>
      <w:r w:rsidR="00E5172A">
        <w:rPr>
          <w:sz w:val="22"/>
          <w:lang w:eastAsia="ja-JP"/>
        </w:rPr>
        <w:t>.</w:t>
      </w:r>
    </w:p>
    <w:p w14:paraId="1FF496BD" w14:textId="0EA53F63" w:rsidR="009B7957" w:rsidRPr="00CA32C1" w:rsidRDefault="002609CC" w:rsidP="000A00A7">
      <w:pPr>
        <w:pStyle w:val="BoxText"/>
        <w:pBdr>
          <w:left w:val="single" w:sz="4" w:space="2" w:color="auto"/>
        </w:pBdr>
        <w:rPr>
          <w:sz w:val="22"/>
          <w:lang w:eastAsia="ja-JP"/>
        </w:rPr>
      </w:pPr>
      <w:r>
        <w:rPr>
          <w:sz w:val="22"/>
          <w:lang w:eastAsia="ja-JP"/>
        </w:rPr>
        <w:t>What</w:t>
      </w:r>
      <w:r w:rsidR="003C499B">
        <w:rPr>
          <w:sz w:val="22"/>
          <w:lang w:eastAsia="ja-JP"/>
        </w:rPr>
        <w:t xml:space="preserve"> size project</w:t>
      </w:r>
      <w:r w:rsidR="00670488">
        <w:rPr>
          <w:sz w:val="22"/>
          <w:lang w:eastAsia="ja-JP"/>
        </w:rPr>
        <w:t xml:space="preserve"> if any</w:t>
      </w:r>
      <w:r w:rsidR="002E756F">
        <w:rPr>
          <w:sz w:val="22"/>
          <w:lang w:eastAsia="ja-JP"/>
        </w:rPr>
        <w:t>,</w:t>
      </w:r>
      <w:r w:rsidR="003C499B">
        <w:rPr>
          <w:sz w:val="22"/>
          <w:lang w:eastAsia="ja-JP"/>
        </w:rPr>
        <w:t xml:space="preserve"> </w:t>
      </w:r>
      <w:r w:rsidR="00672D6A">
        <w:rPr>
          <w:sz w:val="22"/>
          <w:lang w:eastAsia="ja-JP"/>
        </w:rPr>
        <w:t xml:space="preserve">in </w:t>
      </w:r>
      <w:r w:rsidR="00452B89">
        <w:rPr>
          <w:sz w:val="22"/>
          <w:lang w:eastAsia="ja-JP"/>
        </w:rPr>
        <w:t>m</w:t>
      </w:r>
      <w:r w:rsidR="001347C6">
        <w:rPr>
          <w:sz w:val="22"/>
          <w:lang w:eastAsia="ja-JP"/>
        </w:rPr>
        <w:t>egalitres (</w:t>
      </w:r>
      <w:r w:rsidR="00672D6A">
        <w:rPr>
          <w:sz w:val="22"/>
          <w:lang w:eastAsia="ja-JP"/>
        </w:rPr>
        <w:t>ML</w:t>
      </w:r>
      <w:r w:rsidR="001347C6">
        <w:rPr>
          <w:sz w:val="22"/>
          <w:lang w:eastAsia="ja-JP"/>
        </w:rPr>
        <w:t>)</w:t>
      </w:r>
      <w:r w:rsidR="00672D6A">
        <w:rPr>
          <w:sz w:val="22"/>
          <w:lang w:eastAsia="ja-JP"/>
        </w:rPr>
        <w:t xml:space="preserve">, </w:t>
      </w:r>
      <w:r w:rsidR="00452B89">
        <w:rPr>
          <w:sz w:val="22"/>
          <w:lang w:eastAsia="ja-JP"/>
        </w:rPr>
        <w:t>m</w:t>
      </w:r>
      <w:r w:rsidR="001347C6">
        <w:rPr>
          <w:sz w:val="22"/>
          <w:lang w:eastAsia="ja-JP"/>
        </w:rPr>
        <w:t>egalitres</w:t>
      </w:r>
      <w:r w:rsidR="00B419B0">
        <w:rPr>
          <w:sz w:val="22"/>
          <w:lang w:eastAsia="ja-JP"/>
        </w:rPr>
        <w:t xml:space="preserve"> per day (</w:t>
      </w:r>
      <w:r w:rsidR="00672D6A">
        <w:rPr>
          <w:sz w:val="22"/>
          <w:lang w:eastAsia="ja-JP"/>
        </w:rPr>
        <w:t>ML/d</w:t>
      </w:r>
      <w:r w:rsidR="00B419B0">
        <w:rPr>
          <w:sz w:val="22"/>
          <w:lang w:eastAsia="ja-JP"/>
        </w:rPr>
        <w:t>)</w:t>
      </w:r>
      <w:r w:rsidR="00672D6A">
        <w:rPr>
          <w:sz w:val="22"/>
          <w:lang w:eastAsia="ja-JP"/>
        </w:rPr>
        <w:t xml:space="preserve"> or some other metric</w:t>
      </w:r>
      <w:r w:rsidR="002E756F">
        <w:rPr>
          <w:sz w:val="22"/>
          <w:lang w:eastAsia="ja-JP"/>
        </w:rPr>
        <w:t xml:space="preserve">, </w:t>
      </w:r>
      <w:r w:rsidR="00E71650">
        <w:rPr>
          <w:sz w:val="22"/>
          <w:lang w:eastAsia="ja-JP"/>
        </w:rPr>
        <w:t xml:space="preserve">would </w:t>
      </w:r>
      <w:r w:rsidR="00F256FC" w:rsidRPr="00CA32C1">
        <w:rPr>
          <w:sz w:val="22"/>
          <w:lang w:eastAsia="ja-JP"/>
        </w:rPr>
        <w:t xml:space="preserve">no longer </w:t>
      </w:r>
      <w:r w:rsidR="00E71650">
        <w:rPr>
          <w:sz w:val="22"/>
          <w:lang w:eastAsia="ja-JP"/>
        </w:rPr>
        <w:t xml:space="preserve">be </w:t>
      </w:r>
      <w:r w:rsidR="00F256FC" w:rsidRPr="00CA32C1">
        <w:rPr>
          <w:sz w:val="22"/>
          <w:lang w:eastAsia="ja-JP"/>
        </w:rPr>
        <w:t xml:space="preserve">‘additional’ given </w:t>
      </w:r>
      <w:r w:rsidR="00291122">
        <w:rPr>
          <w:sz w:val="22"/>
          <w:lang w:eastAsia="ja-JP"/>
        </w:rPr>
        <w:t xml:space="preserve">the </w:t>
      </w:r>
      <w:r w:rsidR="00F256FC" w:rsidRPr="00CA32C1">
        <w:rPr>
          <w:sz w:val="22"/>
          <w:lang w:eastAsia="ja-JP"/>
        </w:rPr>
        <w:t>likely greater financial viability of large</w:t>
      </w:r>
      <w:r w:rsidR="00841A5B">
        <w:rPr>
          <w:sz w:val="22"/>
          <w:lang w:eastAsia="ja-JP"/>
        </w:rPr>
        <w:t>r</w:t>
      </w:r>
      <w:r w:rsidR="00F256FC" w:rsidRPr="00CA32C1">
        <w:rPr>
          <w:sz w:val="22"/>
          <w:lang w:eastAsia="ja-JP"/>
        </w:rPr>
        <w:t xml:space="preserve"> projects?</w:t>
      </w:r>
      <w:r w:rsidR="00CA32C1" w:rsidRPr="00CA32C1">
        <w:rPr>
          <w:sz w:val="22"/>
          <w:lang w:eastAsia="ja-JP"/>
        </w:rPr>
        <w:t xml:space="preserve"> </w:t>
      </w:r>
      <w:r w:rsidR="00523818">
        <w:rPr>
          <w:sz w:val="22"/>
          <w:lang w:eastAsia="ja-JP"/>
        </w:rPr>
        <w:t>If possible</w:t>
      </w:r>
      <w:r w:rsidR="008E5CA6">
        <w:rPr>
          <w:sz w:val="22"/>
          <w:lang w:eastAsia="ja-JP"/>
        </w:rPr>
        <w:t>,</w:t>
      </w:r>
      <w:r w:rsidR="00523818">
        <w:rPr>
          <w:sz w:val="22"/>
          <w:lang w:eastAsia="ja-JP"/>
        </w:rPr>
        <w:t xml:space="preserve"> please provide</w:t>
      </w:r>
      <w:r w:rsidR="00D6533E">
        <w:rPr>
          <w:sz w:val="22"/>
          <w:lang w:eastAsia="ja-JP"/>
        </w:rPr>
        <w:t xml:space="preserve"> financial </w:t>
      </w:r>
      <w:r w:rsidR="008E5CA6">
        <w:rPr>
          <w:sz w:val="22"/>
          <w:lang w:eastAsia="ja-JP"/>
        </w:rPr>
        <w:t>or</w:t>
      </w:r>
      <w:r w:rsidR="00D6533E">
        <w:rPr>
          <w:sz w:val="22"/>
          <w:lang w:eastAsia="ja-JP"/>
        </w:rPr>
        <w:t xml:space="preserve"> other </w:t>
      </w:r>
      <w:r w:rsidR="008E5CA6">
        <w:rPr>
          <w:sz w:val="22"/>
          <w:lang w:eastAsia="ja-JP"/>
        </w:rPr>
        <w:t>information that supports your position</w:t>
      </w:r>
      <w:r w:rsidR="003C499B">
        <w:rPr>
          <w:sz w:val="22"/>
          <w:lang w:eastAsia="ja-JP"/>
        </w:rPr>
        <w:t xml:space="preserve"> </w:t>
      </w:r>
      <w:r w:rsidR="00CA32C1" w:rsidRPr="00CA32C1">
        <w:rPr>
          <w:sz w:val="22"/>
          <w:lang w:eastAsia="ja-JP"/>
        </w:rPr>
        <w:t>(Question 10)</w:t>
      </w:r>
      <w:r w:rsidR="00E5172A">
        <w:rPr>
          <w:sz w:val="22"/>
          <w:lang w:eastAsia="ja-JP"/>
        </w:rPr>
        <w:t>.</w:t>
      </w:r>
    </w:p>
    <w:p w14:paraId="4BD83372" w14:textId="2195455A" w:rsidR="00F40480" w:rsidRPr="005F6904" w:rsidRDefault="00E31E35" w:rsidP="000A00A7">
      <w:pPr>
        <w:pStyle w:val="Heading3"/>
        <w:spacing w:before="120" w:after="120" w:line="276" w:lineRule="auto"/>
        <w:rPr>
          <w:color w:val="017097" w:themeColor="accent1"/>
          <w:lang w:eastAsia="ja-JP"/>
        </w:rPr>
      </w:pPr>
      <w:bookmarkStart w:id="16" w:name="_Toc192068737"/>
      <w:r>
        <w:rPr>
          <w:color w:val="017097" w:themeColor="accent1"/>
          <w:lang w:eastAsia="ja-JP"/>
        </w:rPr>
        <w:t xml:space="preserve">Transitioning and restarting </w:t>
      </w:r>
      <w:r w:rsidR="002A0C9F">
        <w:rPr>
          <w:color w:val="017097" w:themeColor="accent1"/>
          <w:lang w:eastAsia="ja-JP"/>
        </w:rPr>
        <w:t xml:space="preserve">provisions </w:t>
      </w:r>
      <w:r w:rsidR="002D29D0" w:rsidRPr="005F6904">
        <w:rPr>
          <w:color w:val="017097" w:themeColor="accent1"/>
          <w:lang w:eastAsia="ja-JP"/>
        </w:rPr>
        <w:t xml:space="preserve">for AEM </w:t>
      </w:r>
      <w:r w:rsidR="009247EF">
        <w:rPr>
          <w:color w:val="017097" w:themeColor="accent1"/>
          <w:lang w:eastAsia="ja-JP"/>
        </w:rPr>
        <w:t>and</w:t>
      </w:r>
      <w:r w:rsidR="002A0C9F">
        <w:rPr>
          <w:color w:val="017097" w:themeColor="accent1"/>
          <w:lang w:eastAsia="ja-JP"/>
        </w:rPr>
        <w:t xml:space="preserve"> </w:t>
      </w:r>
      <w:r w:rsidR="00785227">
        <w:rPr>
          <w:color w:val="017097" w:themeColor="accent1"/>
          <w:lang w:eastAsia="ja-JP"/>
        </w:rPr>
        <w:t xml:space="preserve">Wastewater </w:t>
      </w:r>
      <w:r w:rsidR="002D29D0" w:rsidRPr="005F6904">
        <w:rPr>
          <w:color w:val="017097" w:themeColor="accent1"/>
          <w:lang w:eastAsia="ja-JP"/>
        </w:rPr>
        <w:t>projects</w:t>
      </w:r>
      <w:bookmarkEnd w:id="16"/>
    </w:p>
    <w:p w14:paraId="392726CB" w14:textId="54092E1F" w:rsidR="00B627EF" w:rsidRDefault="00B627EF" w:rsidP="000A00A7">
      <w:pPr>
        <w:spacing w:before="120" w:after="120"/>
      </w:pPr>
      <w:r w:rsidRPr="00D31D80">
        <w:t xml:space="preserve">Proponents of expired projects in </w:t>
      </w:r>
      <w:r>
        <w:t xml:space="preserve">the </w:t>
      </w:r>
      <w:r w:rsidRPr="00D31D80">
        <w:t>AEM</w:t>
      </w:r>
      <w:r w:rsidR="002030D6">
        <w:t xml:space="preserve"> method 2019</w:t>
      </w:r>
      <w:r w:rsidR="00403047">
        <w:t xml:space="preserve">, </w:t>
      </w:r>
      <w:r w:rsidR="00710D80">
        <w:t>legacy animal effluent</w:t>
      </w:r>
      <w:r w:rsidRPr="00D31D80">
        <w:t xml:space="preserve"> methods and </w:t>
      </w:r>
      <w:r>
        <w:t xml:space="preserve">the </w:t>
      </w:r>
      <w:r w:rsidRPr="00D31D80">
        <w:t xml:space="preserve">Wastewater method </w:t>
      </w:r>
      <w:r w:rsidR="002030D6">
        <w:t xml:space="preserve">2015 </w:t>
      </w:r>
      <w:r w:rsidRPr="00D31D80">
        <w:t xml:space="preserve">have requested to be able to restart these projects due to the ongoing cost of operation and maintenance. </w:t>
      </w:r>
      <w:r w:rsidR="00350A9C">
        <w:t xml:space="preserve">At its December </w:t>
      </w:r>
      <w:r w:rsidR="00403047">
        <w:t xml:space="preserve">2024 </w:t>
      </w:r>
      <w:r w:rsidR="00350A9C">
        <w:t>meeting</w:t>
      </w:r>
      <w:r w:rsidR="00236A75">
        <w:t>,</w:t>
      </w:r>
      <w:r w:rsidR="00350A9C">
        <w:t xml:space="preserve"> </w:t>
      </w:r>
      <w:r w:rsidR="00403047">
        <w:t xml:space="preserve">the </w:t>
      </w:r>
      <w:r w:rsidR="00350A9C">
        <w:t>Committee</w:t>
      </w:r>
      <w:r w:rsidR="00AC4C7A">
        <w:t xml:space="preserve"> </w:t>
      </w:r>
      <w:r w:rsidR="006C1D56">
        <w:t xml:space="preserve">agreed </w:t>
      </w:r>
      <w:r w:rsidR="00AC4C7A">
        <w:t xml:space="preserve">to examine this issue in the </w:t>
      </w:r>
      <w:r w:rsidR="00053F71">
        <w:t>AEM method 2019</w:t>
      </w:r>
      <w:r w:rsidR="00AC4C7A">
        <w:t xml:space="preserve"> periodic review</w:t>
      </w:r>
      <w:r w:rsidRPr="00D31D80">
        <w:t>.</w:t>
      </w:r>
    </w:p>
    <w:p w14:paraId="709DD290" w14:textId="72BDA0AA" w:rsidR="00577793" w:rsidRPr="005F6904" w:rsidRDefault="003D3148" w:rsidP="000A00A7">
      <w:pPr>
        <w:pStyle w:val="BoxText"/>
        <w:rPr>
          <w:b/>
          <w:bCs/>
          <w:i/>
          <w:iCs/>
          <w:sz w:val="22"/>
          <w:lang w:eastAsia="ja-JP"/>
        </w:rPr>
      </w:pPr>
      <w:r w:rsidRPr="005F6904">
        <w:rPr>
          <w:b/>
          <w:bCs/>
          <w:i/>
          <w:iCs/>
          <w:sz w:val="22"/>
          <w:lang w:eastAsia="ja-JP"/>
        </w:rPr>
        <w:t>The Committee welcomes views on</w:t>
      </w:r>
      <w:r w:rsidR="000B51E2">
        <w:rPr>
          <w:b/>
          <w:bCs/>
          <w:i/>
          <w:iCs/>
          <w:sz w:val="22"/>
          <w:lang w:eastAsia="ja-JP"/>
        </w:rPr>
        <w:t xml:space="preserve"> the following questions</w:t>
      </w:r>
      <w:r w:rsidRPr="005F6904">
        <w:rPr>
          <w:b/>
          <w:bCs/>
          <w:i/>
          <w:iCs/>
          <w:sz w:val="22"/>
          <w:lang w:eastAsia="ja-JP"/>
        </w:rPr>
        <w:t>:</w:t>
      </w:r>
      <w:r w:rsidRPr="005F6904" w:rsidDel="003D3148">
        <w:rPr>
          <w:b/>
          <w:bCs/>
          <w:i/>
          <w:iCs/>
          <w:sz w:val="22"/>
          <w:lang w:eastAsia="ja-JP"/>
        </w:rPr>
        <w:t xml:space="preserve"> </w:t>
      </w:r>
    </w:p>
    <w:p w14:paraId="12312D3A" w14:textId="115332FF" w:rsidR="005F6904" w:rsidRDefault="005F6904" w:rsidP="000A00A7">
      <w:pPr>
        <w:pStyle w:val="BoxText"/>
        <w:rPr>
          <w:sz w:val="22"/>
        </w:rPr>
      </w:pPr>
      <w:r>
        <w:rPr>
          <w:sz w:val="22"/>
        </w:rPr>
        <w:t xml:space="preserve">Under what </w:t>
      </w:r>
      <w:r w:rsidRPr="00D31D80">
        <w:rPr>
          <w:sz w:val="22"/>
        </w:rPr>
        <w:t xml:space="preserve">conditions </w:t>
      </w:r>
      <w:r>
        <w:rPr>
          <w:sz w:val="22"/>
        </w:rPr>
        <w:t xml:space="preserve">should </w:t>
      </w:r>
      <w:r w:rsidRPr="00D31D80">
        <w:rPr>
          <w:sz w:val="22"/>
        </w:rPr>
        <w:t xml:space="preserve">projects be eligible to </w:t>
      </w:r>
      <w:r w:rsidRPr="005772C4">
        <w:rPr>
          <w:sz w:val="22"/>
        </w:rPr>
        <w:t>restart</w:t>
      </w:r>
      <w:r>
        <w:rPr>
          <w:sz w:val="22"/>
        </w:rPr>
        <w:t xml:space="preserve">? </w:t>
      </w:r>
      <w:r w:rsidR="00311A37">
        <w:rPr>
          <w:sz w:val="22"/>
        </w:rPr>
        <w:t xml:space="preserve">What </w:t>
      </w:r>
      <w:r w:rsidR="00C32D42">
        <w:rPr>
          <w:sz w:val="22"/>
        </w:rPr>
        <w:t xml:space="preserve">sensible </w:t>
      </w:r>
      <w:r w:rsidR="00311A37">
        <w:rPr>
          <w:sz w:val="22"/>
        </w:rPr>
        <w:t xml:space="preserve">in lieu of newness provisions </w:t>
      </w:r>
      <w:r w:rsidR="00C32D42">
        <w:rPr>
          <w:sz w:val="22"/>
        </w:rPr>
        <w:t xml:space="preserve">should be provided in the method? </w:t>
      </w:r>
      <w:r>
        <w:rPr>
          <w:sz w:val="22"/>
        </w:rPr>
        <w:t>(Question 11</w:t>
      </w:r>
      <w:r w:rsidR="003C499B">
        <w:rPr>
          <w:sz w:val="22"/>
        </w:rPr>
        <w:t xml:space="preserve"> </w:t>
      </w:r>
      <w:r w:rsidR="005772C4">
        <w:rPr>
          <w:sz w:val="22"/>
        </w:rPr>
        <w:t>A&amp;B</w:t>
      </w:r>
      <w:r>
        <w:rPr>
          <w:sz w:val="22"/>
        </w:rPr>
        <w:t>)</w:t>
      </w:r>
      <w:r w:rsidR="00E5172A">
        <w:rPr>
          <w:sz w:val="22"/>
        </w:rPr>
        <w:t>.</w:t>
      </w:r>
    </w:p>
    <w:p w14:paraId="101F45BE" w14:textId="27FF8F9D" w:rsidR="0081214B" w:rsidRPr="00775CEA" w:rsidRDefault="005F6904" w:rsidP="000A00A7">
      <w:pPr>
        <w:pStyle w:val="BoxText"/>
        <w:rPr>
          <w:sz w:val="22"/>
        </w:rPr>
      </w:pPr>
      <w:r>
        <w:rPr>
          <w:sz w:val="22"/>
        </w:rPr>
        <w:t xml:space="preserve">What </w:t>
      </w:r>
      <w:r w:rsidRPr="00D31D80">
        <w:rPr>
          <w:sz w:val="22"/>
        </w:rPr>
        <w:t xml:space="preserve">restart date/period </w:t>
      </w:r>
      <w:r>
        <w:rPr>
          <w:sz w:val="22"/>
        </w:rPr>
        <w:t xml:space="preserve">should be provided </w:t>
      </w:r>
      <w:r w:rsidRPr="00D31D80">
        <w:rPr>
          <w:sz w:val="22"/>
        </w:rPr>
        <w:t>given requirements for monitoring and reporting</w:t>
      </w:r>
      <w:r>
        <w:rPr>
          <w:sz w:val="22"/>
        </w:rPr>
        <w:t>,</w:t>
      </w:r>
      <w:r w:rsidRPr="00D31D80">
        <w:rPr>
          <w:sz w:val="22"/>
        </w:rPr>
        <w:t xml:space="preserve"> and eligibility generally</w:t>
      </w:r>
      <w:r>
        <w:rPr>
          <w:sz w:val="22"/>
        </w:rPr>
        <w:t>? (</w:t>
      </w:r>
      <w:bookmarkStart w:id="17" w:name="_Hlk187763936"/>
      <w:r>
        <w:rPr>
          <w:sz w:val="22"/>
        </w:rPr>
        <w:t>Question 12)</w:t>
      </w:r>
      <w:bookmarkEnd w:id="17"/>
      <w:r w:rsidR="00E5172A">
        <w:rPr>
          <w:sz w:val="22"/>
        </w:rPr>
        <w:t>.</w:t>
      </w:r>
    </w:p>
    <w:p w14:paraId="7F85BE0A" w14:textId="395B3920" w:rsidR="00356ED5" w:rsidRPr="00707890" w:rsidRDefault="00707890" w:rsidP="000A00A7">
      <w:pPr>
        <w:pStyle w:val="Heading3"/>
        <w:spacing w:before="120" w:after="120" w:line="276" w:lineRule="auto"/>
        <w:rPr>
          <w:color w:val="017097" w:themeColor="accent1"/>
          <w:lang w:eastAsia="ja-JP"/>
        </w:rPr>
      </w:pPr>
      <w:bookmarkStart w:id="18" w:name="_Toc192068738"/>
      <w:r w:rsidRPr="00707890">
        <w:rPr>
          <w:color w:val="017097" w:themeColor="accent1"/>
          <w:lang w:eastAsia="ja-JP"/>
        </w:rPr>
        <w:t>Definition and inclusion/exclusion of Eligible Material</w:t>
      </w:r>
      <w:bookmarkEnd w:id="18"/>
    </w:p>
    <w:p w14:paraId="0DAC8FDD" w14:textId="77267E40" w:rsidR="00AB7055" w:rsidRPr="005B4735" w:rsidRDefault="00AB7055" w:rsidP="00ED4552">
      <w:pPr>
        <w:spacing w:after="120"/>
      </w:pPr>
      <w:r>
        <w:t xml:space="preserve">In the </w:t>
      </w:r>
      <w:r w:rsidR="00053F71">
        <w:t>AEM method 2019</w:t>
      </w:r>
      <w:r w:rsidR="0068636D">
        <w:t xml:space="preserve">, </w:t>
      </w:r>
      <w:r>
        <w:t>e</w:t>
      </w:r>
      <w:r w:rsidRPr="005B4735">
        <w:t xml:space="preserve">ligible material is </w:t>
      </w:r>
      <w:r w:rsidRPr="00D31D80">
        <w:t xml:space="preserve">defined as </w:t>
      </w:r>
      <w:r w:rsidRPr="005B4735">
        <w:t xml:space="preserve">material that is sourced from a piggery or a </w:t>
      </w:r>
      <w:r w:rsidR="001F1E88" w:rsidRPr="005B4735">
        <w:t>dairy or</w:t>
      </w:r>
      <w:r w:rsidRPr="005B4735">
        <w:t xml:space="preserve"> is a material that is a ‘Listed Type’ in the Schedule 1 of the </w:t>
      </w:r>
      <w:r w:rsidR="00CD084C" w:rsidRPr="00CD084C">
        <w:rPr>
          <w:rStyle w:val="Hyperlink"/>
        </w:rPr>
        <w:t>AEM method 2019 Supplement</w:t>
      </w:r>
      <w:r w:rsidRPr="005B4735">
        <w:t xml:space="preserve">.  </w:t>
      </w:r>
    </w:p>
    <w:p w14:paraId="3017C6A3" w14:textId="3C2FAADD" w:rsidR="00AB7055" w:rsidRPr="00D31D80" w:rsidRDefault="00395AA0" w:rsidP="00304C67">
      <w:pPr>
        <w:spacing w:after="120"/>
      </w:pPr>
      <w:r>
        <w:lastRenderedPageBreak/>
        <w:t xml:space="preserve">Experience with projects registered to date suggests </w:t>
      </w:r>
      <w:r w:rsidR="00707890">
        <w:t xml:space="preserve">that </w:t>
      </w:r>
      <w:r w:rsidR="006F30FA">
        <w:t xml:space="preserve">in certain circumstances </w:t>
      </w:r>
      <w:r w:rsidR="00AB7055" w:rsidRPr="008575ED">
        <w:t xml:space="preserve">this can </w:t>
      </w:r>
      <w:r w:rsidR="00EF323B">
        <w:t xml:space="preserve">require </w:t>
      </w:r>
      <w:r w:rsidR="00E6526C">
        <w:t xml:space="preserve">significant additional </w:t>
      </w:r>
      <w:r w:rsidR="00AB7055" w:rsidRPr="008575ED">
        <w:t xml:space="preserve">assessment </w:t>
      </w:r>
      <w:r w:rsidR="00876EB8">
        <w:t>to determine eligibility</w:t>
      </w:r>
      <w:r w:rsidR="00876EB8" w:rsidRPr="008575ED">
        <w:t xml:space="preserve">. </w:t>
      </w:r>
      <w:r w:rsidR="00876EB8">
        <w:t>While maintaining the existing eligibility framework, c</w:t>
      </w:r>
      <w:r w:rsidR="00AB7055" w:rsidRPr="008575ED">
        <w:t xml:space="preserve">onsideration could </w:t>
      </w:r>
      <w:r w:rsidR="00D853AC">
        <w:t xml:space="preserve">also </w:t>
      </w:r>
      <w:r w:rsidR="00AB7055" w:rsidRPr="008575ED">
        <w:t xml:space="preserve">be given to explicitly stating the inclusion, or exclusion, of certain </w:t>
      </w:r>
      <w:r w:rsidR="00D853AC">
        <w:t>types</w:t>
      </w:r>
      <w:r w:rsidR="00D853AC" w:rsidRPr="008575ED">
        <w:t xml:space="preserve"> </w:t>
      </w:r>
      <w:r w:rsidR="00ED4552" w:rsidRPr="008575ED">
        <w:t>of waste</w:t>
      </w:r>
      <w:r w:rsidR="00AB7055" w:rsidRPr="008575ED">
        <w:t>.</w:t>
      </w:r>
    </w:p>
    <w:p w14:paraId="1B2C1B48" w14:textId="5AC17320" w:rsidR="00AB7055" w:rsidRPr="00D31D80" w:rsidRDefault="00AB7055" w:rsidP="00304C67">
      <w:pPr>
        <w:spacing w:after="120"/>
      </w:pPr>
      <w:r w:rsidRPr="00D31D80">
        <w:t xml:space="preserve">Conversely, proponents have requested that </w:t>
      </w:r>
      <w:r w:rsidR="00CF31A0">
        <w:t xml:space="preserve">types and </w:t>
      </w:r>
      <w:r w:rsidR="00D37196">
        <w:t xml:space="preserve">proportion of </w:t>
      </w:r>
      <w:r w:rsidRPr="00D31D80">
        <w:t>eligible material be expanded, for example to improve digester performance. This could be considered</w:t>
      </w:r>
      <w:r w:rsidR="00E20EAC">
        <w:t>,</w:t>
      </w:r>
      <w:r w:rsidRPr="00D31D80">
        <w:t xml:space="preserve"> but the eligibility of a portion of the carbon abatement would </w:t>
      </w:r>
      <w:r w:rsidR="00F67D23">
        <w:t xml:space="preserve">likely </w:t>
      </w:r>
      <w:r w:rsidRPr="00D31D80">
        <w:t>also need to be examined.</w:t>
      </w:r>
    </w:p>
    <w:p w14:paraId="061F5840" w14:textId="06B0EFB2" w:rsidR="00AB7055" w:rsidRDefault="00AB7055" w:rsidP="00304C67">
      <w:pPr>
        <w:spacing w:after="120"/>
      </w:pPr>
      <w:r w:rsidRPr="00D31D80">
        <w:t xml:space="preserve">Eligible materials could potentially include a combination of materials that were traditionally allowed in </w:t>
      </w:r>
      <w:r w:rsidR="00E4663A">
        <w:t xml:space="preserve">the </w:t>
      </w:r>
      <w:r w:rsidR="00785227">
        <w:t>Wastewater method 2015</w:t>
      </w:r>
      <w:r w:rsidR="00E4663A">
        <w:t xml:space="preserve"> </w:t>
      </w:r>
      <w:r w:rsidRPr="00D31D80">
        <w:t xml:space="preserve">with those allowed in </w:t>
      </w:r>
      <w:r w:rsidR="00183356">
        <w:t xml:space="preserve">the </w:t>
      </w:r>
      <w:r w:rsidR="00053F71">
        <w:t>AEM method 2019</w:t>
      </w:r>
      <w:r w:rsidRPr="00D31D80">
        <w:t xml:space="preserve">, </w:t>
      </w:r>
      <w:r w:rsidR="00272E05">
        <w:t>and</w:t>
      </w:r>
      <w:r w:rsidRPr="00D31D80">
        <w:t xml:space="preserve"> other organic waste sources and mixed solid waste. Crediting periods would need to be examined for </w:t>
      </w:r>
      <w:r w:rsidR="00C226A7">
        <w:t xml:space="preserve">new materials and </w:t>
      </w:r>
      <w:r w:rsidRPr="00D31D80">
        <w:t>combinations of materials, especially for large projects.</w:t>
      </w:r>
    </w:p>
    <w:p w14:paraId="333B06B4" w14:textId="6B76CF0A" w:rsidR="00577793" w:rsidRPr="009D0B6E" w:rsidRDefault="003820BC" w:rsidP="00304C67">
      <w:pPr>
        <w:pStyle w:val="BoxText"/>
        <w:rPr>
          <w:b/>
          <w:bCs/>
          <w:i/>
          <w:iCs/>
          <w:sz w:val="22"/>
          <w:lang w:eastAsia="ja-JP"/>
        </w:rPr>
      </w:pPr>
      <w:r w:rsidRPr="009D0B6E">
        <w:rPr>
          <w:b/>
          <w:bCs/>
          <w:i/>
          <w:iCs/>
          <w:sz w:val="22"/>
          <w:lang w:eastAsia="ja-JP"/>
        </w:rPr>
        <w:t>The Committee welcomes views on</w:t>
      </w:r>
      <w:r w:rsidR="000B51E2" w:rsidRPr="000B51E2">
        <w:rPr>
          <w:b/>
          <w:bCs/>
          <w:i/>
          <w:iCs/>
          <w:sz w:val="22"/>
          <w:lang w:eastAsia="ja-JP"/>
        </w:rPr>
        <w:t xml:space="preserve"> </w:t>
      </w:r>
      <w:r w:rsidR="000B51E2">
        <w:rPr>
          <w:b/>
          <w:bCs/>
          <w:i/>
          <w:iCs/>
          <w:sz w:val="22"/>
          <w:lang w:eastAsia="ja-JP"/>
        </w:rPr>
        <w:t>the following questions</w:t>
      </w:r>
      <w:r w:rsidRPr="009D0B6E">
        <w:rPr>
          <w:b/>
          <w:bCs/>
          <w:i/>
          <w:iCs/>
          <w:sz w:val="22"/>
          <w:lang w:eastAsia="ja-JP"/>
        </w:rPr>
        <w:t>:</w:t>
      </w:r>
      <w:r w:rsidRPr="009D0B6E" w:rsidDel="003820BC">
        <w:rPr>
          <w:b/>
          <w:bCs/>
          <w:i/>
          <w:iCs/>
          <w:sz w:val="22"/>
          <w:lang w:eastAsia="ja-JP"/>
        </w:rPr>
        <w:t xml:space="preserve"> </w:t>
      </w:r>
    </w:p>
    <w:p w14:paraId="60BB569F" w14:textId="47A90B3D" w:rsidR="00C11994" w:rsidRPr="009D0B6E" w:rsidRDefault="00C11994" w:rsidP="00304C67">
      <w:pPr>
        <w:pStyle w:val="BoxText"/>
        <w:rPr>
          <w:sz w:val="22"/>
          <w:lang w:eastAsia="ja-JP"/>
        </w:rPr>
      </w:pPr>
      <w:r>
        <w:rPr>
          <w:sz w:val="22"/>
        </w:rPr>
        <w:t xml:space="preserve">What materials </w:t>
      </w:r>
      <w:r w:rsidR="00164547">
        <w:rPr>
          <w:sz w:val="22"/>
        </w:rPr>
        <w:t>should be</w:t>
      </w:r>
      <w:r>
        <w:rPr>
          <w:sz w:val="22"/>
        </w:rPr>
        <w:t xml:space="preserve"> included as eligible in a</w:t>
      </w:r>
      <w:r w:rsidR="00D05AA0">
        <w:rPr>
          <w:sz w:val="22"/>
        </w:rPr>
        <w:t xml:space="preserve">n </w:t>
      </w:r>
      <w:r>
        <w:rPr>
          <w:sz w:val="22"/>
        </w:rPr>
        <w:t xml:space="preserve">expanded </w:t>
      </w:r>
      <w:r w:rsidR="00D05AA0">
        <w:rPr>
          <w:sz w:val="22"/>
        </w:rPr>
        <w:t xml:space="preserve">liquid waste </w:t>
      </w:r>
      <w:r>
        <w:rPr>
          <w:sz w:val="22"/>
        </w:rPr>
        <w:t>method, whil</w:t>
      </w:r>
      <w:r w:rsidR="002D11A9">
        <w:rPr>
          <w:sz w:val="22"/>
        </w:rPr>
        <w:t>e</w:t>
      </w:r>
      <w:r>
        <w:rPr>
          <w:sz w:val="22"/>
        </w:rPr>
        <w:t xml:space="preserve"> still meeting the OIS requirements including for eligible emissions </w:t>
      </w:r>
      <w:r w:rsidRPr="009D0B6E">
        <w:rPr>
          <w:sz w:val="22"/>
        </w:rPr>
        <w:t>reduction?</w:t>
      </w:r>
      <w:r w:rsidRPr="009D0B6E">
        <w:rPr>
          <w:sz w:val="22"/>
          <w:lang w:eastAsia="ja-JP"/>
        </w:rPr>
        <w:t xml:space="preserve"> (Question 1</w:t>
      </w:r>
      <w:r>
        <w:rPr>
          <w:sz w:val="22"/>
          <w:lang w:eastAsia="ja-JP"/>
        </w:rPr>
        <w:t>3</w:t>
      </w:r>
      <w:r w:rsidRPr="009D0B6E">
        <w:rPr>
          <w:sz w:val="22"/>
          <w:lang w:eastAsia="ja-JP"/>
        </w:rPr>
        <w:t>)</w:t>
      </w:r>
      <w:r w:rsidR="00E5172A">
        <w:rPr>
          <w:sz w:val="22"/>
          <w:lang w:eastAsia="ja-JP"/>
        </w:rPr>
        <w:t>.</w:t>
      </w:r>
    </w:p>
    <w:p w14:paraId="1860415E" w14:textId="2AC94284" w:rsidR="009D0B6E" w:rsidRDefault="009D0B6E" w:rsidP="00304C67">
      <w:pPr>
        <w:pStyle w:val="BoxText"/>
        <w:rPr>
          <w:b/>
          <w:bCs/>
          <w:i/>
          <w:iCs/>
          <w:sz w:val="22"/>
          <w:highlight w:val="yellow"/>
          <w:lang w:eastAsia="ja-JP"/>
        </w:rPr>
      </w:pPr>
      <w:r>
        <w:rPr>
          <w:sz w:val="22"/>
        </w:rPr>
        <w:t xml:space="preserve">How would methane generated </w:t>
      </w:r>
      <w:r w:rsidR="00365574">
        <w:rPr>
          <w:sz w:val="22"/>
        </w:rPr>
        <w:t xml:space="preserve">from </w:t>
      </w:r>
      <w:r>
        <w:rPr>
          <w:sz w:val="22"/>
        </w:rPr>
        <w:t>t</w:t>
      </w:r>
      <w:r w:rsidR="00365574">
        <w:rPr>
          <w:sz w:val="22"/>
        </w:rPr>
        <w:t>he</w:t>
      </w:r>
      <w:r>
        <w:rPr>
          <w:sz w:val="22"/>
        </w:rPr>
        <w:t xml:space="preserve"> inclusion of wastes from sources that currently do not generate </w:t>
      </w:r>
      <w:r w:rsidR="00702A0C">
        <w:rPr>
          <w:sz w:val="22"/>
        </w:rPr>
        <w:t xml:space="preserve">emissions </w:t>
      </w:r>
      <w:r>
        <w:rPr>
          <w:sz w:val="22"/>
        </w:rPr>
        <w:t xml:space="preserve">best be identified and excluded as process emissions? </w:t>
      </w:r>
      <w:r w:rsidRPr="00D50DD1">
        <w:rPr>
          <w:sz w:val="22"/>
        </w:rPr>
        <w:t>(A response to this question could include consideration of calculations and formulae)</w:t>
      </w:r>
      <w:r>
        <w:rPr>
          <w:sz w:val="22"/>
        </w:rPr>
        <w:t xml:space="preserve"> (Question 1</w:t>
      </w:r>
      <w:r w:rsidR="00C11994">
        <w:rPr>
          <w:sz w:val="22"/>
        </w:rPr>
        <w:t>4</w:t>
      </w:r>
      <w:r>
        <w:rPr>
          <w:sz w:val="22"/>
        </w:rPr>
        <w:t>)</w:t>
      </w:r>
      <w:r w:rsidR="00E5172A">
        <w:rPr>
          <w:sz w:val="22"/>
        </w:rPr>
        <w:t>.</w:t>
      </w:r>
    </w:p>
    <w:p w14:paraId="2439AC47" w14:textId="4461DE3A" w:rsidR="009D0B6E" w:rsidRPr="00A32F36" w:rsidRDefault="009D0B6E" w:rsidP="00304C67">
      <w:pPr>
        <w:pStyle w:val="BoxText"/>
        <w:rPr>
          <w:b/>
          <w:bCs/>
          <w:i/>
          <w:iCs/>
          <w:sz w:val="22"/>
          <w:highlight w:val="yellow"/>
          <w:lang w:eastAsia="ja-JP"/>
        </w:rPr>
      </w:pPr>
      <w:r>
        <w:rPr>
          <w:sz w:val="22"/>
        </w:rPr>
        <w:t>What circular economy drivers / policies are relevant in this space</w:t>
      </w:r>
      <w:r w:rsidR="00C226A7">
        <w:rPr>
          <w:sz w:val="22"/>
        </w:rPr>
        <w:t xml:space="preserve"> that might impact on</w:t>
      </w:r>
      <w:r w:rsidR="00AB0F0D">
        <w:rPr>
          <w:sz w:val="22"/>
        </w:rPr>
        <w:t xml:space="preserve"> the</w:t>
      </w:r>
      <w:r w:rsidR="00C226A7">
        <w:rPr>
          <w:sz w:val="22"/>
        </w:rPr>
        <w:t xml:space="preserve"> </w:t>
      </w:r>
      <w:r w:rsidR="00C226A7" w:rsidRPr="00C226A7">
        <w:rPr>
          <w:i/>
          <w:iCs/>
          <w:sz w:val="22"/>
        </w:rPr>
        <w:t>Additionality</w:t>
      </w:r>
      <w:r w:rsidR="00C226A7">
        <w:rPr>
          <w:sz w:val="22"/>
        </w:rPr>
        <w:t xml:space="preserve"> of activities</w:t>
      </w:r>
      <w:r>
        <w:rPr>
          <w:sz w:val="22"/>
        </w:rPr>
        <w:t>? (Question 1</w:t>
      </w:r>
      <w:r w:rsidR="00C11994">
        <w:rPr>
          <w:sz w:val="22"/>
        </w:rPr>
        <w:t>5</w:t>
      </w:r>
      <w:r>
        <w:rPr>
          <w:sz w:val="22"/>
        </w:rPr>
        <w:t>)</w:t>
      </w:r>
      <w:r w:rsidR="00E5172A">
        <w:rPr>
          <w:sz w:val="22"/>
        </w:rPr>
        <w:t>.</w:t>
      </w:r>
    </w:p>
    <w:p w14:paraId="2386C9F1" w14:textId="683108C4" w:rsidR="00356ED5" w:rsidRPr="004C496C" w:rsidRDefault="009C56FB" w:rsidP="00304C67">
      <w:pPr>
        <w:pStyle w:val="Heading3"/>
        <w:spacing w:before="120" w:after="120" w:line="276" w:lineRule="auto"/>
        <w:rPr>
          <w:color w:val="017097" w:themeColor="accent1"/>
          <w:lang w:eastAsia="ja-JP"/>
        </w:rPr>
      </w:pPr>
      <w:bookmarkStart w:id="19" w:name="_Toc192068739"/>
      <w:r w:rsidRPr="004C496C">
        <w:rPr>
          <w:color w:val="017097" w:themeColor="accent1"/>
          <w:lang w:eastAsia="ja-JP"/>
        </w:rPr>
        <w:t xml:space="preserve">Biomethane </w:t>
      </w:r>
      <w:r w:rsidR="0040454C" w:rsidRPr="004C496C">
        <w:rPr>
          <w:color w:val="017097" w:themeColor="accent1"/>
          <w:lang w:eastAsia="ja-JP"/>
        </w:rPr>
        <w:t>activity</w:t>
      </w:r>
      <w:bookmarkEnd w:id="19"/>
      <w:r w:rsidR="0040454C" w:rsidRPr="004C496C">
        <w:rPr>
          <w:color w:val="017097" w:themeColor="accent1"/>
          <w:lang w:eastAsia="ja-JP"/>
        </w:rPr>
        <w:t xml:space="preserve"> </w:t>
      </w:r>
    </w:p>
    <w:p w14:paraId="1267C097" w14:textId="0246C608" w:rsidR="00845986" w:rsidRPr="00614A66" w:rsidRDefault="00845986" w:rsidP="00304C67">
      <w:pPr>
        <w:spacing w:before="120" w:after="120"/>
        <w:rPr>
          <w:lang w:eastAsia="ja-JP"/>
        </w:rPr>
      </w:pPr>
      <w:r w:rsidRPr="00614A66">
        <w:rPr>
          <w:lang w:eastAsia="ja-JP"/>
        </w:rPr>
        <w:t>Biomethane projects involve the capture of biogas from decomposing waste, and refin</w:t>
      </w:r>
      <w:r>
        <w:rPr>
          <w:lang w:eastAsia="ja-JP"/>
        </w:rPr>
        <w:t>ing</w:t>
      </w:r>
      <w:r w:rsidRPr="00614A66">
        <w:rPr>
          <w:lang w:eastAsia="ja-JP"/>
        </w:rPr>
        <w:t xml:space="preserve"> of that biogas into biomethane, a low-emissions natural gas substitute. ACCUs </w:t>
      </w:r>
      <w:r w:rsidR="001B6C1E">
        <w:rPr>
          <w:lang w:eastAsia="ja-JP"/>
        </w:rPr>
        <w:t>c</w:t>
      </w:r>
      <w:r w:rsidRPr="00614A66">
        <w:rPr>
          <w:lang w:eastAsia="ja-JP"/>
        </w:rPr>
        <w:t xml:space="preserve">ould be issued for the abatement generated when the biomethane is burned (conversion abatement), and from biomethane displacing fossil fuel natural gas consumption (displacement abatement). </w:t>
      </w:r>
    </w:p>
    <w:p w14:paraId="31844B94" w14:textId="234F4B0F" w:rsidR="00C3738A" w:rsidRDefault="00A41E9A" w:rsidP="00D06AAF">
      <w:pPr>
        <w:spacing w:after="120"/>
      </w:pPr>
      <w:r>
        <w:t xml:space="preserve">Both the AEM </w:t>
      </w:r>
      <w:r w:rsidR="00446CB8">
        <w:t xml:space="preserve">method 2019 </w:t>
      </w:r>
      <w:r>
        <w:t>and Wastewater method</w:t>
      </w:r>
      <w:r w:rsidR="00446CB8">
        <w:t xml:space="preserve"> 2015</w:t>
      </w:r>
      <w:r w:rsidR="00E11C56">
        <w:t xml:space="preserve"> as well as the </w:t>
      </w:r>
      <w:r w:rsidR="00F77096" w:rsidRPr="00F77096">
        <w:rPr>
          <w:i/>
          <w:iCs/>
        </w:rPr>
        <w:t>Carbon Credits (Carbon Farming Initiative—Electricity Generation from Landfill Gas) Methodology Determination 2021</w:t>
      </w:r>
      <w:r w:rsidR="00F77096">
        <w:rPr>
          <w:i/>
          <w:iCs/>
        </w:rPr>
        <w:t xml:space="preserve"> (Landfill Gas (Generation 2021)</w:t>
      </w:r>
      <w:r w:rsidR="00E11C56" w:rsidRPr="00E11C56">
        <w:rPr>
          <w:rStyle w:val="FootnoteReference"/>
          <w:lang w:eastAsia="ja-JP"/>
        </w:rPr>
        <w:footnoteReference w:id="6"/>
      </w:r>
      <w:r>
        <w:t xml:space="preserve"> were varied in 2022 to include </w:t>
      </w:r>
      <w:r w:rsidR="004429DA">
        <w:t>b</w:t>
      </w:r>
      <w:r>
        <w:t xml:space="preserve">iomethane activities. </w:t>
      </w:r>
      <w:r w:rsidR="008F1BCE">
        <w:t>O</w:t>
      </w:r>
      <w:r w:rsidR="008651AA">
        <w:t xml:space="preserve">nly 1 biomethane project has registered under </w:t>
      </w:r>
      <w:r w:rsidR="00135F0D">
        <w:t xml:space="preserve">any of the </w:t>
      </w:r>
      <w:r w:rsidR="008651AA">
        <w:t xml:space="preserve">methods </w:t>
      </w:r>
      <w:r w:rsidR="008F1BCE">
        <w:t xml:space="preserve">and this project </w:t>
      </w:r>
      <w:r w:rsidR="003C43F5">
        <w:t>is yet to</w:t>
      </w:r>
      <w:r w:rsidR="008651AA">
        <w:t xml:space="preserve"> generate ACCUs. </w:t>
      </w:r>
    </w:p>
    <w:p w14:paraId="44059F89" w14:textId="2B794559" w:rsidR="00E618A6" w:rsidRDefault="00FD6185" w:rsidP="00D06AAF">
      <w:pPr>
        <w:spacing w:after="120"/>
      </w:pPr>
      <w:r>
        <w:t xml:space="preserve">Some potential </w:t>
      </w:r>
      <w:r w:rsidR="008651AA" w:rsidRPr="00D31D80">
        <w:t xml:space="preserve">proponents </w:t>
      </w:r>
      <w:r w:rsidR="0090443A">
        <w:t xml:space="preserve">have expressed </w:t>
      </w:r>
      <w:r w:rsidR="008651AA" w:rsidRPr="00D31D80">
        <w:t xml:space="preserve">general interest in biomethane </w:t>
      </w:r>
      <w:r w:rsidR="0090443A">
        <w:t>activities</w:t>
      </w:r>
      <w:r w:rsidR="008651AA" w:rsidRPr="00D31D80">
        <w:t xml:space="preserve">. </w:t>
      </w:r>
      <w:r w:rsidR="00E97823">
        <w:t>L</w:t>
      </w:r>
      <w:r w:rsidR="00013C97" w:rsidRPr="00D31D80">
        <w:t xml:space="preserve">ow uptake of biomethane </w:t>
      </w:r>
      <w:r w:rsidR="0090443A">
        <w:t xml:space="preserve">projects </w:t>
      </w:r>
      <w:r w:rsidR="00916DBB">
        <w:t xml:space="preserve">may be </w:t>
      </w:r>
      <w:r w:rsidR="00013C97" w:rsidRPr="00D31D80">
        <w:t>indicative of difficulties achieving financial viability</w:t>
      </w:r>
      <w:r w:rsidR="00916DBB">
        <w:t xml:space="preserve"> or </w:t>
      </w:r>
      <w:r w:rsidR="00C3738A">
        <w:t xml:space="preserve">other </w:t>
      </w:r>
      <w:r w:rsidR="00924B2E">
        <w:t>challenges</w:t>
      </w:r>
      <w:r w:rsidR="00916DBB">
        <w:t xml:space="preserve">. </w:t>
      </w:r>
      <w:r w:rsidR="00ED4552">
        <w:lastRenderedPageBreak/>
        <w:t>The c</w:t>
      </w:r>
      <w:r w:rsidR="008651AA" w:rsidRPr="00D31D80">
        <w:t>rediting period of biomethane activities was not considered in the 2024 review</w:t>
      </w:r>
      <w:r w:rsidR="00916DBB">
        <w:t xml:space="preserve"> due to the </w:t>
      </w:r>
      <w:r w:rsidR="00A416B4">
        <w:t xml:space="preserve">small </w:t>
      </w:r>
      <w:r w:rsidR="00916DBB">
        <w:t xml:space="preserve">number </w:t>
      </w:r>
      <w:r w:rsidR="007F0604">
        <w:t xml:space="preserve">(only1) </w:t>
      </w:r>
      <w:r w:rsidR="00916DBB">
        <w:t xml:space="preserve">of </w:t>
      </w:r>
      <w:r w:rsidR="00A416B4">
        <w:t xml:space="preserve">registered </w:t>
      </w:r>
      <w:r w:rsidR="00916DBB">
        <w:t xml:space="preserve">projects and that the biomethane activities were </w:t>
      </w:r>
      <w:r w:rsidR="00916DBB" w:rsidRPr="00614A66">
        <w:t>introduced</w:t>
      </w:r>
      <w:r w:rsidR="00C3738A" w:rsidRPr="00614A66">
        <w:t xml:space="preserve"> relatively recently </w:t>
      </w:r>
      <w:r w:rsidR="00E97823">
        <w:t xml:space="preserve">and </w:t>
      </w:r>
      <w:r w:rsidR="00A416B4" w:rsidRPr="00614A66">
        <w:t xml:space="preserve">project viability </w:t>
      </w:r>
      <w:r w:rsidR="00ED4552">
        <w:t xml:space="preserve">could </w:t>
      </w:r>
      <w:r w:rsidR="00A416B4" w:rsidRPr="00614A66">
        <w:t xml:space="preserve">be assumed to remain similar to </w:t>
      </w:r>
      <w:r w:rsidR="00ED4552">
        <w:t xml:space="preserve">that in </w:t>
      </w:r>
      <w:r w:rsidR="00A416B4" w:rsidRPr="00614A66">
        <w:t>2022.</w:t>
      </w:r>
      <w:r w:rsidR="00FB2DDB">
        <w:t xml:space="preserve"> </w:t>
      </w:r>
    </w:p>
    <w:p w14:paraId="642ED523" w14:textId="10D24E59" w:rsidR="00136039" w:rsidRDefault="00FB2DDB" w:rsidP="00D06AAF">
      <w:pPr>
        <w:spacing w:after="120"/>
      </w:pPr>
      <w:r>
        <w:t>The Guarantee of Origin (G</w:t>
      </w:r>
      <w:r w:rsidR="00334579">
        <w:t>O</w:t>
      </w:r>
      <w:r>
        <w:t xml:space="preserve">) </w:t>
      </w:r>
      <w:r w:rsidR="00FC7527">
        <w:t>S</w:t>
      </w:r>
      <w:r>
        <w:t xml:space="preserve">cheme </w:t>
      </w:r>
      <w:r w:rsidR="008C4C77">
        <w:t xml:space="preserve">once fully implemented </w:t>
      </w:r>
      <w:r w:rsidR="007B3F84">
        <w:t xml:space="preserve">may </w:t>
      </w:r>
      <w:r w:rsidR="00B348C5">
        <w:t xml:space="preserve">provide </w:t>
      </w:r>
      <w:r w:rsidR="00D84C45">
        <w:t xml:space="preserve">additional </w:t>
      </w:r>
      <w:r w:rsidR="00B348C5">
        <w:t>or alternative support for biomethane activities</w:t>
      </w:r>
      <w:r w:rsidR="00516AA4">
        <w:t xml:space="preserve">. </w:t>
      </w:r>
      <w:r w:rsidR="00FD5428">
        <w:t xml:space="preserve">Additionality </w:t>
      </w:r>
      <w:r w:rsidR="00382ABC">
        <w:t xml:space="preserve">of </w:t>
      </w:r>
      <w:r w:rsidR="008C4C77">
        <w:t xml:space="preserve">biomethane </w:t>
      </w:r>
      <w:r w:rsidR="00E618A6">
        <w:t xml:space="preserve">activities in the </w:t>
      </w:r>
      <w:r w:rsidR="00A27661">
        <w:t>ACCU Scheme</w:t>
      </w:r>
      <w:r w:rsidR="00FD5428">
        <w:t xml:space="preserve"> </w:t>
      </w:r>
      <w:r w:rsidR="009A2A85">
        <w:t xml:space="preserve">may need to be reviewed </w:t>
      </w:r>
      <w:r w:rsidR="00C856C8">
        <w:t>if</w:t>
      </w:r>
      <w:r w:rsidR="009A2A85">
        <w:t xml:space="preserve"> support is provided by the GO Scheme</w:t>
      </w:r>
      <w:r w:rsidR="00E618A6">
        <w:t>.</w:t>
      </w:r>
    </w:p>
    <w:p w14:paraId="48776C73" w14:textId="77777777" w:rsidR="00136039" w:rsidRDefault="00136039">
      <w:pPr>
        <w:spacing w:after="0" w:line="240" w:lineRule="auto"/>
      </w:pPr>
      <w:r>
        <w:br w:type="page"/>
      </w:r>
    </w:p>
    <w:p w14:paraId="1B88F90E" w14:textId="2F824460" w:rsidR="00577793" w:rsidRPr="008F47D9" w:rsidRDefault="00AF64FE" w:rsidP="0048335D">
      <w:pPr>
        <w:pStyle w:val="BoxText"/>
        <w:rPr>
          <w:b/>
          <w:bCs/>
          <w:i/>
          <w:iCs/>
          <w:sz w:val="22"/>
          <w:lang w:eastAsia="ja-JP"/>
        </w:rPr>
      </w:pPr>
      <w:r w:rsidRPr="008F47D9">
        <w:rPr>
          <w:b/>
          <w:bCs/>
          <w:i/>
          <w:iCs/>
          <w:sz w:val="22"/>
          <w:lang w:eastAsia="ja-JP"/>
        </w:rPr>
        <w:lastRenderedPageBreak/>
        <w:t>The Committee welcomes views on</w:t>
      </w:r>
      <w:r w:rsidR="000B51E2" w:rsidRPr="000B51E2">
        <w:rPr>
          <w:b/>
          <w:bCs/>
          <w:i/>
          <w:iCs/>
          <w:sz w:val="22"/>
          <w:lang w:eastAsia="ja-JP"/>
        </w:rPr>
        <w:t xml:space="preserve"> </w:t>
      </w:r>
      <w:r w:rsidR="000B51E2">
        <w:rPr>
          <w:b/>
          <w:bCs/>
          <w:i/>
          <w:iCs/>
          <w:sz w:val="22"/>
          <w:lang w:eastAsia="ja-JP"/>
        </w:rPr>
        <w:t>the following questions</w:t>
      </w:r>
      <w:r w:rsidRPr="008F47D9">
        <w:rPr>
          <w:b/>
          <w:bCs/>
          <w:i/>
          <w:iCs/>
          <w:sz w:val="22"/>
          <w:lang w:eastAsia="ja-JP"/>
        </w:rPr>
        <w:t>:</w:t>
      </w:r>
      <w:r w:rsidRPr="008F47D9" w:rsidDel="003820BC">
        <w:rPr>
          <w:b/>
          <w:bCs/>
          <w:i/>
          <w:iCs/>
          <w:sz w:val="22"/>
          <w:lang w:eastAsia="ja-JP"/>
        </w:rPr>
        <w:t xml:space="preserve"> </w:t>
      </w:r>
    </w:p>
    <w:p w14:paraId="5DD86A22" w14:textId="4D83CC85" w:rsidR="007D5349" w:rsidRPr="008F47D9" w:rsidRDefault="008A4381" w:rsidP="0048335D">
      <w:pPr>
        <w:pStyle w:val="BoxText"/>
        <w:rPr>
          <w:sz w:val="22"/>
          <w:lang w:eastAsia="ja-JP"/>
        </w:rPr>
      </w:pPr>
      <w:r>
        <w:rPr>
          <w:sz w:val="22"/>
        </w:rPr>
        <w:t xml:space="preserve">Do you expect there will be </w:t>
      </w:r>
      <w:r w:rsidR="00240655">
        <w:rPr>
          <w:sz w:val="22"/>
        </w:rPr>
        <w:t xml:space="preserve">continued </w:t>
      </w:r>
      <w:r>
        <w:rPr>
          <w:sz w:val="22"/>
        </w:rPr>
        <w:t xml:space="preserve">demand for </w:t>
      </w:r>
      <w:r w:rsidR="00C258F6">
        <w:rPr>
          <w:sz w:val="22"/>
        </w:rPr>
        <w:t>biomethane</w:t>
      </w:r>
      <w:r w:rsidR="00365C82" w:rsidRPr="008F47D9">
        <w:rPr>
          <w:sz w:val="22"/>
        </w:rPr>
        <w:t xml:space="preserve"> </w:t>
      </w:r>
      <w:r w:rsidR="007D5349" w:rsidRPr="008F47D9">
        <w:rPr>
          <w:sz w:val="22"/>
        </w:rPr>
        <w:t xml:space="preserve">in </w:t>
      </w:r>
      <w:r w:rsidR="000D22F3">
        <w:rPr>
          <w:sz w:val="22"/>
        </w:rPr>
        <w:t xml:space="preserve">a liquid </w:t>
      </w:r>
      <w:r w:rsidR="00D65CCA">
        <w:rPr>
          <w:sz w:val="22"/>
        </w:rPr>
        <w:t xml:space="preserve">/ organic </w:t>
      </w:r>
      <w:r w:rsidR="000D22F3">
        <w:rPr>
          <w:sz w:val="22"/>
        </w:rPr>
        <w:t>waste</w:t>
      </w:r>
      <w:r w:rsidR="00365C82" w:rsidRPr="008F47D9">
        <w:rPr>
          <w:sz w:val="22"/>
        </w:rPr>
        <w:t xml:space="preserve"> </w:t>
      </w:r>
      <w:r w:rsidR="000D22F3">
        <w:rPr>
          <w:sz w:val="22"/>
        </w:rPr>
        <w:t>m</w:t>
      </w:r>
      <w:r w:rsidR="00365C82" w:rsidRPr="008F47D9">
        <w:rPr>
          <w:sz w:val="22"/>
        </w:rPr>
        <w:t>ethod</w:t>
      </w:r>
      <w:r w:rsidR="00D65CCA">
        <w:rPr>
          <w:sz w:val="22"/>
        </w:rPr>
        <w:t>?</w:t>
      </w:r>
      <w:r w:rsidR="008F47D9" w:rsidRPr="008F47D9">
        <w:rPr>
          <w:sz w:val="22"/>
        </w:rPr>
        <w:t xml:space="preserve"> </w:t>
      </w:r>
      <w:r w:rsidR="008F47D9" w:rsidRPr="008F47D9">
        <w:rPr>
          <w:sz w:val="22"/>
          <w:lang w:eastAsia="ja-JP"/>
        </w:rPr>
        <w:t>(Question 16)</w:t>
      </w:r>
      <w:r w:rsidR="00E5172A">
        <w:rPr>
          <w:sz w:val="22"/>
          <w:lang w:eastAsia="ja-JP"/>
        </w:rPr>
        <w:t>.</w:t>
      </w:r>
    </w:p>
    <w:p w14:paraId="60772233" w14:textId="7A1E4C61" w:rsidR="007D5349" w:rsidRDefault="007D5349" w:rsidP="0048335D">
      <w:pPr>
        <w:pStyle w:val="BoxText"/>
        <w:rPr>
          <w:sz w:val="22"/>
          <w:lang w:eastAsia="ja-JP"/>
        </w:rPr>
      </w:pPr>
      <w:r w:rsidRPr="008F47D9">
        <w:rPr>
          <w:sz w:val="22"/>
        </w:rPr>
        <w:t>What crediting period and/or other features would need</w:t>
      </w:r>
      <w:r w:rsidR="00365C82" w:rsidRPr="008F47D9">
        <w:rPr>
          <w:sz w:val="22"/>
        </w:rPr>
        <w:t xml:space="preserve"> to be changed</w:t>
      </w:r>
      <w:r w:rsidR="00F049E5">
        <w:rPr>
          <w:sz w:val="22"/>
        </w:rPr>
        <w:t xml:space="preserve"> in the </w:t>
      </w:r>
      <w:r w:rsidR="001C7623">
        <w:rPr>
          <w:sz w:val="22"/>
        </w:rPr>
        <w:t xml:space="preserve">AEM </w:t>
      </w:r>
      <w:r w:rsidR="00F049E5" w:rsidRPr="00784C28">
        <w:rPr>
          <w:sz w:val="22"/>
        </w:rPr>
        <w:t>method</w:t>
      </w:r>
      <w:r w:rsidRPr="00784C28">
        <w:rPr>
          <w:sz w:val="22"/>
        </w:rPr>
        <w:t xml:space="preserve"> </w:t>
      </w:r>
      <w:r w:rsidR="001C7623" w:rsidRPr="004956E4">
        <w:rPr>
          <w:sz w:val="22"/>
        </w:rPr>
        <w:t xml:space="preserve">2019 </w:t>
      </w:r>
      <w:r w:rsidRPr="004956E4">
        <w:rPr>
          <w:sz w:val="22"/>
        </w:rPr>
        <w:t>t</w:t>
      </w:r>
      <w:r w:rsidRPr="008F47D9">
        <w:rPr>
          <w:sz w:val="22"/>
        </w:rPr>
        <w:t xml:space="preserve">o encourage </w:t>
      </w:r>
      <w:r w:rsidR="00365C82" w:rsidRPr="008F47D9">
        <w:rPr>
          <w:sz w:val="22"/>
        </w:rPr>
        <w:t xml:space="preserve">biomethane </w:t>
      </w:r>
      <w:r w:rsidRPr="008F47D9">
        <w:rPr>
          <w:sz w:val="22"/>
        </w:rPr>
        <w:t>project initiation while still meeting the OIS?</w:t>
      </w:r>
      <w:r w:rsidR="008F47D9" w:rsidRPr="008F47D9">
        <w:rPr>
          <w:sz w:val="22"/>
        </w:rPr>
        <w:t xml:space="preserve"> </w:t>
      </w:r>
      <w:r w:rsidR="00443741">
        <w:rPr>
          <w:sz w:val="22"/>
        </w:rPr>
        <w:t>(</w:t>
      </w:r>
      <w:r w:rsidR="00B12CD6" w:rsidRPr="0048335D">
        <w:rPr>
          <w:i/>
          <w:iCs/>
          <w:sz w:val="22"/>
        </w:rPr>
        <w:t>If possible, please justify your answer with data and/or calculations</w:t>
      </w:r>
      <w:r w:rsidR="00443741">
        <w:rPr>
          <w:sz w:val="22"/>
        </w:rPr>
        <w:t>)</w:t>
      </w:r>
      <w:r w:rsidR="0048335D">
        <w:rPr>
          <w:sz w:val="22"/>
        </w:rPr>
        <w:t xml:space="preserve"> </w:t>
      </w:r>
      <w:r w:rsidR="008F47D9" w:rsidRPr="008F47D9">
        <w:rPr>
          <w:sz w:val="22"/>
          <w:lang w:eastAsia="ja-JP"/>
        </w:rPr>
        <w:t>(Question 17)</w:t>
      </w:r>
      <w:r w:rsidR="00E5172A">
        <w:rPr>
          <w:sz w:val="22"/>
          <w:lang w:eastAsia="ja-JP"/>
        </w:rPr>
        <w:t>.</w:t>
      </w:r>
    </w:p>
    <w:p w14:paraId="4C54D407" w14:textId="28F58A49" w:rsidR="00E618A6" w:rsidRPr="008F47D9" w:rsidRDefault="00EE7B2C" w:rsidP="0048335D">
      <w:pPr>
        <w:pStyle w:val="BoxText"/>
        <w:rPr>
          <w:sz w:val="22"/>
          <w:lang w:eastAsia="ja-JP"/>
        </w:rPr>
      </w:pPr>
      <w:r>
        <w:rPr>
          <w:sz w:val="22"/>
          <w:lang w:eastAsia="ja-JP"/>
        </w:rPr>
        <w:t xml:space="preserve">Do you expect the </w:t>
      </w:r>
      <w:r w:rsidR="00595039">
        <w:rPr>
          <w:sz w:val="22"/>
          <w:lang w:eastAsia="ja-JP"/>
        </w:rPr>
        <w:t>G</w:t>
      </w:r>
      <w:r w:rsidR="00AD39BF">
        <w:rPr>
          <w:sz w:val="22"/>
          <w:lang w:eastAsia="ja-JP"/>
        </w:rPr>
        <w:t xml:space="preserve">uarantee of </w:t>
      </w:r>
      <w:r w:rsidR="00D43543">
        <w:rPr>
          <w:sz w:val="22"/>
          <w:lang w:eastAsia="ja-JP"/>
        </w:rPr>
        <w:t>O</w:t>
      </w:r>
      <w:r w:rsidR="00AD39BF">
        <w:rPr>
          <w:sz w:val="22"/>
          <w:lang w:eastAsia="ja-JP"/>
        </w:rPr>
        <w:t>rigin</w:t>
      </w:r>
      <w:r w:rsidR="00D43543">
        <w:rPr>
          <w:sz w:val="22"/>
          <w:lang w:eastAsia="ja-JP"/>
        </w:rPr>
        <w:t xml:space="preserve"> </w:t>
      </w:r>
      <w:r w:rsidR="00C456D8">
        <w:rPr>
          <w:sz w:val="22"/>
          <w:lang w:eastAsia="ja-JP"/>
        </w:rPr>
        <w:t xml:space="preserve">Scheme </w:t>
      </w:r>
      <w:r w:rsidR="00E06D10">
        <w:rPr>
          <w:sz w:val="22"/>
          <w:lang w:eastAsia="ja-JP"/>
        </w:rPr>
        <w:t xml:space="preserve">to </w:t>
      </w:r>
      <w:r w:rsidR="00D43543">
        <w:rPr>
          <w:sz w:val="22"/>
          <w:lang w:eastAsia="ja-JP"/>
        </w:rPr>
        <w:t xml:space="preserve">provide </w:t>
      </w:r>
      <w:r w:rsidR="00687517">
        <w:rPr>
          <w:sz w:val="22"/>
          <w:lang w:eastAsia="ja-JP"/>
        </w:rPr>
        <w:t xml:space="preserve">more effective support for biomethane activities </w:t>
      </w:r>
      <w:r w:rsidR="0045285F">
        <w:rPr>
          <w:sz w:val="22"/>
          <w:lang w:eastAsia="ja-JP"/>
        </w:rPr>
        <w:t xml:space="preserve">than </w:t>
      </w:r>
      <w:r w:rsidR="00687517">
        <w:rPr>
          <w:sz w:val="22"/>
          <w:lang w:eastAsia="ja-JP"/>
        </w:rPr>
        <w:t xml:space="preserve">the ACCU </w:t>
      </w:r>
      <w:r w:rsidR="00FB3FD6">
        <w:rPr>
          <w:sz w:val="22"/>
          <w:lang w:eastAsia="ja-JP"/>
        </w:rPr>
        <w:t>S</w:t>
      </w:r>
      <w:r w:rsidR="00687517">
        <w:rPr>
          <w:sz w:val="22"/>
          <w:lang w:eastAsia="ja-JP"/>
        </w:rPr>
        <w:t>cheme</w:t>
      </w:r>
      <w:r w:rsidR="00E06D10">
        <w:rPr>
          <w:sz w:val="22"/>
          <w:lang w:eastAsia="ja-JP"/>
        </w:rPr>
        <w:t>?</w:t>
      </w:r>
      <w:r w:rsidR="00571459">
        <w:rPr>
          <w:sz w:val="22"/>
          <w:lang w:eastAsia="ja-JP"/>
        </w:rPr>
        <w:t xml:space="preserve"> (Question</w:t>
      </w:r>
      <w:r w:rsidR="001B3CED">
        <w:rPr>
          <w:sz w:val="22"/>
          <w:lang w:eastAsia="ja-JP"/>
        </w:rPr>
        <w:t xml:space="preserve"> 18)</w:t>
      </w:r>
      <w:r w:rsidR="00240655">
        <w:rPr>
          <w:sz w:val="22"/>
          <w:lang w:eastAsia="ja-JP"/>
        </w:rPr>
        <w:t>.</w:t>
      </w:r>
    </w:p>
    <w:p w14:paraId="4A0FC166" w14:textId="328FD6CE" w:rsidR="00000757" w:rsidRPr="005E69AE" w:rsidRDefault="006D3C89" w:rsidP="0048335D">
      <w:pPr>
        <w:pStyle w:val="Heading3"/>
        <w:spacing w:before="120" w:after="120" w:line="276" w:lineRule="auto"/>
        <w:rPr>
          <w:color w:val="017097" w:themeColor="accent1"/>
          <w:lang w:val="en-US" w:eastAsia="ja-JP"/>
        </w:rPr>
      </w:pPr>
      <w:bookmarkStart w:id="20" w:name="_Toc192068740"/>
      <w:r>
        <w:rPr>
          <w:color w:val="017097" w:themeColor="accent1"/>
          <w:lang w:val="en-US" w:eastAsia="ja-JP"/>
        </w:rPr>
        <w:t xml:space="preserve">Digestate treatment options </w:t>
      </w:r>
      <w:r w:rsidR="002A0C9F">
        <w:rPr>
          <w:color w:val="017097" w:themeColor="accent1"/>
          <w:lang w:val="en-US" w:eastAsia="ja-JP"/>
        </w:rPr>
        <w:t xml:space="preserve">&amp; </w:t>
      </w:r>
      <w:r w:rsidR="00000757" w:rsidRPr="005E69AE">
        <w:rPr>
          <w:color w:val="017097" w:themeColor="accent1"/>
          <w:lang w:val="en-US" w:eastAsia="ja-JP"/>
        </w:rPr>
        <w:t>emissions from end-management of digestate</w:t>
      </w:r>
      <w:bookmarkEnd w:id="20"/>
    </w:p>
    <w:p w14:paraId="0AF4393A" w14:textId="0727BC26" w:rsidR="008C1A76" w:rsidRPr="008C1A76" w:rsidRDefault="002A555F" w:rsidP="0048335D">
      <w:pPr>
        <w:spacing w:before="120" w:after="120"/>
        <w:rPr>
          <w:lang w:eastAsia="ja-JP"/>
        </w:rPr>
      </w:pPr>
      <w:r w:rsidRPr="008C1A76">
        <w:rPr>
          <w:lang w:eastAsia="ja-JP"/>
        </w:rPr>
        <w:t xml:space="preserve">Digestate is </w:t>
      </w:r>
      <w:r w:rsidR="008C1A76" w:rsidRPr="008C1A76">
        <w:rPr>
          <w:lang w:eastAsia="ja-JP"/>
        </w:rPr>
        <w:t xml:space="preserve">defined </w:t>
      </w:r>
      <w:r w:rsidR="00F65175">
        <w:rPr>
          <w:lang w:eastAsia="ja-JP"/>
        </w:rPr>
        <w:t xml:space="preserve">in the </w:t>
      </w:r>
      <w:r w:rsidR="00446CB8">
        <w:rPr>
          <w:lang w:eastAsia="ja-JP"/>
        </w:rPr>
        <w:t>Wastewater method 2015</w:t>
      </w:r>
      <w:r w:rsidR="00F65175">
        <w:rPr>
          <w:lang w:eastAsia="ja-JP"/>
        </w:rPr>
        <w:t xml:space="preserve"> </w:t>
      </w:r>
      <w:r w:rsidR="008C1A76" w:rsidRPr="008C1A76">
        <w:rPr>
          <w:lang w:eastAsia="ja-JP"/>
        </w:rPr>
        <w:t xml:space="preserve">as </w:t>
      </w:r>
      <w:r w:rsidRPr="002A555F">
        <w:rPr>
          <w:lang w:eastAsia="ja-JP"/>
        </w:rPr>
        <w:t xml:space="preserve">the </w:t>
      </w:r>
      <w:r w:rsidR="00F65175">
        <w:rPr>
          <w:lang w:eastAsia="ja-JP"/>
        </w:rPr>
        <w:t>‘</w:t>
      </w:r>
      <w:r w:rsidRPr="002A555F">
        <w:rPr>
          <w:lang w:eastAsia="ja-JP"/>
        </w:rPr>
        <w:t xml:space="preserve">residual solids or semisolids stream that: (a) remains in an anaerobic digester following anaerobic treatment; and </w:t>
      </w:r>
      <w:r w:rsidRPr="008C1A76">
        <w:rPr>
          <w:lang w:eastAsia="ja-JP"/>
        </w:rPr>
        <w:t>(b) must be removed periodically.</w:t>
      </w:r>
      <w:r w:rsidR="002432AC">
        <w:rPr>
          <w:lang w:eastAsia="ja-JP"/>
        </w:rPr>
        <w:t>’</w:t>
      </w:r>
      <w:r w:rsidRPr="008C1A76">
        <w:rPr>
          <w:lang w:eastAsia="ja-JP"/>
        </w:rPr>
        <w:t xml:space="preserve"> </w:t>
      </w:r>
    </w:p>
    <w:p w14:paraId="556F882B" w14:textId="376B97E0" w:rsidR="003A3678" w:rsidRPr="008C1A76" w:rsidRDefault="000A6E5F" w:rsidP="0048335D">
      <w:pPr>
        <w:spacing w:before="120" w:after="120"/>
        <w:rPr>
          <w:lang w:eastAsia="ja-JP"/>
        </w:rPr>
      </w:pPr>
      <w:r w:rsidRPr="008C1A76">
        <w:rPr>
          <w:lang w:eastAsia="ja-JP"/>
        </w:rPr>
        <w:t xml:space="preserve">The </w:t>
      </w:r>
      <w:r w:rsidR="00446CB8">
        <w:rPr>
          <w:lang w:eastAsia="ja-JP"/>
        </w:rPr>
        <w:t>Wastewater method 2015</w:t>
      </w:r>
      <w:r w:rsidRPr="008C1A76">
        <w:rPr>
          <w:lang w:eastAsia="ja-JP"/>
        </w:rPr>
        <w:t xml:space="preserve"> include</w:t>
      </w:r>
      <w:r w:rsidR="002432AC">
        <w:rPr>
          <w:lang w:eastAsia="ja-JP"/>
        </w:rPr>
        <w:t>s</w:t>
      </w:r>
      <w:r w:rsidRPr="008C1A76">
        <w:rPr>
          <w:lang w:eastAsia="ja-JP"/>
        </w:rPr>
        <w:t xml:space="preserve"> </w:t>
      </w:r>
      <w:r w:rsidR="002432AC">
        <w:rPr>
          <w:lang w:eastAsia="ja-JP"/>
        </w:rPr>
        <w:t xml:space="preserve">calculations of </w:t>
      </w:r>
      <w:r w:rsidRPr="008C1A76">
        <w:rPr>
          <w:lang w:eastAsia="ja-JP"/>
        </w:rPr>
        <w:t>emissions from the end-management of digestate in the net abatement amount</w:t>
      </w:r>
      <w:r w:rsidR="008D4AEC" w:rsidRPr="008C1A76">
        <w:rPr>
          <w:lang w:eastAsia="ja-JP"/>
        </w:rPr>
        <w:t xml:space="preserve"> while the </w:t>
      </w:r>
      <w:r w:rsidR="00053F71">
        <w:rPr>
          <w:lang w:eastAsia="ja-JP"/>
        </w:rPr>
        <w:t>AEM method 2019</w:t>
      </w:r>
      <w:r w:rsidR="007F4AC4" w:rsidRPr="008C1A76">
        <w:rPr>
          <w:lang w:eastAsia="ja-JP"/>
        </w:rPr>
        <w:t xml:space="preserve"> does</w:t>
      </w:r>
      <w:r w:rsidR="003E26C5">
        <w:rPr>
          <w:lang w:eastAsia="ja-JP"/>
        </w:rPr>
        <w:t xml:space="preserve"> not</w:t>
      </w:r>
      <w:r w:rsidRPr="008C1A76">
        <w:rPr>
          <w:lang w:eastAsia="ja-JP"/>
        </w:rPr>
        <w:t xml:space="preserve">. </w:t>
      </w:r>
      <w:r w:rsidR="00697B97" w:rsidRPr="008C1A76">
        <w:rPr>
          <w:lang w:eastAsia="ja-JP"/>
        </w:rPr>
        <w:t xml:space="preserve">The question of </w:t>
      </w:r>
      <w:r w:rsidR="003A3678" w:rsidRPr="008C1A76">
        <w:rPr>
          <w:lang w:eastAsia="ja-JP"/>
        </w:rPr>
        <w:t xml:space="preserve">whether the emissions </w:t>
      </w:r>
      <w:r w:rsidR="00880435" w:rsidRPr="008C1A76">
        <w:rPr>
          <w:lang w:eastAsia="ja-JP"/>
        </w:rPr>
        <w:t>from end</w:t>
      </w:r>
      <w:r w:rsidR="003C7E93" w:rsidRPr="008C1A76">
        <w:rPr>
          <w:lang w:eastAsia="ja-JP"/>
        </w:rPr>
        <w:t xml:space="preserve"> </w:t>
      </w:r>
      <w:r w:rsidR="00880435" w:rsidRPr="008C1A76">
        <w:rPr>
          <w:lang w:eastAsia="ja-JP"/>
        </w:rPr>
        <w:t xml:space="preserve">management of digestate in </w:t>
      </w:r>
      <w:r w:rsidR="00B20990" w:rsidRPr="008C1A76">
        <w:rPr>
          <w:lang w:eastAsia="ja-JP"/>
        </w:rPr>
        <w:t>AEM</w:t>
      </w:r>
      <w:r w:rsidR="00880435" w:rsidRPr="008C1A76">
        <w:rPr>
          <w:lang w:eastAsia="ja-JP"/>
        </w:rPr>
        <w:t xml:space="preserve"> projects are material </w:t>
      </w:r>
      <w:r w:rsidR="00697B97" w:rsidRPr="008C1A76">
        <w:rPr>
          <w:lang w:eastAsia="ja-JP"/>
        </w:rPr>
        <w:t xml:space="preserve">has been raised in the </w:t>
      </w:r>
      <w:r w:rsidR="001A0D29" w:rsidRPr="008C1A76">
        <w:rPr>
          <w:lang w:eastAsia="ja-JP"/>
        </w:rPr>
        <w:t xml:space="preserve">past. </w:t>
      </w:r>
      <w:r w:rsidR="005D0A31" w:rsidRPr="008C1A76">
        <w:rPr>
          <w:lang w:eastAsia="ja-JP"/>
        </w:rPr>
        <w:t xml:space="preserve">The </w:t>
      </w:r>
      <w:r w:rsidR="003D6C87">
        <w:rPr>
          <w:lang w:eastAsia="ja-JP"/>
        </w:rPr>
        <w:t>D</w:t>
      </w:r>
      <w:r w:rsidR="00256EA3" w:rsidRPr="008C1A76">
        <w:rPr>
          <w:lang w:eastAsia="ja-JP"/>
        </w:rPr>
        <w:t xml:space="preserve">epartment </w:t>
      </w:r>
      <w:r w:rsidR="003D6C87">
        <w:rPr>
          <w:lang w:eastAsia="ja-JP"/>
        </w:rPr>
        <w:t>of Climate Change, Energy, the Environment and Water (</w:t>
      </w:r>
      <w:r w:rsidR="003C382B">
        <w:rPr>
          <w:lang w:eastAsia="ja-JP"/>
        </w:rPr>
        <w:t>the department</w:t>
      </w:r>
      <w:r w:rsidR="003D6C87">
        <w:rPr>
          <w:lang w:eastAsia="ja-JP"/>
        </w:rPr>
        <w:t xml:space="preserve">) </w:t>
      </w:r>
      <w:r w:rsidR="005D0A31" w:rsidRPr="008C1A76">
        <w:rPr>
          <w:lang w:eastAsia="ja-JP"/>
        </w:rPr>
        <w:t xml:space="preserve">commissioned </w:t>
      </w:r>
      <w:r w:rsidR="00C67EB0">
        <w:rPr>
          <w:lang w:eastAsia="ja-JP"/>
        </w:rPr>
        <w:t xml:space="preserve">an </w:t>
      </w:r>
      <w:r w:rsidR="00256EA3" w:rsidRPr="008C1A76">
        <w:rPr>
          <w:lang w:eastAsia="ja-JP"/>
        </w:rPr>
        <w:t>assessment of materiality of digestate emissions</w:t>
      </w:r>
      <w:r w:rsidR="001D6CF0" w:rsidRPr="008C1A76">
        <w:rPr>
          <w:lang w:eastAsia="ja-JP"/>
        </w:rPr>
        <w:t xml:space="preserve"> in 2022/23</w:t>
      </w:r>
      <w:r w:rsidR="00256EA3" w:rsidRPr="008C1A76">
        <w:rPr>
          <w:lang w:eastAsia="ja-JP"/>
        </w:rPr>
        <w:t xml:space="preserve">, </w:t>
      </w:r>
      <w:r w:rsidR="00C4465E" w:rsidRPr="008C1A76">
        <w:rPr>
          <w:lang w:eastAsia="ja-JP"/>
        </w:rPr>
        <w:t xml:space="preserve">with a range of results reported. </w:t>
      </w:r>
      <w:r w:rsidR="000B39FB" w:rsidRPr="008C1A76">
        <w:rPr>
          <w:lang w:eastAsia="ja-JP"/>
        </w:rPr>
        <w:t>If</w:t>
      </w:r>
      <w:r w:rsidR="001A0D29" w:rsidRPr="008C1A76">
        <w:rPr>
          <w:lang w:eastAsia="ja-JP"/>
        </w:rPr>
        <w:t xml:space="preserve"> emissions are material, </w:t>
      </w:r>
      <w:r w:rsidR="000B39FB" w:rsidRPr="008C1A76">
        <w:rPr>
          <w:lang w:eastAsia="ja-JP"/>
        </w:rPr>
        <w:t xml:space="preserve">they </w:t>
      </w:r>
      <w:r w:rsidR="00353E90" w:rsidRPr="008C1A76">
        <w:rPr>
          <w:lang w:eastAsia="ja-JP"/>
        </w:rPr>
        <w:t>must</w:t>
      </w:r>
      <w:r w:rsidR="000B39FB" w:rsidRPr="008C1A76">
        <w:rPr>
          <w:lang w:eastAsia="ja-JP"/>
        </w:rPr>
        <w:t xml:space="preserve"> b</w:t>
      </w:r>
      <w:r w:rsidR="00497498" w:rsidRPr="008C1A76">
        <w:rPr>
          <w:lang w:eastAsia="ja-JP"/>
        </w:rPr>
        <w:t xml:space="preserve">e accounted for in </w:t>
      </w:r>
      <w:r w:rsidR="00F922C1">
        <w:rPr>
          <w:lang w:eastAsia="ja-JP"/>
        </w:rPr>
        <w:t xml:space="preserve">a </w:t>
      </w:r>
      <w:r w:rsidR="00497498" w:rsidRPr="008C1A76">
        <w:rPr>
          <w:lang w:eastAsia="ja-JP"/>
        </w:rPr>
        <w:t>method</w:t>
      </w:r>
      <w:r w:rsidR="005B17FF" w:rsidRPr="008C1A76">
        <w:rPr>
          <w:lang w:eastAsia="ja-JP"/>
        </w:rPr>
        <w:t xml:space="preserve"> as a source of project emissions</w:t>
      </w:r>
      <w:r w:rsidR="00497498" w:rsidRPr="008C1A76">
        <w:rPr>
          <w:lang w:eastAsia="ja-JP"/>
        </w:rPr>
        <w:t xml:space="preserve">. </w:t>
      </w:r>
    </w:p>
    <w:p w14:paraId="780D9B0B" w14:textId="1FD1BCE5" w:rsidR="00BF0FF7" w:rsidRPr="00C07A2B" w:rsidRDefault="00BF0FF7" w:rsidP="0048335D">
      <w:pPr>
        <w:spacing w:before="120" w:after="120"/>
        <w:rPr>
          <w:lang w:eastAsia="ja-JP"/>
        </w:rPr>
      </w:pPr>
      <w:r w:rsidRPr="00C07A2B">
        <w:rPr>
          <w:lang w:eastAsia="ja-JP"/>
        </w:rPr>
        <w:t xml:space="preserve">The Committee is seeking data </w:t>
      </w:r>
      <w:r w:rsidR="0053517C" w:rsidRPr="00C07A2B">
        <w:rPr>
          <w:lang w:eastAsia="ja-JP"/>
        </w:rPr>
        <w:t xml:space="preserve">and </w:t>
      </w:r>
      <w:r w:rsidR="00A03436" w:rsidRPr="00C07A2B">
        <w:rPr>
          <w:lang w:eastAsia="ja-JP"/>
        </w:rPr>
        <w:t>information</w:t>
      </w:r>
      <w:r w:rsidR="0053517C" w:rsidRPr="00C07A2B">
        <w:rPr>
          <w:lang w:eastAsia="ja-JP"/>
        </w:rPr>
        <w:t xml:space="preserve"> </w:t>
      </w:r>
      <w:r w:rsidR="008A1B05" w:rsidRPr="00C07A2B">
        <w:rPr>
          <w:lang w:eastAsia="ja-JP"/>
        </w:rPr>
        <w:t xml:space="preserve">from </w:t>
      </w:r>
      <w:r w:rsidR="00B20990" w:rsidRPr="00C07A2B">
        <w:rPr>
          <w:lang w:eastAsia="ja-JP"/>
        </w:rPr>
        <w:t>AEM</w:t>
      </w:r>
      <w:r w:rsidR="008A1B05" w:rsidRPr="00C07A2B">
        <w:rPr>
          <w:lang w:eastAsia="ja-JP"/>
        </w:rPr>
        <w:t xml:space="preserve"> </w:t>
      </w:r>
      <w:r w:rsidR="002E65F8">
        <w:rPr>
          <w:lang w:eastAsia="ja-JP"/>
        </w:rPr>
        <w:t xml:space="preserve">method </w:t>
      </w:r>
      <w:r w:rsidR="004D08C5">
        <w:rPr>
          <w:lang w:eastAsia="ja-JP"/>
        </w:rPr>
        <w:t xml:space="preserve">2019 </w:t>
      </w:r>
      <w:r w:rsidR="00C4465E" w:rsidRPr="00C07A2B">
        <w:rPr>
          <w:lang w:eastAsia="ja-JP"/>
        </w:rPr>
        <w:t xml:space="preserve">and </w:t>
      </w:r>
      <w:r w:rsidR="00446CB8">
        <w:rPr>
          <w:lang w:eastAsia="ja-JP"/>
        </w:rPr>
        <w:t>Wastewater method 2015</w:t>
      </w:r>
      <w:r w:rsidR="00C67EB0">
        <w:rPr>
          <w:lang w:eastAsia="ja-JP"/>
        </w:rPr>
        <w:t xml:space="preserve"> </w:t>
      </w:r>
      <w:r w:rsidR="00C07A2B" w:rsidRPr="00C07A2B">
        <w:rPr>
          <w:lang w:eastAsia="ja-JP"/>
        </w:rPr>
        <w:t xml:space="preserve">project proponents </w:t>
      </w:r>
      <w:r w:rsidR="00A03436" w:rsidRPr="00C07A2B">
        <w:rPr>
          <w:lang w:eastAsia="ja-JP"/>
        </w:rPr>
        <w:t xml:space="preserve">to assist its </w:t>
      </w:r>
      <w:r w:rsidR="005147E4" w:rsidRPr="00C07A2B">
        <w:rPr>
          <w:lang w:eastAsia="ja-JP"/>
        </w:rPr>
        <w:t xml:space="preserve">evaluation of emissions related to </w:t>
      </w:r>
      <w:r w:rsidR="005A42FD" w:rsidRPr="00C07A2B">
        <w:rPr>
          <w:lang w:eastAsia="ja-JP"/>
        </w:rPr>
        <w:t>end-</w:t>
      </w:r>
      <w:r w:rsidR="005147E4" w:rsidRPr="00C07A2B">
        <w:rPr>
          <w:lang w:eastAsia="ja-JP"/>
        </w:rPr>
        <w:t>management of digestate</w:t>
      </w:r>
      <w:r w:rsidR="00441550" w:rsidRPr="00C07A2B">
        <w:rPr>
          <w:lang w:eastAsia="ja-JP"/>
        </w:rPr>
        <w:t xml:space="preserve">. </w:t>
      </w:r>
      <w:r w:rsidR="006F76EB">
        <w:rPr>
          <w:lang w:eastAsia="ja-JP"/>
        </w:rPr>
        <w:t>Re</w:t>
      </w:r>
      <w:r w:rsidR="001E4401">
        <w:rPr>
          <w:lang w:eastAsia="ja-JP"/>
        </w:rPr>
        <w:t xml:space="preserve">levant </w:t>
      </w:r>
      <w:r w:rsidR="005A42FD" w:rsidRPr="00C07A2B">
        <w:rPr>
          <w:lang w:eastAsia="ja-JP"/>
        </w:rPr>
        <w:t>information</w:t>
      </w:r>
      <w:r w:rsidR="00F32E56" w:rsidRPr="00C07A2B">
        <w:rPr>
          <w:lang w:eastAsia="ja-JP"/>
        </w:rPr>
        <w:t xml:space="preserve"> include</w:t>
      </w:r>
      <w:r w:rsidR="3C5D4B4B" w:rsidRPr="00C07A2B">
        <w:rPr>
          <w:lang w:eastAsia="ja-JP"/>
        </w:rPr>
        <w:t>s</w:t>
      </w:r>
      <w:r w:rsidR="00F32E56" w:rsidRPr="00C07A2B">
        <w:rPr>
          <w:lang w:eastAsia="ja-JP"/>
        </w:rPr>
        <w:t>:</w:t>
      </w:r>
    </w:p>
    <w:p w14:paraId="12AA7938" w14:textId="4FA5C8B9" w:rsidR="001E4401" w:rsidRDefault="001E4401" w:rsidP="0048335D">
      <w:pPr>
        <w:pStyle w:val="ListBullet"/>
        <w:rPr>
          <w:lang w:eastAsia="ja-JP"/>
        </w:rPr>
      </w:pPr>
      <w:r>
        <w:rPr>
          <w:lang w:eastAsia="ja-JP"/>
        </w:rPr>
        <w:t>the significance of emissions from end management of digestate</w:t>
      </w:r>
    </w:p>
    <w:p w14:paraId="1DF324F2" w14:textId="4AF32548" w:rsidR="00871E13" w:rsidRDefault="00871E13" w:rsidP="0048335D">
      <w:pPr>
        <w:pStyle w:val="ListBullet"/>
        <w:rPr>
          <w:lang w:eastAsia="ja-JP"/>
        </w:rPr>
      </w:pPr>
      <w:r>
        <w:rPr>
          <w:lang w:eastAsia="ja-JP"/>
        </w:rPr>
        <w:t>how emissions from digestate might be calculated</w:t>
      </w:r>
    </w:p>
    <w:p w14:paraId="03C377F9" w14:textId="4DBACF2B" w:rsidR="002D0BFC" w:rsidRPr="00C07A2B" w:rsidRDefault="00F36A76" w:rsidP="0048335D">
      <w:pPr>
        <w:pStyle w:val="ListBullet"/>
        <w:rPr>
          <w:lang w:eastAsia="ja-JP"/>
        </w:rPr>
      </w:pPr>
      <w:r w:rsidRPr="00C07A2B">
        <w:rPr>
          <w:lang w:eastAsia="ja-JP"/>
        </w:rPr>
        <w:t>t</w:t>
      </w:r>
      <w:r w:rsidR="002D0BFC" w:rsidRPr="00C07A2B">
        <w:rPr>
          <w:lang w:eastAsia="ja-JP"/>
        </w:rPr>
        <w:t>he type of anaerobic digester system in use and the frequency of digestate removal (cleaning)</w:t>
      </w:r>
    </w:p>
    <w:p w14:paraId="6BE1A466" w14:textId="0F9382F2" w:rsidR="002D0BFC" w:rsidRPr="00C07A2B" w:rsidRDefault="00F36A76" w:rsidP="0048335D">
      <w:pPr>
        <w:pStyle w:val="ListBullet"/>
        <w:rPr>
          <w:lang w:eastAsia="ja-JP"/>
        </w:rPr>
      </w:pPr>
      <w:r w:rsidRPr="00C07A2B">
        <w:rPr>
          <w:lang w:eastAsia="ja-JP"/>
        </w:rPr>
        <w:t>t</w:t>
      </w:r>
      <w:r w:rsidR="002D0BFC" w:rsidRPr="00C07A2B">
        <w:rPr>
          <w:lang w:eastAsia="ja-JP"/>
        </w:rPr>
        <w:t>he method of digestate treatment, such as disposal to landfill</w:t>
      </w:r>
      <w:r w:rsidR="00355AA0">
        <w:rPr>
          <w:lang w:eastAsia="ja-JP"/>
        </w:rPr>
        <w:t xml:space="preserve">, </w:t>
      </w:r>
      <w:r w:rsidR="002D0BFC" w:rsidRPr="00C07A2B">
        <w:rPr>
          <w:lang w:eastAsia="ja-JP"/>
        </w:rPr>
        <w:t>composting</w:t>
      </w:r>
      <w:r w:rsidR="00355AA0">
        <w:rPr>
          <w:lang w:eastAsia="ja-JP"/>
        </w:rPr>
        <w:t xml:space="preserve"> or land spreading</w:t>
      </w:r>
    </w:p>
    <w:p w14:paraId="75631C8F" w14:textId="29133609" w:rsidR="00334AFB" w:rsidRDefault="00F36A76" w:rsidP="0048335D">
      <w:pPr>
        <w:pStyle w:val="ListBullet"/>
        <w:rPr>
          <w:lang w:eastAsia="ja-JP"/>
        </w:rPr>
      </w:pPr>
      <w:r w:rsidRPr="00C07A2B">
        <w:rPr>
          <w:lang w:eastAsia="ja-JP"/>
        </w:rPr>
        <w:t>t</w:t>
      </w:r>
      <w:r w:rsidR="0016313E" w:rsidRPr="00C07A2B">
        <w:rPr>
          <w:lang w:eastAsia="ja-JP"/>
        </w:rPr>
        <w:t xml:space="preserve">he </w:t>
      </w:r>
      <w:r w:rsidRPr="00C07A2B">
        <w:rPr>
          <w:lang w:eastAsia="ja-JP"/>
        </w:rPr>
        <w:t>weight ratio</w:t>
      </w:r>
      <w:r w:rsidR="0016313E" w:rsidRPr="00C07A2B">
        <w:rPr>
          <w:lang w:eastAsia="ja-JP"/>
        </w:rPr>
        <w:t xml:space="preserve"> of digestate to the feedstock</w:t>
      </w:r>
    </w:p>
    <w:p w14:paraId="06848696" w14:textId="2EB0CF51" w:rsidR="00E91108" w:rsidRDefault="00C95581" w:rsidP="0048335D">
      <w:pPr>
        <w:spacing w:before="120" w:after="120"/>
        <w:rPr>
          <w:lang w:eastAsia="ja-JP"/>
        </w:rPr>
      </w:pPr>
      <w:r>
        <w:rPr>
          <w:lang w:eastAsia="ja-JP"/>
        </w:rPr>
        <w:t xml:space="preserve">Further, the </w:t>
      </w:r>
      <w:r w:rsidR="00904F71">
        <w:rPr>
          <w:lang w:eastAsia="ja-JP"/>
        </w:rPr>
        <w:t xml:space="preserve">Committee is aware that </w:t>
      </w:r>
      <w:r>
        <w:rPr>
          <w:lang w:eastAsia="ja-JP"/>
        </w:rPr>
        <w:t xml:space="preserve">water industry </w:t>
      </w:r>
      <w:r w:rsidR="00792791">
        <w:rPr>
          <w:lang w:eastAsia="ja-JP"/>
        </w:rPr>
        <w:t xml:space="preserve">participants </w:t>
      </w:r>
      <w:r w:rsidR="001A505B">
        <w:rPr>
          <w:lang w:eastAsia="ja-JP"/>
        </w:rPr>
        <w:t xml:space="preserve">have been examining </w:t>
      </w:r>
      <w:r w:rsidR="00B4142A">
        <w:rPr>
          <w:lang w:eastAsia="ja-JP"/>
        </w:rPr>
        <w:t xml:space="preserve">newer or </w:t>
      </w:r>
      <w:r>
        <w:rPr>
          <w:lang w:eastAsia="ja-JP"/>
        </w:rPr>
        <w:t xml:space="preserve">alternative treatments of digestate </w:t>
      </w:r>
      <w:r w:rsidR="00F92856">
        <w:rPr>
          <w:lang w:eastAsia="ja-JP"/>
        </w:rPr>
        <w:t xml:space="preserve">such as incineration </w:t>
      </w:r>
      <w:r w:rsidR="00001E08">
        <w:rPr>
          <w:lang w:eastAsia="ja-JP"/>
        </w:rPr>
        <w:t xml:space="preserve">and pyrolysis, including </w:t>
      </w:r>
      <w:r w:rsidR="007E4F7A">
        <w:rPr>
          <w:lang w:eastAsia="ja-JP"/>
        </w:rPr>
        <w:t xml:space="preserve">approaches that </w:t>
      </w:r>
      <w:r w:rsidR="00904F71">
        <w:rPr>
          <w:lang w:eastAsia="ja-JP"/>
        </w:rPr>
        <w:lastRenderedPageBreak/>
        <w:t xml:space="preserve">produce biochar. </w:t>
      </w:r>
      <w:r w:rsidR="007E3D27">
        <w:rPr>
          <w:lang w:eastAsia="ja-JP"/>
        </w:rPr>
        <w:t xml:space="preserve">An expression of interest (EOI) </w:t>
      </w:r>
      <w:r w:rsidR="004650A7">
        <w:rPr>
          <w:lang w:eastAsia="ja-JP"/>
        </w:rPr>
        <w:t>for a biochar method</w:t>
      </w:r>
      <w:r w:rsidR="004650A7">
        <w:rPr>
          <w:rStyle w:val="FootnoteReference"/>
          <w:lang w:eastAsia="ja-JP"/>
        </w:rPr>
        <w:footnoteReference w:id="7"/>
      </w:r>
      <w:r w:rsidR="004650A7">
        <w:rPr>
          <w:lang w:eastAsia="ja-JP"/>
        </w:rPr>
        <w:t xml:space="preserve"> </w:t>
      </w:r>
      <w:r w:rsidR="007E3D27">
        <w:rPr>
          <w:lang w:eastAsia="ja-JP"/>
        </w:rPr>
        <w:t xml:space="preserve">was received and considered </w:t>
      </w:r>
      <w:r w:rsidR="00AE52F9">
        <w:rPr>
          <w:lang w:eastAsia="ja-JP"/>
        </w:rPr>
        <w:t xml:space="preserve">by the Committee as part of the 2024 </w:t>
      </w:r>
      <w:r w:rsidR="00C02881">
        <w:rPr>
          <w:lang w:eastAsia="ja-JP"/>
        </w:rPr>
        <w:t xml:space="preserve">interim </w:t>
      </w:r>
      <w:r w:rsidR="00841A5B">
        <w:rPr>
          <w:lang w:eastAsia="ja-JP"/>
        </w:rPr>
        <w:t>proponent-led</w:t>
      </w:r>
      <w:r w:rsidR="00AE52F9">
        <w:rPr>
          <w:lang w:eastAsia="ja-JP"/>
        </w:rPr>
        <w:t xml:space="preserve"> method development process. </w:t>
      </w:r>
    </w:p>
    <w:p w14:paraId="626E1089" w14:textId="4ABE8E5A" w:rsidR="00136039" w:rsidRDefault="00C02881" w:rsidP="0048335D">
      <w:pPr>
        <w:spacing w:before="120" w:after="120"/>
        <w:rPr>
          <w:lang w:eastAsia="ja-JP"/>
        </w:rPr>
      </w:pPr>
      <w:r>
        <w:rPr>
          <w:lang w:eastAsia="ja-JP"/>
        </w:rPr>
        <w:t xml:space="preserve">The </w:t>
      </w:r>
      <w:r w:rsidR="00650A56">
        <w:rPr>
          <w:lang w:eastAsia="ja-JP"/>
        </w:rPr>
        <w:t>Committee would like to un</w:t>
      </w:r>
      <w:r w:rsidR="000C7E28">
        <w:rPr>
          <w:lang w:eastAsia="ja-JP"/>
        </w:rPr>
        <w:t>derstand whether there is interest in inclu</w:t>
      </w:r>
      <w:r w:rsidR="00F922C1">
        <w:rPr>
          <w:lang w:eastAsia="ja-JP"/>
        </w:rPr>
        <w:t>ding</w:t>
      </w:r>
      <w:r w:rsidR="000C7E28">
        <w:rPr>
          <w:lang w:eastAsia="ja-JP"/>
        </w:rPr>
        <w:t xml:space="preserve"> </w:t>
      </w:r>
      <w:r w:rsidR="00B4142A">
        <w:rPr>
          <w:lang w:eastAsia="ja-JP"/>
        </w:rPr>
        <w:t xml:space="preserve">calculations </w:t>
      </w:r>
      <w:r w:rsidR="003A5EE1">
        <w:rPr>
          <w:lang w:eastAsia="ja-JP"/>
        </w:rPr>
        <w:t xml:space="preserve">– </w:t>
      </w:r>
      <w:r w:rsidR="00F922C1">
        <w:rPr>
          <w:lang w:eastAsia="ja-JP"/>
        </w:rPr>
        <w:t>such as</w:t>
      </w:r>
      <w:r w:rsidR="00AF4B45">
        <w:rPr>
          <w:lang w:eastAsia="ja-JP"/>
        </w:rPr>
        <w:t xml:space="preserve"> </w:t>
      </w:r>
      <w:r w:rsidR="003A5EE1">
        <w:rPr>
          <w:lang w:eastAsia="ja-JP"/>
        </w:rPr>
        <w:t xml:space="preserve">abatement and process emissions – relating to </w:t>
      </w:r>
      <w:r w:rsidR="00B4142A">
        <w:rPr>
          <w:lang w:eastAsia="ja-JP"/>
        </w:rPr>
        <w:t xml:space="preserve">these or other treatments </w:t>
      </w:r>
      <w:r w:rsidR="007E4F7A">
        <w:rPr>
          <w:lang w:eastAsia="ja-JP"/>
        </w:rPr>
        <w:t>in an expanded method.</w:t>
      </w:r>
    </w:p>
    <w:p w14:paraId="1C835288" w14:textId="6ECAC647" w:rsidR="00C07A2B" w:rsidRPr="00E06D10" w:rsidRDefault="00AF64FE" w:rsidP="0048335D">
      <w:pPr>
        <w:pStyle w:val="BoxText"/>
        <w:rPr>
          <w:i/>
          <w:iCs/>
          <w:sz w:val="22"/>
          <w:lang w:eastAsia="ja-JP"/>
        </w:rPr>
      </w:pPr>
      <w:r w:rsidRPr="00E06D10">
        <w:rPr>
          <w:b/>
          <w:bCs/>
          <w:i/>
          <w:iCs/>
          <w:sz w:val="22"/>
          <w:lang w:eastAsia="ja-JP"/>
        </w:rPr>
        <w:t>The Committee welcomes views on</w:t>
      </w:r>
      <w:r w:rsidR="000B51E2" w:rsidRPr="00DD514A">
        <w:rPr>
          <w:b/>
          <w:bCs/>
          <w:i/>
          <w:iCs/>
          <w:sz w:val="22"/>
          <w:lang w:eastAsia="ja-JP"/>
        </w:rPr>
        <w:t xml:space="preserve"> the following questions</w:t>
      </w:r>
      <w:r w:rsidRPr="00E06D10">
        <w:rPr>
          <w:b/>
          <w:bCs/>
          <w:i/>
          <w:iCs/>
          <w:sz w:val="22"/>
          <w:lang w:eastAsia="ja-JP"/>
        </w:rPr>
        <w:t>:</w:t>
      </w:r>
      <w:r w:rsidRPr="00E06D10" w:rsidDel="003820BC">
        <w:rPr>
          <w:i/>
          <w:iCs/>
          <w:sz w:val="22"/>
          <w:lang w:eastAsia="ja-JP"/>
        </w:rPr>
        <w:t xml:space="preserve"> </w:t>
      </w:r>
    </w:p>
    <w:p w14:paraId="302FA829" w14:textId="202D50B5" w:rsidR="00867E0A" w:rsidRDefault="00867E0A" w:rsidP="00867E0A">
      <w:pPr>
        <w:pStyle w:val="BoxText"/>
        <w:rPr>
          <w:sz w:val="22"/>
          <w:lang w:eastAsia="ja-JP"/>
        </w:rPr>
      </w:pPr>
      <w:r>
        <w:rPr>
          <w:sz w:val="22"/>
        </w:rPr>
        <w:t xml:space="preserve">How is your digestate currently managed – including removal frequency and end use or disposal? (Question </w:t>
      </w:r>
      <w:r w:rsidR="00D335CE">
        <w:rPr>
          <w:sz w:val="22"/>
        </w:rPr>
        <w:t>19</w:t>
      </w:r>
      <w:r>
        <w:rPr>
          <w:sz w:val="22"/>
        </w:rPr>
        <w:t>)</w:t>
      </w:r>
    </w:p>
    <w:p w14:paraId="17504C91" w14:textId="0385274E" w:rsidR="00950E76" w:rsidRDefault="00D202A8" w:rsidP="0048335D">
      <w:pPr>
        <w:pStyle w:val="BoxText"/>
        <w:rPr>
          <w:sz w:val="22"/>
          <w:lang w:eastAsia="ja-JP"/>
        </w:rPr>
      </w:pPr>
      <w:r>
        <w:rPr>
          <w:sz w:val="22"/>
          <w:lang w:eastAsia="ja-JP"/>
        </w:rPr>
        <w:t xml:space="preserve">Are </w:t>
      </w:r>
      <w:r w:rsidR="008A0F72" w:rsidRPr="00C07A2B">
        <w:rPr>
          <w:sz w:val="22"/>
          <w:lang w:eastAsia="ja-JP"/>
        </w:rPr>
        <w:t xml:space="preserve">emissions from </w:t>
      </w:r>
      <w:r w:rsidR="00B25FB3" w:rsidRPr="00C07A2B">
        <w:rPr>
          <w:sz w:val="22"/>
          <w:lang w:eastAsia="ja-JP"/>
        </w:rPr>
        <w:t>digestate likely to be material</w:t>
      </w:r>
      <w:r w:rsidR="00D335CE">
        <w:rPr>
          <w:sz w:val="22"/>
          <w:lang w:eastAsia="ja-JP"/>
        </w:rPr>
        <w:t>? S</w:t>
      </w:r>
      <w:r w:rsidR="00B25FB3" w:rsidRPr="00C07A2B">
        <w:rPr>
          <w:sz w:val="22"/>
          <w:lang w:eastAsia="ja-JP"/>
        </w:rPr>
        <w:t xml:space="preserve">hould </w:t>
      </w:r>
      <w:r>
        <w:rPr>
          <w:sz w:val="22"/>
          <w:lang w:eastAsia="ja-JP"/>
        </w:rPr>
        <w:t xml:space="preserve">they </w:t>
      </w:r>
      <w:r w:rsidR="00B25FB3" w:rsidRPr="00C07A2B">
        <w:rPr>
          <w:sz w:val="22"/>
          <w:lang w:eastAsia="ja-JP"/>
        </w:rPr>
        <w:t>be considered</w:t>
      </w:r>
      <w:r w:rsidR="00614ABC" w:rsidRPr="00C07A2B">
        <w:rPr>
          <w:sz w:val="22"/>
          <w:lang w:eastAsia="ja-JP"/>
        </w:rPr>
        <w:t xml:space="preserve"> as a source of project emissions</w:t>
      </w:r>
      <w:r w:rsidR="005D5652" w:rsidRPr="00C07A2B">
        <w:rPr>
          <w:sz w:val="22"/>
          <w:lang w:eastAsia="ja-JP"/>
        </w:rPr>
        <w:t xml:space="preserve"> </w:t>
      </w:r>
      <w:r w:rsidR="00FB1493">
        <w:rPr>
          <w:sz w:val="22"/>
          <w:lang w:eastAsia="ja-JP"/>
        </w:rPr>
        <w:t>in a</w:t>
      </w:r>
      <w:r w:rsidR="00614D4E">
        <w:rPr>
          <w:sz w:val="22"/>
          <w:lang w:eastAsia="ja-JP"/>
        </w:rPr>
        <w:t xml:space="preserve">n expanded </w:t>
      </w:r>
      <w:r w:rsidR="00614D4E">
        <w:rPr>
          <w:sz w:val="22"/>
        </w:rPr>
        <w:t xml:space="preserve">effluent </w:t>
      </w:r>
      <w:r w:rsidR="00FB1493">
        <w:rPr>
          <w:sz w:val="22"/>
          <w:lang w:eastAsia="ja-JP"/>
        </w:rPr>
        <w:t>method</w:t>
      </w:r>
      <w:r w:rsidR="00D335CE">
        <w:rPr>
          <w:sz w:val="22"/>
          <w:lang w:eastAsia="ja-JP"/>
        </w:rPr>
        <w:t>?</w:t>
      </w:r>
      <w:r w:rsidR="001E476C">
        <w:rPr>
          <w:sz w:val="22"/>
          <w:lang w:eastAsia="ja-JP"/>
        </w:rPr>
        <w:t xml:space="preserve"> </w:t>
      </w:r>
      <w:r w:rsidR="003F34B9" w:rsidRPr="00C07A2B">
        <w:rPr>
          <w:sz w:val="22"/>
          <w:lang w:eastAsia="ja-JP"/>
        </w:rPr>
        <w:t>(Please provide supporting evidence</w:t>
      </w:r>
      <w:r w:rsidR="00464DAE" w:rsidRPr="00C07A2B">
        <w:rPr>
          <w:sz w:val="22"/>
          <w:lang w:eastAsia="ja-JP"/>
        </w:rPr>
        <w:t xml:space="preserve"> based on</w:t>
      </w:r>
      <w:r w:rsidR="00C349CE" w:rsidRPr="00C07A2B">
        <w:rPr>
          <w:sz w:val="22"/>
          <w:lang w:eastAsia="ja-JP"/>
        </w:rPr>
        <w:t xml:space="preserve"> </w:t>
      </w:r>
      <w:r w:rsidR="003F34B9" w:rsidRPr="00C07A2B">
        <w:rPr>
          <w:sz w:val="22"/>
          <w:lang w:eastAsia="ja-JP"/>
        </w:rPr>
        <w:t xml:space="preserve">the data request above) </w:t>
      </w:r>
      <w:r w:rsidR="00176796" w:rsidRPr="00C07A2B">
        <w:rPr>
          <w:sz w:val="22"/>
          <w:lang w:eastAsia="ja-JP"/>
        </w:rPr>
        <w:t xml:space="preserve">(Question </w:t>
      </w:r>
      <w:r w:rsidR="00D335CE">
        <w:rPr>
          <w:sz w:val="22"/>
          <w:lang w:eastAsia="ja-JP"/>
        </w:rPr>
        <w:t>20 A&amp;B</w:t>
      </w:r>
      <w:r w:rsidR="00176796" w:rsidRPr="00C07A2B">
        <w:rPr>
          <w:sz w:val="22"/>
          <w:lang w:eastAsia="ja-JP"/>
        </w:rPr>
        <w:t>)</w:t>
      </w:r>
      <w:r w:rsidR="00E5172A">
        <w:rPr>
          <w:sz w:val="22"/>
          <w:lang w:eastAsia="ja-JP"/>
        </w:rPr>
        <w:t>.</w:t>
      </w:r>
    </w:p>
    <w:p w14:paraId="41380105" w14:textId="68A70D2D" w:rsidR="00930BF0" w:rsidRDefault="00930BF0" w:rsidP="0048335D">
      <w:pPr>
        <w:pStyle w:val="BoxText"/>
        <w:rPr>
          <w:sz w:val="22"/>
        </w:rPr>
      </w:pPr>
      <w:r>
        <w:rPr>
          <w:sz w:val="22"/>
        </w:rPr>
        <w:t xml:space="preserve">Are the existing digestate emission calculations in the </w:t>
      </w:r>
      <w:r w:rsidR="00446CB8">
        <w:rPr>
          <w:sz w:val="22"/>
        </w:rPr>
        <w:t>Wastewater method 2015</w:t>
      </w:r>
      <w:r>
        <w:rPr>
          <w:sz w:val="22"/>
        </w:rPr>
        <w:t xml:space="preserve"> workable?</w:t>
      </w:r>
      <w:r w:rsidR="00801390">
        <w:rPr>
          <w:sz w:val="22"/>
        </w:rPr>
        <w:t xml:space="preserve"> </w:t>
      </w:r>
      <w:r w:rsidR="00650A56">
        <w:rPr>
          <w:sz w:val="22"/>
        </w:rPr>
        <w:t xml:space="preserve">Are there </w:t>
      </w:r>
      <w:r w:rsidR="008B5B6D">
        <w:rPr>
          <w:sz w:val="22"/>
        </w:rPr>
        <w:t xml:space="preserve">more user-friendly </w:t>
      </w:r>
      <w:r w:rsidR="00650A56">
        <w:rPr>
          <w:sz w:val="22"/>
        </w:rPr>
        <w:t xml:space="preserve">alternatives to these calculations that would satisfy the OIS? </w:t>
      </w:r>
      <w:r w:rsidR="00801390">
        <w:rPr>
          <w:sz w:val="22"/>
        </w:rPr>
        <w:t xml:space="preserve">(Question </w:t>
      </w:r>
      <w:r w:rsidR="00FC393A">
        <w:rPr>
          <w:sz w:val="22"/>
        </w:rPr>
        <w:t>2</w:t>
      </w:r>
      <w:r w:rsidR="00D335CE">
        <w:rPr>
          <w:sz w:val="22"/>
        </w:rPr>
        <w:t>1</w:t>
      </w:r>
      <w:r w:rsidR="00650A56">
        <w:rPr>
          <w:sz w:val="22"/>
        </w:rPr>
        <w:t xml:space="preserve"> A&amp;B</w:t>
      </w:r>
      <w:r w:rsidR="00801390">
        <w:rPr>
          <w:sz w:val="22"/>
        </w:rPr>
        <w:t>)</w:t>
      </w:r>
      <w:r w:rsidR="00E5172A">
        <w:rPr>
          <w:sz w:val="22"/>
        </w:rPr>
        <w:t>.</w:t>
      </w:r>
    </w:p>
    <w:p w14:paraId="7A78610B" w14:textId="500E3343" w:rsidR="00754DD3" w:rsidRPr="00C07A2B" w:rsidRDefault="0086176C" w:rsidP="0048335D">
      <w:pPr>
        <w:pStyle w:val="BoxText"/>
        <w:rPr>
          <w:sz w:val="22"/>
          <w:lang w:eastAsia="ja-JP"/>
        </w:rPr>
      </w:pPr>
      <w:r>
        <w:rPr>
          <w:sz w:val="22"/>
        </w:rPr>
        <w:t>A</w:t>
      </w:r>
      <w:r w:rsidR="00AF4B45">
        <w:rPr>
          <w:sz w:val="22"/>
        </w:rPr>
        <w:t xml:space="preserve">re </w:t>
      </w:r>
      <w:r>
        <w:rPr>
          <w:sz w:val="22"/>
        </w:rPr>
        <w:t xml:space="preserve">there </w:t>
      </w:r>
      <w:r w:rsidR="00AF4B45">
        <w:rPr>
          <w:sz w:val="22"/>
        </w:rPr>
        <w:t xml:space="preserve">alternative treatments of digestate that should be considered and included in an expanded </w:t>
      </w:r>
      <w:r>
        <w:rPr>
          <w:sz w:val="22"/>
        </w:rPr>
        <w:t>liquid</w:t>
      </w:r>
      <w:r w:rsidR="00D25BBB">
        <w:rPr>
          <w:sz w:val="22"/>
        </w:rPr>
        <w:t>-</w:t>
      </w:r>
      <w:r>
        <w:rPr>
          <w:sz w:val="22"/>
        </w:rPr>
        <w:t>waste</w:t>
      </w:r>
      <w:r w:rsidR="00614D4E">
        <w:rPr>
          <w:sz w:val="22"/>
        </w:rPr>
        <w:t xml:space="preserve"> </w:t>
      </w:r>
      <w:r w:rsidR="00AF4B45">
        <w:rPr>
          <w:sz w:val="22"/>
        </w:rPr>
        <w:t>method</w:t>
      </w:r>
      <w:r w:rsidR="00614D4E">
        <w:rPr>
          <w:sz w:val="22"/>
        </w:rPr>
        <w:t>?</w:t>
      </w:r>
      <w:r w:rsidR="00801390">
        <w:rPr>
          <w:sz w:val="22"/>
        </w:rPr>
        <w:t xml:space="preserve"> (Question 2</w:t>
      </w:r>
      <w:r w:rsidR="00D335CE">
        <w:rPr>
          <w:sz w:val="22"/>
        </w:rPr>
        <w:t>2</w:t>
      </w:r>
      <w:r w:rsidR="00801390">
        <w:rPr>
          <w:sz w:val="22"/>
        </w:rPr>
        <w:t>)</w:t>
      </w:r>
      <w:r w:rsidR="00E5172A">
        <w:rPr>
          <w:sz w:val="22"/>
        </w:rPr>
        <w:t>.</w:t>
      </w:r>
    </w:p>
    <w:p w14:paraId="6FFC227F" w14:textId="7E426E71" w:rsidR="000535C9" w:rsidRPr="00922DC8" w:rsidRDefault="00E175B0" w:rsidP="0048335D">
      <w:pPr>
        <w:pStyle w:val="Heading3"/>
        <w:spacing w:before="120" w:after="120" w:line="276" w:lineRule="auto"/>
        <w:rPr>
          <w:color w:val="017097" w:themeColor="accent1"/>
          <w:lang w:eastAsia="ja-JP"/>
        </w:rPr>
      </w:pPr>
      <w:bookmarkStart w:id="21" w:name="_Toc192068741"/>
      <w:r w:rsidRPr="00922DC8">
        <w:rPr>
          <w:color w:val="017097" w:themeColor="accent1"/>
          <w:lang w:eastAsia="ja-JP"/>
        </w:rPr>
        <w:t xml:space="preserve">Need for </w:t>
      </w:r>
      <w:r w:rsidR="00C63F62">
        <w:rPr>
          <w:color w:val="017097" w:themeColor="accent1"/>
          <w:lang w:eastAsia="ja-JP"/>
        </w:rPr>
        <w:t>s</w:t>
      </w:r>
      <w:r w:rsidR="00AE7287" w:rsidRPr="00922DC8">
        <w:rPr>
          <w:color w:val="017097" w:themeColor="accent1"/>
          <w:lang w:eastAsia="ja-JP"/>
        </w:rPr>
        <w:t>olids separation and aerobic treatment</w:t>
      </w:r>
      <w:bookmarkEnd w:id="21"/>
    </w:p>
    <w:p w14:paraId="1C70EBA4" w14:textId="70B025CE" w:rsidR="000C2237" w:rsidRDefault="00AE7287" w:rsidP="00F356BC">
      <w:pPr>
        <w:spacing w:after="120"/>
      </w:pPr>
      <w:r w:rsidRPr="00922DC8">
        <w:t>T</w:t>
      </w:r>
      <w:r w:rsidR="000535C9" w:rsidRPr="00922DC8">
        <w:t xml:space="preserve">he </w:t>
      </w:r>
      <w:r w:rsidR="00053F71">
        <w:t>AEM method 2019</w:t>
      </w:r>
      <w:r w:rsidR="000535C9" w:rsidRPr="00922DC8">
        <w:t xml:space="preserve"> </w:t>
      </w:r>
      <w:r w:rsidRPr="00922DC8">
        <w:t>allows for</w:t>
      </w:r>
      <w:r w:rsidR="00450373" w:rsidRPr="00922DC8">
        <w:t xml:space="preserve"> </w:t>
      </w:r>
      <w:r w:rsidR="00CF2F63" w:rsidRPr="00922DC8">
        <w:t xml:space="preserve">solids </w:t>
      </w:r>
      <w:r w:rsidR="00450373" w:rsidRPr="00922DC8">
        <w:t xml:space="preserve">separation </w:t>
      </w:r>
      <w:r w:rsidR="00CF2F63" w:rsidRPr="00922DC8">
        <w:t xml:space="preserve">and aerobic treatment of these </w:t>
      </w:r>
      <w:r w:rsidR="00450373" w:rsidRPr="00922DC8">
        <w:t xml:space="preserve">solids </w:t>
      </w:r>
      <w:r w:rsidR="00CF2F63" w:rsidRPr="00922DC8">
        <w:t>as an emissions avoidance approach</w:t>
      </w:r>
      <w:r w:rsidR="00450373" w:rsidRPr="00922DC8">
        <w:t xml:space="preserve">, while the </w:t>
      </w:r>
      <w:r w:rsidR="00446CB8">
        <w:t>Wastewater method 2015</w:t>
      </w:r>
      <w:r w:rsidR="00450373" w:rsidRPr="00922DC8">
        <w:t xml:space="preserve"> does not. Uptake under the </w:t>
      </w:r>
      <w:r w:rsidR="00053F71">
        <w:t>AEM method 2019</w:t>
      </w:r>
      <w:r w:rsidR="00E175B0" w:rsidRPr="00922DC8">
        <w:t xml:space="preserve"> has been very limited</w:t>
      </w:r>
      <w:r w:rsidR="00C33C8B">
        <w:t>.</w:t>
      </w:r>
      <w:r w:rsidR="00C63499">
        <w:t xml:space="preserve"> </w:t>
      </w:r>
      <w:r w:rsidR="00C33C8B">
        <w:t>T</w:t>
      </w:r>
      <w:r w:rsidR="00E175B0" w:rsidRPr="00922DC8">
        <w:t xml:space="preserve">he crediting period </w:t>
      </w:r>
      <w:r w:rsidR="00C44949">
        <w:t xml:space="preserve">for this activity </w:t>
      </w:r>
      <w:r w:rsidR="00E175B0" w:rsidRPr="00922DC8">
        <w:t xml:space="preserve">was not considered in the 2024 </w:t>
      </w:r>
      <w:r w:rsidR="00A716E7">
        <w:t xml:space="preserve">CPE </w:t>
      </w:r>
      <w:r w:rsidR="00E175B0" w:rsidRPr="00922DC8">
        <w:t>review. Ensuring that separated wastes remain aerobic</w:t>
      </w:r>
      <w:r w:rsidR="000E32B4">
        <w:t xml:space="preserve"> and thereby minimise greenhouse gas emissions, and </w:t>
      </w:r>
      <w:r w:rsidR="00922DC8">
        <w:t>verifying</w:t>
      </w:r>
      <w:r w:rsidR="00E175B0" w:rsidRPr="00922DC8">
        <w:t xml:space="preserve"> this</w:t>
      </w:r>
      <w:r w:rsidR="0052043A">
        <w:t xml:space="preserve">, </w:t>
      </w:r>
      <w:r w:rsidR="00E175B0" w:rsidRPr="00922DC8">
        <w:t>may be difficult.</w:t>
      </w:r>
    </w:p>
    <w:p w14:paraId="4EC4BAE8" w14:textId="77777777" w:rsidR="000C2237" w:rsidRDefault="000C2237">
      <w:pPr>
        <w:spacing w:after="0" w:line="240" w:lineRule="auto"/>
      </w:pPr>
      <w:r>
        <w:br w:type="page"/>
      </w:r>
    </w:p>
    <w:p w14:paraId="0F3D9C96" w14:textId="689E4670" w:rsidR="000535C9" w:rsidRPr="00F07836" w:rsidRDefault="000535C9" w:rsidP="00FC4C0C">
      <w:pPr>
        <w:pStyle w:val="BoxText"/>
        <w:rPr>
          <w:b/>
          <w:bCs/>
          <w:i/>
          <w:iCs/>
          <w:sz w:val="22"/>
          <w:lang w:eastAsia="ja-JP"/>
        </w:rPr>
      </w:pPr>
      <w:r w:rsidRPr="00F07836">
        <w:rPr>
          <w:b/>
          <w:bCs/>
          <w:i/>
          <w:iCs/>
          <w:sz w:val="22"/>
          <w:lang w:eastAsia="ja-JP"/>
        </w:rPr>
        <w:lastRenderedPageBreak/>
        <w:t>The Committee welcomes views on</w:t>
      </w:r>
      <w:r w:rsidR="00D8532C">
        <w:rPr>
          <w:b/>
          <w:bCs/>
          <w:i/>
          <w:iCs/>
          <w:sz w:val="22"/>
          <w:lang w:eastAsia="ja-JP"/>
        </w:rPr>
        <w:t xml:space="preserve"> the following questions</w:t>
      </w:r>
      <w:r w:rsidRPr="00F07836">
        <w:rPr>
          <w:b/>
          <w:bCs/>
          <w:i/>
          <w:iCs/>
          <w:sz w:val="22"/>
          <w:lang w:eastAsia="ja-JP"/>
        </w:rPr>
        <w:t>:</w:t>
      </w:r>
      <w:r w:rsidRPr="00F07836" w:rsidDel="003820BC">
        <w:rPr>
          <w:b/>
          <w:bCs/>
          <w:i/>
          <w:iCs/>
          <w:sz w:val="22"/>
          <w:lang w:eastAsia="ja-JP"/>
        </w:rPr>
        <w:t xml:space="preserve"> </w:t>
      </w:r>
    </w:p>
    <w:p w14:paraId="49ACD3C0" w14:textId="7821D509" w:rsidR="000535C9" w:rsidRPr="00F07836" w:rsidRDefault="00005004" w:rsidP="00FC4C0C">
      <w:pPr>
        <w:pStyle w:val="BoxText"/>
        <w:rPr>
          <w:sz w:val="22"/>
          <w:lang w:eastAsia="ja-JP"/>
        </w:rPr>
      </w:pPr>
      <w:r w:rsidRPr="00F07836">
        <w:rPr>
          <w:sz w:val="22"/>
        </w:rPr>
        <w:t xml:space="preserve">Do you see a need for the emissions avoidance / aerobic treatment option in the </w:t>
      </w:r>
      <w:r w:rsidR="00053F71">
        <w:rPr>
          <w:sz w:val="22"/>
        </w:rPr>
        <w:t>AEM method 2019</w:t>
      </w:r>
      <w:r w:rsidRPr="00F07836">
        <w:rPr>
          <w:sz w:val="22"/>
        </w:rPr>
        <w:t>?</w:t>
      </w:r>
      <w:r w:rsidR="000535C9" w:rsidRPr="00F07836">
        <w:rPr>
          <w:sz w:val="22"/>
        </w:rPr>
        <w:t xml:space="preserve"> </w:t>
      </w:r>
      <w:r w:rsidR="009847CA" w:rsidRPr="00F07836">
        <w:rPr>
          <w:sz w:val="22"/>
        </w:rPr>
        <w:t xml:space="preserve">What uptake do you believe </w:t>
      </w:r>
      <w:r w:rsidR="00922DC8" w:rsidRPr="00F07836">
        <w:rPr>
          <w:sz w:val="22"/>
        </w:rPr>
        <w:t>could be achieved</w:t>
      </w:r>
      <w:r w:rsidR="00AD39BF">
        <w:rPr>
          <w:sz w:val="22"/>
        </w:rPr>
        <w:t xml:space="preserve"> using this option</w:t>
      </w:r>
      <w:r w:rsidR="00922DC8" w:rsidRPr="00F07836">
        <w:rPr>
          <w:sz w:val="22"/>
        </w:rPr>
        <w:t xml:space="preserve">? </w:t>
      </w:r>
      <w:r w:rsidR="000535C9" w:rsidRPr="00F07836">
        <w:rPr>
          <w:sz w:val="22"/>
          <w:lang w:eastAsia="ja-JP"/>
        </w:rPr>
        <w:t xml:space="preserve">(Question </w:t>
      </w:r>
      <w:r w:rsidR="00F07836" w:rsidRPr="00F07836">
        <w:rPr>
          <w:sz w:val="22"/>
          <w:lang w:eastAsia="ja-JP"/>
        </w:rPr>
        <w:t>2</w:t>
      </w:r>
      <w:r w:rsidR="00E05A4A">
        <w:rPr>
          <w:sz w:val="22"/>
          <w:lang w:eastAsia="ja-JP"/>
        </w:rPr>
        <w:t>3</w:t>
      </w:r>
      <w:r w:rsidR="00CF4488">
        <w:rPr>
          <w:sz w:val="22"/>
          <w:lang w:eastAsia="ja-JP"/>
        </w:rPr>
        <w:t xml:space="preserve"> A&amp;B</w:t>
      </w:r>
      <w:r w:rsidR="000535C9" w:rsidRPr="00F07836">
        <w:rPr>
          <w:sz w:val="22"/>
          <w:lang w:eastAsia="ja-JP"/>
        </w:rPr>
        <w:t>)</w:t>
      </w:r>
      <w:r w:rsidR="00FE5281">
        <w:rPr>
          <w:sz w:val="22"/>
          <w:lang w:eastAsia="ja-JP"/>
        </w:rPr>
        <w:t>.</w:t>
      </w:r>
    </w:p>
    <w:p w14:paraId="6D67FB62" w14:textId="4B72254C" w:rsidR="00AC55F6" w:rsidRDefault="00AC55F6" w:rsidP="00FC4C0C">
      <w:pPr>
        <w:pStyle w:val="BoxText"/>
        <w:rPr>
          <w:sz w:val="22"/>
        </w:rPr>
      </w:pPr>
      <w:r>
        <w:rPr>
          <w:sz w:val="22"/>
        </w:rPr>
        <w:t xml:space="preserve">What has prevented uptake of emissions avoidance projects in the </w:t>
      </w:r>
      <w:r w:rsidR="00053F71">
        <w:rPr>
          <w:sz w:val="22"/>
        </w:rPr>
        <w:t>AEM method 2019</w:t>
      </w:r>
      <w:r>
        <w:rPr>
          <w:sz w:val="22"/>
        </w:rPr>
        <w:t xml:space="preserve">? </w:t>
      </w:r>
      <w:r w:rsidRPr="00F07836">
        <w:rPr>
          <w:sz w:val="22"/>
          <w:lang w:eastAsia="ja-JP"/>
        </w:rPr>
        <w:t>(</w:t>
      </w:r>
      <w:r w:rsidR="003054BC" w:rsidRPr="00F07836">
        <w:rPr>
          <w:sz w:val="22"/>
          <w:lang w:eastAsia="ja-JP"/>
        </w:rPr>
        <w:t>Question</w:t>
      </w:r>
      <w:r w:rsidR="000C2237">
        <w:rPr>
          <w:sz w:val="22"/>
          <w:lang w:eastAsia="ja-JP"/>
        </w:rPr>
        <w:t> </w:t>
      </w:r>
      <w:r w:rsidR="003054BC">
        <w:rPr>
          <w:sz w:val="22"/>
          <w:lang w:eastAsia="ja-JP"/>
        </w:rPr>
        <w:t>24</w:t>
      </w:r>
      <w:r w:rsidRPr="00F07836">
        <w:rPr>
          <w:sz w:val="22"/>
          <w:lang w:eastAsia="ja-JP"/>
        </w:rPr>
        <w:t>)</w:t>
      </w:r>
      <w:r w:rsidR="00FE5281">
        <w:rPr>
          <w:sz w:val="22"/>
          <w:lang w:eastAsia="ja-JP"/>
        </w:rPr>
        <w:t>.</w:t>
      </w:r>
    </w:p>
    <w:p w14:paraId="26F80B42" w14:textId="6A89C81C" w:rsidR="00005004" w:rsidRPr="00F07836" w:rsidRDefault="00AC55F6" w:rsidP="00FC4C0C">
      <w:pPr>
        <w:pStyle w:val="BoxText"/>
        <w:rPr>
          <w:sz w:val="22"/>
          <w:lang w:eastAsia="ja-JP"/>
        </w:rPr>
      </w:pPr>
      <w:r>
        <w:rPr>
          <w:sz w:val="22"/>
        </w:rPr>
        <w:t xml:space="preserve">Would a </w:t>
      </w:r>
      <w:r w:rsidR="00656423">
        <w:rPr>
          <w:sz w:val="22"/>
        </w:rPr>
        <w:t xml:space="preserve">different </w:t>
      </w:r>
      <w:r w:rsidR="00005004" w:rsidRPr="00F07836">
        <w:rPr>
          <w:sz w:val="22"/>
        </w:rPr>
        <w:t xml:space="preserve">crediting period encourage emissions avoidance project initiation while still meeting the OIS? If possible, please justify your answer with data and/or calculations </w:t>
      </w:r>
      <w:r w:rsidR="00005004" w:rsidRPr="00F07836">
        <w:rPr>
          <w:sz w:val="22"/>
          <w:lang w:eastAsia="ja-JP"/>
        </w:rPr>
        <w:t xml:space="preserve">(Question </w:t>
      </w:r>
      <w:r w:rsidR="00F07836" w:rsidRPr="00F07836">
        <w:rPr>
          <w:sz w:val="22"/>
          <w:lang w:eastAsia="ja-JP"/>
        </w:rPr>
        <w:t>2</w:t>
      </w:r>
      <w:r w:rsidR="00E05A4A">
        <w:rPr>
          <w:sz w:val="22"/>
          <w:lang w:eastAsia="ja-JP"/>
        </w:rPr>
        <w:t>5</w:t>
      </w:r>
      <w:r w:rsidR="00005004" w:rsidRPr="00F07836">
        <w:rPr>
          <w:sz w:val="22"/>
          <w:lang w:eastAsia="ja-JP"/>
        </w:rPr>
        <w:t>)</w:t>
      </w:r>
      <w:r w:rsidR="00FE5281">
        <w:rPr>
          <w:sz w:val="22"/>
          <w:lang w:eastAsia="ja-JP"/>
        </w:rPr>
        <w:t>.</w:t>
      </w:r>
    </w:p>
    <w:p w14:paraId="506CC689" w14:textId="2B4EBA2B" w:rsidR="009D3B24" w:rsidRPr="00F07836" w:rsidRDefault="009D3B24" w:rsidP="00FC4C0C">
      <w:pPr>
        <w:pStyle w:val="BoxText"/>
      </w:pPr>
      <w:r w:rsidRPr="00F07836">
        <w:rPr>
          <w:sz w:val="22"/>
        </w:rPr>
        <w:t>Do current treatment processes and measurement approaches</w:t>
      </w:r>
      <w:r w:rsidR="00B6420D" w:rsidRPr="00F07836">
        <w:rPr>
          <w:sz w:val="22"/>
        </w:rPr>
        <w:t xml:space="preserve"> </w:t>
      </w:r>
      <w:r w:rsidRPr="00F07836">
        <w:rPr>
          <w:sz w:val="22"/>
        </w:rPr>
        <w:t xml:space="preserve">in </w:t>
      </w:r>
      <w:r w:rsidRPr="009C568B">
        <w:rPr>
          <w:sz w:val="22"/>
        </w:rPr>
        <w:t xml:space="preserve">the </w:t>
      </w:r>
      <w:r w:rsidR="009C568B">
        <w:rPr>
          <w:sz w:val="22"/>
        </w:rPr>
        <w:t>AEM method 2019</w:t>
      </w:r>
      <w:r w:rsidR="00B6420D" w:rsidRPr="00F07836">
        <w:rPr>
          <w:sz w:val="22"/>
        </w:rPr>
        <w:t>, particularly maintenance of aerobic stockpiles,</w:t>
      </w:r>
      <w:r w:rsidRPr="00F07836">
        <w:rPr>
          <w:sz w:val="22"/>
        </w:rPr>
        <w:t xml:space="preserve"> ensure emissions avoidance?</w:t>
      </w:r>
      <w:r w:rsidR="00F07836" w:rsidRPr="00F07836">
        <w:rPr>
          <w:sz w:val="22"/>
        </w:rPr>
        <w:t xml:space="preserve"> </w:t>
      </w:r>
      <w:r w:rsidR="00F07836" w:rsidRPr="00F07836">
        <w:rPr>
          <w:sz w:val="22"/>
          <w:lang w:eastAsia="ja-JP"/>
        </w:rPr>
        <w:t>(Question 2</w:t>
      </w:r>
      <w:r w:rsidR="00E05A4A">
        <w:rPr>
          <w:sz w:val="22"/>
          <w:lang w:eastAsia="ja-JP"/>
        </w:rPr>
        <w:t>6</w:t>
      </w:r>
      <w:r w:rsidR="00F07836" w:rsidRPr="00F07836">
        <w:rPr>
          <w:sz w:val="22"/>
          <w:lang w:eastAsia="ja-JP"/>
        </w:rPr>
        <w:t>)</w:t>
      </w:r>
      <w:r w:rsidR="00FE5281">
        <w:rPr>
          <w:sz w:val="22"/>
          <w:lang w:eastAsia="ja-JP"/>
        </w:rPr>
        <w:t>.</w:t>
      </w:r>
    </w:p>
    <w:p w14:paraId="4A48B1A8" w14:textId="77777777" w:rsidR="0074489F" w:rsidRPr="0004731E" w:rsidRDefault="0074489F" w:rsidP="00FC4C0C">
      <w:pPr>
        <w:pStyle w:val="Heading3"/>
        <w:spacing w:before="120" w:after="120" w:line="276" w:lineRule="auto"/>
        <w:rPr>
          <w:color w:val="017097" w:themeColor="accent1"/>
          <w:lang w:eastAsia="ja-JP"/>
        </w:rPr>
      </w:pPr>
      <w:bookmarkStart w:id="22" w:name="_Toc192068742"/>
      <w:r w:rsidRPr="0004731E">
        <w:rPr>
          <w:color w:val="017097" w:themeColor="accent1"/>
          <w:lang w:eastAsia="ja-JP"/>
        </w:rPr>
        <w:t>Use of biogas for heating</w:t>
      </w:r>
      <w:bookmarkEnd w:id="22"/>
    </w:p>
    <w:p w14:paraId="61D45FDB" w14:textId="14F66BF6" w:rsidR="00136039" w:rsidRDefault="0074489F" w:rsidP="00FC4C0C">
      <w:pPr>
        <w:spacing w:before="120" w:after="120"/>
      </w:pPr>
      <w:r w:rsidRPr="0004731E">
        <w:t xml:space="preserve">Use of </w:t>
      </w:r>
      <w:r w:rsidR="00BB7C4B">
        <w:t xml:space="preserve">biogas for heating </w:t>
      </w:r>
      <w:r w:rsidRPr="0004731E">
        <w:t xml:space="preserve">has been very limited in the </w:t>
      </w:r>
      <w:r w:rsidR="00053F71">
        <w:t>AEM method 2019</w:t>
      </w:r>
      <w:r w:rsidRPr="0004731E">
        <w:t xml:space="preserve">. </w:t>
      </w:r>
      <w:r w:rsidR="00D8532C">
        <w:t>The c</w:t>
      </w:r>
      <w:r w:rsidRPr="0004731E">
        <w:t xml:space="preserve">rediting period </w:t>
      </w:r>
      <w:r w:rsidR="00885963">
        <w:t>for this activity</w:t>
      </w:r>
      <w:r w:rsidR="00885963" w:rsidRPr="0004731E">
        <w:t xml:space="preserve"> </w:t>
      </w:r>
      <w:r w:rsidRPr="0004731E">
        <w:t xml:space="preserve">was not considered in the 2024 </w:t>
      </w:r>
      <w:r w:rsidR="00C4059F">
        <w:t xml:space="preserve">CPE </w:t>
      </w:r>
      <w:r w:rsidRPr="0004731E">
        <w:t xml:space="preserve">review. </w:t>
      </w:r>
    </w:p>
    <w:p w14:paraId="749F45C6" w14:textId="77777777" w:rsidR="00A54904" w:rsidRPr="00A54904" w:rsidRDefault="00A54904" w:rsidP="00FC4C0C">
      <w:pPr>
        <w:pStyle w:val="BoxText"/>
        <w:rPr>
          <w:b/>
          <w:bCs/>
          <w:i/>
          <w:iCs/>
          <w:sz w:val="22"/>
          <w:lang w:eastAsia="ja-JP"/>
        </w:rPr>
      </w:pPr>
      <w:r w:rsidRPr="00A54904">
        <w:rPr>
          <w:b/>
          <w:bCs/>
          <w:i/>
          <w:iCs/>
          <w:sz w:val="22"/>
          <w:lang w:eastAsia="ja-JP"/>
        </w:rPr>
        <w:t>The Committee welcomes views on the following questions:</w:t>
      </w:r>
      <w:r w:rsidRPr="00A54904" w:rsidDel="003820BC">
        <w:rPr>
          <w:b/>
          <w:bCs/>
          <w:i/>
          <w:iCs/>
          <w:sz w:val="22"/>
          <w:lang w:eastAsia="ja-JP"/>
        </w:rPr>
        <w:t xml:space="preserve"> </w:t>
      </w:r>
    </w:p>
    <w:p w14:paraId="41D93878" w14:textId="6492F3C9" w:rsidR="0074489F" w:rsidRPr="0004731E" w:rsidRDefault="0074489F" w:rsidP="00FC4C0C">
      <w:pPr>
        <w:pStyle w:val="BoxText"/>
        <w:rPr>
          <w:sz w:val="22"/>
        </w:rPr>
      </w:pPr>
      <w:r w:rsidRPr="0004731E">
        <w:rPr>
          <w:sz w:val="22"/>
        </w:rPr>
        <w:t xml:space="preserve">Is there a need for this activity in the </w:t>
      </w:r>
      <w:r w:rsidR="00053F71">
        <w:rPr>
          <w:sz w:val="22"/>
        </w:rPr>
        <w:t>AEM method 2019</w:t>
      </w:r>
      <w:r w:rsidR="00080091">
        <w:rPr>
          <w:sz w:val="22"/>
        </w:rPr>
        <w:t xml:space="preserve"> </w:t>
      </w:r>
      <w:r w:rsidR="004117DB">
        <w:rPr>
          <w:sz w:val="22"/>
        </w:rPr>
        <w:t xml:space="preserve">to support </w:t>
      </w:r>
      <w:r w:rsidR="00A618FF">
        <w:rPr>
          <w:sz w:val="22"/>
        </w:rPr>
        <w:t>project</w:t>
      </w:r>
      <w:r w:rsidR="004117DB">
        <w:rPr>
          <w:sz w:val="22"/>
        </w:rPr>
        <w:t xml:space="preserve"> initiation</w:t>
      </w:r>
      <w:r w:rsidRPr="0004731E">
        <w:rPr>
          <w:sz w:val="22"/>
        </w:rPr>
        <w:t>? (Question 2</w:t>
      </w:r>
      <w:r w:rsidR="005B7324">
        <w:rPr>
          <w:sz w:val="22"/>
        </w:rPr>
        <w:t>7</w:t>
      </w:r>
      <w:r w:rsidRPr="0004731E">
        <w:rPr>
          <w:sz w:val="22"/>
        </w:rPr>
        <w:t>)</w:t>
      </w:r>
      <w:r w:rsidR="00FE5281">
        <w:rPr>
          <w:sz w:val="22"/>
        </w:rPr>
        <w:t>.</w:t>
      </w:r>
    </w:p>
    <w:p w14:paraId="3A239782" w14:textId="2B46F6AF" w:rsidR="00D22173" w:rsidRPr="0004731E" w:rsidRDefault="008A1DF3" w:rsidP="00FC4C0C">
      <w:pPr>
        <w:pStyle w:val="BoxText"/>
        <w:rPr>
          <w:sz w:val="22"/>
          <w:lang w:eastAsia="ja-JP"/>
        </w:rPr>
      </w:pPr>
      <w:r w:rsidRPr="008F47D9">
        <w:rPr>
          <w:sz w:val="22"/>
        </w:rPr>
        <w:t xml:space="preserve">What crediting period and/or other features would </w:t>
      </w:r>
      <w:r w:rsidR="0092265F">
        <w:rPr>
          <w:sz w:val="22"/>
        </w:rPr>
        <w:t xml:space="preserve">be </w:t>
      </w:r>
      <w:r w:rsidRPr="008F47D9">
        <w:rPr>
          <w:sz w:val="22"/>
        </w:rPr>
        <w:t>need</w:t>
      </w:r>
      <w:r w:rsidR="0092265F">
        <w:rPr>
          <w:sz w:val="22"/>
        </w:rPr>
        <w:t xml:space="preserve">ed </w:t>
      </w:r>
      <w:r w:rsidRPr="008F47D9">
        <w:rPr>
          <w:sz w:val="22"/>
        </w:rPr>
        <w:t xml:space="preserve">to encourage </w:t>
      </w:r>
      <w:r w:rsidR="00080091">
        <w:rPr>
          <w:sz w:val="22"/>
        </w:rPr>
        <w:t xml:space="preserve">heating </w:t>
      </w:r>
      <w:r w:rsidRPr="008F47D9">
        <w:rPr>
          <w:sz w:val="22"/>
        </w:rPr>
        <w:t xml:space="preserve">project initiation while still meeting the OIS? </w:t>
      </w:r>
      <w:r w:rsidRPr="006B39DA">
        <w:rPr>
          <w:sz w:val="22"/>
        </w:rPr>
        <w:t>(</w:t>
      </w:r>
      <w:r w:rsidRPr="00ED4552">
        <w:rPr>
          <w:sz w:val="22"/>
        </w:rPr>
        <w:t>If possible, please justify your answer with data and/or calculations</w:t>
      </w:r>
      <w:r w:rsidRPr="006B39DA">
        <w:rPr>
          <w:sz w:val="22"/>
        </w:rPr>
        <w:t xml:space="preserve">) </w:t>
      </w:r>
      <w:r w:rsidRPr="008F47D9">
        <w:rPr>
          <w:sz w:val="22"/>
          <w:lang w:eastAsia="ja-JP"/>
        </w:rPr>
        <w:t xml:space="preserve">(Question </w:t>
      </w:r>
      <w:r w:rsidR="00FE3562">
        <w:rPr>
          <w:sz w:val="22"/>
          <w:lang w:eastAsia="ja-JP"/>
        </w:rPr>
        <w:t>2</w:t>
      </w:r>
      <w:r w:rsidR="005B7324">
        <w:rPr>
          <w:sz w:val="22"/>
          <w:lang w:eastAsia="ja-JP"/>
        </w:rPr>
        <w:t>8</w:t>
      </w:r>
      <w:r w:rsidRPr="008F47D9">
        <w:rPr>
          <w:sz w:val="22"/>
          <w:lang w:eastAsia="ja-JP"/>
        </w:rPr>
        <w:t>)</w:t>
      </w:r>
      <w:r>
        <w:rPr>
          <w:sz w:val="22"/>
          <w:lang w:eastAsia="ja-JP"/>
        </w:rPr>
        <w:t>.</w:t>
      </w:r>
    </w:p>
    <w:p w14:paraId="016E21FF" w14:textId="01F5B279" w:rsidR="00BB7C4B" w:rsidRPr="00BB7C4B" w:rsidRDefault="00AE02E5" w:rsidP="00FC4C0C">
      <w:pPr>
        <w:pStyle w:val="Heading3"/>
        <w:spacing w:before="120" w:after="120" w:line="276" w:lineRule="auto"/>
        <w:rPr>
          <w:color w:val="017097" w:themeColor="accent1"/>
          <w:lang w:eastAsia="ja-JP"/>
        </w:rPr>
      </w:pPr>
      <w:bookmarkStart w:id="23" w:name="_Toc192068743"/>
      <w:r>
        <w:rPr>
          <w:color w:val="017097" w:themeColor="accent1"/>
          <w:lang w:eastAsia="ja-JP"/>
        </w:rPr>
        <w:t>G</w:t>
      </w:r>
      <w:r w:rsidRPr="00AE02E5">
        <w:rPr>
          <w:color w:val="017097" w:themeColor="accent1"/>
          <w:lang w:eastAsia="ja-JP"/>
        </w:rPr>
        <w:t>as</w:t>
      </w:r>
      <w:r>
        <w:rPr>
          <w:color w:val="017097" w:themeColor="accent1"/>
          <w:lang w:eastAsia="ja-JP"/>
        </w:rPr>
        <w:t xml:space="preserve"> (and electricity) displacement abatement</w:t>
      </w:r>
      <w:bookmarkEnd w:id="23"/>
    </w:p>
    <w:p w14:paraId="500DDD39" w14:textId="04A45F0D" w:rsidR="002D2DDB" w:rsidRDefault="00BA097F" w:rsidP="00FC4C0C">
      <w:pPr>
        <w:spacing w:before="120" w:after="120"/>
      </w:pPr>
      <w:r>
        <w:t xml:space="preserve">The Wastewater </w:t>
      </w:r>
      <w:r w:rsidR="00053F71">
        <w:t xml:space="preserve">method 2015 </w:t>
      </w:r>
      <w:r>
        <w:t xml:space="preserve">and AEM </w:t>
      </w:r>
      <w:r w:rsidR="003D5D37">
        <w:t>method</w:t>
      </w:r>
      <w:r w:rsidR="00053F71">
        <w:t xml:space="preserve"> 2019</w:t>
      </w:r>
      <w:r w:rsidR="003D5D37">
        <w:t xml:space="preserve"> </w:t>
      </w:r>
      <w:r>
        <w:t xml:space="preserve">currently </w:t>
      </w:r>
      <w:r w:rsidR="0072036C">
        <w:t xml:space="preserve">recognise abatement </w:t>
      </w:r>
      <w:r>
        <w:t>for displac</w:t>
      </w:r>
      <w:r w:rsidR="004B583F">
        <w:t>ing</w:t>
      </w:r>
      <w:r>
        <w:t xml:space="preserve"> natural gas via production of biomethane</w:t>
      </w:r>
      <w:r w:rsidR="004B583F">
        <w:t xml:space="preserve">. However, </w:t>
      </w:r>
      <w:r w:rsidR="00B53F8B">
        <w:t xml:space="preserve">the </w:t>
      </w:r>
      <w:r w:rsidR="00C04847">
        <w:t xml:space="preserve">AEM </w:t>
      </w:r>
      <w:r w:rsidR="00B53F8B" w:rsidRPr="00C04847">
        <w:t>method</w:t>
      </w:r>
      <w:r w:rsidR="00B53F8B">
        <w:t xml:space="preserve"> </w:t>
      </w:r>
      <w:r w:rsidR="00C04847">
        <w:t xml:space="preserve">2019 </w:t>
      </w:r>
      <w:r w:rsidR="00B53F8B">
        <w:t xml:space="preserve">does not credit abatement for electricity generated and used in place of </w:t>
      </w:r>
      <w:r w:rsidR="00D541DD">
        <w:t>other sources of</w:t>
      </w:r>
      <w:r w:rsidR="00B53F8B">
        <w:t xml:space="preserve"> electricity</w:t>
      </w:r>
      <w:r>
        <w:t>. S</w:t>
      </w:r>
      <w:r w:rsidRPr="00D31D80">
        <w:t xml:space="preserve">ome </w:t>
      </w:r>
      <w:r>
        <w:t xml:space="preserve">Wastewater </w:t>
      </w:r>
      <w:r w:rsidR="00053F71">
        <w:t xml:space="preserve">method 2015 </w:t>
      </w:r>
      <w:r w:rsidRPr="00D31D80">
        <w:t xml:space="preserve">projects </w:t>
      </w:r>
      <w:r w:rsidR="00C518A1">
        <w:t xml:space="preserve">provide biogas </w:t>
      </w:r>
      <w:r w:rsidR="005E21A8">
        <w:t xml:space="preserve">for </w:t>
      </w:r>
      <w:r w:rsidR="002F2EF9">
        <w:t xml:space="preserve">displacement of natural gas </w:t>
      </w:r>
      <w:r>
        <w:t xml:space="preserve">using </w:t>
      </w:r>
      <w:r w:rsidR="005E21A8">
        <w:t xml:space="preserve">the </w:t>
      </w:r>
      <w:r w:rsidR="00625858" w:rsidRPr="0093470E">
        <w:rPr>
          <w:i/>
          <w:iCs/>
        </w:rPr>
        <w:t>Carbon Credits (Carbon Farming Initiative – Industrial and Commercial Emissions Reduction) Methodology Determination 2021</w:t>
      </w:r>
      <w:r w:rsidR="00625858">
        <w:rPr>
          <w:rStyle w:val="FootnoteReference"/>
          <w:i/>
          <w:iCs/>
          <w:color w:val="165788"/>
          <w:u w:val="single"/>
        </w:rPr>
        <w:footnoteReference w:id="8"/>
      </w:r>
      <w:r w:rsidR="00625858" w:rsidRPr="0004731E">
        <w:t xml:space="preserve"> (ICER method)</w:t>
      </w:r>
      <w:r w:rsidRPr="00D31D80">
        <w:t xml:space="preserve">. </w:t>
      </w:r>
      <w:r>
        <w:t xml:space="preserve">This is expected to improve the </w:t>
      </w:r>
      <w:r w:rsidR="00F61B2B">
        <w:t xml:space="preserve">overall </w:t>
      </w:r>
      <w:r>
        <w:t xml:space="preserve">financial return of projects </w:t>
      </w:r>
      <w:r w:rsidR="00B853BC">
        <w:t xml:space="preserve">to the point that </w:t>
      </w:r>
      <w:r>
        <w:t xml:space="preserve">the </w:t>
      </w:r>
      <w:r w:rsidR="00BA1EB1">
        <w:t xml:space="preserve">Additionality </w:t>
      </w:r>
      <w:r w:rsidR="00E4293B">
        <w:t xml:space="preserve">OIS </w:t>
      </w:r>
      <w:r w:rsidR="00B853BC">
        <w:t xml:space="preserve">may be </w:t>
      </w:r>
      <w:r w:rsidR="000C62F6">
        <w:t>difficult to demonstrate</w:t>
      </w:r>
      <w:r>
        <w:t xml:space="preserve">. Conversely, should </w:t>
      </w:r>
      <w:r w:rsidR="002A7E00">
        <w:t xml:space="preserve">the </w:t>
      </w:r>
      <w:r w:rsidR="00BA1EB1">
        <w:t xml:space="preserve">Additionality </w:t>
      </w:r>
      <w:r>
        <w:t xml:space="preserve">OIS be met, allowing credits for additional abatement activities within a framework </w:t>
      </w:r>
      <w:r w:rsidR="00B335BB">
        <w:t>liquid waste</w:t>
      </w:r>
      <w:r>
        <w:t xml:space="preserve"> method may be justifiable and </w:t>
      </w:r>
      <w:r w:rsidR="002A7E00">
        <w:t xml:space="preserve">a </w:t>
      </w:r>
      <w:r>
        <w:t xml:space="preserve">more efficient approach. </w:t>
      </w:r>
    </w:p>
    <w:p w14:paraId="2D9A835D" w14:textId="7CBA7E0C" w:rsidR="00F5135E" w:rsidRDefault="009C06AE" w:rsidP="00FC4C0C">
      <w:pPr>
        <w:spacing w:before="120" w:after="120"/>
      </w:pPr>
      <w:r>
        <w:lastRenderedPageBreak/>
        <w:t xml:space="preserve">Displacement of electricity has currently not been used/recognised </w:t>
      </w:r>
      <w:r w:rsidR="00AC3505">
        <w:t>in these methods</w:t>
      </w:r>
      <w:r w:rsidR="00635ACB">
        <w:t>.</w:t>
      </w:r>
      <w:r w:rsidR="00AC3505">
        <w:t xml:space="preserve"> </w:t>
      </w:r>
      <w:r w:rsidR="008462CD">
        <w:t xml:space="preserve">However, </w:t>
      </w:r>
      <w:r w:rsidR="00BF5EFC">
        <w:t xml:space="preserve">Large Scale Renewable Energy </w:t>
      </w:r>
      <w:r w:rsidR="003A2AE8">
        <w:t>Certificates</w:t>
      </w:r>
      <w:r w:rsidR="00BF5EFC">
        <w:t xml:space="preserve"> (</w:t>
      </w:r>
      <w:r w:rsidR="00F5135E">
        <w:t>LGC</w:t>
      </w:r>
      <w:r w:rsidR="00BF5EFC">
        <w:t xml:space="preserve">) </w:t>
      </w:r>
      <w:r w:rsidR="007A156F">
        <w:t xml:space="preserve">generated under </w:t>
      </w:r>
      <w:r w:rsidR="003A2AE8">
        <w:t xml:space="preserve">the </w:t>
      </w:r>
      <w:r w:rsidR="00D14A19">
        <w:t>Renewable Energy Target</w:t>
      </w:r>
      <w:r w:rsidR="00F5135E">
        <w:t xml:space="preserve"> (LRET)</w:t>
      </w:r>
      <w:r w:rsidR="00D14A19">
        <w:t xml:space="preserve"> </w:t>
      </w:r>
      <w:r w:rsidR="008462CD">
        <w:t xml:space="preserve">have provided additional financial incentives for some projects. </w:t>
      </w:r>
      <w:r w:rsidR="002E3448" w:rsidRPr="002E3448">
        <w:t>LGCs can be created until 2030 when the LRET ends</w:t>
      </w:r>
      <w:r w:rsidR="00F5135E">
        <w:t xml:space="preserve">. </w:t>
      </w:r>
    </w:p>
    <w:p w14:paraId="791ADB1F" w14:textId="3B2573BB" w:rsidR="00BB7C4B" w:rsidRPr="00B65011" w:rsidRDefault="006017D2" w:rsidP="00FC4C0C">
      <w:pPr>
        <w:spacing w:before="120" w:after="120"/>
        <w:rPr>
          <w:highlight w:val="yellow"/>
          <w:lang w:eastAsia="ja-JP"/>
        </w:rPr>
      </w:pPr>
      <w:r w:rsidRPr="006017D2">
        <w:t xml:space="preserve">The GO </w:t>
      </w:r>
      <w:r w:rsidR="001B0D00">
        <w:t>S</w:t>
      </w:r>
      <w:r w:rsidRPr="006017D2">
        <w:t xml:space="preserve">cheme </w:t>
      </w:r>
      <w:r>
        <w:t xml:space="preserve">will </w:t>
      </w:r>
      <w:r w:rsidRPr="006017D2">
        <w:t>have a mechanism to certify renewable electricity, called the Renewable Electricity Guarantee of Origin (REGO)</w:t>
      </w:r>
      <w:r w:rsidR="00BD5CAB">
        <w:t xml:space="preserve">. Both </w:t>
      </w:r>
      <w:r w:rsidR="00A521D1">
        <w:t xml:space="preserve">the </w:t>
      </w:r>
      <w:r w:rsidR="00780CF2">
        <w:t>LRET and GO S</w:t>
      </w:r>
      <w:r w:rsidR="00BD5CAB">
        <w:t>chemes therefore have potential to</w:t>
      </w:r>
      <w:r w:rsidR="00891D61" w:rsidRPr="00891D61">
        <w:t xml:space="preserve"> </w:t>
      </w:r>
      <w:r w:rsidR="00D14A19">
        <w:t xml:space="preserve">provide </w:t>
      </w:r>
      <w:r w:rsidR="00231393">
        <w:t xml:space="preserve">financial </w:t>
      </w:r>
      <w:r w:rsidR="00373C25">
        <w:t xml:space="preserve">assistance to </w:t>
      </w:r>
      <w:r w:rsidR="00D14A19">
        <w:t>projects</w:t>
      </w:r>
      <w:r w:rsidR="00C15C22">
        <w:t>.</w:t>
      </w:r>
      <w:r w:rsidR="0055466E">
        <w:t xml:space="preserve"> </w:t>
      </w:r>
      <w:r w:rsidR="00336C0B">
        <w:t>F</w:t>
      </w:r>
      <w:r w:rsidR="00856BAB" w:rsidRPr="00856BAB">
        <w:t xml:space="preserve">inancial additionality is important for the Committee’s assessment of additionality but </w:t>
      </w:r>
      <w:r w:rsidR="00336C0B">
        <w:t xml:space="preserve">is </w:t>
      </w:r>
      <w:r w:rsidR="00856BAB" w:rsidRPr="00856BAB">
        <w:t xml:space="preserve">not the only </w:t>
      </w:r>
      <w:r w:rsidR="00336C0B">
        <w:t>consideration</w:t>
      </w:r>
      <w:r w:rsidR="00D14A19">
        <w:t xml:space="preserve">. </w:t>
      </w:r>
    </w:p>
    <w:p w14:paraId="165529E7" w14:textId="1A1F3A5D" w:rsidR="00BB7C4B" w:rsidRPr="00A66445" w:rsidRDefault="00BB7C4B" w:rsidP="00FC4C0C">
      <w:pPr>
        <w:pStyle w:val="BoxText"/>
        <w:rPr>
          <w:b/>
          <w:bCs/>
          <w:i/>
          <w:iCs/>
          <w:sz w:val="22"/>
          <w:lang w:eastAsia="ja-JP"/>
        </w:rPr>
      </w:pPr>
      <w:r w:rsidRPr="00A66445">
        <w:rPr>
          <w:b/>
          <w:bCs/>
          <w:i/>
          <w:iCs/>
          <w:sz w:val="22"/>
          <w:lang w:eastAsia="ja-JP"/>
        </w:rPr>
        <w:t>The Committee welcomes views on</w:t>
      </w:r>
      <w:r w:rsidR="000B51E2" w:rsidRPr="000B51E2">
        <w:rPr>
          <w:b/>
          <w:bCs/>
          <w:i/>
          <w:iCs/>
          <w:sz w:val="22"/>
          <w:lang w:eastAsia="ja-JP"/>
        </w:rPr>
        <w:t xml:space="preserve"> </w:t>
      </w:r>
      <w:r w:rsidR="000B51E2">
        <w:rPr>
          <w:b/>
          <w:bCs/>
          <w:i/>
          <w:iCs/>
          <w:sz w:val="22"/>
          <w:lang w:eastAsia="ja-JP"/>
        </w:rPr>
        <w:t>the following questions</w:t>
      </w:r>
      <w:r w:rsidRPr="00A66445">
        <w:rPr>
          <w:b/>
          <w:bCs/>
          <w:i/>
          <w:iCs/>
          <w:sz w:val="22"/>
          <w:lang w:eastAsia="ja-JP"/>
        </w:rPr>
        <w:t>:</w:t>
      </w:r>
      <w:r w:rsidRPr="00A66445" w:rsidDel="003820BC">
        <w:rPr>
          <w:b/>
          <w:bCs/>
          <w:i/>
          <w:iCs/>
          <w:sz w:val="22"/>
          <w:lang w:eastAsia="ja-JP"/>
        </w:rPr>
        <w:t xml:space="preserve"> </w:t>
      </w:r>
    </w:p>
    <w:p w14:paraId="314A6EB4" w14:textId="3ABB8738" w:rsidR="00AC3505" w:rsidRDefault="00AC3505" w:rsidP="00FC4C0C">
      <w:pPr>
        <w:pStyle w:val="BoxText"/>
        <w:rPr>
          <w:sz w:val="22"/>
        </w:rPr>
      </w:pPr>
      <w:r>
        <w:rPr>
          <w:sz w:val="22"/>
        </w:rPr>
        <w:t xml:space="preserve">Should natural gas </w:t>
      </w:r>
      <w:r w:rsidR="00387A1E">
        <w:rPr>
          <w:sz w:val="22"/>
        </w:rPr>
        <w:t xml:space="preserve">and/or </w:t>
      </w:r>
      <w:r w:rsidR="00B85FA5">
        <w:rPr>
          <w:sz w:val="22"/>
        </w:rPr>
        <w:t xml:space="preserve">other fuel gas </w:t>
      </w:r>
      <w:r>
        <w:rPr>
          <w:sz w:val="22"/>
        </w:rPr>
        <w:t xml:space="preserve">displacement activities be </w:t>
      </w:r>
      <w:r w:rsidR="00A66445">
        <w:rPr>
          <w:sz w:val="22"/>
        </w:rPr>
        <w:t xml:space="preserve">included </w:t>
      </w:r>
      <w:r>
        <w:rPr>
          <w:sz w:val="22"/>
        </w:rPr>
        <w:t>a</w:t>
      </w:r>
      <w:r w:rsidR="00D00A7B">
        <w:rPr>
          <w:sz w:val="22"/>
        </w:rPr>
        <w:t>n</w:t>
      </w:r>
      <w:r w:rsidR="00093122">
        <w:rPr>
          <w:sz w:val="22"/>
        </w:rPr>
        <w:t xml:space="preserve"> </w:t>
      </w:r>
      <w:r w:rsidR="00D00A7B">
        <w:rPr>
          <w:sz w:val="22"/>
        </w:rPr>
        <w:t xml:space="preserve">expanded </w:t>
      </w:r>
      <w:r w:rsidR="00B335BB">
        <w:rPr>
          <w:sz w:val="22"/>
        </w:rPr>
        <w:t xml:space="preserve">liquid waste </w:t>
      </w:r>
      <w:r>
        <w:rPr>
          <w:sz w:val="22"/>
        </w:rPr>
        <w:t>method?</w:t>
      </w:r>
      <w:r w:rsidR="00D00A7B">
        <w:rPr>
          <w:sz w:val="22"/>
        </w:rPr>
        <w:t xml:space="preserve"> </w:t>
      </w:r>
      <w:r w:rsidR="00D00A7B" w:rsidRPr="0004731E">
        <w:rPr>
          <w:sz w:val="22"/>
          <w:lang w:eastAsia="ja-JP"/>
        </w:rPr>
        <w:t>(</w:t>
      </w:r>
      <w:r w:rsidR="00D00A7B" w:rsidRPr="0004731E">
        <w:rPr>
          <w:sz w:val="22"/>
        </w:rPr>
        <w:t xml:space="preserve">Question </w:t>
      </w:r>
      <w:r w:rsidR="005B7324" w:rsidRPr="0004731E">
        <w:rPr>
          <w:sz w:val="22"/>
        </w:rPr>
        <w:t>2</w:t>
      </w:r>
      <w:r w:rsidR="005B7324">
        <w:rPr>
          <w:sz w:val="22"/>
        </w:rPr>
        <w:t>9</w:t>
      </w:r>
      <w:r w:rsidR="00D00A7B" w:rsidRPr="0004731E">
        <w:rPr>
          <w:sz w:val="22"/>
        </w:rPr>
        <w:t>)</w:t>
      </w:r>
      <w:r w:rsidR="00FE5281">
        <w:rPr>
          <w:sz w:val="22"/>
        </w:rPr>
        <w:t>.</w:t>
      </w:r>
    </w:p>
    <w:p w14:paraId="5C3548AD" w14:textId="49094575" w:rsidR="00BB7C4B" w:rsidRDefault="00AC3505" w:rsidP="00FC4C0C">
      <w:pPr>
        <w:pStyle w:val="BoxText"/>
        <w:rPr>
          <w:sz w:val="22"/>
        </w:rPr>
      </w:pPr>
      <w:r>
        <w:rPr>
          <w:sz w:val="22"/>
        </w:rPr>
        <w:t xml:space="preserve">Should displacement </w:t>
      </w:r>
      <w:r w:rsidR="0047663E">
        <w:rPr>
          <w:sz w:val="22"/>
        </w:rPr>
        <w:t>abatement credit</w:t>
      </w:r>
      <w:r w:rsidR="00BA1EB1">
        <w:rPr>
          <w:sz w:val="22"/>
        </w:rPr>
        <w:t>s</w:t>
      </w:r>
      <w:r w:rsidR="0047663E">
        <w:rPr>
          <w:sz w:val="22"/>
        </w:rPr>
        <w:t xml:space="preserve"> </w:t>
      </w:r>
      <w:r>
        <w:rPr>
          <w:sz w:val="22"/>
        </w:rPr>
        <w:t>be extended to any other activities, for example electricity generation?</w:t>
      </w:r>
      <w:r w:rsidRPr="00F07836">
        <w:rPr>
          <w:sz w:val="22"/>
          <w:lang w:eastAsia="ja-JP"/>
        </w:rPr>
        <w:t xml:space="preserve"> </w:t>
      </w:r>
      <w:r w:rsidR="00BB7C4B" w:rsidRPr="00F07836">
        <w:rPr>
          <w:sz w:val="22"/>
          <w:lang w:eastAsia="ja-JP"/>
        </w:rPr>
        <w:t>(</w:t>
      </w:r>
      <w:r w:rsidR="00BB7C4B" w:rsidRPr="00F07836">
        <w:rPr>
          <w:sz w:val="22"/>
        </w:rPr>
        <w:t xml:space="preserve">Question </w:t>
      </w:r>
      <w:r w:rsidR="005B7324">
        <w:rPr>
          <w:sz w:val="22"/>
        </w:rPr>
        <w:t>30</w:t>
      </w:r>
      <w:r w:rsidR="00BB7C4B" w:rsidRPr="00F07836">
        <w:rPr>
          <w:sz w:val="22"/>
        </w:rPr>
        <w:t>)</w:t>
      </w:r>
      <w:r w:rsidR="00FE5281">
        <w:rPr>
          <w:sz w:val="22"/>
        </w:rPr>
        <w:t>.</w:t>
      </w:r>
    </w:p>
    <w:p w14:paraId="3E4A0F57" w14:textId="6B8D9016" w:rsidR="00093122" w:rsidRDefault="00B23762" w:rsidP="00FC4C0C">
      <w:pPr>
        <w:pStyle w:val="BoxText"/>
        <w:rPr>
          <w:sz w:val="22"/>
        </w:rPr>
      </w:pPr>
      <w:r>
        <w:rPr>
          <w:sz w:val="22"/>
        </w:rPr>
        <w:t>If possible, p</w:t>
      </w:r>
      <w:r w:rsidR="00387A1E">
        <w:rPr>
          <w:sz w:val="22"/>
        </w:rPr>
        <w:t xml:space="preserve">lease </w:t>
      </w:r>
      <w:r w:rsidR="00093122">
        <w:rPr>
          <w:sz w:val="22"/>
        </w:rPr>
        <w:t xml:space="preserve">provide information on the </w:t>
      </w:r>
      <w:r w:rsidR="00231393">
        <w:rPr>
          <w:sz w:val="22"/>
        </w:rPr>
        <w:t xml:space="preserve">actual and expected </w:t>
      </w:r>
      <w:r w:rsidR="00093122">
        <w:rPr>
          <w:sz w:val="22"/>
        </w:rPr>
        <w:t xml:space="preserve">financial returns achieved by </w:t>
      </w:r>
      <w:r w:rsidR="00E81230">
        <w:rPr>
          <w:sz w:val="22"/>
        </w:rPr>
        <w:t xml:space="preserve">generating </w:t>
      </w:r>
      <w:r w:rsidR="00D91BAD">
        <w:rPr>
          <w:sz w:val="22"/>
        </w:rPr>
        <w:t>L</w:t>
      </w:r>
      <w:r w:rsidR="00780CF2">
        <w:rPr>
          <w:sz w:val="22"/>
        </w:rPr>
        <w:t>GC</w:t>
      </w:r>
      <w:r w:rsidR="00D91BAD">
        <w:rPr>
          <w:sz w:val="22"/>
        </w:rPr>
        <w:t xml:space="preserve">s </w:t>
      </w:r>
      <w:r w:rsidR="00E73FCA">
        <w:rPr>
          <w:sz w:val="22"/>
        </w:rPr>
        <w:t xml:space="preserve">and/or REGOs </w:t>
      </w:r>
      <w:r w:rsidR="00E81230">
        <w:rPr>
          <w:sz w:val="22"/>
        </w:rPr>
        <w:t xml:space="preserve">via </w:t>
      </w:r>
      <w:r w:rsidR="00093122">
        <w:rPr>
          <w:sz w:val="22"/>
        </w:rPr>
        <w:t xml:space="preserve">displacement of </w:t>
      </w:r>
      <w:r w:rsidR="00E73FCA">
        <w:rPr>
          <w:sz w:val="22"/>
        </w:rPr>
        <w:t xml:space="preserve">electricity and/or </w:t>
      </w:r>
      <w:r w:rsidR="008364D5">
        <w:rPr>
          <w:sz w:val="22"/>
        </w:rPr>
        <w:t>other fuel gases</w:t>
      </w:r>
      <w:r w:rsidR="0047663E">
        <w:rPr>
          <w:sz w:val="22"/>
        </w:rPr>
        <w:t xml:space="preserve"> </w:t>
      </w:r>
      <w:r w:rsidR="0047663E" w:rsidRPr="0004731E">
        <w:rPr>
          <w:sz w:val="22"/>
          <w:lang w:eastAsia="ja-JP"/>
        </w:rPr>
        <w:t>(</w:t>
      </w:r>
      <w:r w:rsidR="0047663E" w:rsidRPr="0004731E">
        <w:rPr>
          <w:sz w:val="22"/>
        </w:rPr>
        <w:t xml:space="preserve">Question </w:t>
      </w:r>
      <w:r w:rsidR="005B7324">
        <w:rPr>
          <w:sz w:val="22"/>
        </w:rPr>
        <w:t>31</w:t>
      </w:r>
      <w:r w:rsidR="0047663E" w:rsidRPr="0004731E">
        <w:rPr>
          <w:sz w:val="22"/>
        </w:rPr>
        <w:t>)</w:t>
      </w:r>
      <w:r w:rsidR="00FE5281">
        <w:rPr>
          <w:sz w:val="22"/>
        </w:rPr>
        <w:t>.</w:t>
      </w:r>
    </w:p>
    <w:p w14:paraId="3AA9B7FA" w14:textId="77777777" w:rsidR="00564F85" w:rsidRPr="00BB7C4B" w:rsidRDefault="00564F85" w:rsidP="00564F85">
      <w:pPr>
        <w:pStyle w:val="Heading3"/>
        <w:spacing w:before="120" w:after="120" w:line="276" w:lineRule="auto"/>
        <w:rPr>
          <w:color w:val="017097" w:themeColor="accent1"/>
          <w:lang w:eastAsia="ja-JP"/>
        </w:rPr>
      </w:pPr>
      <w:bookmarkStart w:id="24" w:name="_Toc192068744"/>
      <w:r>
        <w:rPr>
          <w:color w:val="017097" w:themeColor="accent1"/>
          <w:lang w:eastAsia="ja-JP"/>
        </w:rPr>
        <w:t>Adequacy of deferral to start of crediting period</w:t>
      </w:r>
      <w:bookmarkEnd w:id="24"/>
    </w:p>
    <w:p w14:paraId="1C03D5C7" w14:textId="249CAA18" w:rsidR="00564F85" w:rsidRDefault="00564F85" w:rsidP="00564F85">
      <w:pPr>
        <w:spacing w:after="120"/>
      </w:pPr>
      <w:r w:rsidRPr="00EC213E">
        <w:t xml:space="preserve">The AEM </w:t>
      </w:r>
      <w:r w:rsidR="00446CB8">
        <w:t xml:space="preserve">method 2019 </w:t>
      </w:r>
      <w:r w:rsidRPr="00EC213E">
        <w:t xml:space="preserve">and Wastewater </w:t>
      </w:r>
      <w:r w:rsidR="00446CB8">
        <w:t>m</w:t>
      </w:r>
      <w:r w:rsidRPr="00EC213E">
        <w:t xml:space="preserve">ethod </w:t>
      </w:r>
      <w:r w:rsidR="00446CB8">
        <w:t xml:space="preserve">2015 </w:t>
      </w:r>
      <w:r w:rsidRPr="00EC213E">
        <w:t xml:space="preserve">have the standard limit of 18 months on deferral of crediting period </w:t>
      </w:r>
      <w:r>
        <w:t xml:space="preserve">commencement </w:t>
      </w:r>
      <w:r w:rsidRPr="00EC213E">
        <w:t>following project registration</w:t>
      </w:r>
      <w:r>
        <w:t>,</w:t>
      </w:r>
      <w:r w:rsidRPr="00EC213E">
        <w:t xml:space="preserve"> as provided in the CFI Act. </w:t>
      </w:r>
      <w:r w:rsidR="00D8532C">
        <w:t>D</w:t>
      </w:r>
      <w:r w:rsidR="00310B87">
        <w:t xml:space="preserve">uring </w:t>
      </w:r>
      <w:r w:rsidRPr="00D31D80">
        <w:t>consultation on the</w:t>
      </w:r>
      <w:r>
        <w:t xml:space="preserve"> </w:t>
      </w:r>
      <w:r w:rsidRPr="00C32BD3">
        <w:rPr>
          <w:i/>
          <w:iCs/>
        </w:rPr>
        <w:t>Carbon Credits (Carbon Farming Initiative – Alternative Waste Treatment) Methodology Determination 2015</w:t>
      </w:r>
      <w:r w:rsidRPr="00D31D80">
        <w:t xml:space="preserve"> </w:t>
      </w:r>
      <w:r>
        <w:t>(</w:t>
      </w:r>
      <w:r w:rsidRPr="00D31D80">
        <w:t>AWT method</w:t>
      </w:r>
      <w:r>
        <w:t>)</w:t>
      </w:r>
      <w:r>
        <w:rPr>
          <w:rStyle w:val="FootnoteReference"/>
        </w:rPr>
        <w:footnoteReference w:id="9"/>
      </w:r>
      <w:r w:rsidR="00D8532C">
        <w:t>, s</w:t>
      </w:r>
      <w:r w:rsidR="00D8532C" w:rsidRPr="00D31D80">
        <w:t>takeholders have requested a longer deferral period</w:t>
      </w:r>
      <w:r w:rsidR="00D8532C">
        <w:t>.</w:t>
      </w:r>
    </w:p>
    <w:p w14:paraId="5A2CF29B" w14:textId="0DCB745A" w:rsidR="00564F85" w:rsidRPr="003E7696" w:rsidRDefault="00564F85" w:rsidP="00564F85">
      <w:pPr>
        <w:pStyle w:val="BoxText"/>
        <w:rPr>
          <w:b/>
          <w:bCs/>
          <w:i/>
          <w:iCs/>
          <w:sz w:val="22"/>
          <w:lang w:eastAsia="ja-JP"/>
        </w:rPr>
      </w:pPr>
      <w:r w:rsidRPr="003E7696">
        <w:rPr>
          <w:b/>
          <w:bCs/>
          <w:i/>
          <w:iCs/>
          <w:sz w:val="22"/>
          <w:lang w:eastAsia="ja-JP"/>
        </w:rPr>
        <w:t>The Committee welcomes views on</w:t>
      </w:r>
      <w:r w:rsidR="000B51E2" w:rsidRPr="000B51E2">
        <w:rPr>
          <w:b/>
          <w:bCs/>
          <w:i/>
          <w:iCs/>
          <w:sz w:val="22"/>
          <w:lang w:eastAsia="ja-JP"/>
        </w:rPr>
        <w:t xml:space="preserve"> </w:t>
      </w:r>
      <w:r w:rsidR="000B51E2">
        <w:rPr>
          <w:b/>
          <w:bCs/>
          <w:i/>
          <w:iCs/>
          <w:sz w:val="22"/>
          <w:lang w:eastAsia="ja-JP"/>
        </w:rPr>
        <w:t>the following question</w:t>
      </w:r>
      <w:r w:rsidRPr="003E7696">
        <w:rPr>
          <w:b/>
          <w:bCs/>
          <w:i/>
          <w:iCs/>
          <w:sz w:val="22"/>
          <w:lang w:eastAsia="ja-JP"/>
        </w:rPr>
        <w:t>:</w:t>
      </w:r>
      <w:r w:rsidRPr="003E7696" w:rsidDel="003820BC">
        <w:rPr>
          <w:b/>
          <w:bCs/>
          <w:i/>
          <w:iCs/>
          <w:sz w:val="22"/>
          <w:lang w:eastAsia="ja-JP"/>
        </w:rPr>
        <w:t xml:space="preserve"> </w:t>
      </w:r>
    </w:p>
    <w:p w14:paraId="096410CF" w14:textId="54855FA6" w:rsidR="00564F85" w:rsidRDefault="00D8532C" w:rsidP="00564F85">
      <w:pPr>
        <w:pStyle w:val="BoxText"/>
        <w:rPr>
          <w:sz w:val="22"/>
          <w:lang w:eastAsia="ja-JP"/>
        </w:rPr>
      </w:pPr>
      <w:r>
        <w:rPr>
          <w:sz w:val="22"/>
        </w:rPr>
        <w:t>Whether</w:t>
      </w:r>
      <w:r w:rsidR="00564F85">
        <w:rPr>
          <w:sz w:val="22"/>
        </w:rPr>
        <w:t xml:space="preserve"> the current </w:t>
      </w:r>
      <w:r w:rsidR="00564F85" w:rsidRPr="003E7696">
        <w:rPr>
          <w:sz w:val="22"/>
        </w:rPr>
        <w:t xml:space="preserve">limit of 18 months deferral of crediting period </w:t>
      </w:r>
      <w:r w:rsidR="00564F85">
        <w:rPr>
          <w:sz w:val="22"/>
        </w:rPr>
        <w:t xml:space="preserve">commencement </w:t>
      </w:r>
      <w:r w:rsidR="00564F85" w:rsidRPr="003E7696">
        <w:rPr>
          <w:sz w:val="22"/>
        </w:rPr>
        <w:t>following project registration</w:t>
      </w:r>
      <w:r w:rsidR="00734B13">
        <w:rPr>
          <w:sz w:val="22"/>
        </w:rPr>
        <w:t xml:space="preserve"> is</w:t>
      </w:r>
      <w:r w:rsidR="00564F85" w:rsidRPr="003E7696">
        <w:rPr>
          <w:sz w:val="22"/>
        </w:rPr>
        <w:t xml:space="preserve"> </w:t>
      </w:r>
      <w:r w:rsidR="00564F85">
        <w:rPr>
          <w:sz w:val="22"/>
        </w:rPr>
        <w:t xml:space="preserve">adequate for AEM </w:t>
      </w:r>
      <w:r w:rsidR="001329DC">
        <w:rPr>
          <w:sz w:val="22"/>
        </w:rPr>
        <w:t xml:space="preserve">method 2019 </w:t>
      </w:r>
      <w:r w:rsidR="00564F85">
        <w:rPr>
          <w:sz w:val="22"/>
        </w:rPr>
        <w:t xml:space="preserve">and </w:t>
      </w:r>
      <w:r w:rsidR="00446CB8">
        <w:rPr>
          <w:sz w:val="22"/>
        </w:rPr>
        <w:t>Wastewater method 2015</w:t>
      </w:r>
      <w:r w:rsidR="00564F85">
        <w:rPr>
          <w:sz w:val="22"/>
        </w:rPr>
        <w:t xml:space="preserve"> projects</w:t>
      </w:r>
      <w:r w:rsidR="00564F85" w:rsidRPr="00F07836">
        <w:rPr>
          <w:sz w:val="22"/>
        </w:rPr>
        <w:t xml:space="preserve"> (</w:t>
      </w:r>
      <w:r w:rsidR="00564F85" w:rsidRPr="00F07836">
        <w:rPr>
          <w:sz w:val="22"/>
          <w:lang w:eastAsia="ja-JP"/>
        </w:rPr>
        <w:t xml:space="preserve">Question </w:t>
      </w:r>
      <w:r w:rsidR="00564F85">
        <w:rPr>
          <w:sz w:val="22"/>
          <w:lang w:eastAsia="ja-JP"/>
        </w:rPr>
        <w:t>3</w:t>
      </w:r>
      <w:r w:rsidR="005B7324">
        <w:rPr>
          <w:sz w:val="22"/>
          <w:lang w:eastAsia="ja-JP"/>
        </w:rPr>
        <w:t>2</w:t>
      </w:r>
      <w:r w:rsidR="00564F85" w:rsidRPr="00F07836">
        <w:rPr>
          <w:sz w:val="22"/>
          <w:lang w:eastAsia="ja-JP"/>
        </w:rPr>
        <w:t>)</w:t>
      </w:r>
      <w:r w:rsidR="00564F85">
        <w:rPr>
          <w:sz w:val="22"/>
          <w:lang w:eastAsia="ja-JP"/>
        </w:rPr>
        <w:t>.</w:t>
      </w:r>
    </w:p>
    <w:p w14:paraId="35F96EAC" w14:textId="1919AE83" w:rsidR="00BB7C4B" w:rsidRPr="00BB7C4B" w:rsidRDefault="00F87BA5" w:rsidP="00FC4C0C">
      <w:pPr>
        <w:pStyle w:val="Heading3"/>
        <w:spacing w:before="120" w:after="120" w:line="276" w:lineRule="auto"/>
        <w:rPr>
          <w:color w:val="017097" w:themeColor="accent1"/>
          <w:lang w:eastAsia="ja-JP"/>
        </w:rPr>
      </w:pPr>
      <w:bookmarkStart w:id="25" w:name="_Toc192068745"/>
      <w:r>
        <w:rPr>
          <w:color w:val="017097" w:themeColor="accent1"/>
          <w:lang w:eastAsia="ja-JP"/>
        </w:rPr>
        <w:lastRenderedPageBreak/>
        <w:t xml:space="preserve">Difficulties meeting newness provisions </w:t>
      </w:r>
      <w:r w:rsidR="005D0128">
        <w:rPr>
          <w:color w:val="017097" w:themeColor="accent1"/>
          <w:lang w:eastAsia="ja-JP"/>
        </w:rPr>
        <w:t>given approvals processes</w:t>
      </w:r>
      <w:bookmarkEnd w:id="25"/>
    </w:p>
    <w:p w14:paraId="7F22201C" w14:textId="5156F061" w:rsidR="00EC213E" w:rsidRDefault="005D0128" w:rsidP="00C32BD3">
      <w:pPr>
        <w:spacing w:after="120"/>
      </w:pPr>
      <w:r>
        <w:t>In previous consultations, stakeholders have indic</w:t>
      </w:r>
      <w:r w:rsidR="0083764E">
        <w:t>a</w:t>
      </w:r>
      <w:r>
        <w:t xml:space="preserve">ted that </w:t>
      </w:r>
      <w:r w:rsidR="00161055">
        <w:t xml:space="preserve">approvals processes such as </w:t>
      </w:r>
      <w:r w:rsidR="007F45D4">
        <w:t xml:space="preserve">completion of </w:t>
      </w:r>
      <w:r w:rsidR="0083764E">
        <w:t>Development Application</w:t>
      </w:r>
      <w:r w:rsidR="007F45D4">
        <w:t>s</w:t>
      </w:r>
      <w:r w:rsidR="0083764E">
        <w:t xml:space="preserve"> </w:t>
      </w:r>
      <w:r w:rsidR="00C8603F">
        <w:t>can present challenges to</w:t>
      </w:r>
      <w:r w:rsidR="00CE7F37">
        <w:t xml:space="preserve"> meeting </w:t>
      </w:r>
      <w:r w:rsidR="00513114">
        <w:t xml:space="preserve">ACCU Scheme </w:t>
      </w:r>
      <w:r w:rsidR="00CE7F37">
        <w:t xml:space="preserve">project newness requirements. </w:t>
      </w:r>
      <w:r w:rsidR="006C7A6F">
        <w:t xml:space="preserve">This </w:t>
      </w:r>
      <w:r w:rsidR="00161055">
        <w:t xml:space="preserve">could </w:t>
      </w:r>
      <w:r w:rsidR="00DF6E54">
        <w:t xml:space="preserve">impact the eligibility of </w:t>
      </w:r>
      <w:r w:rsidR="00D30628">
        <w:t xml:space="preserve">AEM </w:t>
      </w:r>
      <w:r w:rsidR="00DF6E54">
        <w:t>projects under the ACCU Scheme.</w:t>
      </w:r>
    </w:p>
    <w:p w14:paraId="4D75D9BF" w14:textId="21109EF3" w:rsidR="00BB7C4B" w:rsidRPr="003E7696" w:rsidRDefault="00BB7C4B" w:rsidP="00C32BD3">
      <w:pPr>
        <w:pStyle w:val="BoxText"/>
        <w:rPr>
          <w:b/>
          <w:bCs/>
          <w:i/>
          <w:iCs/>
          <w:sz w:val="22"/>
          <w:lang w:eastAsia="ja-JP"/>
        </w:rPr>
      </w:pPr>
      <w:r w:rsidRPr="003E7696">
        <w:rPr>
          <w:b/>
          <w:bCs/>
          <w:i/>
          <w:iCs/>
          <w:sz w:val="22"/>
          <w:lang w:eastAsia="ja-JP"/>
        </w:rPr>
        <w:t>The Committee welcomes views on</w:t>
      </w:r>
      <w:r w:rsidR="000B51E2" w:rsidRPr="000B51E2">
        <w:rPr>
          <w:b/>
          <w:bCs/>
          <w:i/>
          <w:iCs/>
          <w:sz w:val="22"/>
          <w:lang w:eastAsia="ja-JP"/>
        </w:rPr>
        <w:t xml:space="preserve"> </w:t>
      </w:r>
      <w:r w:rsidR="000B51E2">
        <w:rPr>
          <w:b/>
          <w:bCs/>
          <w:i/>
          <w:iCs/>
          <w:sz w:val="22"/>
          <w:lang w:eastAsia="ja-JP"/>
        </w:rPr>
        <w:t>the following questions</w:t>
      </w:r>
      <w:r w:rsidRPr="003E7696">
        <w:rPr>
          <w:b/>
          <w:bCs/>
          <w:i/>
          <w:iCs/>
          <w:sz w:val="22"/>
          <w:lang w:eastAsia="ja-JP"/>
        </w:rPr>
        <w:t>:</w:t>
      </w:r>
      <w:r w:rsidRPr="003E7696" w:rsidDel="003820BC">
        <w:rPr>
          <w:b/>
          <w:bCs/>
          <w:i/>
          <w:iCs/>
          <w:sz w:val="22"/>
          <w:lang w:eastAsia="ja-JP"/>
        </w:rPr>
        <w:t xml:space="preserve"> </w:t>
      </w:r>
    </w:p>
    <w:p w14:paraId="3D2F4BE7" w14:textId="2573E923" w:rsidR="00BB7C4B" w:rsidRDefault="00631BFA" w:rsidP="00C32BD3">
      <w:pPr>
        <w:pStyle w:val="BoxText"/>
        <w:rPr>
          <w:sz w:val="22"/>
          <w:lang w:eastAsia="ja-JP"/>
        </w:rPr>
      </w:pPr>
      <w:r>
        <w:rPr>
          <w:sz w:val="22"/>
        </w:rPr>
        <w:t xml:space="preserve">What </w:t>
      </w:r>
      <w:r w:rsidR="007F45D4">
        <w:rPr>
          <w:sz w:val="22"/>
        </w:rPr>
        <w:t>changes</w:t>
      </w:r>
      <w:r w:rsidR="00734B13">
        <w:rPr>
          <w:sz w:val="22"/>
        </w:rPr>
        <w:t>,</w:t>
      </w:r>
      <w:r w:rsidR="007F45D4">
        <w:rPr>
          <w:sz w:val="22"/>
        </w:rPr>
        <w:t xml:space="preserve"> </w:t>
      </w:r>
      <w:r>
        <w:rPr>
          <w:sz w:val="22"/>
        </w:rPr>
        <w:t>if any</w:t>
      </w:r>
      <w:r w:rsidR="00734B13">
        <w:rPr>
          <w:sz w:val="22"/>
        </w:rPr>
        <w:t>,</w:t>
      </w:r>
      <w:r>
        <w:rPr>
          <w:sz w:val="22"/>
        </w:rPr>
        <w:t xml:space="preserve"> </w:t>
      </w:r>
      <w:r w:rsidR="00807635">
        <w:rPr>
          <w:sz w:val="22"/>
        </w:rPr>
        <w:t xml:space="preserve">relating to approvals processes </w:t>
      </w:r>
      <w:r>
        <w:rPr>
          <w:sz w:val="22"/>
        </w:rPr>
        <w:t xml:space="preserve">should be made to </w:t>
      </w:r>
      <w:r w:rsidR="007F45D4">
        <w:rPr>
          <w:sz w:val="22"/>
        </w:rPr>
        <w:t xml:space="preserve">newness requirements </w:t>
      </w:r>
      <w:r>
        <w:rPr>
          <w:sz w:val="22"/>
        </w:rPr>
        <w:t xml:space="preserve">to </w:t>
      </w:r>
      <w:r w:rsidR="009C25FB">
        <w:rPr>
          <w:sz w:val="22"/>
        </w:rPr>
        <w:t>avoid project ineligibility</w:t>
      </w:r>
      <w:r w:rsidR="00807635">
        <w:rPr>
          <w:sz w:val="22"/>
        </w:rPr>
        <w:t>,</w:t>
      </w:r>
      <w:r w:rsidR="009C25FB">
        <w:rPr>
          <w:sz w:val="22"/>
        </w:rPr>
        <w:t xml:space="preserve"> while</w:t>
      </w:r>
      <w:r w:rsidR="00845DFB">
        <w:rPr>
          <w:sz w:val="22"/>
        </w:rPr>
        <w:t xml:space="preserve"> ensuring that projects</w:t>
      </w:r>
      <w:r w:rsidR="009C25FB">
        <w:rPr>
          <w:sz w:val="22"/>
        </w:rPr>
        <w:t xml:space="preserve"> meet </w:t>
      </w:r>
      <w:r w:rsidR="00807635">
        <w:rPr>
          <w:sz w:val="22"/>
        </w:rPr>
        <w:t>a</w:t>
      </w:r>
      <w:r w:rsidR="005E00B7">
        <w:rPr>
          <w:sz w:val="22"/>
        </w:rPr>
        <w:t>dditionality requirements?</w:t>
      </w:r>
      <w:r w:rsidR="009C25FB">
        <w:rPr>
          <w:sz w:val="22"/>
        </w:rPr>
        <w:t xml:space="preserve"> </w:t>
      </w:r>
      <w:r w:rsidR="00BB7C4B" w:rsidRPr="00F07836">
        <w:rPr>
          <w:sz w:val="22"/>
        </w:rPr>
        <w:t>(</w:t>
      </w:r>
      <w:r w:rsidR="00BB7C4B" w:rsidRPr="00F07836">
        <w:rPr>
          <w:sz w:val="22"/>
          <w:lang w:eastAsia="ja-JP"/>
        </w:rPr>
        <w:t>Question</w:t>
      </w:r>
      <w:r w:rsidR="000C2237">
        <w:rPr>
          <w:sz w:val="22"/>
          <w:lang w:eastAsia="ja-JP"/>
        </w:rPr>
        <w:t> </w:t>
      </w:r>
      <w:r w:rsidR="00FC7494">
        <w:rPr>
          <w:sz w:val="22"/>
          <w:lang w:eastAsia="ja-JP"/>
        </w:rPr>
        <w:t>3</w:t>
      </w:r>
      <w:r w:rsidR="005B7324">
        <w:rPr>
          <w:sz w:val="22"/>
          <w:lang w:eastAsia="ja-JP"/>
        </w:rPr>
        <w:t>3</w:t>
      </w:r>
      <w:r w:rsidR="00BB7C4B" w:rsidRPr="00F07836">
        <w:rPr>
          <w:sz w:val="22"/>
          <w:lang w:eastAsia="ja-JP"/>
        </w:rPr>
        <w:t>)</w:t>
      </w:r>
      <w:r w:rsidR="00FE5281">
        <w:rPr>
          <w:sz w:val="22"/>
          <w:lang w:eastAsia="ja-JP"/>
        </w:rPr>
        <w:t>.</w:t>
      </w:r>
    </w:p>
    <w:p w14:paraId="4C485DA5" w14:textId="49C0A5A3" w:rsidR="00D6600C" w:rsidRPr="00D16237" w:rsidRDefault="00D6600C" w:rsidP="00C32BD3">
      <w:pPr>
        <w:pStyle w:val="Heading3"/>
        <w:spacing w:before="120" w:after="120" w:line="276" w:lineRule="auto"/>
        <w:rPr>
          <w:color w:val="017097" w:themeColor="accent1"/>
          <w:lang w:eastAsia="ja-JP"/>
        </w:rPr>
      </w:pPr>
      <w:bookmarkStart w:id="26" w:name="_Toc192068746"/>
      <w:r w:rsidRPr="00D16237">
        <w:rPr>
          <w:color w:val="017097" w:themeColor="accent1"/>
          <w:lang w:eastAsia="ja-JP"/>
        </w:rPr>
        <w:t>Usability and other improvements</w:t>
      </w:r>
      <w:bookmarkEnd w:id="26"/>
      <w:r w:rsidRPr="00D16237">
        <w:rPr>
          <w:color w:val="017097" w:themeColor="accent1"/>
          <w:lang w:eastAsia="ja-JP"/>
        </w:rPr>
        <w:t xml:space="preserve"> </w:t>
      </w:r>
    </w:p>
    <w:p w14:paraId="0F3D68EC" w14:textId="122743F6" w:rsidR="00D6600C" w:rsidRPr="00D16237" w:rsidRDefault="00D6600C" w:rsidP="00C32BD3">
      <w:pPr>
        <w:spacing w:before="120" w:after="120"/>
        <w:rPr>
          <w:lang w:eastAsia="ja-JP"/>
        </w:rPr>
      </w:pPr>
      <w:r w:rsidRPr="00D16237">
        <w:rPr>
          <w:lang w:eastAsia="ja-JP"/>
        </w:rPr>
        <w:t xml:space="preserve">The Committee welcomes </w:t>
      </w:r>
      <w:r w:rsidR="003646C0" w:rsidRPr="00D16237">
        <w:rPr>
          <w:lang w:eastAsia="ja-JP"/>
        </w:rPr>
        <w:t xml:space="preserve">any other </w:t>
      </w:r>
      <w:r w:rsidRPr="00D16237">
        <w:rPr>
          <w:lang w:eastAsia="ja-JP"/>
        </w:rPr>
        <w:t xml:space="preserve">comments and suggestions </w:t>
      </w:r>
      <w:r w:rsidR="00962516" w:rsidRPr="00D16237">
        <w:rPr>
          <w:lang w:eastAsia="ja-JP"/>
        </w:rPr>
        <w:t xml:space="preserve">on the design and operation of </w:t>
      </w:r>
      <w:r w:rsidR="003646C0" w:rsidRPr="00D16237">
        <w:rPr>
          <w:lang w:eastAsia="ja-JP"/>
        </w:rPr>
        <w:t xml:space="preserve">an expanded </w:t>
      </w:r>
      <w:r w:rsidR="003D6173">
        <w:rPr>
          <w:lang w:eastAsia="ja-JP"/>
        </w:rPr>
        <w:t>liquid waste</w:t>
      </w:r>
      <w:r w:rsidR="007B59BD" w:rsidRPr="00D16237">
        <w:rPr>
          <w:lang w:eastAsia="ja-JP"/>
        </w:rPr>
        <w:t xml:space="preserve"> </w:t>
      </w:r>
      <w:r w:rsidR="00962516" w:rsidRPr="00D16237">
        <w:rPr>
          <w:lang w:eastAsia="ja-JP"/>
        </w:rPr>
        <w:t>method</w:t>
      </w:r>
      <w:r w:rsidRPr="00D16237">
        <w:rPr>
          <w:lang w:eastAsia="ja-JP"/>
        </w:rPr>
        <w:t xml:space="preserve"> that would help improve </w:t>
      </w:r>
      <w:r w:rsidR="00207363" w:rsidRPr="00D16237">
        <w:rPr>
          <w:lang w:eastAsia="ja-JP"/>
        </w:rPr>
        <w:t>its</w:t>
      </w:r>
      <w:r w:rsidRPr="00D16237">
        <w:rPr>
          <w:lang w:eastAsia="ja-JP"/>
        </w:rPr>
        <w:t xml:space="preserve"> usability and encourage uptake</w:t>
      </w:r>
      <w:r w:rsidR="00A86AE4">
        <w:rPr>
          <w:lang w:eastAsia="ja-JP"/>
        </w:rPr>
        <w:t xml:space="preserve"> whil</w:t>
      </w:r>
      <w:r w:rsidR="000C62F6">
        <w:rPr>
          <w:lang w:eastAsia="ja-JP"/>
        </w:rPr>
        <w:t>e</w:t>
      </w:r>
      <w:r w:rsidR="00A86AE4">
        <w:rPr>
          <w:lang w:eastAsia="ja-JP"/>
        </w:rPr>
        <w:t xml:space="preserve"> meeting the </w:t>
      </w:r>
      <w:r w:rsidR="00790353">
        <w:rPr>
          <w:lang w:eastAsia="ja-JP"/>
        </w:rPr>
        <w:t>OIS</w:t>
      </w:r>
      <w:r w:rsidRPr="00D16237">
        <w:rPr>
          <w:lang w:eastAsia="ja-JP"/>
        </w:rPr>
        <w:t xml:space="preserve">, </w:t>
      </w:r>
      <w:r w:rsidR="00204B06" w:rsidRPr="00D16237">
        <w:rPr>
          <w:lang w:eastAsia="ja-JP"/>
        </w:rPr>
        <w:t>such as</w:t>
      </w:r>
      <w:r w:rsidRPr="00D16237">
        <w:rPr>
          <w:lang w:eastAsia="ja-JP"/>
        </w:rPr>
        <w:t>:</w:t>
      </w:r>
    </w:p>
    <w:p w14:paraId="701006D1" w14:textId="3BC6530A" w:rsidR="00E83A1B" w:rsidRPr="00D16237" w:rsidRDefault="00204B06" w:rsidP="00C32BD3">
      <w:pPr>
        <w:pStyle w:val="ListBullet"/>
      </w:pPr>
      <w:r w:rsidRPr="00D16237">
        <w:t>p</w:t>
      </w:r>
      <w:r w:rsidR="00E83A1B" w:rsidRPr="00D16237">
        <w:t>roponents</w:t>
      </w:r>
      <w:r w:rsidR="432FB384" w:rsidRPr="00D16237">
        <w:t>'</w:t>
      </w:r>
      <w:r w:rsidR="00E83A1B" w:rsidRPr="00D16237">
        <w:t xml:space="preserve"> experience in implementing </w:t>
      </w:r>
      <w:r w:rsidR="008360CD" w:rsidRPr="00D16237">
        <w:t xml:space="preserve">AEM </w:t>
      </w:r>
      <w:r w:rsidR="00446CB8">
        <w:t xml:space="preserve">method 2019 </w:t>
      </w:r>
      <w:r w:rsidR="008360CD" w:rsidRPr="00D16237">
        <w:t xml:space="preserve">and Wastewater </w:t>
      </w:r>
      <w:r w:rsidR="00E83A1B" w:rsidRPr="00D16237">
        <w:t>method</w:t>
      </w:r>
      <w:r w:rsidR="00446CB8">
        <w:t xml:space="preserve"> 2015 projects</w:t>
      </w:r>
      <w:r w:rsidR="00E83A1B" w:rsidRPr="00D16237">
        <w:t>, including any opportunities to remove barriers and increase uptake</w:t>
      </w:r>
    </w:p>
    <w:p w14:paraId="41EEE161" w14:textId="0B286DA0" w:rsidR="00D6600C" w:rsidRPr="00D16237" w:rsidRDefault="00204B06" w:rsidP="00C32BD3">
      <w:pPr>
        <w:pStyle w:val="ListBullet"/>
      </w:pPr>
      <w:r w:rsidRPr="00D16237">
        <w:t xml:space="preserve">barriers to using </w:t>
      </w:r>
      <w:r w:rsidR="00D6600C" w:rsidRPr="00D16237">
        <w:t>the method</w:t>
      </w:r>
      <w:r w:rsidR="008360CD" w:rsidRPr="00D16237">
        <w:t>s</w:t>
      </w:r>
      <w:r w:rsidR="00D6600C" w:rsidRPr="00D16237">
        <w:t xml:space="preserve">, </w:t>
      </w:r>
      <w:r w:rsidRPr="00D16237">
        <w:t xml:space="preserve">such as </w:t>
      </w:r>
      <w:r w:rsidR="00D6600C" w:rsidRPr="00D16237">
        <w:t xml:space="preserve">the scope of activities covered </w:t>
      </w:r>
      <w:r w:rsidR="005A310B" w:rsidRPr="00D16237">
        <w:t>by</w:t>
      </w:r>
      <w:r w:rsidR="00D6600C" w:rsidRPr="00D16237">
        <w:t xml:space="preserve"> the method</w:t>
      </w:r>
      <w:r w:rsidR="008360CD" w:rsidRPr="00D16237">
        <w:t>s</w:t>
      </w:r>
      <w:r w:rsidR="00FC71E0" w:rsidRPr="00D16237">
        <w:t>,</w:t>
      </w:r>
      <w:r w:rsidR="00D6600C" w:rsidRPr="00D16237">
        <w:t xml:space="preserve"> meeting the project eligibility requirements</w:t>
      </w:r>
      <w:r w:rsidR="00FC71E0" w:rsidRPr="00D16237">
        <w:t xml:space="preserve">, </w:t>
      </w:r>
      <w:r w:rsidR="00D6600C" w:rsidRPr="00D16237">
        <w:t>estimating the potential abatement using the calculation stipulated in the method</w:t>
      </w:r>
      <w:r w:rsidR="008360CD" w:rsidRPr="00D16237">
        <w:t>s</w:t>
      </w:r>
      <w:r w:rsidR="00FC71E0" w:rsidRPr="00D16237">
        <w:t xml:space="preserve">, </w:t>
      </w:r>
      <w:r w:rsidR="00D6600C" w:rsidRPr="00D16237">
        <w:t>or applying the reporting, measurement and verification rules and requirement</w:t>
      </w:r>
      <w:r w:rsidR="00FC71E0" w:rsidRPr="00D16237">
        <w:t>s</w:t>
      </w:r>
    </w:p>
    <w:p w14:paraId="04491032" w14:textId="269204E7" w:rsidR="00D6600C" w:rsidRPr="00D16237" w:rsidRDefault="00FC71E0" w:rsidP="00C32BD3">
      <w:pPr>
        <w:pStyle w:val="ListBullet"/>
      </w:pPr>
      <w:r w:rsidRPr="00D16237">
        <w:t xml:space="preserve">whether </w:t>
      </w:r>
      <w:r w:rsidR="008360CD" w:rsidRPr="00D16237">
        <w:t xml:space="preserve">and how </w:t>
      </w:r>
      <w:r w:rsidR="00D6600C" w:rsidRPr="00D16237">
        <w:t xml:space="preserve">the </w:t>
      </w:r>
      <w:r w:rsidR="00BF5EB2">
        <w:t xml:space="preserve">AEM method 2019 </w:t>
      </w:r>
      <w:r w:rsidR="735D7AAE" w:rsidRPr="00BF5EB2">
        <w:t>s</w:t>
      </w:r>
      <w:r w:rsidR="735D7AAE" w:rsidRPr="00D16237">
        <w:t xml:space="preserve">hould </w:t>
      </w:r>
      <w:r w:rsidR="00D6600C" w:rsidRPr="00D16237">
        <w:t>be modified or streamlined to improve its usability</w:t>
      </w:r>
    </w:p>
    <w:p w14:paraId="56A81B05" w14:textId="610CD2FB" w:rsidR="009A2602" w:rsidRPr="00D16237" w:rsidRDefault="1AB47AA2" w:rsidP="00C32BD3">
      <w:pPr>
        <w:pStyle w:val="ListBullet"/>
        <w:rPr>
          <w:lang w:eastAsia="ja-JP"/>
        </w:rPr>
      </w:pPr>
      <w:r w:rsidRPr="00D16237">
        <w:rPr>
          <w:lang w:eastAsia="ja-JP"/>
        </w:rPr>
        <w:t>i</w:t>
      </w:r>
      <w:r w:rsidR="009A2602" w:rsidRPr="00D16237">
        <w:rPr>
          <w:lang w:eastAsia="ja-JP"/>
        </w:rPr>
        <w:t xml:space="preserve">ssues related to adverse or </w:t>
      </w:r>
      <w:r w:rsidR="007976EF" w:rsidRPr="00D16237">
        <w:rPr>
          <w:lang w:eastAsia="ja-JP"/>
        </w:rPr>
        <w:t>beneficial</w:t>
      </w:r>
      <w:r w:rsidR="009A2602" w:rsidRPr="00D16237">
        <w:rPr>
          <w:lang w:eastAsia="ja-JP"/>
        </w:rPr>
        <w:t xml:space="preserve"> environmental, economic or social outcomes from projects under the method</w:t>
      </w:r>
      <w:r w:rsidR="003C7E93" w:rsidRPr="00D16237">
        <w:rPr>
          <w:lang w:eastAsia="ja-JP"/>
        </w:rPr>
        <w:t>s</w:t>
      </w:r>
    </w:p>
    <w:p w14:paraId="04D67F30" w14:textId="1E18F84D" w:rsidR="00DE35B4" w:rsidRDefault="00EC7229" w:rsidP="00C32BD3">
      <w:pPr>
        <w:pStyle w:val="ListBullet"/>
        <w:rPr>
          <w:lang w:eastAsia="ja-JP"/>
        </w:rPr>
      </w:pPr>
      <w:r w:rsidRPr="00D16237">
        <w:rPr>
          <w:lang w:eastAsia="ja-JP"/>
        </w:rPr>
        <w:t>s</w:t>
      </w:r>
      <w:r w:rsidR="00DE35B4" w:rsidRPr="00D16237">
        <w:rPr>
          <w:lang w:eastAsia="ja-JP"/>
        </w:rPr>
        <w:t xml:space="preserve">hould </w:t>
      </w:r>
      <w:r w:rsidR="00B02432" w:rsidRPr="00D16237">
        <w:rPr>
          <w:lang w:eastAsia="ja-JP"/>
        </w:rPr>
        <w:t>other</w:t>
      </w:r>
      <w:r w:rsidR="00DE35B4" w:rsidRPr="00D16237">
        <w:rPr>
          <w:lang w:eastAsia="ja-JP"/>
        </w:rPr>
        <w:t xml:space="preserve"> activit</w:t>
      </w:r>
      <w:r w:rsidR="00AE25A7" w:rsidRPr="00D16237">
        <w:rPr>
          <w:lang w:eastAsia="ja-JP"/>
        </w:rPr>
        <w:t>ies</w:t>
      </w:r>
      <w:r w:rsidR="003C7E93" w:rsidRPr="00D16237">
        <w:rPr>
          <w:lang w:eastAsia="ja-JP"/>
        </w:rPr>
        <w:t xml:space="preserve"> </w:t>
      </w:r>
      <w:r w:rsidR="00DE35B4" w:rsidRPr="00D16237">
        <w:rPr>
          <w:lang w:eastAsia="ja-JP"/>
        </w:rPr>
        <w:t xml:space="preserve">be </w:t>
      </w:r>
      <w:r w:rsidRPr="00D16237">
        <w:rPr>
          <w:lang w:eastAsia="ja-JP"/>
        </w:rPr>
        <w:t>included</w:t>
      </w:r>
      <w:r w:rsidR="0080025F">
        <w:rPr>
          <w:lang w:eastAsia="ja-JP"/>
        </w:rPr>
        <w:t>.</w:t>
      </w:r>
      <w:r w:rsidRPr="00D16237">
        <w:rPr>
          <w:lang w:eastAsia="ja-JP"/>
        </w:rPr>
        <w:t xml:space="preserve"> </w:t>
      </w:r>
    </w:p>
    <w:p w14:paraId="14E9AC4E" w14:textId="28502551" w:rsidR="001776C1" w:rsidRPr="00D16237" w:rsidRDefault="00950E76" w:rsidP="00AD39BF">
      <w:pPr>
        <w:pStyle w:val="BoxText"/>
        <w:rPr>
          <w:sz w:val="22"/>
          <w:lang w:eastAsia="ja-JP"/>
        </w:rPr>
      </w:pPr>
      <w:r w:rsidRPr="00D16237">
        <w:rPr>
          <w:b/>
          <w:bCs/>
          <w:i/>
          <w:iCs/>
          <w:sz w:val="22"/>
          <w:lang w:eastAsia="ja-JP"/>
        </w:rPr>
        <w:t xml:space="preserve">The Committee welcomes </w:t>
      </w:r>
      <w:r w:rsidR="00AD39BF" w:rsidRPr="00793CE7">
        <w:rPr>
          <w:b/>
          <w:bCs/>
          <w:i/>
          <w:iCs/>
          <w:sz w:val="22"/>
          <w:lang w:eastAsia="ja-JP"/>
        </w:rPr>
        <w:t>a</w:t>
      </w:r>
      <w:r w:rsidR="001776C1" w:rsidRPr="00793CE7">
        <w:rPr>
          <w:b/>
          <w:bCs/>
          <w:i/>
          <w:iCs/>
          <w:sz w:val="22"/>
          <w:lang w:eastAsia="ja-JP"/>
        </w:rPr>
        <w:t xml:space="preserve">ny other suggestions to improve the </w:t>
      </w:r>
      <w:r w:rsidR="00053F71" w:rsidRPr="00793CE7">
        <w:rPr>
          <w:b/>
          <w:bCs/>
          <w:i/>
          <w:iCs/>
          <w:sz w:val="22"/>
          <w:lang w:eastAsia="ja-JP"/>
        </w:rPr>
        <w:t>AEM method 2019</w:t>
      </w:r>
      <w:r w:rsidR="00176796" w:rsidRPr="00D16237">
        <w:rPr>
          <w:sz w:val="22"/>
          <w:lang w:eastAsia="ja-JP"/>
        </w:rPr>
        <w:t xml:space="preserve"> (Question </w:t>
      </w:r>
      <w:r w:rsidR="00D16237" w:rsidRPr="00D16237">
        <w:rPr>
          <w:sz w:val="22"/>
          <w:lang w:eastAsia="ja-JP"/>
        </w:rPr>
        <w:t>3</w:t>
      </w:r>
      <w:r w:rsidR="005B7324">
        <w:rPr>
          <w:sz w:val="22"/>
          <w:lang w:eastAsia="ja-JP"/>
        </w:rPr>
        <w:t>4</w:t>
      </w:r>
      <w:r w:rsidR="00176796" w:rsidRPr="00D16237">
        <w:rPr>
          <w:sz w:val="22"/>
          <w:lang w:eastAsia="ja-JP"/>
        </w:rPr>
        <w:t>)</w:t>
      </w:r>
      <w:r w:rsidR="00FE5281">
        <w:rPr>
          <w:sz w:val="22"/>
          <w:lang w:eastAsia="ja-JP"/>
        </w:rPr>
        <w:t>.</w:t>
      </w:r>
    </w:p>
    <w:p w14:paraId="32AB2730" w14:textId="5F941E19" w:rsidR="00070FB5" w:rsidRDefault="00070FB5" w:rsidP="009661B3">
      <w:pPr>
        <w:spacing w:before="120" w:after="120"/>
      </w:pPr>
      <w:bookmarkStart w:id="27" w:name="Title_Glossary"/>
      <w:bookmarkEnd w:id="27"/>
    </w:p>
    <w:sectPr w:rsidR="00070FB5" w:rsidSect="00AB4FB6">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8165" w14:textId="77777777" w:rsidR="001D3247" w:rsidRDefault="001D3247">
      <w:r>
        <w:separator/>
      </w:r>
    </w:p>
    <w:p w14:paraId="1BC2FD93" w14:textId="77777777" w:rsidR="001D3247" w:rsidRDefault="001D3247"/>
    <w:p w14:paraId="2286A9E0" w14:textId="77777777" w:rsidR="001D3247" w:rsidRDefault="001D3247"/>
  </w:endnote>
  <w:endnote w:type="continuationSeparator" w:id="0">
    <w:p w14:paraId="78686CC9" w14:textId="77777777" w:rsidR="001D3247" w:rsidRDefault="001D3247">
      <w:r>
        <w:continuationSeparator/>
      </w:r>
    </w:p>
    <w:p w14:paraId="59224737" w14:textId="77777777" w:rsidR="001D3247" w:rsidRDefault="001D3247"/>
    <w:p w14:paraId="1312EDE9" w14:textId="77777777" w:rsidR="001D3247" w:rsidRDefault="001D3247"/>
  </w:endnote>
  <w:endnote w:type="continuationNotice" w:id="1">
    <w:p w14:paraId="5680E593" w14:textId="77777777" w:rsidR="001D3247" w:rsidRDefault="001D3247">
      <w:pPr>
        <w:pStyle w:val="Footer"/>
      </w:pPr>
    </w:p>
    <w:p w14:paraId="29F417B6" w14:textId="77777777" w:rsidR="001D3247" w:rsidRDefault="001D3247"/>
    <w:p w14:paraId="143E7CC2" w14:textId="77777777" w:rsidR="001D3247" w:rsidRDefault="001D3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F00F" w14:textId="7262E9EE" w:rsidR="00CB12CC" w:rsidRDefault="00CB12CC">
    <w:pPr>
      <w:pStyle w:val="Footer"/>
    </w:pPr>
    <w:r>
      <w:rPr>
        <w:noProof/>
      </w:rPr>
      <mc:AlternateContent>
        <mc:Choice Requires="wps">
          <w:drawing>
            <wp:anchor distT="0" distB="0" distL="0" distR="0" simplePos="0" relativeHeight="251658244" behindDoc="0" locked="0" layoutInCell="1" allowOverlap="1" wp14:anchorId="57B54EEA" wp14:editId="320BE441">
              <wp:simplePos x="635" y="635"/>
              <wp:positionH relativeFrom="page">
                <wp:align>center</wp:align>
              </wp:positionH>
              <wp:positionV relativeFrom="page">
                <wp:align>bottom</wp:align>
              </wp:positionV>
              <wp:extent cx="551815" cy="404495"/>
              <wp:effectExtent l="0" t="0" r="635" b="0"/>
              <wp:wrapNone/>
              <wp:docPr id="203448482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5DE1C9" w14:textId="29ABA501"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54EEA"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15DE1C9" w14:textId="29ABA501"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FEDA" w14:textId="4009B3E0" w:rsidR="008B7390" w:rsidRPr="000F45C1" w:rsidRDefault="00B11969" w:rsidP="00B11969">
    <w:pPr>
      <w:pStyle w:val="Footer"/>
      <w:jc w:val="left"/>
      <w:rPr>
        <w:rFonts w:asciiTheme="minorHAnsi" w:hAnsiTheme="minorHAnsi" w:cstheme="minorHAnsi"/>
        <w:color w:val="F2F2F2" w:themeColor="background1" w:themeShade="F2"/>
        <w:sz w:val="22"/>
      </w:rPr>
    </w:pPr>
    <w:r w:rsidRPr="000F45C1">
      <w:rPr>
        <w:rFonts w:asciiTheme="minorHAnsi" w:hAnsiTheme="minorHAnsi" w:cstheme="minorHAnsi"/>
        <w:color w:val="F2F2F2" w:themeColor="background1" w:themeShade="F2"/>
        <w:sz w:val="22"/>
      </w:rPr>
      <w:t>|</w:t>
    </w:r>
    <w:r w:rsidR="007F1AAD" w:rsidRPr="000F45C1">
      <w:rPr>
        <w:rFonts w:asciiTheme="minorHAnsi" w:hAnsiTheme="minorHAnsi" w:cstheme="minorHAnsi"/>
        <w:color w:val="F2F2F2" w:themeColor="background1" w:themeShade="F2"/>
        <w:sz w:val="22"/>
      </w:rPr>
      <w:t xml:space="preserve">Consultation paper – Review of the Animal Effluent Management </w:t>
    </w:r>
    <w:r w:rsidR="003D0AD8">
      <w:rPr>
        <w:rFonts w:asciiTheme="minorHAnsi" w:hAnsiTheme="minorHAnsi" w:cstheme="minorHAnsi"/>
        <w:color w:val="F2F2F2" w:themeColor="background1" w:themeShade="F2"/>
        <w:sz w:val="22"/>
      </w:rPr>
      <w:t>m</w:t>
    </w:r>
    <w:r w:rsidR="00364A50" w:rsidRPr="000F45C1">
      <w:rPr>
        <w:rFonts w:asciiTheme="minorHAnsi" w:hAnsiTheme="minorHAnsi" w:cstheme="minorHAnsi"/>
        <w:color w:val="F2F2F2" w:themeColor="background1" w:themeShade="F2"/>
        <w:sz w:val="22"/>
      </w:rPr>
      <w:t>ethod</w:t>
    </w:r>
    <w:r w:rsidR="000B51E2">
      <w:rPr>
        <w:rFonts w:asciiTheme="minorHAnsi" w:hAnsiTheme="minorHAnsi" w:cstheme="minorHAnsi"/>
        <w:color w:val="F2F2F2" w:themeColor="background1" w:themeShade="F2"/>
        <w:sz w:val="22"/>
      </w:rPr>
      <w:t xml:space="preserve"> 2019</w:t>
    </w:r>
  </w:p>
  <w:p w14:paraId="52C61790" w14:textId="77777777" w:rsidR="008C65EE" w:rsidRDefault="008C6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809F" w14:textId="0A5941AB" w:rsidR="00CB12CC" w:rsidRDefault="00CB12CC">
    <w:pPr>
      <w:pStyle w:val="Footer"/>
    </w:pPr>
    <w:r>
      <w:rPr>
        <w:noProof/>
      </w:rPr>
      <mc:AlternateContent>
        <mc:Choice Requires="wps">
          <w:drawing>
            <wp:anchor distT="0" distB="0" distL="0" distR="0" simplePos="0" relativeHeight="251658243" behindDoc="0" locked="0" layoutInCell="1" allowOverlap="1" wp14:anchorId="1D38F46C" wp14:editId="7512C745">
              <wp:simplePos x="635" y="635"/>
              <wp:positionH relativeFrom="page">
                <wp:align>center</wp:align>
              </wp:positionH>
              <wp:positionV relativeFrom="page">
                <wp:align>bottom</wp:align>
              </wp:positionV>
              <wp:extent cx="551815" cy="404495"/>
              <wp:effectExtent l="0" t="0" r="635" b="0"/>
              <wp:wrapNone/>
              <wp:docPr id="85298010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9070EF" w14:textId="6E49326D"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8F46C"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69070EF" w14:textId="6E49326D"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500B" w14:textId="77777777" w:rsidR="001D3247" w:rsidRDefault="001D3247">
      <w:r>
        <w:separator/>
      </w:r>
    </w:p>
    <w:p w14:paraId="1988BDD8" w14:textId="77777777" w:rsidR="001D3247" w:rsidRDefault="001D3247"/>
    <w:p w14:paraId="2DE7C716" w14:textId="77777777" w:rsidR="001D3247" w:rsidRDefault="001D3247"/>
  </w:footnote>
  <w:footnote w:type="continuationSeparator" w:id="0">
    <w:p w14:paraId="72E8012B" w14:textId="77777777" w:rsidR="001D3247" w:rsidRDefault="001D3247">
      <w:r>
        <w:continuationSeparator/>
      </w:r>
    </w:p>
    <w:p w14:paraId="4981B32D" w14:textId="77777777" w:rsidR="001D3247" w:rsidRDefault="001D3247"/>
    <w:p w14:paraId="0FC39633" w14:textId="77777777" w:rsidR="001D3247" w:rsidRDefault="001D3247"/>
  </w:footnote>
  <w:footnote w:type="continuationNotice" w:id="1">
    <w:p w14:paraId="26C156AF" w14:textId="77777777" w:rsidR="001D3247" w:rsidRDefault="001D3247">
      <w:pPr>
        <w:pStyle w:val="Footer"/>
      </w:pPr>
    </w:p>
    <w:p w14:paraId="62273F34" w14:textId="77777777" w:rsidR="001D3247" w:rsidRDefault="001D3247"/>
    <w:p w14:paraId="16B0A09C" w14:textId="77777777" w:rsidR="001D3247" w:rsidRDefault="001D3247"/>
  </w:footnote>
  <w:footnote w:id="2">
    <w:p w14:paraId="1D5D4C3A" w14:textId="77777777" w:rsidR="009A20D9" w:rsidRPr="00E85DD6" w:rsidRDefault="009A20D9" w:rsidP="009A20D9">
      <w:pPr>
        <w:pStyle w:val="FootnoteText"/>
        <w:rPr>
          <w:lang w:val="en-US"/>
        </w:rPr>
      </w:pPr>
      <w:r>
        <w:rPr>
          <w:rStyle w:val="FootnoteReference"/>
        </w:rPr>
        <w:footnoteRef/>
      </w:r>
      <w:r>
        <w:t xml:space="preserve"> </w:t>
      </w:r>
      <w:hyperlink r:id="rId1" w:history="1">
        <w:r w:rsidRPr="00E85DD6">
          <w:rPr>
            <w:rStyle w:val="Hyperlink"/>
          </w:rPr>
          <w:t>ACCU project and contract register | Clean Energy Regulator (cer.gov.au)</w:t>
        </w:r>
      </w:hyperlink>
    </w:p>
  </w:footnote>
  <w:footnote w:id="3">
    <w:p w14:paraId="700D4E69" w14:textId="086E62DD" w:rsidR="00C73289" w:rsidRPr="008763E4" w:rsidRDefault="00C73289">
      <w:pPr>
        <w:pStyle w:val="FootnoteText"/>
        <w:rPr>
          <w:lang w:val="en-US"/>
        </w:rPr>
      </w:pPr>
      <w:r>
        <w:rPr>
          <w:rStyle w:val="FootnoteReference"/>
        </w:rPr>
        <w:footnoteRef/>
      </w:r>
      <w:r>
        <w:t xml:space="preserve"> </w:t>
      </w:r>
      <w:hyperlink r:id="rId2" w:history="1">
        <w:r w:rsidRPr="00C73289">
          <w:rPr>
            <w:rStyle w:val="Hyperlink"/>
          </w:rPr>
          <w:t>Carbon Credits (Carbon Farming Initiative—Domestic, Commercial and Industrial Wastewater) Methodology Determination 2015</w:t>
        </w:r>
      </w:hyperlink>
    </w:p>
  </w:footnote>
  <w:footnote w:id="4">
    <w:p w14:paraId="7D003E08" w14:textId="77777777" w:rsidR="002470C2" w:rsidRPr="00323E01" w:rsidRDefault="002470C2" w:rsidP="002470C2">
      <w:pPr>
        <w:pStyle w:val="ListParagraph"/>
        <w:spacing w:after="120" w:line="276" w:lineRule="auto"/>
        <w:ind w:left="0"/>
        <w:rPr>
          <w:sz w:val="16"/>
          <w:szCs w:val="16"/>
        </w:rPr>
      </w:pPr>
      <w:r w:rsidRPr="00B00F2D">
        <w:rPr>
          <w:rStyle w:val="FootnoteReference"/>
          <w:sz w:val="20"/>
          <w:szCs w:val="20"/>
        </w:rPr>
        <w:footnoteRef/>
      </w:r>
      <w:r w:rsidRPr="00B15F4A">
        <w:rPr>
          <w:sz w:val="16"/>
          <w:szCs w:val="16"/>
        </w:rPr>
        <w:t xml:space="preserve"> Carbon Credits (Carbon Farming Initiative) (Destruction of Methane Generated from Dairy Manure in Covered Anaerobic Ponds) Methodology Determination 2012</w:t>
      </w:r>
      <w:r>
        <w:rPr>
          <w:sz w:val="16"/>
          <w:szCs w:val="16"/>
        </w:rPr>
        <w:t xml:space="preserve"> (Dairy Manure in Covered Ponds method 2012); </w:t>
      </w:r>
      <w:r w:rsidRPr="00D5787E">
        <w:rPr>
          <w:sz w:val="16"/>
          <w:szCs w:val="16"/>
        </w:rPr>
        <w:t>Carbon Credits (Carbon Farming Initiative) (Destruction of Methane Generated from Manure in Piggeries—1.1) Methodology Determination 2013</w:t>
      </w:r>
      <w:r>
        <w:rPr>
          <w:sz w:val="16"/>
          <w:szCs w:val="16"/>
        </w:rPr>
        <w:t xml:space="preserve"> (Manure in Piggeries method 2013); </w:t>
      </w:r>
      <w:r w:rsidRPr="00D5787E">
        <w:rPr>
          <w:sz w:val="16"/>
          <w:szCs w:val="16"/>
        </w:rPr>
        <w:t>Carbon Credits (Carbon Farming Initiative) (Destruction of Methane from Piggeries using Engineered Biodigesters) Methodology Determination 2013</w:t>
      </w:r>
      <w:r>
        <w:rPr>
          <w:sz w:val="16"/>
          <w:szCs w:val="16"/>
        </w:rPr>
        <w:t xml:space="preserve"> (Engineered Biodigesters method 2013)</w:t>
      </w:r>
    </w:p>
  </w:footnote>
  <w:footnote w:id="5">
    <w:p w14:paraId="337CE28E" w14:textId="535B6866" w:rsidR="0030502A" w:rsidRDefault="0030502A">
      <w:pPr>
        <w:pStyle w:val="FootnoteText"/>
      </w:pPr>
      <w:r>
        <w:rPr>
          <w:rStyle w:val="FootnoteReference"/>
        </w:rPr>
        <w:footnoteRef/>
      </w:r>
      <w:r>
        <w:t xml:space="preserve"> </w:t>
      </w:r>
      <w:hyperlink r:id="rId3" w:history="1">
        <w:r w:rsidRPr="0030502A">
          <w:rPr>
            <w:rStyle w:val="Hyperlink"/>
          </w:rPr>
          <w:t>National Greenhouse and Energy Reporting Scheme - DCCEEW</w:t>
        </w:r>
      </w:hyperlink>
    </w:p>
  </w:footnote>
  <w:footnote w:id="6">
    <w:p w14:paraId="6F386129" w14:textId="77777777" w:rsidR="00E11C56" w:rsidRPr="00177E3B" w:rsidRDefault="00E11C56" w:rsidP="00E11C56">
      <w:pPr>
        <w:pStyle w:val="FootnoteText"/>
        <w:rPr>
          <w:sz w:val="16"/>
          <w:szCs w:val="16"/>
        </w:rPr>
      </w:pPr>
      <w:r w:rsidRPr="00504DB8">
        <w:rPr>
          <w:rStyle w:val="FootnoteReference"/>
          <w:sz w:val="16"/>
          <w:szCs w:val="16"/>
        </w:rPr>
        <w:footnoteRef/>
      </w:r>
      <w:r w:rsidRPr="00504DB8">
        <w:rPr>
          <w:sz w:val="16"/>
          <w:szCs w:val="16"/>
        </w:rPr>
        <w:t xml:space="preserve"> </w:t>
      </w:r>
      <w:hyperlink r:id="rId4" w:history="1">
        <w:r w:rsidRPr="00177E3B">
          <w:rPr>
            <w:rStyle w:val="Hyperlink"/>
            <w:sz w:val="16"/>
            <w:szCs w:val="16"/>
          </w:rPr>
          <w:t>Carbon Credits (Carbon Farming Initiative—Electricity Generation from Landfill Gas) Methodology Determination 2021</w:t>
        </w:r>
      </w:hyperlink>
    </w:p>
  </w:footnote>
  <w:footnote w:id="7">
    <w:p w14:paraId="53449E2E" w14:textId="09583EC4" w:rsidR="004650A7" w:rsidRPr="006117E5" w:rsidRDefault="004650A7">
      <w:pPr>
        <w:pStyle w:val="FootnoteText"/>
        <w:rPr>
          <w:rFonts w:ascii="Calibri" w:hAnsi="Calibri" w:cs="Calibri"/>
          <w:sz w:val="16"/>
          <w:szCs w:val="16"/>
        </w:rPr>
      </w:pPr>
      <w:r>
        <w:rPr>
          <w:rStyle w:val="FootnoteReference"/>
        </w:rPr>
        <w:footnoteRef/>
      </w:r>
      <w:r>
        <w:t xml:space="preserve"> </w:t>
      </w:r>
      <w:r w:rsidR="00B0782F" w:rsidRPr="006117E5">
        <w:rPr>
          <w:rFonts w:ascii="Calibri" w:hAnsi="Calibri" w:cs="Calibri"/>
          <w:sz w:val="16"/>
          <w:szCs w:val="16"/>
        </w:rPr>
        <w:t>Conversion of biomaterials for permanent carbon dioxide removal, EOI2024-14</w:t>
      </w:r>
      <w:r w:rsidR="00B0782F">
        <w:rPr>
          <w:rFonts w:ascii="Calibri" w:hAnsi="Calibri" w:cs="Calibri"/>
          <w:sz w:val="16"/>
          <w:szCs w:val="16"/>
        </w:rPr>
        <w:t xml:space="preserve">. Committee assessment available at: </w:t>
      </w:r>
      <w:r w:rsidR="00B0782F" w:rsidRPr="00F55B64">
        <w:rPr>
          <w:rFonts w:ascii="Calibri" w:hAnsi="Calibri" w:cs="Calibri"/>
          <w:sz w:val="16"/>
          <w:szCs w:val="16"/>
        </w:rPr>
        <w:t>https://www.dcceew.gov.au/sites/default/files/documents/proponent-led-method-development-2024-eoi-assessment-summaries.pdf</w:t>
      </w:r>
    </w:p>
  </w:footnote>
  <w:footnote w:id="8">
    <w:p w14:paraId="1F783254" w14:textId="77777777" w:rsidR="00625858" w:rsidRPr="00C54536" w:rsidRDefault="00625858" w:rsidP="00625858">
      <w:pPr>
        <w:pStyle w:val="FootnoteText"/>
        <w:rPr>
          <w:lang w:val="en-US"/>
        </w:rPr>
      </w:pPr>
      <w:r>
        <w:rPr>
          <w:rStyle w:val="FootnoteReference"/>
        </w:rPr>
        <w:footnoteRef/>
      </w:r>
      <w:r>
        <w:t xml:space="preserve"> </w:t>
      </w:r>
      <w:hyperlink r:id="rId5" w:history="1">
        <w:r w:rsidRPr="00FC29BC">
          <w:rPr>
            <w:rStyle w:val="Hyperlink"/>
          </w:rPr>
          <w:t>Carbon Credits (Carbon Farming Initiative—Industrial and Commercial Emissions Reduction) Methodology Determination 2021</w:t>
        </w:r>
      </w:hyperlink>
    </w:p>
  </w:footnote>
  <w:footnote w:id="9">
    <w:p w14:paraId="5EE58946" w14:textId="77777777" w:rsidR="00564F85" w:rsidRPr="009661B3" w:rsidRDefault="00564F85" w:rsidP="00564F85">
      <w:pPr>
        <w:pStyle w:val="FootnoteText"/>
        <w:rPr>
          <w:lang w:val="en-US"/>
        </w:rPr>
      </w:pPr>
      <w:r>
        <w:rPr>
          <w:rStyle w:val="FootnoteReference"/>
        </w:rPr>
        <w:footnoteRef/>
      </w:r>
      <w:r>
        <w:t xml:space="preserve"> </w:t>
      </w:r>
      <w:hyperlink r:id="rId6" w:history="1">
        <w:r w:rsidRPr="00400B61">
          <w:rPr>
            <w:rStyle w:val="Hyperlink"/>
          </w:rPr>
          <w:t>Carbon Credits (Carbon Farming Initiative—Alternative Waste Treatment) Methodology Determination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B479" w14:textId="3EF4BC76" w:rsidR="00CB12CC" w:rsidRDefault="00CB12CC">
    <w:pPr>
      <w:pStyle w:val="Header"/>
    </w:pPr>
    <w:r>
      <w:rPr>
        <w:noProof/>
      </w:rPr>
      <mc:AlternateContent>
        <mc:Choice Requires="wps">
          <w:drawing>
            <wp:anchor distT="0" distB="0" distL="0" distR="0" simplePos="0" relativeHeight="251658242" behindDoc="0" locked="0" layoutInCell="1" allowOverlap="1" wp14:anchorId="6A42C2E0" wp14:editId="177C6AE8">
              <wp:simplePos x="635" y="635"/>
              <wp:positionH relativeFrom="page">
                <wp:align>center</wp:align>
              </wp:positionH>
              <wp:positionV relativeFrom="page">
                <wp:align>top</wp:align>
              </wp:positionV>
              <wp:extent cx="551815" cy="404495"/>
              <wp:effectExtent l="0" t="0" r="635" b="14605"/>
              <wp:wrapNone/>
              <wp:docPr id="14404388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8DE372" w14:textId="325B8067"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2C2E0" id="_x0000_t202" coordsize="21600,21600" o:spt="202" path="m,l,21600r21600,l21600,xe">
              <v:stroke joinstyle="miter"/>
              <v:path gradientshapeok="t" o:connecttype="rect"/>
            </v:shapetype>
            <v:shape id="Text Box 5"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48DE372" w14:textId="325B8067"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890A" w14:textId="4DEEBE01" w:rsidR="00AB4FB6" w:rsidRDefault="00AB4FB6">
    <w:pPr>
      <w:pStyle w:val="Header"/>
      <w:rPr>
        <w:color w:val="FFFFFF" w:themeColor="background1"/>
      </w:rPr>
    </w:pPr>
    <w:r>
      <w:rPr>
        <w:b/>
        <w:bCs/>
        <w:noProof/>
        <w:color w:val="FF0000"/>
        <w:sz w:val="28"/>
        <w:szCs w:val="28"/>
      </w:rPr>
      <w:drawing>
        <wp:anchor distT="0" distB="0" distL="114300" distR="114300" simplePos="0" relativeHeight="251658240" behindDoc="1" locked="0" layoutInCell="1" allowOverlap="1" wp14:anchorId="4C92A6D2" wp14:editId="7C715675">
          <wp:simplePos x="0" y="0"/>
          <wp:positionH relativeFrom="page">
            <wp:align>left</wp:align>
          </wp:positionH>
          <wp:positionV relativeFrom="paragraph">
            <wp:posOffset>-359867</wp:posOffset>
          </wp:positionV>
          <wp:extent cx="7560000" cy="10693191"/>
          <wp:effectExtent l="0" t="0" r="3175" b="0"/>
          <wp:wrapNone/>
          <wp:docPr id="1804654303" name="Picture 180465430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5884"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191"/>
                  </a:xfrm>
                  <a:prstGeom prst="rect">
                    <a:avLst/>
                  </a:prstGeom>
                </pic:spPr>
              </pic:pic>
            </a:graphicData>
          </a:graphic>
          <wp14:sizeRelH relativeFrom="margin">
            <wp14:pctWidth>0</wp14:pctWidth>
          </wp14:sizeRelH>
          <wp14:sizeRelV relativeFrom="margin">
            <wp14:pctHeight>0</wp14:pctHeight>
          </wp14:sizeRelV>
        </wp:anchor>
      </w:drawing>
    </w:r>
    <w:r w:rsidR="00415358">
      <w:rPr>
        <w:b/>
        <w:bCs/>
        <w:color w:val="FF0000"/>
        <w:sz w:val="28"/>
        <w:szCs w:val="28"/>
      </w:rPr>
      <w:t>OFFICIAL</w:t>
    </w:r>
  </w:p>
  <w:p w14:paraId="10E216D5" w14:textId="1CF2044C" w:rsidR="00AB4FB6" w:rsidRDefault="00AB4FB6" w:rsidP="00AB4FB6">
    <w:pPr>
      <w:pStyle w:val="Header"/>
      <w:spacing w:after="6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6993" w14:textId="20859012" w:rsidR="00CB12CC" w:rsidRDefault="00CB12CC">
    <w:pPr>
      <w:pStyle w:val="Header"/>
    </w:pPr>
    <w:r>
      <w:rPr>
        <w:noProof/>
      </w:rPr>
      <mc:AlternateContent>
        <mc:Choice Requires="wps">
          <w:drawing>
            <wp:anchor distT="0" distB="0" distL="0" distR="0" simplePos="0" relativeHeight="251658241" behindDoc="0" locked="0" layoutInCell="1" allowOverlap="1" wp14:anchorId="6004E249" wp14:editId="6DFFC079">
              <wp:simplePos x="635" y="635"/>
              <wp:positionH relativeFrom="page">
                <wp:align>center</wp:align>
              </wp:positionH>
              <wp:positionV relativeFrom="page">
                <wp:align>top</wp:align>
              </wp:positionV>
              <wp:extent cx="551815" cy="404495"/>
              <wp:effectExtent l="0" t="0" r="635" b="14605"/>
              <wp:wrapNone/>
              <wp:docPr id="75232134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04BBBE" w14:textId="25A34071"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4E249" id="_x0000_t202" coordsize="21600,21600" o:spt="202" path="m,l,21600r21600,l21600,xe">
              <v:stroke joinstyle="miter"/>
              <v:path gradientshapeok="t" o:connecttype="rect"/>
            </v:shapetype>
            <v:shape id="Text Box 4" o:spid="_x0000_s1028"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5904BBBE" w14:textId="25A34071" w:rsidR="00CB12CC" w:rsidRPr="00CB12CC" w:rsidRDefault="00CB12CC" w:rsidP="00CB12CC">
                    <w:pPr>
                      <w:spacing w:after="0"/>
                      <w:rPr>
                        <w:rFonts w:ascii="Calibri" w:eastAsia="Calibri" w:hAnsi="Calibri" w:cs="Calibri"/>
                        <w:noProof/>
                        <w:color w:val="FF0000"/>
                        <w:sz w:val="24"/>
                        <w:szCs w:val="24"/>
                      </w:rPr>
                    </w:pPr>
                    <w:r w:rsidRPr="00CB12C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BC47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3C70"/>
    <w:multiLevelType w:val="hybridMultilevel"/>
    <w:tmpl w:val="CDE0C81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FFFFFFFF">
      <w:start w:val="1"/>
      <w:numFmt w:val="bullet"/>
      <w:lvlText w:val="o"/>
      <w:lvlJc w:val="left"/>
      <w:pPr>
        <w:ind w:left="1211" w:hanging="360"/>
      </w:pPr>
      <w:rPr>
        <w:rFonts w:ascii="Courier New" w:hAnsi="Courier New" w:cs="Courier New"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 w15:restartNumberingAfterBreak="0">
    <w:nsid w:val="03546A0A"/>
    <w:multiLevelType w:val="hybridMultilevel"/>
    <w:tmpl w:val="C2A004E0"/>
    <w:lvl w:ilvl="0" w:tplc="0C090001">
      <w:start w:val="1"/>
      <w:numFmt w:val="bullet"/>
      <w:lvlText w:val=""/>
      <w:lvlJc w:val="left"/>
      <w:pPr>
        <w:ind w:left="-218" w:hanging="360"/>
      </w:pPr>
      <w:rPr>
        <w:rFonts w:ascii="Symbol" w:hAnsi="Symbol" w:hint="default"/>
      </w:rPr>
    </w:lvl>
    <w:lvl w:ilvl="1" w:tplc="0C090005">
      <w:start w:val="1"/>
      <w:numFmt w:val="bullet"/>
      <w:lvlText w:val=""/>
      <w:lvlJc w:val="left"/>
      <w:pPr>
        <w:ind w:left="207" w:hanging="360"/>
      </w:pPr>
      <w:rPr>
        <w:rFonts w:ascii="Wingdings" w:hAnsi="Wingdings" w:hint="default"/>
      </w:rPr>
    </w:lvl>
    <w:lvl w:ilvl="2" w:tplc="0C090005" w:tentative="1">
      <w:start w:val="1"/>
      <w:numFmt w:val="bullet"/>
      <w:lvlText w:val=""/>
      <w:lvlJc w:val="left"/>
      <w:pPr>
        <w:ind w:left="1222" w:hanging="360"/>
      </w:pPr>
      <w:rPr>
        <w:rFonts w:ascii="Wingdings" w:hAnsi="Wingdings" w:hint="default"/>
      </w:rPr>
    </w:lvl>
    <w:lvl w:ilvl="3" w:tplc="0C090001" w:tentative="1">
      <w:start w:val="1"/>
      <w:numFmt w:val="bullet"/>
      <w:lvlText w:val=""/>
      <w:lvlJc w:val="left"/>
      <w:pPr>
        <w:ind w:left="1942" w:hanging="360"/>
      </w:pPr>
      <w:rPr>
        <w:rFonts w:ascii="Symbol" w:hAnsi="Symbol" w:hint="default"/>
      </w:rPr>
    </w:lvl>
    <w:lvl w:ilvl="4" w:tplc="0C090003" w:tentative="1">
      <w:start w:val="1"/>
      <w:numFmt w:val="bullet"/>
      <w:lvlText w:val="o"/>
      <w:lvlJc w:val="left"/>
      <w:pPr>
        <w:ind w:left="2662" w:hanging="360"/>
      </w:pPr>
      <w:rPr>
        <w:rFonts w:ascii="Courier New" w:hAnsi="Courier New" w:cs="Courier New" w:hint="default"/>
      </w:rPr>
    </w:lvl>
    <w:lvl w:ilvl="5" w:tplc="0C090005" w:tentative="1">
      <w:start w:val="1"/>
      <w:numFmt w:val="bullet"/>
      <w:lvlText w:val=""/>
      <w:lvlJc w:val="left"/>
      <w:pPr>
        <w:ind w:left="3382" w:hanging="360"/>
      </w:pPr>
      <w:rPr>
        <w:rFonts w:ascii="Wingdings" w:hAnsi="Wingdings" w:hint="default"/>
      </w:rPr>
    </w:lvl>
    <w:lvl w:ilvl="6" w:tplc="0C090001" w:tentative="1">
      <w:start w:val="1"/>
      <w:numFmt w:val="bullet"/>
      <w:lvlText w:val=""/>
      <w:lvlJc w:val="left"/>
      <w:pPr>
        <w:ind w:left="4102" w:hanging="360"/>
      </w:pPr>
      <w:rPr>
        <w:rFonts w:ascii="Symbol" w:hAnsi="Symbol" w:hint="default"/>
      </w:rPr>
    </w:lvl>
    <w:lvl w:ilvl="7" w:tplc="0C090003" w:tentative="1">
      <w:start w:val="1"/>
      <w:numFmt w:val="bullet"/>
      <w:lvlText w:val="o"/>
      <w:lvlJc w:val="left"/>
      <w:pPr>
        <w:ind w:left="4822" w:hanging="360"/>
      </w:pPr>
      <w:rPr>
        <w:rFonts w:ascii="Courier New" w:hAnsi="Courier New" w:cs="Courier New" w:hint="default"/>
      </w:rPr>
    </w:lvl>
    <w:lvl w:ilvl="8" w:tplc="0C090005" w:tentative="1">
      <w:start w:val="1"/>
      <w:numFmt w:val="bullet"/>
      <w:lvlText w:val=""/>
      <w:lvlJc w:val="left"/>
      <w:pPr>
        <w:ind w:left="5542" w:hanging="360"/>
      </w:pPr>
      <w:rPr>
        <w:rFonts w:ascii="Wingdings" w:hAnsi="Wingdings" w:hint="default"/>
      </w:rPr>
    </w:lvl>
  </w:abstractNum>
  <w:abstractNum w:abstractNumId="3" w15:restartNumberingAfterBreak="0">
    <w:nsid w:val="048A6450"/>
    <w:multiLevelType w:val="hybridMultilevel"/>
    <w:tmpl w:val="BE9E24D2"/>
    <w:lvl w:ilvl="0" w:tplc="0C090001">
      <w:start w:val="1"/>
      <w:numFmt w:val="bullet"/>
      <w:lvlText w:val=""/>
      <w:lvlJc w:val="left"/>
      <w:pPr>
        <w:ind w:left="360" w:hanging="360"/>
      </w:pPr>
      <w:rPr>
        <w:rFonts w:ascii="Symbol" w:hAnsi="Symbol" w:hint="default"/>
      </w:rPr>
    </w:lvl>
    <w:lvl w:ilvl="1" w:tplc="6044A938">
      <w:start w:val="1"/>
      <w:numFmt w:val="bullet"/>
      <w:lvlText w:val=""/>
      <w:lvlJc w:val="left"/>
      <w:pPr>
        <w:ind w:left="785" w:hanging="360"/>
      </w:pPr>
      <w:rPr>
        <w:rFonts w:ascii="Wingdings" w:hAnsi="Wingdings" w:hint="default"/>
      </w:rPr>
    </w:lvl>
    <w:lvl w:ilvl="2" w:tplc="0C090003">
      <w:start w:val="1"/>
      <w:numFmt w:val="bullet"/>
      <w:lvlText w:val="o"/>
      <w:lvlJc w:val="left"/>
      <w:pPr>
        <w:ind w:left="1211" w:hanging="360"/>
      </w:pPr>
      <w:rPr>
        <w:rFonts w:ascii="Courier New" w:hAnsi="Courier New" w:cs="Courier New" w:hint="default"/>
      </w:rPr>
    </w:lvl>
    <w:lvl w:ilvl="3" w:tplc="FE7C7914">
      <w:start w:val="1"/>
      <w:numFmt w:val="bullet"/>
      <w:lvlText w:val=""/>
      <w:lvlJc w:val="left"/>
      <w:pPr>
        <w:ind w:left="720" w:hanging="360"/>
      </w:pPr>
      <w:rPr>
        <w:rFonts w:ascii="Symbol" w:hAnsi="Symbol" w:hint="default"/>
      </w:rPr>
    </w:lvl>
    <w:lvl w:ilvl="4" w:tplc="0C090003">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4" w15:restartNumberingAfterBreak="0">
    <w:nsid w:val="0E145589"/>
    <w:multiLevelType w:val="hybridMultilevel"/>
    <w:tmpl w:val="4D541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1C2E352C"/>
    <w:multiLevelType w:val="hybridMultilevel"/>
    <w:tmpl w:val="17487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454E51"/>
    <w:multiLevelType w:val="hybridMultilevel"/>
    <w:tmpl w:val="C42E8C78"/>
    <w:lvl w:ilvl="0" w:tplc="6408EC3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1A328D5"/>
    <w:multiLevelType w:val="multilevel"/>
    <w:tmpl w:val="BE78A4F8"/>
    <w:numStyleLink w:val="Numberlist"/>
  </w:abstractNum>
  <w:abstractNum w:abstractNumId="10"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477C2413"/>
    <w:multiLevelType w:val="multilevel"/>
    <w:tmpl w:val="2E60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800B4"/>
    <w:multiLevelType w:val="multilevel"/>
    <w:tmpl w:val="A0241B28"/>
    <w:numStyleLink w:val="List1"/>
  </w:abstractNum>
  <w:abstractNum w:abstractNumId="1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B400D7"/>
    <w:multiLevelType w:val="hybridMultilevel"/>
    <w:tmpl w:val="E71481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629539AD"/>
    <w:multiLevelType w:val="multilevel"/>
    <w:tmpl w:val="9F5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45F90"/>
    <w:multiLevelType w:val="multilevel"/>
    <w:tmpl w:val="CBE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451164">
    <w:abstractNumId w:val="14"/>
  </w:num>
  <w:num w:numId="2" w16cid:durableId="1666787524">
    <w:abstractNumId w:val="6"/>
  </w:num>
  <w:num w:numId="3" w16cid:durableId="381057155">
    <w:abstractNumId w:val="18"/>
  </w:num>
  <w:num w:numId="4" w16cid:durableId="1639215797">
    <w:abstractNumId w:val="19"/>
  </w:num>
  <w:num w:numId="5" w16cid:durableId="1643265712">
    <w:abstractNumId w:val="10"/>
  </w:num>
  <w:num w:numId="6" w16cid:durableId="793717093">
    <w:abstractNumId w:val="11"/>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17097" w:themeColor="accen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314063411">
    <w:abstractNumId w:val="17"/>
  </w:num>
  <w:num w:numId="8" w16cid:durableId="9570234">
    <w:abstractNumId w:val="9"/>
  </w:num>
  <w:num w:numId="9" w16cid:durableId="1568950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6202022">
    <w:abstractNumId w:val="15"/>
  </w:num>
  <w:num w:numId="11" w16cid:durableId="866915021">
    <w:abstractNumId w:val="5"/>
  </w:num>
  <w:num w:numId="12" w16cid:durableId="1347905781">
    <w:abstractNumId w:val="8"/>
  </w:num>
  <w:num w:numId="13" w16cid:durableId="8992616">
    <w:abstractNumId w:val="16"/>
  </w:num>
  <w:num w:numId="14" w16cid:durableId="940839620">
    <w:abstractNumId w:val="4"/>
  </w:num>
  <w:num w:numId="15" w16cid:durableId="905266730">
    <w:abstractNumId w:val="3"/>
  </w:num>
  <w:num w:numId="16" w16cid:durableId="892887167">
    <w:abstractNumId w:val="0"/>
  </w:num>
  <w:num w:numId="17" w16cid:durableId="785466869">
    <w:abstractNumId w:val="2"/>
  </w:num>
  <w:num w:numId="18" w16cid:durableId="1940214943">
    <w:abstractNumId w:val="11"/>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17097" w:themeColor="accen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1598825447">
    <w:abstractNumId w:val="8"/>
  </w:num>
  <w:num w:numId="20" w16cid:durableId="1973365481">
    <w:abstractNumId w:val="0"/>
  </w:num>
  <w:num w:numId="21" w16cid:durableId="444811710">
    <w:abstractNumId w:val="0"/>
  </w:num>
  <w:num w:numId="22" w16cid:durableId="2019307991">
    <w:abstractNumId w:val="0"/>
  </w:num>
  <w:num w:numId="23" w16cid:durableId="1034421669">
    <w:abstractNumId w:val="0"/>
  </w:num>
  <w:num w:numId="24" w16cid:durableId="2029328791">
    <w:abstractNumId w:val="0"/>
  </w:num>
  <w:num w:numId="25" w16cid:durableId="1396273249">
    <w:abstractNumId w:val="0"/>
  </w:num>
  <w:num w:numId="26" w16cid:durableId="1716348175">
    <w:abstractNumId w:val="0"/>
  </w:num>
  <w:num w:numId="27" w16cid:durableId="1647470227">
    <w:abstractNumId w:val="0"/>
  </w:num>
  <w:num w:numId="28" w16cid:durableId="196159377">
    <w:abstractNumId w:val="0"/>
  </w:num>
  <w:num w:numId="29" w16cid:durableId="1528055688">
    <w:abstractNumId w:val="0"/>
  </w:num>
  <w:num w:numId="30" w16cid:durableId="517041592">
    <w:abstractNumId w:val="0"/>
  </w:num>
  <w:num w:numId="31" w16cid:durableId="461733451">
    <w:abstractNumId w:val="0"/>
  </w:num>
  <w:num w:numId="32" w16cid:durableId="201331839">
    <w:abstractNumId w:val="0"/>
  </w:num>
  <w:num w:numId="33" w16cid:durableId="975456567">
    <w:abstractNumId w:val="0"/>
  </w:num>
  <w:num w:numId="34" w16cid:durableId="1244752945">
    <w:abstractNumId w:val="1"/>
  </w:num>
  <w:num w:numId="35" w16cid:durableId="1716541913">
    <w:abstractNumId w:val="20"/>
  </w:num>
  <w:num w:numId="36" w16cid:durableId="1495684886">
    <w:abstractNumId w:val="0"/>
  </w:num>
  <w:num w:numId="37" w16cid:durableId="1834449038">
    <w:abstractNumId w:val="21"/>
  </w:num>
  <w:num w:numId="38" w16cid:durableId="1468281721">
    <w:abstractNumId w:val="0"/>
  </w:num>
  <w:num w:numId="39" w16cid:durableId="497961006">
    <w:abstractNumId w:val="0"/>
  </w:num>
  <w:num w:numId="40" w16cid:durableId="1361780174">
    <w:abstractNumId w:val="0"/>
  </w:num>
  <w:num w:numId="41" w16cid:durableId="1851024548">
    <w:abstractNumId w:val="12"/>
  </w:num>
  <w:num w:numId="42" w16cid:durableId="302661998">
    <w:abstractNumId w:val="0"/>
  </w:num>
  <w:num w:numId="43" w16cid:durableId="358747793">
    <w:abstractNumId w:val="7"/>
  </w:num>
  <w:num w:numId="44" w16cid:durableId="898518458">
    <w:abstractNumId w:val="0"/>
  </w:num>
  <w:num w:numId="45" w16cid:durableId="1034111718">
    <w:abstractNumId w:val="0"/>
  </w:num>
  <w:num w:numId="46" w16cid:durableId="194657643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E4"/>
    <w:rsid w:val="00000757"/>
    <w:rsid w:val="0000094B"/>
    <w:rsid w:val="0000096E"/>
    <w:rsid w:val="00000FB9"/>
    <w:rsid w:val="000013B2"/>
    <w:rsid w:val="00001D44"/>
    <w:rsid w:val="00001E08"/>
    <w:rsid w:val="00002B0C"/>
    <w:rsid w:val="00002D42"/>
    <w:rsid w:val="00003C8F"/>
    <w:rsid w:val="00003D3E"/>
    <w:rsid w:val="00003DB8"/>
    <w:rsid w:val="000045AA"/>
    <w:rsid w:val="00005004"/>
    <w:rsid w:val="000064C6"/>
    <w:rsid w:val="000066CA"/>
    <w:rsid w:val="00010599"/>
    <w:rsid w:val="00010714"/>
    <w:rsid w:val="00013C97"/>
    <w:rsid w:val="00013FE7"/>
    <w:rsid w:val="00014C0A"/>
    <w:rsid w:val="0001550C"/>
    <w:rsid w:val="00015EBF"/>
    <w:rsid w:val="000161B0"/>
    <w:rsid w:val="00017F36"/>
    <w:rsid w:val="000205C8"/>
    <w:rsid w:val="000210AE"/>
    <w:rsid w:val="00023C6B"/>
    <w:rsid w:val="000240E2"/>
    <w:rsid w:val="00024485"/>
    <w:rsid w:val="00024590"/>
    <w:rsid w:val="000265EB"/>
    <w:rsid w:val="000278FF"/>
    <w:rsid w:val="00031798"/>
    <w:rsid w:val="000341C4"/>
    <w:rsid w:val="00034ACE"/>
    <w:rsid w:val="00035477"/>
    <w:rsid w:val="00036C43"/>
    <w:rsid w:val="00037D67"/>
    <w:rsid w:val="00040FE1"/>
    <w:rsid w:val="00041045"/>
    <w:rsid w:val="00041EA4"/>
    <w:rsid w:val="00042A0D"/>
    <w:rsid w:val="00042DD9"/>
    <w:rsid w:val="00043839"/>
    <w:rsid w:val="0004419C"/>
    <w:rsid w:val="00044A26"/>
    <w:rsid w:val="000472B4"/>
    <w:rsid w:val="0004731E"/>
    <w:rsid w:val="000473AF"/>
    <w:rsid w:val="0005086A"/>
    <w:rsid w:val="000509E7"/>
    <w:rsid w:val="00050F47"/>
    <w:rsid w:val="00051E03"/>
    <w:rsid w:val="00052007"/>
    <w:rsid w:val="0005218E"/>
    <w:rsid w:val="00052C4D"/>
    <w:rsid w:val="000535C9"/>
    <w:rsid w:val="00053825"/>
    <w:rsid w:val="00053DC5"/>
    <w:rsid w:val="00053F71"/>
    <w:rsid w:val="0005446D"/>
    <w:rsid w:val="00054AE0"/>
    <w:rsid w:val="00055FD2"/>
    <w:rsid w:val="00056434"/>
    <w:rsid w:val="00056670"/>
    <w:rsid w:val="00056B26"/>
    <w:rsid w:val="00060E51"/>
    <w:rsid w:val="00061750"/>
    <w:rsid w:val="000617E2"/>
    <w:rsid w:val="00061E92"/>
    <w:rsid w:val="0006200D"/>
    <w:rsid w:val="00062811"/>
    <w:rsid w:val="00065DC7"/>
    <w:rsid w:val="00066F9C"/>
    <w:rsid w:val="00067D45"/>
    <w:rsid w:val="00067D7C"/>
    <w:rsid w:val="00070D9B"/>
    <w:rsid w:val="00070F60"/>
    <w:rsid w:val="00070FB5"/>
    <w:rsid w:val="00071E02"/>
    <w:rsid w:val="00073466"/>
    <w:rsid w:val="000739AF"/>
    <w:rsid w:val="000747D3"/>
    <w:rsid w:val="00075166"/>
    <w:rsid w:val="00075929"/>
    <w:rsid w:val="00075F12"/>
    <w:rsid w:val="0007713E"/>
    <w:rsid w:val="00080091"/>
    <w:rsid w:val="00080DC9"/>
    <w:rsid w:val="0008145D"/>
    <w:rsid w:val="00082AB3"/>
    <w:rsid w:val="00083118"/>
    <w:rsid w:val="00083211"/>
    <w:rsid w:val="000837D5"/>
    <w:rsid w:val="0008439C"/>
    <w:rsid w:val="00085B43"/>
    <w:rsid w:val="000869AB"/>
    <w:rsid w:val="0008767A"/>
    <w:rsid w:val="00087789"/>
    <w:rsid w:val="00090694"/>
    <w:rsid w:val="0009286E"/>
    <w:rsid w:val="00092C09"/>
    <w:rsid w:val="00092FAD"/>
    <w:rsid w:val="000930D2"/>
    <w:rsid w:val="00093122"/>
    <w:rsid w:val="00093E22"/>
    <w:rsid w:val="000940D2"/>
    <w:rsid w:val="000957C7"/>
    <w:rsid w:val="00096589"/>
    <w:rsid w:val="00096733"/>
    <w:rsid w:val="00096A54"/>
    <w:rsid w:val="00097E09"/>
    <w:rsid w:val="00097FA8"/>
    <w:rsid w:val="000A00A7"/>
    <w:rsid w:val="000A07D7"/>
    <w:rsid w:val="000A0DDA"/>
    <w:rsid w:val="000A2C20"/>
    <w:rsid w:val="000A4C51"/>
    <w:rsid w:val="000A6E5F"/>
    <w:rsid w:val="000A739D"/>
    <w:rsid w:val="000A7AAF"/>
    <w:rsid w:val="000A7FE8"/>
    <w:rsid w:val="000B04BA"/>
    <w:rsid w:val="000B0DA7"/>
    <w:rsid w:val="000B1389"/>
    <w:rsid w:val="000B1415"/>
    <w:rsid w:val="000B1D42"/>
    <w:rsid w:val="000B1FF8"/>
    <w:rsid w:val="000B313B"/>
    <w:rsid w:val="000B39FB"/>
    <w:rsid w:val="000B501C"/>
    <w:rsid w:val="000B51E2"/>
    <w:rsid w:val="000B5517"/>
    <w:rsid w:val="000B5FA0"/>
    <w:rsid w:val="000B5FD8"/>
    <w:rsid w:val="000B5FF5"/>
    <w:rsid w:val="000B618B"/>
    <w:rsid w:val="000B6E30"/>
    <w:rsid w:val="000B755A"/>
    <w:rsid w:val="000B7649"/>
    <w:rsid w:val="000B78BE"/>
    <w:rsid w:val="000C06DC"/>
    <w:rsid w:val="000C1282"/>
    <w:rsid w:val="000C1E31"/>
    <w:rsid w:val="000C2237"/>
    <w:rsid w:val="000C285E"/>
    <w:rsid w:val="000C52F3"/>
    <w:rsid w:val="000C5397"/>
    <w:rsid w:val="000C5522"/>
    <w:rsid w:val="000C62F6"/>
    <w:rsid w:val="000C6AD2"/>
    <w:rsid w:val="000C6E85"/>
    <w:rsid w:val="000C7350"/>
    <w:rsid w:val="000C7DDD"/>
    <w:rsid w:val="000C7E28"/>
    <w:rsid w:val="000D07F1"/>
    <w:rsid w:val="000D09F3"/>
    <w:rsid w:val="000D0C9B"/>
    <w:rsid w:val="000D19AD"/>
    <w:rsid w:val="000D1D38"/>
    <w:rsid w:val="000D2217"/>
    <w:rsid w:val="000D22F3"/>
    <w:rsid w:val="000D28EA"/>
    <w:rsid w:val="000D3350"/>
    <w:rsid w:val="000D40CD"/>
    <w:rsid w:val="000D56BD"/>
    <w:rsid w:val="000D5F59"/>
    <w:rsid w:val="000D5FD6"/>
    <w:rsid w:val="000E0D0E"/>
    <w:rsid w:val="000E1E0C"/>
    <w:rsid w:val="000E29E4"/>
    <w:rsid w:val="000E32B4"/>
    <w:rsid w:val="000E5A73"/>
    <w:rsid w:val="000E5CE3"/>
    <w:rsid w:val="000E7149"/>
    <w:rsid w:val="000E73F8"/>
    <w:rsid w:val="000E7D58"/>
    <w:rsid w:val="000F0109"/>
    <w:rsid w:val="000F0AB1"/>
    <w:rsid w:val="000F1B41"/>
    <w:rsid w:val="000F2194"/>
    <w:rsid w:val="000F2D57"/>
    <w:rsid w:val="000F45C1"/>
    <w:rsid w:val="000F4666"/>
    <w:rsid w:val="000F4DAA"/>
    <w:rsid w:val="000F7242"/>
    <w:rsid w:val="0010285F"/>
    <w:rsid w:val="001030DC"/>
    <w:rsid w:val="00103803"/>
    <w:rsid w:val="0010570E"/>
    <w:rsid w:val="00106047"/>
    <w:rsid w:val="00107521"/>
    <w:rsid w:val="00107522"/>
    <w:rsid w:val="00107A10"/>
    <w:rsid w:val="00107BEB"/>
    <w:rsid w:val="00107E0B"/>
    <w:rsid w:val="0011008D"/>
    <w:rsid w:val="00110117"/>
    <w:rsid w:val="00110348"/>
    <w:rsid w:val="00110D3A"/>
    <w:rsid w:val="00110DF1"/>
    <w:rsid w:val="00111090"/>
    <w:rsid w:val="00111483"/>
    <w:rsid w:val="00112A9A"/>
    <w:rsid w:val="001130AE"/>
    <w:rsid w:val="00113499"/>
    <w:rsid w:val="00114002"/>
    <w:rsid w:val="001149B4"/>
    <w:rsid w:val="00115C37"/>
    <w:rsid w:val="00120A05"/>
    <w:rsid w:val="001211FC"/>
    <w:rsid w:val="00121A96"/>
    <w:rsid w:val="00123033"/>
    <w:rsid w:val="00123A46"/>
    <w:rsid w:val="00123D79"/>
    <w:rsid w:val="00125215"/>
    <w:rsid w:val="00125D4C"/>
    <w:rsid w:val="00125FB5"/>
    <w:rsid w:val="00126B13"/>
    <w:rsid w:val="001277D8"/>
    <w:rsid w:val="00130987"/>
    <w:rsid w:val="001311DC"/>
    <w:rsid w:val="0013154A"/>
    <w:rsid w:val="00131C82"/>
    <w:rsid w:val="001329DC"/>
    <w:rsid w:val="00132A9A"/>
    <w:rsid w:val="001330A3"/>
    <w:rsid w:val="0013382C"/>
    <w:rsid w:val="00133F8B"/>
    <w:rsid w:val="001347C6"/>
    <w:rsid w:val="00135914"/>
    <w:rsid w:val="00135C60"/>
    <w:rsid w:val="00135DF9"/>
    <w:rsid w:val="00135F0D"/>
    <w:rsid w:val="00136039"/>
    <w:rsid w:val="00136C79"/>
    <w:rsid w:val="00136D2B"/>
    <w:rsid w:val="00137782"/>
    <w:rsid w:val="001403B9"/>
    <w:rsid w:val="001434A0"/>
    <w:rsid w:val="00144745"/>
    <w:rsid w:val="001466B0"/>
    <w:rsid w:val="00146719"/>
    <w:rsid w:val="00147055"/>
    <w:rsid w:val="00147B2E"/>
    <w:rsid w:val="001514DB"/>
    <w:rsid w:val="001514E5"/>
    <w:rsid w:val="00151B77"/>
    <w:rsid w:val="00152469"/>
    <w:rsid w:val="00152BA1"/>
    <w:rsid w:val="00153885"/>
    <w:rsid w:val="00153E0E"/>
    <w:rsid w:val="00154252"/>
    <w:rsid w:val="00157322"/>
    <w:rsid w:val="0015754A"/>
    <w:rsid w:val="001578FB"/>
    <w:rsid w:val="001605A5"/>
    <w:rsid w:val="00160867"/>
    <w:rsid w:val="00160CA4"/>
    <w:rsid w:val="00161055"/>
    <w:rsid w:val="00161C89"/>
    <w:rsid w:val="0016313E"/>
    <w:rsid w:val="0016334B"/>
    <w:rsid w:val="00164547"/>
    <w:rsid w:val="00164F69"/>
    <w:rsid w:val="0016550E"/>
    <w:rsid w:val="00165CA4"/>
    <w:rsid w:val="001666F2"/>
    <w:rsid w:val="00167347"/>
    <w:rsid w:val="00167A20"/>
    <w:rsid w:val="00167B3B"/>
    <w:rsid w:val="00167BA7"/>
    <w:rsid w:val="0017072B"/>
    <w:rsid w:val="001709A3"/>
    <w:rsid w:val="001709CC"/>
    <w:rsid w:val="00171753"/>
    <w:rsid w:val="00172310"/>
    <w:rsid w:val="00172878"/>
    <w:rsid w:val="00172A8E"/>
    <w:rsid w:val="00172E62"/>
    <w:rsid w:val="0017347D"/>
    <w:rsid w:val="001734B6"/>
    <w:rsid w:val="001737EE"/>
    <w:rsid w:val="00174A91"/>
    <w:rsid w:val="0017616A"/>
    <w:rsid w:val="00176594"/>
    <w:rsid w:val="00176796"/>
    <w:rsid w:val="0017699C"/>
    <w:rsid w:val="001773DC"/>
    <w:rsid w:val="001776C1"/>
    <w:rsid w:val="00177E3B"/>
    <w:rsid w:val="00180269"/>
    <w:rsid w:val="001805E0"/>
    <w:rsid w:val="001807F4"/>
    <w:rsid w:val="00180C45"/>
    <w:rsid w:val="0018163B"/>
    <w:rsid w:val="00183356"/>
    <w:rsid w:val="00183BEC"/>
    <w:rsid w:val="001858F7"/>
    <w:rsid w:val="00186D1F"/>
    <w:rsid w:val="00186F55"/>
    <w:rsid w:val="00187737"/>
    <w:rsid w:val="00187C4F"/>
    <w:rsid w:val="00187F55"/>
    <w:rsid w:val="00187F9C"/>
    <w:rsid w:val="00190BD0"/>
    <w:rsid w:val="00192A20"/>
    <w:rsid w:val="00194D6A"/>
    <w:rsid w:val="00195059"/>
    <w:rsid w:val="0019518E"/>
    <w:rsid w:val="001954D0"/>
    <w:rsid w:val="001969AD"/>
    <w:rsid w:val="00196A56"/>
    <w:rsid w:val="00196CCC"/>
    <w:rsid w:val="00197EE5"/>
    <w:rsid w:val="001A0CD6"/>
    <w:rsid w:val="001A0D29"/>
    <w:rsid w:val="001A2912"/>
    <w:rsid w:val="001A2F2B"/>
    <w:rsid w:val="001A32FD"/>
    <w:rsid w:val="001A3C14"/>
    <w:rsid w:val="001A4496"/>
    <w:rsid w:val="001A505B"/>
    <w:rsid w:val="001A5694"/>
    <w:rsid w:val="001A6100"/>
    <w:rsid w:val="001A6652"/>
    <w:rsid w:val="001A7388"/>
    <w:rsid w:val="001B02A5"/>
    <w:rsid w:val="001B041C"/>
    <w:rsid w:val="001B04A2"/>
    <w:rsid w:val="001B0D00"/>
    <w:rsid w:val="001B1B4E"/>
    <w:rsid w:val="001B295F"/>
    <w:rsid w:val="001B2A9A"/>
    <w:rsid w:val="001B3CA3"/>
    <w:rsid w:val="001B3CED"/>
    <w:rsid w:val="001B466A"/>
    <w:rsid w:val="001B4867"/>
    <w:rsid w:val="001B48D9"/>
    <w:rsid w:val="001B642C"/>
    <w:rsid w:val="001B6C1E"/>
    <w:rsid w:val="001B6E89"/>
    <w:rsid w:val="001B7C6E"/>
    <w:rsid w:val="001C03E8"/>
    <w:rsid w:val="001C12F6"/>
    <w:rsid w:val="001C1FC1"/>
    <w:rsid w:val="001C27B9"/>
    <w:rsid w:val="001C30E4"/>
    <w:rsid w:val="001C3212"/>
    <w:rsid w:val="001C60F3"/>
    <w:rsid w:val="001C681C"/>
    <w:rsid w:val="001C7494"/>
    <w:rsid w:val="001C752A"/>
    <w:rsid w:val="001C7623"/>
    <w:rsid w:val="001C7C13"/>
    <w:rsid w:val="001D0288"/>
    <w:rsid w:val="001D0F67"/>
    <w:rsid w:val="001D209E"/>
    <w:rsid w:val="001D27DC"/>
    <w:rsid w:val="001D2AF8"/>
    <w:rsid w:val="001D3247"/>
    <w:rsid w:val="001D3EA1"/>
    <w:rsid w:val="001D511D"/>
    <w:rsid w:val="001D57A9"/>
    <w:rsid w:val="001D637E"/>
    <w:rsid w:val="001D6CF0"/>
    <w:rsid w:val="001E0509"/>
    <w:rsid w:val="001E0607"/>
    <w:rsid w:val="001E1370"/>
    <w:rsid w:val="001E13FB"/>
    <w:rsid w:val="001E2CB3"/>
    <w:rsid w:val="001E4401"/>
    <w:rsid w:val="001E476C"/>
    <w:rsid w:val="001E5460"/>
    <w:rsid w:val="001E687D"/>
    <w:rsid w:val="001E6985"/>
    <w:rsid w:val="001E6A52"/>
    <w:rsid w:val="001E6F76"/>
    <w:rsid w:val="001E782B"/>
    <w:rsid w:val="001F0305"/>
    <w:rsid w:val="001F0CC2"/>
    <w:rsid w:val="001F1864"/>
    <w:rsid w:val="001F1E88"/>
    <w:rsid w:val="001F21A7"/>
    <w:rsid w:val="001F2E47"/>
    <w:rsid w:val="001F6137"/>
    <w:rsid w:val="001F79D5"/>
    <w:rsid w:val="001F7FA0"/>
    <w:rsid w:val="002007F9"/>
    <w:rsid w:val="00201A06"/>
    <w:rsid w:val="00201F73"/>
    <w:rsid w:val="00202421"/>
    <w:rsid w:val="00202FFB"/>
    <w:rsid w:val="002030D6"/>
    <w:rsid w:val="00204B06"/>
    <w:rsid w:val="0020501F"/>
    <w:rsid w:val="00205284"/>
    <w:rsid w:val="00205CB4"/>
    <w:rsid w:val="00206933"/>
    <w:rsid w:val="00207363"/>
    <w:rsid w:val="0020786C"/>
    <w:rsid w:val="002079BE"/>
    <w:rsid w:val="00207B25"/>
    <w:rsid w:val="002114D8"/>
    <w:rsid w:val="00211B8B"/>
    <w:rsid w:val="00211CD8"/>
    <w:rsid w:val="00211E30"/>
    <w:rsid w:val="00212A46"/>
    <w:rsid w:val="00212FB5"/>
    <w:rsid w:val="00213599"/>
    <w:rsid w:val="00214023"/>
    <w:rsid w:val="00215AC3"/>
    <w:rsid w:val="002174BA"/>
    <w:rsid w:val="002201E8"/>
    <w:rsid w:val="00220315"/>
    <w:rsid w:val="0022048F"/>
    <w:rsid w:val="00222137"/>
    <w:rsid w:val="00223FA0"/>
    <w:rsid w:val="002242AB"/>
    <w:rsid w:val="00224DE3"/>
    <w:rsid w:val="00225A92"/>
    <w:rsid w:val="00225BF8"/>
    <w:rsid w:val="002269A5"/>
    <w:rsid w:val="002278FB"/>
    <w:rsid w:val="00227DD7"/>
    <w:rsid w:val="00231040"/>
    <w:rsid w:val="00231393"/>
    <w:rsid w:val="0023190E"/>
    <w:rsid w:val="002319E3"/>
    <w:rsid w:val="002322B9"/>
    <w:rsid w:val="002323AC"/>
    <w:rsid w:val="00232DB5"/>
    <w:rsid w:val="00233364"/>
    <w:rsid w:val="002334B9"/>
    <w:rsid w:val="00233587"/>
    <w:rsid w:val="00233749"/>
    <w:rsid w:val="002337D4"/>
    <w:rsid w:val="00233E23"/>
    <w:rsid w:val="00234A09"/>
    <w:rsid w:val="00235D10"/>
    <w:rsid w:val="00236198"/>
    <w:rsid w:val="00236A75"/>
    <w:rsid w:val="00237D88"/>
    <w:rsid w:val="00240655"/>
    <w:rsid w:val="002409A2"/>
    <w:rsid w:val="002416E8"/>
    <w:rsid w:val="002420C6"/>
    <w:rsid w:val="00242AF8"/>
    <w:rsid w:val="00243064"/>
    <w:rsid w:val="002431FC"/>
    <w:rsid w:val="002432AC"/>
    <w:rsid w:val="0024349C"/>
    <w:rsid w:val="002441DC"/>
    <w:rsid w:val="00244957"/>
    <w:rsid w:val="00244AA0"/>
    <w:rsid w:val="00244B31"/>
    <w:rsid w:val="00245320"/>
    <w:rsid w:val="002468C3"/>
    <w:rsid w:val="002470C2"/>
    <w:rsid w:val="00247A4D"/>
    <w:rsid w:val="002529D1"/>
    <w:rsid w:val="00253A18"/>
    <w:rsid w:val="0025484C"/>
    <w:rsid w:val="002552E1"/>
    <w:rsid w:val="0025567F"/>
    <w:rsid w:val="002564BD"/>
    <w:rsid w:val="00256EA3"/>
    <w:rsid w:val="002609CC"/>
    <w:rsid w:val="00260B3A"/>
    <w:rsid w:val="00260CA4"/>
    <w:rsid w:val="002616BB"/>
    <w:rsid w:val="00261733"/>
    <w:rsid w:val="00262A86"/>
    <w:rsid w:val="002637D9"/>
    <w:rsid w:val="00265641"/>
    <w:rsid w:val="00265ADA"/>
    <w:rsid w:val="00266C2F"/>
    <w:rsid w:val="0027001E"/>
    <w:rsid w:val="00270490"/>
    <w:rsid w:val="00271DFF"/>
    <w:rsid w:val="002721F4"/>
    <w:rsid w:val="002724C5"/>
    <w:rsid w:val="00272E05"/>
    <w:rsid w:val="00273E7D"/>
    <w:rsid w:val="002768B9"/>
    <w:rsid w:val="00276A44"/>
    <w:rsid w:val="0027709C"/>
    <w:rsid w:val="00280FFD"/>
    <w:rsid w:val="002811BF"/>
    <w:rsid w:val="002813EC"/>
    <w:rsid w:val="00281B0A"/>
    <w:rsid w:val="00281BB6"/>
    <w:rsid w:val="00282B4F"/>
    <w:rsid w:val="00283BEA"/>
    <w:rsid w:val="002844FE"/>
    <w:rsid w:val="00284C5A"/>
    <w:rsid w:val="00284D14"/>
    <w:rsid w:val="00285ABE"/>
    <w:rsid w:val="00285FAF"/>
    <w:rsid w:val="00286307"/>
    <w:rsid w:val="0028700E"/>
    <w:rsid w:val="0028748B"/>
    <w:rsid w:val="00287A69"/>
    <w:rsid w:val="00291122"/>
    <w:rsid w:val="00291A19"/>
    <w:rsid w:val="002925ED"/>
    <w:rsid w:val="00292FCA"/>
    <w:rsid w:val="00293B61"/>
    <w:rsid w:val="00293C0F"/>
    <w:rsid w:val="002970A4"/>
    <w:rsid w:val="002973B3"/>
    <w:rsid w:val="00297B85"/>
    <w:rsid w:val="002A0C9F"/>
    <w:rsid w:val="002A1372"/>
    <w:rsid w:val="002A15BA"/>
    <w:rsid w:val="002A18B6"/>
    <w:rsid w:val="002A198C"/>
    <w:rsid w:val="002A34D6"/>
    <w:rsid w:val="002A555F"/>
    <w:rsid w:val="002A5D6E"/>
    <w:rsid w:val="002A6956"/>
    <w:rsid w:val="002A6E2E"/>
    <w:rsid w:val="002A7202"/>
    <w:rsid w:val="002A78EA"/>
    <w:rsid w:val="002A7E00"/>
    <w:rsid w:val="002B0FCF"/>
    <w:rsid w:val="002B1593"/>
    <w:rsid w:val="002B52D5"/>
    <w:rsid w:val="002B5475"/>
    <w:rsid w:val="002B62E4"/>
    <w:rsid w:val="002B6464"/>
    <w:rsid w:val="002B7241"/>
    <w:rsid w:val="002C0486"/>
    <w:rsid w:val="002C0D81"/>
    <w:rsid w:val="002C0E9B"/>
    <w:rsid w:val="002C105F"/>
    <w:rsid w:val="002C1946"/>
    <w:rsid w:val="002C1AC2"/>
    <w:rsid w:val="002C2AF8"/>
    <w:rsid w:val="002C2E42"/>
    <w:rsid w:val="002C499B"/>
    <w:rsid w:val="002C4EFD"/>
    <w:rsid w:val="002C5798"/>
    <w:rsid w:val="002C6BED"/>
    <w:rsid w:val="002C7467"/>
    <w:rsid w:val="002C7D0E"/>
    <w:rsid w:val="002D00C4"/>
    <w:rsid w:val="002D0BFC"/>
    <w:rsid w:val="002D11A9"/>
    <w:rsid w:val="002D29D0"/>
    <w:rsid w:val="002D2BF1"/>
    <w:rsid w:val="002D2DDB"/>
    <w:rsid w:val="002D3636"/>
    <w:rsid w:val="002D3FD7"/>
    <w:rsid w:val="002D4C19"/>
    <w:rsid w:val="002D4E04"/>
    <w:rsid w:val="002D5B0A"/>
    <w:rsid w:val="002D6D4A"/>
    <w:rsid w:val="002D7555"/>
    <w:rsid w:val="002D7E18"/>
    <w:rsid w:val="002E153A"/>
    <w:rsid w:val="002E2037"/>
    <w:rsid w:val="002E21B0"/>
    <w:rsid w:val="002E2B20"/>
    <w:rsid w:val="002E3448"/>
    <w:rsid w:val="002E3FC4"/>
    <w:rsid w:val="002E5976"/>
    <w:rsid w:val="002E5998"/>
    <w:rsid w:val="002E5C00"/>
    <w:rsid w:val="002E65F8"/>
    <w:rsid w:val="002E6831"/>
    <w:rsid w:val="002E6A22"/>
    <w:rsid w:val="002E756F"/>
    <w:rsid w:val="002F0A74"/>
    <w:rsid w:val="002F0D1B"/>
    <w:rsid w:val="002F1377"/>
    <w:rsid w:val="002F1528"/>
    <w:rsid w:val="002F1F6A"/>
    <w:rsid w:val="002F2EF9"/>
    <w:rsid w:val="002F2F6A"/>
    <w:rsid w:val="002F3609"/>
    <w:rsid w:val="002F36F6"/>
    <w:rsid w:val="002F37FD"/>
    <w:rsid w:val="002F3BFD"/>
    <w:rsid w:val="002F3D21"/>
    <w:rsid w:val="002F47CE"/>
    <w:rsid w:val="002F4C0D"/>
    <w:rsid w:val="002F4ECB"/>
    <w:rsid w:val="002F5288"/>
    <w:rsid w:val="002F68E4"/>
    <w:rsid w:val="002F6FD3"/>
    <w:rsid w:val="002F751B"/>
    <w:rsid w:val="003024BD"/>
    <w:rsid w:val="003025EB"/>
    <w:rsid w:val="00302C97"/>
    <w:rsid w:val="00302DC5"/>
    <w:rsid w:val="003041C9"/>
    <w:rsid w:val="0030423B"/>
    <w:rsid w:val="00304291"/>
    <w:rsid w:val="00304338"/>
    <w:rsid w:val="00304C67"/>
    <w:rsid w:val="0030502A"/>
    <w:rsid w:val="003054BC"/>
    <w:rsid w:val="00305A9E"/>
    <w:rsid w:val="00305C6C"/>
    <w:rsid w:val="00305E03"/>
    <w:rsid w:val="003060E7"/>
    <w:rsid w:val="003075AC"/>
    <w:rsid w:val="00310711"/>
    <w:rsid w:val="00310B05"/>
    <w:rsid w:val="00310B87"/>
    <w:rsid w:val="003110AE"/>
    <w:rsid w:val="0031118A"/>
    <w:rsid w:val="00311A37"/>
    <w:rsid w:val="00311EBD"/>
    <w:rsid w:val="00313FB2"/>
    <w:rsid w:val="0031438F"/>
    <w:rsid w:val="0031440B"/>
    <w:rsid w:val="003164F5"/>
    <w:rsid w:val="00316D8C"/>
    <w:rsid w:val="00317BF3"/>
    <w:rsid w:val="003212CD"/>
    <w:rsid w:val="003214B3"/>
    <w:rsid w:val="00321C6C"/>
    <w:rsid w:val="003221F7"/>
    <w:rsid w:val="00323212"/>
    <w:rsid w:val="00323701"/>
    <w:rsid w:val="00324116"/>
    <w:rsid w:val="00324BD0"/>
    <w:rsid w:val="003267F7"/>
    <w:rsid w:val="00326B1E"/>
    <w:rsid w:val="0032780A"/>
    <w:rsid w:val="00327A32"/>
    <w:rsid w:val="00331CE1"/>
    <w:rsid w:val="00333048"/>
    <w:rsid w:val="00333AB2"/>
    <w:rsid w:val="00333F5A"/>
    <w:rsid w:val="00334579"/>
    <w:rsid w:val="00334937"/>
    <w:rsid w:val="00334AFB"/>
    <w:rsid w:val="00334B53"/>
    <w:rsid w:val="00334F3C"/>
    <w:rsid w:val="0033522D"/>
    <w:rsid w:val="003357FA"/>
    <w:rsid w:val="00335A0F"/>
    <w:rsid w:val="00335EEA"/>
    <w:rsid w:val="00336C0B"/>
    <w:rsid w:val="00337105"/>
    <w:rsid w:val="00341111"/>
    <w:rsid w:val="00341E41"/>
    <w:rsid w:val="00342522"/>
    <w:rsid w:val="00342A4B"/>
    <w:rsid w:val="003431A7"/>
    <w:rsid w:val="00344004"/>
    <w:rsid w:val="003452EF"/>
    <w:rsid w:val="003463B1"/>
    <w:rsid w:val="0034669B"/>
    <w:rsid w:val="003466B6"/>
    <w:rsid w:val="003467F7"/>
    <w:rsid w:val="00350014"/>
    <w:rsid w:val="003502C3"/>
    <w:rsid w:val="00350A9C"/>
    <w:rsid w:val="00351159"/>
    <w:rsid w:val="00351882"/>
    <w:rsid w:val="00352736"/>
    <w:rsid w:val="00352E61"/>
    <w:rsid w:val="003537AD"/>
    <w:rsid w:val="003537BC"/>
    <w:rsid w:val="003538B3"/>
    <w:rsid w:val="00353E90"/>
    <w:rsid w:val="00354237"/>
    <w:rsid w:val="00354C55"/>
    <w:rsid w:val="00355134"/>
    <w:rsid w:val="0035544E"/>
    <w:rsid w:val="00355AA0"/>
    <w:rsid w:val="00355CB1"/>
    <w:rsid w:val="003565DA"/>
    <w:rsid w:val="00356ED5"/>
    <w:rsid w:val="003576D1"/>
    <w:rsid w:val="003600E4"/>
    <w:rsid w:val="003601AB"/>
    <w:rsid w:val="00360945"/>
    <w:rsid w:val="00360D46"/>
    <w:rsid w:val="00361715"/>
    <w:rsid w:val="003621B0"/>
    <w:rsid w:val="00362767"/>
    <w:rsid w:val="00363C37"/>
    <w:rsid w:val="00363D7A"/>
    <w:rsid w:val="00364088"/>
    <w:rsid w:val="0036435A"/>
    <w:rsid w:val="003646C0"/>
    <w:rsid w:val="00364A4A"/>
    <w:rsid w:val="00364A50"/>
    <w:rsid w:val="00364A9E"/>
    <w:rsid w:val="00365574"/>
    <w:rsid w:val="003658A9"/>
    <w:rsid w:val="00365C82"/>
    <w:rsid w:val="00365FB4"/>
    <w:rsid w:val="00370DF7"/>
    <w:rsid w:val="00373255"/>
    <w:rsid w:val="003733BB"/>
    <w:rsid w:val="00373A94"/>
    <w:rsid w:val="00373C25"/>
    <w:rsid w:val="00373C58"/>
    <w:rsid w:val="00374CF3"/>
    <w:rsid w:val="003755C0"/>
    <w:rsid w:val="003777E6"/>
    <w:rsid w:val="0038066C"/>
    <w:rsid w:val="00380FA6"/>
    <w:rsid w:val="003816EE"/>
    <w:rsid w:val="00381E36"/>
    <w:rsid w:val="003820BC"/>
    <w:rsid w:val="0038226D"/>
    <w:rsid w:val="00382881"/>
    <w:rsid w:val="00382ABC"/>
    <w:rsid w:val="00383B4E"/>
    <w:rsid w:val="00383BE7"/>
    <w:rsid w:val="0038435F"/>
    <w:rsid w:val="0038511D"/>
    <w:rsid w:val="003853D4"/>
    <w:rsid w:val="003859FB"/>
    <w:rsid w:val="00385D0E"/>
    <w:rsid w:val="00386533"/>
    <w:rsid w:val="003866E5"/>
    <w:rsid w:val="003871F8"/>
    <w:rsid w:val="003873E7"/>
    <w:rsid w:val="00387685"/>
    <w:rsid w:val="00387A1E"/>
    <w:rsid w:val="00387B2C"/>
    <w:rsid w:val="00390886"/>
    <w:rsid w:val="0039274A"/>
    <w:rsid w:val="00392DFE"/>
    <w:rsid w:val="00393D1F"/>
    <w:rsid w:val="00395148"/>
    <w:rsid w:val="003957D6"/>
    <w:rsid w:val="00395AA0"/>
    <w:rsid w:val="003973D6"/>
    <w:rsid w:val="00397418"/>
    <w:rsid w:val="00397E2F"/>
    <w:rsid w:val="003A1354"/>
    <w:rsid w:val="003A17D0"/>
    <w:rsid w:val="003A1BA3"/>
    <w:rsid w:val="003A2AE8"/>
    <w:rsid w:val="003A2FF3"/>
    <w:rsid w:val="003A31AC"/>
    <w:rsid w:val="003A3341"/>
    <w:rsid w:val="003A3678"/>
    <w:rsid w:val="003A37D3"/>
    <w:rsid w:val="003A450E"/>
    <w:rsid w:val="003A5321"/>
    <w:rsid w:val="003A5EE1"/>
    <w:rsid w:val="003A6260"/>
    <w:rsid w:val="003A7D57"/>
    <w:rsid w:val="003B0113"/>
    <w:rsid w:val="003B0652"/>
    <w:rsid w:val="003B1B2E"/>
    <w:rsid w:val="003B20A1"/>
    <w:rsid w:val="003B2F7E"/>
    <w:rsid w:val="003B409A"/>
    <w:rsid w:val="003B4AB2"/>
    <w:rsid w:val="003B5005"/>
    <w:rsid w:val="003B5AE9"/>
    <w:rsid w:val="003B6623"/>
    <w:rsid w:val="003B75BF"/>
    <w:rsid w:val="003C0646"/>
    <w:rsid w:val="003C1D65"/>
    <w:rsid w:val="003C2CFB"/>
    <w:rsid w:val="003C382B"/>
    <w:rsid w:val="003C402D"/>
    <w:rsid w:val="003C4034"/>
    <w:rsid w:val="003C43F5"/>
    <w:rsid w:val="003C499B"/>
    <w:rsid w:val="003C64DA"/>
    <w:rsid w:val="003C7686"/>
    <w:rsid w:val="003C7E93"/>
    <w:rsid w:val="003D0AD8"/>
    <w:rsid w:val="003D0DED"/>
    <w:rsid w:val="003D2DA1"/>
    <w:rsid w:val="003D3148"/>
    <w:rsid w:val="003D392E"/>
    <w:rsid w:val="003D4890"/>
    <w:rsid w:val="003D4CB2"/>
    <w:rsid w:val="003D4F5E"/>
    <w:rsid w:val="003D59B4"/>
    <w:rsid w:val="003D5D37"/>
    <w:rsid w:val="003D6173"/>
    <w:rsid w:val="003D6C87"/>
    <w:rsid w:val="003D7250"/>
    <w:rsid w:val="003E06D6"/>
    <w:rsid w:val="003E0D4B"/>
    <w:rsid w:val="003E26C5"/>
    <w:rsid w:val="003E2A96"/>
    <w:rsid w:val="003E2D7E"/>
    <w:rsid w:val="003E2F5E"/>
    <w:rsid w:val="003E3314"/>
    <w:rsid w:val="003E36A9"/>
    <w:rsid w:val="003E3AA7"/>
    <w:rsid w:val="003E42C5"/>
    <w:rsid w:val="003E48CC"/>
    <w:rsid w:val="003E52B4"/>
    <w:rsid w:val="003E68BE"/>
    <w:rsid w:val="003E7696"/>
    <w:rsid w:val="003F0678"/>
    <w:rsid w:val="003F1D68"/>
    <w:rsid w:val="003F3147"/>
    <w:rsid w:val="003F34B9"/>
    <w:rsid w:val="003F38C6"/>
    <w:rsid w:val="003F4DDE"/>
    <w:rsid w:val="003F5069"/>
    <w:rsid w:val="003F538C"/>
    <w:rsid w:val="003F5428"/>
    <w:rsid w:val="003F5BE5"/>
    <w:rsid w:val="003F6505"/>
    <w:rsid w:val="003F67BF"/>
    <w:rsid w:val="003F6B34"/>
    <w:rsid w:val="003F79F1"/>
    <w:rsid w:val="003F7D42"/>
    <w:rsid w:val="0040043B"/>
    <w:rsid w:val="0040047D"/>
    <w:rsid w:val="004009A2"/>
    <w:rsid w:val="00400B61"/>
    <w:rsid w:val="00401723"/>
    <w:rsid w:val="0040257B"/>
    <w:rsid w:val="004025B1"/>
    <w:rsid w:val="0040290E"/>
    <w:rsid w:val="00402C02"/>
    <w:rsid w:val="00403047"/>
    <w:rsid w:val="004039BE"/>
    <w:rsid w:val="0040454C"/>
    <w:rsid w:val="0040509B"/>
    <w:rsid w:val="004054F0"/>
    <w:rsid w:val="004103D3"/>
    <w:rsid w:val="00410B27"/>
    <w:rsid w:val="004117DB"/>
    <w:rsid w:val="004119A5"/>
    <w:rsid w:val="00411E0F"/>
    <w:rsid w:val="00413C53"/>
    <w:rsid w:val="00413DB7"/>
    <w:rsid w:val="00413EA2"/>
    <w:rsid w:val="0041437E"/>
    <w:rsid w:val="0041471B"/>
    <w:rsid w:val="004147A6"/>
    <w:rsid w:val="00414AC2"/>
    <w:rsid w:val="00415358"/>
    <w:rsid w:val="004158BA"/>
    <w:rsid w:val="004164B8"/>
    <w:rsid w:val="00416DF8"/>
    <w:rsid w:val="00420824"/>
    <w:rsid w:val="004224E3"/>
    <w:rsid w:val="004235DF"/>
    <w:rsid w:val="00424847"/>
    <w:rsid w:val="00424E5B"/>
    <w:rsid w:val="004254A2"/>
    <w:rsid w:val="00426317"/>
    <w:rsid w:val="00427561"/>
    <w:rsid w:val="00430097"/>
    <w:rsid w:val="00430600"/>
    <w:rsid w:val="00431C7B"/>
    <w:rsid w:val="004333DC"/>
    <w:rsid w:val="00433C50"/>
    <w:rsid w:val="0043495B"/>
    <w:rsid w:val="004361C1"/>
    <w:rsid w:val="004374EF"/>
    <w:rsid w:val="0044043D"/>
    <w:rsid w:val="00441550"/>
    <w:rsid w:val="004429DA"/>
    <w:rsid w:val="00443741"/>
    <w:rsid w:val="00443FE8"/>
    <w:rsid w:val="00445012"/>
    <w:rsid w:val="00445A5E"/>
    <w:rsid w:val="004465A8"/>
    <w:rsid w:val="00446CB8"/>
    <w:rsid w:val="00447E30"/>
    <w:rsid w:val="0045032A"/>
    <w:rsid w:val="00450373"/>
    <w:rsid w:val="004511ED"/>
    <w:rsid w:val="00451210"/>
    <w:rsid w:val="004515C1"/>
    <w:rsid w:val="0045285F"/>
    <w:rsid w:val="00452B89"/>
    <w:rsid w:val="00452BF8"/>
    <w:rsid w:val="00452C08"/>
    <w:rsid w:val="004535E5"/>
    <w:rsid w:val="0045447A"/>
    <w:rsid w:val="00455757"/>
    <w:rsid w:val="00455FA0"/>
    <w:rsid w:val="00456069"/>
    <w:rsid w:val="0045747B"/>
    <w:rsid w:val="004579D8"/>
    <w:rsid w:val="00457B5A"/>
    <w:rsid w:val="00457F8B"/>
    <w:rsid w:val="0046037A"/>
    <w:rsid w:val="00460426"/>
    <w:rsid w:val="00461957"/>
    <w:rsid w:val="00461A78"/>
    <w:rsid w:val="0046354E"/>
    <w:rsid w:val="004638D3"/>
    <w:rsid w:val="00463BF8"/>
    <w:rsid w:val="0046454C"/>
    <w:rsid w:val="00464DAE"/>
    <w:rsid w:val="004650A7"/>
    <w:rsid w:val="00465149"/>
    <w:rsid w:val="004653E6"/>
    <w:rsid w:val="004661C2"/>
    <w:rsid w:val="004665BD"/>
    <w:rsid w:val="00470891"/>
    <w:rsid w:val="004709DB"/>
    <w:rsid w:val="00470A73"/>
    <w:rsid w:val="00470C1B"/>
    <w:rsid w:val="00472269"/>
    <w:rsid w:val="00472A46"/>
    <w:rsid w:val="00472B01"/>
    <w:rsid w:val="00472C2B"/>
    <w:rsid w:val="004737BA"/>
    <w:rsid w:val="00475051"/>
    <w:rsid w:val="0047663E"/>
    <w:rsid w:val="004772C2"/>
    <w:rsid w:val="004773CD"/>
    <w:rsid w:val="004773F9"/>
    <w:rsid w:val="00480FF2"/>
    <w:rsid w:val="004817E7"/>
    <w:rsid w:val="0048335D"/>
    <w:rsid w:val="00484319"/>
    <w:rsid w:val="00484E02"/>
    <w:rsid w:val="00485367"/>
    <w:rsid w:val="004867C3"/>
    <w:rsid w:val="00487776"/>
    <w:rsid w:val="00490F58"/>
    <w:rsid w:val="00491E5F"/>
    <w:rsid w:val="00492B7A"/>
    <w:rsid w:val="00493635"/>
    <w:rsid w:val="0049553F"/>
    <w:rsid w:val="004956E4"/>
    <w:rsid w:val="00495D31"/>
    <w:rsid w:val="00495FCC"/>
    <w:rsid w:val="00496621"/>
    <w:rsid w:val="00496A07"/>
    <w:rsid w:val="00497074"/>
    <w:rsid w:val="00497498"/>
    <w:rsid w:val="004979D5"/>
    <w:rsid w:val="004A0C1B"/>
    <w:rsid w:val="004A2D6F"/>
    <w:rsid w:val="004A331F"/>
    <w:rsid w:val="004A53D8"/>
    <w:rsid w:val="004A5FDF"/>
    <w:rsid w:val="004A6520"/>
    <w:rsid w:val="004A7255"/>
    <w:rsid w:val="004B05AA"/>
    <w:rsid w:val="004B1204"/>
    <w:rsid w:val="004B1D54"/>
    <w:rsid w:val="004B1D9E"/>
    <w:rsid w:val="004B2246"/>
    <w:rsid w:val="004B2680"/>
    <w:rsid w:val="004B278C"/>
    <w:rsid w:val="004B3BC0"/>
    <w:rsid w:val="004B3DD0"/>
    <w:rsid w:val="004B3F34"/>
    <w:rsid w:val="004B425E"/>
    <w:rsid w:val="004B54AC"/>
    <w:rsid w:val="004B56AC"/>
    <w:rsid w:val="004B583F"/>
    <w:rsid w:val="004B6D11"/>
    <w:rsid w:val="004B6D6F"/>
    <w:rsid w:val="004B763A"/>
    <w:rsid w:val="004B7A8B"/>
    <w:rsid w:val="004C0084"/>
    <w:rsid w:val="004C0D7C"/>
    <w:rsid w:val="004C1C72"/>
    <w:rsid w:val="004C2002"/>
    <w:rsid w:val="004C2ED1"/>
    <w:rsid w:val="004C3EC9"/>
    <w:rsid w:val="004C41DC"/>
    <w:rsid w:val="004C496C"/>
    <w:rsid w:val="004C4AD4"/>
    <w:rsid w:val="004C57A0"/>
    <w:rsid w:val="004C5FB0"/>
    <w:rsid w:val="004C7781"/>
    <w:rsid w:val="004C7DF6"/>
    <w:rsid w:val="004D0116"/>
    <w:rsid w:val="004D08C5"/>
    <w:rsid w:val="004D0DF9"/>
    <w:rsid w:val="004D1953"/>
    <w:rsid w:val="004D1C3D"/>
    <w:rsid w:val="004D23A9"/>
    <w:rsid w:val="004D2DF0"/>
    <w:rsid w:val="004D33B8"/>
    <w:rsid w:val="004D4642"/>
    <w:rsid w:val="004D5200"/>
    <w:rsid w:val="004D74A7"/>
    <w:rsid w:val="004D74BF"/>
    <w:rsid w:val="004D787C"/>
    <w:rsid w:val="004E0247"/>
    <w:rsid w:val="004E0668"/>
    <w:rsid w:val="004E079F"/>
    <w:rsid w:val="004E1859"/>
    <w:rsid w:val="004E21CF"/>
    <w:rsid w:val="004E22E0"/>
    <w:rsid w:val="004E245D"/>
    <w:rsid w:val="004E3593"/>
    <w:rsid w:val="004E3B71"/>
    <w:rsid w:val="004E3DE8"/>
    <w:rsid w:val="004E4262"/>
    <w:rsid w:val="004E431D"/>
    <w:rsid w:val="004E4692"/>
    <w:rsid w:val="004E4B3A"/>
    <w:rsid w:val="004E6263"/>
    <w:rsid w:val="004E650E"/>
    <w:rsid w:val="004E683D"/>
    <w:rsid w:val="004E72AB"/>
    <w:rsid w:val="004F0A67"/>
    <w:rsid w:val="004F141B"/>
    <w:rsid w:val="004F1446"/>
    <w:rsid w:val="004F15F7"/>
    <w:rsid w:val="004F1645"/>
    <w:rsid w:val="004F1875"/>
    <w:rsid w:val="004F2191"/>
    <w:rsid w:val="004F25EF"/>
    <w:rsid w:val="004F2895"/>
    <w:rsid w:val="004F4859"/>
    <w:rsid w:val="004F5428"/>
    <w:rsid w:val="004F7291"/>
    <w:rsid w:val="00500498"/>
    <w:rsid w:val="0050106C"/>
    <w:rsid w:val="00501119"/>
    <w:rsid w:val="00503C1C"/>
    <w:rsid w:val="00503C75"/>
    <w:rsid w:val="005043EB"/>
    <w:rsid w:val="0050459C"/>
    <w:rsid w:val="00504913"/>
    <w:rsid w:val="00504DB8"/>
    <w:rsid w:val="005054F4"/>
    <w:rsid w:val="00506354"/>
    <w:rsid w:val="00506858"/>
    <w:rsid w:val="00512BF8"/>
    <w:rsid w:val="00513114"/>
    <w:rsid w:val="0051467B"/>
    <w:rsid w:val="005147E4"/>
    <w:rsid w:val="00515C82"/>
    <w:rsid w:val="0051633D"/>
    <w:rsid w:val="00516AA4"/>
    <w:rsid w:val="00517167"/>
    <w:rsid w:val="00517A68"/>
    <w:rsid w:val="00520050"/>
    <w:rsid w:val="0052043A"/>
    <w:rsid w:val="00521E24"/>
    <w:rsid w:val="0052202E"/>
    <w:rsid w:val="0052236A"/>
    <w:rsid w:val="005226AE"/>
    <w:rsid w:val="005228DF"/>
    <w:rsid w:val="0052350A"/>
    <w:rsid w:val="00523818"/>
    <w:rsid w:val="00524905"/>
    <w:rsid w:val="00525D7C"/>
    <w:rsid w:val="005307EA"/>
    <w:rsid w:val="00530801"/>
    <w:rsid w:val="005308DE"/>
    <w:rsid w:val="00530920"/>
    <w:rsid w:val="0053163E"/>
    <w:rsid w:val="00531649"/>
    <w:rsid w:val="005320DD"/>
    <w:rsid w:val="00534908"/>
    <w:rsid w:val="0053517C"/>
    <w:rsid w:val="00535454"/>
    <w:rsid w:val="005356E9"/>
    <w:rsid w:val="0053578C"/>
    <w:rsid w:val="0053655E"/>
    <w:rsid w:val="00536B68"/>
    <w:rsid w:val="00537B3A"/>
    <w:rsid w:val="00537BEF"/>
    <w:rsid w:val="00540534"/>
    <w:rsid w:val="00541120"/>
    <w:rsid w:val="005432E8"/>
    <w:rsid w:val="00544BE5"/>
    <w:rsid w:val="005455A5"/>
    <w:rsid w:val="0054572A"/>
    <w:rsid w:val="00545857"/>
    <w:rsid w:val="00545A44"/>
    <w:rsid w:val="00547023"/>
    <w:rsid w:val="00550109"/>
    <w:rsid w:val="00550625"/>
    <w:rsid w:val="00551117"/>
    <w:rsid w:val="00551255"/>
    <w:rsid w:val="00551C58"/>
    <w:rsid w:val="00552127"/>
    <w:rsid w:val="00553EF1"/>
    <w:rsid w:val="0055466E"/>
    <w:rsid w:val="00557601"/>
    <w:rsid w:val="00560DCE"/>
    <w:rsid w:val="00561157"/>
    <w:rsid w:val="005622AE"/>
    <w:rsid w:val="00563307"/>
    <w:rsid w:val="00563F3F"/>
    <w:rsid w:val="00564008"/>
    <w:rsid w:val="005643FA"/>
    <w:rsid w:val="00564413"/>
    <w:rsid w:val="00564F48"/>
    <w:rsid w:val="00564F85"/>
    <w:rsid w:val="0056631F"/>
    <w:rsid w:val="005663D9"/>
    <w:rsid w:val="00571459"/>
    <w:rsid w:val="005725F6"/>
    <w:rsid w:val="00573012"/>
    <w:rsid w:val="0057447B"/>
    <w:rsid w:val="0057476A"/>
    <w:rsid w:val="00575351"/>
    <w:rsid w:val="00575D81"/>
    <w:rsid w:val="00577077"/>
    <w:rsid w:val="005772C4"/>
    <w:rsid w:val="00577793"/>
    <w:rsid w:val="005802EE"/>
    <w:rsid w:val="00580899"/>
    <w:rsid w:val="00580D57"/>
    <w:rsid w:val="00580E50"/>
    <w:rsid w:val="00580EC2"/>
    <w:rsid w:val="0058255B"/>
    <w:rsid w:val="005840AC"/>
    <w:rsid w:val="005848DC"/>
    <w:rsid w:val="0058552C"/>
    <w:rsid w:val="00585572"/>
    <w:rsid w:val="005855BE"/>
    <w:rsid w:val="005863A2"/>
    <w:rsid w:val="00587669"/>
    <w:rsid w:val="00587752"/>
    <w:rsid w:val="00587CC4"/>
    <w:rsid w:val="00590615"/>
    <w:rsid w:val="00590EF8"/>
    <w:rsid w:val="005916AF"/>
    <w:rsid w:val="005917D0"/>
    <w:rsid w:val="00593448"/>
    <w:rsid w:val="0059373E"/>
    <w:rsid w:val="0059436D"/>
    <w:rsid w:val="00594609"/>
    <w:rsid w:val="00595039"/>
    <w:rsid w:val="00595AAB"/>
    <w:rsid w:val="00595FF4"/>
    <w:rsid w:val="00596AFF"/>
    <w:rsid w:val="00597301"/>
    <w:rsid w:val="005A007B"/>
    <w:rsid w:val="005A1360"/>
    <w:rsid w:val="005A2661"/>
    <w:rsid w:val="005A2FE3"/>
    <w:rsid w:val="005A310B"/>
    <w:rsid w:val="005A361D"/>
    <w:rsid w:val="005A3A73"/>
    <w:rsid w:val="005A4115"/>
    <w:rsid w:val="005A428E"/>
    <w:rsid w:val="005A42FD"/>
    <w:rsid w:val="005A53E1"/>
    <w:rsid w:val="005A568F"/>
    <w:rsid w:val="005A5C4E"/>
    <w:rsid w:val="005A5CD0"/>
    <w:rsid w:val="005A6F80"/>
    <w:rsid w:val="005A7193"/>
    <w:rsid w:val="005A7A2E"/>
    <w:rsid w:val="005B03F0"/>
    <w:rsid w:val="005B0909"/>
    <w:rsid w:val="005B0BF7"/>
    <w:rsid w:val="005B17FF"/>
    <w:rsid w:val="005B1887"/>
    <w:rsid w:val="005B1F96"/>
    <w:rsid w:val="005B2190"/>
    <w:rsid w:val="005B303D"/>
    <w:rsid w:val="005B307B"/>
    <w:rsid w:val="005B4488"/>
    <w:rsid w:val="005B4832"/>
    <w:rsid w:val="005B4B51"/>
    <w:rsid w:val="005B5B4A"/>
    <w:rsid w:val="005B6873"/>
    <w:rsid w:val="005B7324"/>
    <w:rsid w:val="005B7FFB"/>
    <w:rsid w:val="005C11D1"/>
    <w:rsid w:val="005C1F7F"/>
    <w:rsid w:val="005C298D"/>
    <w:rsid w:val="005C4375"/>
    <w:rsid w:val="005C4620"/>
    <w:rsid w:val="005C4B28"/>
    <w:rsid w:val="005C54F6"/>
    <w:rsid w:val="005C5E8D"/>
    <w:rsid w:val="005C6C5D"/>
    <w:rsid w:val="005C7657"/>
    <w:rsid w:val="005D0128"/>
    <w:rsid w:val="005D05BD"/>
    <w:rsid w:val="005D0A31"/>
    <w:rsid w:val="005D1350"/>
    <w:rsid w:val="005D1956"/>
    <w:rsid w:val="005D26B5"/>
    <w:rsid w:val="005D3790"/>
    <w:rsid w:val="005D40ED"/>
    <w:rsid w:val="005D4456"/>
    <w:rsid w:val="005D4B5D"/>
    <w:rsid w:val="005D558E"/>
    <w:rsid w:val="005D5652"/>
    <w:rsid w:val="005D5995"/>
    <w:rsid w:val="005D5A64"/>
    <w:rsid w:val="005E00B7"/>
    <w:rsid w:val="005E01C0"/>
    <w:rsid w:val="005E15F5"/>
    <w:rsid w:val="005E21A8"/>
    <w:rsid w:val="005E2358"/>
    <w:rsid w:val="005E25BD"/>
    <w:rsid w:val="005E2665"/>
    <w:rsid w:val="005E4742"/>
    <w:rsid w:val="005E59A1"/>
    <w:rsid w:val="005E5E29"/>
    <w:rsid w:val="005E69AE"/>
    <w:rsid w:val="005E6ACC"/>
    <w:rsid w:val="005E6B71"/>
    <w:rsid w:val="005E7F6C"/>
    <w:rsid w:val="005F13B5"/>
    <w:rsid w:val="005F145C"/>
    <w:rsid w:val="005F1C9F"/>
    <w:rsid w:val="005F3ED1"/>
    <w:rsid w:val="005F3FB7"/>
    <w:rsid w:val="005F43EC"/>
    <w:rsid w:val="005F4582"/>
    <w:rsid w:val="005F6729"/>
    <w:rsid w:val="005F6904"/>
    <w:rsid w:val="005F6918"/>
    <w:rsid w:val="005F6AE6"/>
    <w:rsid w:val="005F78E8"/>
    <w:rsid w:val="005F7C15"/>
    <w:rsid w:val="00600DC6"/>
    <w:rsid w:val="006017D2"/>
    <w:rsid w:val="0060217A"/>
    <w:rsid w:val="0060226B"/>
    <w:rsid w:val="00602A4E"/>
    <w:rsid w:val="00602C8D"/>
    <w:rsid w:val="00602EB8"/>
    <w:rsid w:val="00603158"/>
    <w:rsid w:val="0060354F"/>
    <w:rsid w:val="00603D94"/>
    <w:rsid w:val="006040A7"/>
    <w:rsid w:val="00605655"/>
    <w:rsid w:val="00605F23"/>
    <w:rsid w:val="00606C90"/>
    <w:rsid w:val="00607206"/>
    <w:rsid w:val="00607609"/>
    <w:rsid w:val="00610BE0"/>
    <w:rsid w:val="00611695"/>
    <w:rsid w:val="006117E5"/>
    <w:rsid w:val="00611D2A"/>
    <w:rsid w:val="006132CE"/>
    <w:rsid w:val="006138D1"/>
    <w:rsid w:val="006138E6"/>
    <w:rsid w:val="00614537"/>
    <w:rsid w:val="00614A66"/>
    <w:rsid w:val="00614ABC"/>
    <w:rsid w:val="00614D4E"/>
    <w:rsid w:val="00615CE4"/>
    <w:rsid w:val="0061640F"/>
    <w:rsid w:val="00616A30"/>
    <w:rsid w:val="00616A74"/>
    <w:rsid w:val="00616D91"/>
    <w:rsid w:val="00616DB7"/>
    <w:rsid w:val="00617088"/>
    <w:rsid w:val="0062171F"/>
    <w:rsid w:val="00621A9B"/>
    <w:rsid w:val="00622416"/>
    <w:rsid w:val="006236F3"/>
    <w:rsid w:val="0062466B"/>
    <w:rsid w:val="00625858"/>
    <w:rsid w:val="00625A2E"/>
    <w:rsid w:val="00625D1C"/>
    <w:rsid w:val="00626E1D"/>
    <w:rsid w:val="00627656"/>
    <w:rsid w:val="0063032D"/>
    <w:rsid w:val="00631BFA"/>
    <w:rsid w:val="00632812"/>
    <w:rsid w:val="006329DE"/>
    <w:rsid w:val="00632EBC"/>
    <w:rsid w:val="006335AC"/>
    <w:rsid w:val="00635627"/>
    <w:rsid w:val="00635ACB"/>
    <w:rsid w:val="0064118E"/>
    <w:rsid w:val="006417BC"/>
    <w:rsid w:val="006430EB"/>
    <w:rsid w:val="00643526"/>
    <w:rsid w:val="00643834"/>
    <w:rsid w:val="00643C78"/>
    <w:rsid w:val="006440A9"/>
    <w:rsid w:val="00644115"/>
    <w:rsid w:val="0064597E"/>
    <w:rsid w:val="00645BAB"/>
    <w:rsid w:val="00646C46"/>
    <w:rsid w:val="00646D03"/>
    <w:rsid w:val="00646E0E"/>
    <w:rsid w:val="00647B16"/>
    <w:rsid w:val="00650A56"/>
    <w:rsid w:val="00651480"/>
    <w:rsid w:val="00651B0F"/>
    <w:rsid w:val="00652EFE"/>
    <w:rsid w:val="00656423"/>
    <w:rsid w:val="00657DE2"/>
    <w:rsid w:val="006609AB"/>
    <w:rsid w:val="00661E2B"/>
    <w:rsid w:val="00662B40"/>
    <w:rsid w:val="006630A1"/>
    <w:rsid w:val="006649E3"/>
    <w:rsid w:val="00665321"/>
    <w:rsid w:val="006666CE"/>
    <w:rsid w:val="00667C8A"/>
    <w:rsid w:val="006700A9"/>
    <w:rsid w:val="00670488"/>
    <w:rsid w:val="0067060E"/>
    <w:rsid w:val="006708BD"/>
    <w:rsid w:val="00670F00"/>
    <w:rsid w:val="006717F7"/>
    <w:rsid w:val="006721E9"/>
    <w:rsid w:val="00672D6A"/>
    <w:rsid w:val="00674136"/>
    <w:rsid w:val="00674F65"/>
    <w:rsid w:val="006755FC"/>
    <w:rsid w:val="00676008"/>
    <w:rsid w:val="00677829"/>
    <w:rsid w:val="00680970"/>
    <w:rsid w:val="00681000"/>
    <w:rsid w:val="00682414"/>
    <w:rsid w:val="00682464"/>
    <w:rsid w:val="0068295C"/>
    <w:rsid w:val="006829C0"/>
    <w:rsid w:val="00682FB2"/>
    <w:rsid w:val="0068310E"/>
    <w:rsid w:val="0068382E"/>
    <w:rsid w:val="0068393C"/>
    <w:rsid w:val="00683BA7"/>
    <w:rsid w:val="00684719"/>
    <w:rsid w:val="00685916"/>
    <w:rsid w:val="00685ED0"/>
    <w:rsid w:val="0068636D"/>
    <w:rsid w:val="006869D3"/>
    <w:rsid w:val="00686D74"/>
    <w:rsid w:val="00687517"/>
    <w:rsid w:val="0069142A"/>
    <w:rsid w:val="0069142F"/>
    <w:rsid w:val="00691A19"/>
    <w:rsid w:val="006922A5"/>
    <w:rsid w:val="0069230F"/>
    <w:rsid w:val="0069249E"/>
    <w:rsid w:val="00694C0C"/>
    <w:rsid w:val="0069627B"/>
    <w:rsid w:val="00696504"/>
    <w:rsid w:val="00696605"/>
    <w:rsid w:val="0069660D"/>
    <w:rsid w:val="006967FC"/>
    <w:rsid w:val="006976F2"/>
    <w:rsid w:val="00697B97"/>
    <w:rsid w:val="006A01AD"/>
    <w:rsid w:val="006A0645"/>
    <w:rsid w:val="006A126F"/>
    <w:rsid w:val="006A1456"/>
    <w:rsid w:val="006A1D36"/>
    <w:rsid w:val="006A3182"/>
    <w:rsid w:val="006A32C8"/>
    <w:rsid w:val="006A3750"/>
    <w:rsid w:val="006A3F6D"/>
    <w:rsid w:val="006A40CC"/>
    <w:rsid w:val="006A584F"/>
    <w:rsid w:val="006A6007"/>
    <w:rsid w:val="006A61F4"/>
    <w:rsid w:val="006A62DD"/>
    <w:rsid w:val="006A7A38"/>
    <w:rsid w:val="006B0C2D"/>
    <w:rsid w:val="006B1FEA"/>
    <w:rsid w:val="006B222A"/>
    <w:rsid w:val="006B22A4"/>
    <w:rsid w:val="006B2A2E"/>
    <w:rsid w:val="006B34F6"/>
    <w:rsid w:val="006B34FF"/>
    <w:rsid w:val="006B3799"/>
    <w:rsid w:val="006B39DA"/>
    <w:rsid w:val="006B41D7"/>
    <w:rsid w:val="006B4850"/>
    <w:rsid w:val="006B535C"/>
    <w:rsid w:val="006B5BB6"/>
    <w:rsid w:val="006B5FBF"/>
    <w:rsid w:val="006B601D"/>
    <w:rsid w:val="006C16FF"/>
    <w:rsid w:val="006C1D56"/>
    <w:rsid w:val="006C261F"/>
    <w:rsid w:val="006C3075"/>
    <w:rsid w:val="006C3ABF"/>
    <w:rsid w:val="006C44FF"/>
    <w:rsid w:val="006C4AF1"/>
    <w:rsid w:val="006C4DFE"/>
    <w:rsid w:val="006C506B"/>
    <w:rsid w:val="006C5145"/>
    <w:rsid w:val="006C5977"/>
    <w:rsid w:val="006C5EAC"/>
    <w:rsid w:val="006C68BD"/>
    <w:rsid w:val="006C70B0"/>
    <w:rsid w:val="006C7A3F"/>
    <w:rsid w:val="006C7A6F"/>
    <w:rsid w:val="006D021F"/>
    <w:rsid w:val="006D0F5C"/>
    <w:rsid w:val="006D20C3"/>
    <w:rsid w:val="006D2922"/>
    <w:rsid w:val="006D2FB8"/>
    <w:rsid w:val="006D3154"/>
    <w:rsid w:val="006D36E7"/>
    <w:rsid w:val="006D3C89"/>
    <w:rsid w:val="006D5123"/>
    <w:rsid w:val="006D5E4B"/>
    <w:rsid w:val="006D5EAE"/>
    <w:rsid w:val="006D6954"/>
    <w:rsid w:val="006D6E62"/>
    <w:rsid w:val="006D6F00"/>
    <w:rsid w:val="006E0089"/>
    <w:rsid w:val="006E0F66"/>
    <w:rsid w:val="006E38CA"/>
    <w:rsid w:val="006E3AE4"/>
    <w:rsid w:val="006E42AE"/>
    <w:rsid w:val="006E45EA"/>
    <w:rsid w:val="006E4699"/>
    <w:rsid w:val="006E46F3"/>
    <w:rsid w:val="006E52BC"/>
    <w:rsid w:val="006E6A6A"/>
    <w:rsid w:val="006E6EA9"/>
    <w:rsid w:val="006E7436"/>
    <w:rsid w:val="006F065B"/>
    <w:rsid w:val="006F15D8"/>
    <w:rsid w:val="006F18D0"/>
    <w:rsid w:val="006F1DE1"/>
    <w:rsid w:val="006F2BCC"/>
    <w:rsid w:val="006F30FA"/>
    <w:rsid w:val="006F3E26"/>
    <w:rsid w:val="006F4555"/>
    <w:rsid w:val="006F73F2"/>
    <w:rsid w:val="006F76EB"/>
    <w:rsid w:val="006F7B73"/>
    <w:rsid w:val="0070090D"/>
    <w:rsid w:val="00702A0C"/>
    <w:rsid w:val="007035A3"/>
    <w:rsid w:val="00703978"/>
    <w:rsid w:val="00703FA3"/>
    <w:rsid w:val="007069C9"/>
    <w:rsid w:val="00706A8A"/>
    <w:rsid w:val="00707260"/>
    <w:rsid w:val="00707785"/>
    <w:rsid w:val="00707890"/>
    <w:rsid w:val="00710D80"/>
    <w:rsid w:val="007117EC"/>
    <w:rsid w:val="0071245E"/>
    <w:rsid w:val="0071289F"/>
    <w:rsid w:val="00713344"/>
    <w:rsid w:val="007136F8"/>
    <w:rsid w:val="0071402B"/>
    <w:rsid w:val="0071474B"/>
    <w:rsid w:val="007147DF"/>
    <w:rsid w:val="00716050"/>
    <w:rsid w:val="007169B0"/>
    <w:rsid w:val="00717B67"/>
    <w:rsid w:val="0072036C"/>
    <w:rsid w:val="00721B9F"/>
    <w:rsid w:val="00723BC3"/>
    <w:rsid w:val="00724A59"/>
    <w:rsid w:val="0072562F"/>
    <w:rsid w:val="0072603A"/>
    <w:rsid w:val="007266A3"/>
    <w:rsid w:val="00727C21"/>
    <w:rsid w:val="00730415"/>
    <w:rsid w:val="00731021"/>
    <w:rsid w:val="00731233"/>
    <w:rsid w:val="0073138F"/>
    <w:rsid w:val="007316BD"/>
    <w:rsid w:val="00731E69"/>
    <w:rsid w:val="00731FF1"/>
    <w:rsid w:val="00732D37"/>
    <w:rsid w:val="00732ED0"/>
    <w:rsid w:val="00734B13"/>
    <w:rsid w:val="00734B2D"/>
    <w:rsid w:val="00734D2E"/>
    <w:rsid w:val="00735391"/>
    <w:rsid w:val="0073570E"/>
    <w:rsid w:val="00735A89"/>
    <w:rsid w:val="00736330"/>
    <w:rsid w:val="00736E7E"/>
    <w:rsid w:val="00737747"/>
    <w:rsid w:val="007402EB"/>
    <w:rsid w:val="00740876"/>
    <w:rsid w:val="00740CED"/>
    <w:rsid w:val="00741146"/>
    <w:rsid w:val="00741175"/>
    <w:rsid w:val="0074193B"/>
    <w:rsid w:val="00741E64"/>
    <w:rsid w:val="00742835"/>
    <w:rsid w:val="0074296C"/>
    <w:rsid w:val="00743A9B"/>
    <w:rsid w:val="0074489F"/>
    <w:rsid w:val="00744F27"/>
    <w:rsid w:val="007459E3"/>
    <w:rsid w:val="007460C0"/>
    <w:rsid w:val="00746672"/>
    <w:rsid w:val="00750E88"/>
    <w:rsid w:val="00751340"/>
    <w:rsid w:val="00752BAD"/>
    <w:rsid w:val="0075347B"/>
    <w:rsid w:val="00753CD6"/>
    <w:rsid w:val="00754343"/>
    <w:rsid w:val="00754856"/>
    <w:rsid w:val="00754DD3"/>
    <w:rsid w:val="00755816"/>
    <w:rsid w:val="0075615E"/>
    <w:rsid w:val="00756A17"/>
    <w:rsid w:val="00756C94"/>
    <w:rsid w:val="00756F7C"/>
    <w:rsid w:val="007578A0"/>
    <w:rsid w:val="00760BC8"/>
    <w:rsid w:val="00760C73"/>
    <w:rsid w:val="00761FCF"/>
    <w:rsid w:val="007622F3"/>
    <w:rsid w:val="00762862"/>
    <w:rsid w:val="0076303D"/>
    <w:rsid w:val="007646E8"/>
    <w:rsid w:val="00764D6A"/>
    <w:rsid w:val="00766CA5"/>
    <w:rsid w:val="00767ECC"/>
    <w:rsid w:val="00771DE5"/>
    <w:rsid w:val="00773056"/>
    <w:rsid w:val="0077399B"/>
    <w:rsid w:val="00773D50"/>
    <w:rsid w:val="00774A21"/>
    <w:rsid w:val="00774A99"/>
    <w:rsid w:val="00775CEA"/>
    <w:rsid w:val="00776F28"/>
    <w:rsid w:val="00777142"/>
    <w:rsid w:val="00780CF2"/>
    <w:rsid w:val="007814A9"/>
    <w:rsid w:val="00781A13"/>
    <w:rsid w:val="00782917"/>
    <w:rsid w:val="00783259"/>
    <w:rsid w:val="00784057"/>
    <w:rsid w:val="00784C28"/>
    <w:rsid w:val="00784D6D"/>
    <w:rsid w:val="00785227"/>
    <w:rsid w:val="00786856"/>
    <w:rsid w:val="00786E10"/>
    <w:rsid w:val="00786ED5"/>
    <w:rsid w:val="00787202"/>
    <w:rsid w:val="007901F3"/>
    <w:rsid w:val="00790353"/>
    <w:rsid w:val="00791235"/>
    <w:rsid w:val="00792791"/>
    <w:rsid w:val="00792842"/>
    <w:rsid w:val="007932A4"/>
    <w:rsid w:val="00793CE7"/>
    <w:rsid w:val="00794C29"/>
    <w:rsid w:val="00795335"/>
    <w:rsid w:val="0079589F"/>
    <w:rsid w:val="0079669A"/>
    <w:rsid w:val="00796944"/>
    <w:rsid w:val="007976EF"/>
    <w:rsid w:val="00797979"/>
    <w:rsid w:val="007A0084"/>
    <w:rsid w:val="007A084A"/>
    <w:rsid w:val="007A0B0E"/>
    <w:rsid w:val="007A1210"/>
    <w:rsid w:val="007A156F"/>
    <w:rsid w:val="007A17EB"/>
    <w:rsid w:val="007A39DD"/>
    <w:rsid w:val="007A410F"/>
    <w:rsid w:val="007A5532"/>
    <w:rsid w:val="007A5BBF"/>
    <w:rsid w:val="007A5D10"/>
    <w:rsid w:val="007A6F77"/>
    <w:rsid w:val="007A7177"/>
    <w:rsid w:val="007A7AEF"/>
    <w:rsid w:val="007B0227"/>
    <w:rsid w:val="007B1E13"/>
    <w:rsid w:val="007B22C2"/>
    <w:rsid w:val="007B26F7"/>
    <w:rsid w:val="007B2C78"/>
    <w:rsid w:val="007B3A36"/>
    <w:rsid w:val="007B3AAA"/>
    <w:rsid w:val="007B3F84"/>
    <w:rsid w:val="007B4F4D"/>
    <w:rsid w:val="007B59BD"/>
    <w:rsid w:val="007B66BF"/>
    <w:rsid w:val="007B66E5"/>
    <w:rsid w:val="007B712F"/>
    <w:rsid w:val="007B794B"/>
    <w:rsid w:val="007C0A28"/>
    <w:rsid w:val="007C0FA4"/>
    <w:rsid w:val="007C2AD5"/>
    <w:rsid w:val="007C327B"/>
    <w:rsid w:val="007C358A"/>
    <w:rsid w:val="007C4856"/>
    <w:rsid w:val="007C4F81"/>
    <w:rsid w:val="007C58DB"/>
    <w:rsid w:val="007C6346"/>
    <w:rsid w:val="007C6995"/>
    <w:rsid w:val="007C74BB"/>
    <w:rsid w:val="007D060E"/>
    <w:rsid w:val="007D094E"/>
    <w:rsid w:val="007D112D"/>
    <w:rsid w:val="007D2456"/>
    <w:rsid w:val="007D28CC"/>
    <w:rsid w:val="007D487E"/>
    <w:rsid w:val="007D5349"/>
    <w:rsid w:val="007D5513"/>
    <w:rsid w:val="007D73CF"/>
    <w:rsid w:val="007D78AE"/>
    <w:rsid w:val="007D7D74"/>
    <w:rsid w:val="007E0A05"/>
    <w:rsid w:val="007E135B"/>
    <w:rsid w:val="007E1B88"/>
    <w:rsid w:val="007E2A24"/>
    <w:rsid w:val="007E3D27"/>
    <w:rsid w:val="007E3F77"/>
    <w:rsid w:val="007E4F7A"/>
    <w:rsid w:val="007E783E"/>
    <w:rsid w:val="007F0604"/>
    <w:rsid w:val="007F14EC"/>
    <w:rsid w:val="007F1AAD"/>
    <w:rsid w:val="007F2C95"/>
    <w:rsid w:val="007F364E"/>
    <w:rsid w:val="007F3655"/>
    <w:rsid w:val="007F45D4"/>
    <w:rsid w:val="007F461B"/>
    <w:rsid w:val="007F4AC4"/>
    <w:rsid w:val="007F7515"/>
    <w:rsid w:val="0080025F"/>
    <w:rsid w:val="00801390"/>
    <w:rsid w:val="0080167B"/>
    <w:rsid w:val="00802F6B"/>
    <w:rsid w:val="008038F5"/>
    <w:rsid w:val="008046DC"/>
    <w:rsid w:val="00804B56"/>
    <w:rsid w:val="00804F48"/>
    <w:rsid w:val="008050BB"/>
    <w:rsid w:val="008061A4"/>
    <w:rsid w:val="00807635"/>
    <w:rsid w:val="00807E3E"/>
    <w:rsid w:val="0081214B"/>
    <w:rsid w:val="008136F6"/>
    <w:rsid w:val="00814F19"/>
    <w:rsid w:val="00815262"/>
    <w:rsid w:val="00815B1B"/>
    <w:rsid w:val="00816794"/>
    <w:rsid w:val="00816C28"/>
    <w:rsid w:val="0081764F"/>
    <w:rsid w:val="00817EDC"/>
    <w:rsid w:val="00820D7F"/>
    <w:rsid w:val="00820E53"/>
    <w:rsid w:val="00820F04"/>
    <w:rsid w:val="00820F20"/>
    <w:rsid w:val="0082101A"/>
    <w:rsid w:val="00821B59"/>
    <w:rsid w:val="0082217F"/>
    <w:rsid w:val="00823B88"/>
    <w:rsid w:val="00824294"/>
    <w:rsid w:val="00825BB2"/>
    <w:rsid w:val="00825DF3"/>
    <w:rsid w:val="008300E0"/>
    <w:rsid w:val="00830DDD"/>
    <w:rsid w:val="0083182C"/>
    <w:rsid w:val="00831A89"/>
    <w:rsid w:val="008321EF"/>
    <w:rsid w:val="00832C9C"/>
    <w:rsid w:val="008344B0"/>
    <w:rsid w:val="008354C2"/>
    <w:rsid w:val="00835CA9"/>
    <w:rsid w:val="008360CD"/>
    <w:rsid w:val="008364BF"/>
    <w:rsid w:val="008364CC"/>
    <w:rsid w:val="008364D5"/>
    <w:rsid w:val="00836C15"/>
    <w:rsid w:val="0083764E"/>
    <w:rsid w:val="00837C80"/>
    <w:rsid w:val="00840B06"/>
    <w:rsid w:val="00840DFD"/>
    <w:rsid w:val="0084137B"/>
    <w:rsid w:val="008416FE"/>
    <w:rsid w:val="00841A5B"/>
    <w:rsid w:val="0084204A"/>
    <w:rsid w:val="00842863"/>
    <w:rsid w:val="00842EDD"/>
    <w:rsid w:val="00842F2C"/>
    <w:rsid w:val="008443BD"/>
    <w:rsid w:val="0084533C"/>
    <w:rsid w:val="00845986"/>
    <w:rsid w:val="00845DFB"/>
    <w:rsid w:val="00846160"/>
    <w:rsid w:val="008462CD"/>
    <w:rsid w:val="00846667"/>
    <w:rsid w:val="00851630"/>
    <w:rsid w:val="00851937"/>
    <w:rsid w:val="00852201"/>
    <w:rsid w:val="0085249C"/>
    <w:rsid w:val="00854BE4"/>
    <w:rsid w:val="00854CAD"/>
    <w:rsid w:val="0085618D"/>
    <w:rsid w:val="00856BAB"/>
    <w:rsid w:val="00857975"/>
    <w:rsid w:val="0086176C"/>
    <w:rsid w:val="00861E73"/>
    <w:rsid w:val="0086316B"/>
    <w:rsid w:val="00864956"/>
    <w:rsid w:val="00864B2F"/>
    <w:rsid w:val="008651AA"/>
    <w:rsid w:val="00865A8C"/>
    <w:rsid w:val="0086619F"/>
    <w:rsid w:val="00866CDA"/>
    <w:rsid w:val="0086730A"/>
    <w:rsid w:val="008674AC"/>
    <w:rsid w:val="00867E0A"/>
    <w:rsid w:val="00871387"/>
    <w:rsid w:val="00871E13"/>
    <w:rsid w:val="00871E2E"/>
    <w:rsid w:val="00873202"/>
    <w:rsid w:val="00873EFE"/>
    <w:rsid w:val="00873F49"/>
    <w:rsid w:val="008741E4"/>
    <w:rsid w:val="00874D00"/>
    <w:rsid w:val="00875102"/>
    <w:rsid w:val="00876201"/>
    <w:rsid w:val="008763E4"/>
    <w:rsid w:val="00876D98"/>
    <w:rsid w:val="00876EB8"/>
    <w:rsid w:val="00877064"/>
    <w:rsid w:val="00877BF4"/>
    <w:rsid w:val="00880435"/>
    <w:rsid w:val="0088079D"/>
    <w:rsid w:val="00880FD3"/>
    <w:rsid w:val="00882A0B"/>
    <w:rsid w:val="00882DCE"/>
    <w:rsid w:val="00882E6D"/>
    <w:rsid w:val="00882FF1"/>
    <w:rsid w:val="00883FA5"/>
    <w:rsid w:val="00884E3A"/>
    <w:rsid w:val="00885963"/>
    <w:rsid w:val="00885AD0"/>
    <w:rsid w:val="0088670A"/>
    <w:rsid w:val="0088793C"/>
    <w:rsid w:val="00887CA1"/>
    <w:rsid w:val="00887F49"/>
    <w:rsid w:val="00891A2B"/>
    <w:rsid w:val="00891D61"/>
    <w:rsid w:val="00892970"/>
    <w:rsid w:val="00892CC1"/>
    <w:rsid w:val="00893385"/>
    <w:rsid w:val="008937CD"/>
    <w:rsid w:val="00893833"/>
    <w:rsid w:val="00893B0B"/>
    <w:rsid w:val="00894AFE"/>
    <w:rsid w:val="008960DB"/>
    <w:rsid w:val="00896848"/>
    <w:rsid w:val="00896E10"/>
    <w:rsid w:val="008A093E"/>
    <w:rsid w:val="008A0BD7"/>
    <w:rsid w:val="008A0EE3"/>
    <w:rsid w:val="008A0F72"/>
    <w:rsid w:val="008A1B05"/>
    <w:rsid w:val="008A1DF3"/>
    <w:rsid w:val="008A1EAF"/>
    <w:rsid w:val="008A21B6"/>
    <w:rsid w:val="008A4381"/>
    <w:rsid w:val="008A4BB5"/>
    <w:rsid w:val="008A53D9"/>
    <w:rsid w:val="008A540A"/>
    <w:rsid w:val="008A633C"/>
    <w:rsid w:val="008A63B9"/>
    <w:rsid w:val="008A6FE4"/>
    <w:rsid w:val="008A7053"/>
    <w:rsid w:val="008A7BF6"/>
    <w:rsid w:val="008B0FDA"/>
    <w:rsid w:val="008B111F"/>
    <w:rsid w:val="008B14AD"/>
    <w:rsid w:val="008B1AC0"/>
    <w:rsid w:val="008B1C3E"/>
    <w:rsid w:val="008B3089"/>
    <w:rsid w:val="008B4545"/>
    <w:rsid w:val="008B4721"/>
    <w:rsid w:val="008B4C7D"/>
    <w:rsid w:val="008B57DC"/>
    <w:rsid w:val="008B5A80"/>
    <w:rsid w:val="008B5B6D"/>
    <w:rsid w:val="008B7390"/>
    <w:rsid w:val="008B76A3"/>
    <w:rsid w:val="008B76D8"/>
    <w:rsid w:val="008C1A76"/>
    <w:rsid w:val="008C226D"/>
    <w:rsid w:val="008C2F24"/>
    <w:rsid w:val="008C3AA1"/>
    <w:rsid w:val="008C3DE3"/>
    <w:rsid w:val="008C3F4C"/>
    <w:rsid w:val="008C3FDC"/>
    <w:rsid w:val="008C4C77"/>
    <w:rsid w:val="008C591F"/>
    <w:rsid w:val="008C65EE"/>
    <w:rsid w:val="008C69D4"/>
    <w:rsid w:val="008C6D81"/>
    <w:rsid w:val="008D17EC"/>
    <w:rsid w:val="008D2F58"/>
    <w:rsid w:val="008D335F"/>
    <w:rsid w:val="008D3DFD"/>
    <w:rsid w:val="008D4A16"/>
    <w:rsid w:val="008D4AEC"/>
    <w:rsid w:val="008D4B36"/>
    <w:rsid w:val="008D4C66"/>
    <w:rsid w:val="008D5633"/>
    <w:rsid w:val="008D60EC"/>
    <w:rsid w:val="008D619B"/>
    <w:rsid w:val="008D677D"/>
    <w:rsid w:val="008D6784"/>
    <w:rsid w:val="008E114C"/>
    <w:rsid w:val="008E13B9"/>
    <w:rsid w:val="008E2272"/>
    <w:rsid w:val="008E2276"/>
    <w:rsid w:val="008E2377"/>
    <w:rsid w:val="008E3A14"/>
    <w:rsid w:val="008E4061"/>
    <w:rsid w:val="008E592E"/>
    <w:rsid w:val="008E5A19"/>
    <w:rsid w:val="008E5CA6"/>
    <w:rsid w:val="008E6D26"/>
    <w:rsid w:val="008E7B4D"/>
    <w:rsid w:val="008F0374"/>
    <w:rsid w:val="008F0AA1"/>
    <w:rsid w:val="008F0FC8"/>
    <w:rsid w:val="008F0FE5"/>
    <w:rsid w:val="008F1AD5"/>
    <w:rsid w:val="008F1BCE"/>
    <w:rsid w:val="008F1F59"/>
    <w:rsid w:val="008F230F"/>
    <w:rsid w:val="008F2758"/>
    <w:rsid w:val="008F3228"/>
    <w:rsid w:val="008F3DB2"/>
    <w:rsid w:val="008F47D9"/>
    <w:rsid w:val="008F5D96"/>
    <w:rsid w:val="0090033A"/>
    <w:rsid w:val="00900726"/>
    <w:rsid w:val="00901BE4"/>
    <w:rsid w:val="009026B5"/>
    <w:rsid w:val="0090443A"/>
    <w:rsid w:val="00904969"/>
    <w:rsid w:val="00904E9C"/>
    <w:rsid w:val="00904F71"/>
    <w:rsid w:val="00905686"/>
    <w:rsid w:val="009058A0"/>
    <w:rsid w:val="009069A1"/>
    <w:rsid w:val="009070BF"/>
    <w:rsid w:val="0090776D"/>
    <w:rsid w:val="00907B06"/>
    <w:rsid w:val="009128ED"/>
    <w:rsid w:val="00914E74"/>
    <w:rsid w:val="009157CE"/>
    <w:rsid w:val="009159FD"/>
    <w:rsid w:val="00916DBB"/>
    <w:rsid w:val="009178C5"/>
    <w:rsid w:val="00920772"/>
    <w:rsid w:val="00920EB3"/>
    <w:rsid w:val="00921447"/>
    <w:rsid w:val="00921A82"/>
    <w:rsid w:val="0092205E"/>
    <w:rsid w:val="00922290"/>
    <w:rsid w:val="0092265F"/>
    <w:rsid w:val="00922DC8"/>
    <w:rsid w:val="00923CC9"/>
    <w:rsid w:val="00924077"/>
    <w:rsid w:val="009247EF"/>
    <w:rsid w:val="00924B2E"/>
    <w:rsid w:val="00925F2C"/>
    <w:rsid w:val="00926B07"/>
    <w:rsid w:val="009275A2"/>
    <w:rsid w:val="00930350"/>
    <w:rsid w:val="009306F9"/>
    <w:rsid w:val="00930BF0"/>
    <w:rsid w:val="00931A85"/>
    <w:rsid w:val="00931A99"/>
    <w:rsid w:val="0093306D"/>
    <w:rsid w:val="009332A8"/>
    <w:rsid w:val="00933425"/>
    <w:rsid w:val="0093470E"/>
    <w:rsid w:val="00935F51"/>
    <w:rsid w:val="0093668E"/>
    <w:rsid w:val="0093673C"/>
    <w:rsid w:val="009405C8"/>
    <w:rsid w:val="0094062F"/>
    <w:rsid w:val="00940DC0"/>
    <w:rsid w:val="00941085"/>
    <w:rsid w:val="009428DD"/>
    <w:rsid w:val="0094294D"/>
    <w:rsid w:val="0094396F"/>
    <w:rsid w:val="00944603"/>
    <w:rsid w:val="00944CDE"/>
    <w:rsid w:val="009454FD"/>
    <w:rsid w:val="0094599B"/>
    <w:rsid w:val="00946512"/>
    <w:rsid w:val="00946A37"/>
    <w:rsid w:val="00946F8D"/>
    <w:rsid w:val="009509C2"/>
    <w:rsid w:val="00950C47"/>
    <w:rsid w:val="00950E76"/>
    <w:rsid w:val="009510F4"/>
    <w:rsid w:val="00951370"/>
    <w:rsid w:val="009517C7"/>
    <w:rsid w:val="00951B4D"/>
    <w:rsid w:val="00951B78"/>
    <w:rsid w:val="009526C1"/>
    <w:rsid w:val="00952CE7"/>
    <w:rsid w:val="00953411"/>
    <w:rsid w:val="00953BF9"/>
    <w:rsid w:val="00954FD6"/>
    <w:rsid w:val="009554D1"/>
    <w:rsid w:val="0095604B"/>
    <w:rsid w:val="00960E6E"/>
    <w:rsid w:val="00960F22"/>
    <w:rsid w:val="00962427"/>
    <w:rsid w:val="00962516"/>
    <w:rsid w:val="00962C4A"/>
    <w:rsid w:val="00963411"/>
    <w:rsid w:val="00965CD3"/>
    <w:rsid w:val="009661B3"/>
    <w:rsid w:val="00967B2D"/>
    <w:rsid w:val="009707D9"/>
    <w:rsid w:val="00971410"/>
    <w:rsid w:val="00971B25"/>
    <w:rsid w:val="00972846"/>
    <w:rsid w:val="00973C38"/>
    <w:rsid w:val="00974C1A"/>
    <w:rsid w:val="0097516C"/>
    <w:rsid w:val="00976007"/>
    <w:rsid w:val="00976129"/>
    <w:rsid w:val="00976ACD"/>
    <w:rsid w:val="009810E9"/>
    <w:rsid w:val="009811A1"/>
    <w:rsid w:val="009818FB"/>
    <w:rsid w:val="00982073"/>
    <w:rsid w:val="009823A5"/>
    <w:rsid w:val="009841F7"/>
    <w:rsid w:val="009847CA"/>
    <w:rsid w:val="00984855"/>
    <w:rsid w:val="0098500E"/>
    <w:rsid w:val="009858FD"/>
    <w:rsid w:val="00985CA9"/>
    <w:rsid w:val="009877B9"/>
    <w:rsid w:val="00987E4C"/>
    <w:rsid w:val="00987E71"/>
    <w:rsid w:val="00990219"/>
    <w:rsid w:val="009919CA"/>
    <w:rsid w:val="00993E33"/>
    <w:rsid w:val="00996371"/>
    <w:rsid w:val="00996AAF"/>
    <w:rsid w:val="0099730C"/>
    <w:rsid w:val="00997CD7"/>
    <w:rsid w:val="009A02E1"/>
    <w:rsid w:val="009A13FB"/>
    <w:rsid w:val="009A1992"/>
    <w:rsid w:val="009A20D9"/>
    <w:rsid w:val="009A2195"/>
    <w:rsid w:val="009A2602"/>
    <w:rsid w:val="009A2727"/>
    <w:rsid w:val="009A2A85"/>
    <w:rsid w:val="009A2E8D"/>
    <w:rsid w:val="009A2F0D"/>
    <w:rsid w:val="009A35E7"/>
    <w:rsid w:val="009A3907"/>
    <w:rsid w:val="009A4E13"/>
    <w:rsid w:val="009A5043"/>
    <w:rsid w:val="009A55A9"/>
    <w:rsid w:val="009A5748"/>
    <w:rsid w:val="009A6287"/>
    <w:rsid w:val="009A7746"/>
    <w:rsid w:val="009B2465"/>
    <w:rsid w:val="009B2912"/>
    <w:rsid w:val="009B431B"/>
    <w:rsid w:val="009B445F"/>
    <w:rsid w:val="009B4FB2"/>
    <w:rsid w:val="009B5090"/>
    <w:rsid w:val="009B5394"/>
    <w:rsid w:val="009B5C7F"/>
    <w:rsid w:val="009B6B8A"/>
    <w:rsid w:val="009B7395"/>
    <w:rsid w:val="009B73F2"/>
    <w:rsid w:val="009B7957"/>
    <w:rsid w:val="009C0304"/>
    <w:rsid w:val="009C06AE"/>
    <w:rsid w:val="009C07E4"/>
    <w:rsid w:val="009C0929"/>
    <w:rsid w:val="009C1759"/>
    <w:rsid w:val="009C228A"/>
    <w:rsid w:val="009C25FB"/>
    <w:rsid w:val="009C3754"/>
    <w:rsid w:val="009C3FA3"/>
    <w:rsid w:val="009C40AC"/>
    <w:rsid w:val="009C4B71"/>
    <w:rsid w:val="009C4EBC"/>
    <w:rsid w:val="009C568B"/>
    <w:rsid w:val="009C56FB"/>
    <w:rsid w:val="009C5C9F"/>
    <w:rsid w:val="009C6313"/>
    <w:rsid w:val="009C7281"/>
    <w:rsid w:val="009C73F8"/>
    <w:rsid w:val="009D0B6E"/>
    <w:rsid w:val="009D153E"/>
    <w:rsid w:val="009D1A42"/>
    <w:rsid w:val="009D251E"/>
    <w:rsid w:val="009D3999"/>
    <w:rsid w:val="009D3B24"/>
    <w:rsid w:val="009D3D8C"/>
    <w:rsid w:val="009D3EC3"/>
    <w:rsid w:val="009D417D"/>
    <w:rsid w:val="009D445A"/>
    <w:rsid w:val="009D45F1"/>
    <w:rsid w:val="009D4D45"/>
    <w:rsid w:val="009D5007"/>
    <w:rsid w:val="009D5288"/>
    <w:rsid w:val="009D611E"/>
    <w:rsid w:val="009D6A78"/>
    <w:rsid w:val="009D7621"/>
    <w:rsid w:val="009D76D5"/>
    <w:rsid w:val="009D77B9"/>
    <w:rsid w:val="009D7BA0"/>
    <w:rsid w:val="009D7C9B"/>
    <w:rsid w:val="009E038D"/>
    <w:rsid w:val="009E08F7"/>
    <w:rsid w:val="009E1EDA"/>
    <w:rsid w:val="009E239E"/>
    <w:rsid w:val="009E2823"/>
    <w:rsid w:val="009E3063"/>
    <w:rsid w:val="009E72E8"/>
    <w:rsid w:val="009E7D0A"/>
    <w:rsid w:val="009F0FFC"/>
    <w:rsid w:val="009F126A"/>
    <w:rsid w:val="009F15A8"/>
    <w:rsid w:val="009F1C1D"/>
    <w:rsid w:val="009F22A3"/>
    <w:rsid w:val="009F236E"/>
    <w:rsid w:val="009F427E"/>
    <w:rsid w:val="009F45D2"/>
    <w:rsid w:val="009F466C"/>
    <w:rsid w:val="009F48DD"/>
    <w:rsid w:val="009F4FCC"/>
    <w:rsid w:val="009F50FF"/>
    <w:rsid w:val="009F52B6"/>
    <w:rsid w:val="009F57CE"/>
    <w:rsid w:val="009F671F"/>
    <w:rsid w:val="009F6C4D"/>
    <w:rsid w:val="009F7A8C"/>
    <w:rsid w:val="009F7B67"/>
    <w:rsid w:val="00A0077F"/>
    <w:rsid w:val="00A00C32"/>
    <w:rsid w:val="00A01A2B"/>
    <w:rsid w:val="00A01D45"/>
    <w:rsid w:val="00A0234F"/>
    <w:rsid w:val="00A02422"/>
    <w:rsid w:val="00A024A7"/>
    <w:rsid w:val="00A0302C"/>
    <w:rsid w:val="00A03436"/>
    <w:rsid w:val="00A036A4"/>
    <w:rsid w:val="00A03744"/>
    <w:rsid w:val="00A03D7B"/>
    <w:rsid w:val="00A03E98"/>
    <w:rsid w:val="00A062DC"/>
    <w:rsid w:val="00A06992"/>
    <w:rsid w:val="00A07881"/>
    <w:rsid w:val="00A10331"/>
    <w:rsid w:val="00A11322"/>
    <w:rsid w:val="00A11330"/>
    <w:rsid w:val="00A11ABB"/>
    <w:rsid w:val="00A1237A"/>
    <w:rsid w:val="00A12C73"/>
    <w:rsid w:val="00A12EAE"/>
    <w:rsid w:val="00A13A7A"/>
    <w:rsid w:val="00A14488"/>
    <w:rsid w:val="00A150FE"/>
    <w:rsid w:val="00A16745"/>
    <w:rsid w:val="00A16B48"/>
    <w:rsid w:val="00A1762B"/>
    <w:rsid w:val="00A20B12"/>
    <w:rsid w:val="00A211BC"/>
    <w:rsid w:val="00A2159C"/>
    <w:rsid w:val="00A21E34"/>
    <w:rsid w:val="00A22F74"/>
    <w:rsid w:val="00A231DA"/>
    <w:rsid w:val="00A2332A"/>
    <w:rsid w:val="00A23BFE"/>
    <w:rsid w:val="00A23C28"/>
    <w:rsid w:val="00A23CD8"/>
    <w:rsid w:val="00A27661"/>
    <w:rsid w:val="00A27B04"/>
    <w:rsid w:val="00A30BFF"/>
    <w:rsid w:val="00A30DF1"/>
    <w:rsid w:val="00A31D53"/>
    <w:rsid w:val="00A321B0"/>
    <w:rsid w:val="00A32CE8"/>
    <w:rsid w:val="00A32F36"/>
    <w:rsid w:val="00A33DF1"/>
    <w:rsid w:val="00A34D45"/>
    <w:rsid w:val="00A34FD8"/>
    <w:rsid w:val="00A37EAA"/>
    <w:rsid w:val="00A416B4"/>
    <w:rsid w:val="00A41991"/>
    <w:rsid w:val="00A41B7D"/>
    <w:rsid w:val="00A41E9A"/>
    <w:rsid w:val="00A4349F"/>
    <w:rsid w:val="00A4391F"/>
    <w:rsid w:val="00A4438F"/>
    <w:rsid w:val="00A44EAB"/>
    <w:rsid w:val="00A45352"/>
    <w:rsid w:val="00A456DC"/>
    <w:rsid w:val="00A45B2F"/>
    <w:rsid w:val="00A45BCA"/>
    <w:rsid w:val="00A47504"/>
    <w:rsid w:val="00A477B9"/>
    <w:rsid w:val="00A505C2"/>
    <w:rsid w:val="00A508CD"/>
    <w:rsid w:val="00A50C86"/>
    <w:rsid w:val="00A519A7"/>
    <w:rsid w:val="00A521D1"/>
    <w:rsid w:val="00A532E4"/>
    <w:rsid w:val="00A53F53"/>
    <w:rsid w:val="00A54904"/>
    <w:rsid w:val="00A54C11"/>
    <w:rsid w:val="00A555F5"/>
    <w:rsid w:val="00A559B4"/>
    <w:rsid w:val="00A56DBD"/>
    <w:rsid w:val="00A5713C"/>
    <w:rsid w:val="00A57D61"/>
    <w:rsid w:val="00A57E29"/>
    <w:rsid w:val="00A6094D"/>
    <w:rsid w:val="00A60B71"/>
    <w:rsid w:val="00A618FF"/>
    <w:rsid w:val="00A63646"/>
    <w:rsid w:val="00A63B75"/>
    <w:rsid w:val="00A640E3"/>
    <w:rsid w:val="00A64902"/>
    <w:rsid w:val="00A66445"/>
    <w:rsid w:val="00A66B1E"/>
    <w:rsid w:val="00A67E09"/>
    <w:rsid w:val="00A7027C"/>
    <w:rsid w:val="00A70A61"/>
    <w:rsid w:val="00A716E7"/>
    <w:rsid w:val="00A71949"/>
    <w:rsid w:val="00A72775"/>
    <w:rsid w:val="00A73E65"/>
    <w:rsid w:val="00A744DC"/>
    <w:rsid w:val="00A747C3"/>
    <w:rsid w:val="00A74A8D"/>
    <w:rsid w:val="00A74EEB"/>
    <w:rsid w:val="00A74FE6"/>
    <w:rsid w:val="00A76673"/>
    <w:rsid w:val="00A76921"/>
    <w:rsid w:val="00A777C2"/>
    <w:rsid w:val="00A80F7E"/>
    <w:rsid w:val="00A81763"/>
    <w:rsid w:val="00A826C7"/>
    <w:rsid w:val="00A82859"/>
    <w:rsid w:val="00A82979"/>
    <w:rsid w:val="00A8322E"/>
    <w:rsid w:val="00A84391"/>
    <w:rsid w:val="00A84F38"/>
    <w:rsid w:val="00A85463"/>
    <w:rsid w:val="00A86AE4"/>
    <w:rsid w:val="00A9047E"/>
    <w:rsid w:val="00A90595"/>
    <w:rsid w:val="00A91307"/>
    <w:rsid w:val="00A914AB"/>
    <w:rsid w:val="00A91DE3"/>
    <w:rsid w:val="00A9325B"/>
    <w:rsid w:val="00A9330A"/>
    <w:rsid w:val="00A94612"/>
    <w:rsid w:val="00A9481C"/>
    <w:rsid w:val="00A95166"/>
    <w:rsid w:val="00A95727"/>
    <w:rsid w:val="00A97F7E"/>
    <w:rsid w:val="00AA0CAF"/>
    <w:rsid w:val="00AA17F2"/>
    <w:rsid w:val="00AA2530"/>
    <w:rsid w:val="00AA2A19"/>
    <w:rsid w:val="00AA2CAB"/>
    <w:rsid w:val="00AA3008"/>
    <w:rsid w:val="00AA31A3"/>
    <w:rsid w:val="00AA42D0"/>
    <w:rsid w:val="00AA4451"/>
    <w:rsid w:val="00AA482D"/>
    <w:rsid w:val="00AA70CB"/>
    <w:rsid w:val="00AA7525"/>
    <w:rsid w:val="00AB08FE"/>
    <w:rsid w:val="00AB0F0D"/>
    <w:rsid w:val="00AB2910"/>
    <w:rsid w:val="00AB2D30"/>
    <w:rsid w:val="00AB3EA1"/>
    <w:rsid w:val="00AB4CE8"/>
    <w:rsid w:val="00AB4FB6"/>
    <w:rsid w:val="00AB51F2"/>
    <w:rsid w:val="00AB62BA"/>
    <w:rsid w:val="00AB6438"/>
    <w:rsid w:val="00AB646E"/>
    <w:rsid w:val="00AB7055"/>
    <w:rsid w:val="00AB784A"/>
    <w:rsid w:val="00AB7911"/>
    <w:rsid w:val="00AB7CA9"/>
    <w:rsid w:val="00AC2BC9"/>
    <w:rsid w:val="00AC30DF"/>
    <w:rsid w:val="00AC3505"/>
    <w:rsid w:val="00AC35F5"/>
    <w:rsid w:val="00AC37B3"/>
    <w:rsid w:val="00AC4C7A"/>
    <w:rsid w:val="00AC55F6"/>
    <w:rsid w:val="00AC595B"/>
    <w:rsid w:val="00AC64E0"/>
    <w:rsid w:val="00AC6774"/>
    <w:rsid w:val="00AC744F"/>
    <w:rsid w:val="00AC7AF4"/>
    <w:rsid w:val="00AC7F10"/>
    <w:rsid w:val="00AD0AED"/>
    <w:rsid w:val="00AD0BE4"/>
    <w:rsid w:val="00AD0E69"/>
    <w:rsid w:val="00AD167F"/>
    <w:rsid w:val="00AD16B2"/>
    <w:rsid w:val="00AD1DC8"/>
    <w:rsid w:val="00AD2BA7"/>
    <w:rsid w:val="00AD39BF"/>
    <w:rsid w:val="00AD4100"/>
    <w:rsid w:val="00AD48AA"/>
    <w:rsid w:val="00AD4B24"/>
    <w:rsid w:val="00AD7CE7"/>
    <w:rsid w:val="00AE02E5"/>
    <w:rsid w:val="00AE0E22"/>
    <w:rsid w:val="00AE1238"/>
    <w:rsid w:val="00AE13E3"/>
    <w:rsid w:val="00AE20B8"/>
    <w:rsid w:val="00AE25A7"/>
    <w:rsid w:val="00AE2C94"/>
    <w:rsid w:val="00AE39CE"/>
    <w:rsid w:val="00AE4237"/>
    <w:rsid w:val="00AE52F9"/>
    <w:rsid w:val="00AE5FFC"/>
    <w:rsid w:val="00AE6422"/>
    <w:rsid w:val="00AE6676"/>
    <w:rsid w:val="00AE7287"/>
    <w:rsid w:val="00AE72B3"/>
    <w:rsid w:val="00AE79AE"/>
    <w:rsid w:val="00AF1092"/>
    <w:rsid w:val="00AF2585"/>
    <w:rsid w:val="00AF2C56"/>
    <w:rsid w:val="00AF2F28"/>
    <w:rsid w:val="00AF396E"/>
    <w:rsid w:val="00AF3CDF"/>
    <w:rsid w:val="00AF3F4F"/>
    <w:rsid w:val="00AF3F82"/>
    <w:rsid w:val="00AF4B45"/>
    <w:rsid w:val="00AF56A3"/>
    <w:rsid w:val="00AF5D98"/>
    <w:rsid w:val="00AF64FE"/>
    <w:rsid w:val="00AF6EDB"/>
    <w:rsid w:val="00AF7B11"/>
    <w:rsid w:val="00B01FEA"/>
    <w:rsid w:val="00B02432"/>
    <w:rsid w:val="00B02B9B"/>
    <w:rsid w:val="00B04252"/>
    <w:rsid w:val="00B04299"/>
    <w:rsid w:val="00B0711E"/>
    <w:rsid w:val="00B071AA"/>
    <w:rsid w:val="00B0782F"/>
    <w:rsid w:val="00B07B2D"/>
    <w:rsid w:val="00B10464"/>
    <w:rsid w:val="00B10F8B"/>
    <w:rsid w:val="00B11126"/>
    <w:rsid w:val="00B11969"/>
    <w:rsid w:val="00B11F40"/>
    <w:rsid w:val="00B12B10"/>
    <w:rsid w:val="00B12CD6"/>
    <w:rsid w:val="00B158F4"/>
    <w:rsid w:val="00B20990"/>
    <w:rsid w:val="00B20AF5"/>
    <w:rsid w:val="00B20F51"/>
    <w:rsid w:val="00B229B6"/>
    <w:rsid w:val="00B230EF"/>
    <w:rsid w:val="00B232B6"/>
    <w:rsid w:val="00B23762"/>
    <w:rsid w:val="00B24231"/>
    <w:rsid w:val="00B25FB3"/>
    <w:rsid w:val="00B263A9"/>
    <w:rsid w:val="00B27AE0"/>
    <w:rsid w:val="00B3013E"/>
    <w:rsid w:val="00B313DE"/>
    <w:rsid w:val="00B31FFF"/>
    <w:rsid w:val="00B320FF"/>
    <w:rsid w:val="00B326D3"/>
    <w:rsid w:val="00B335BB"/>
    <w:rsid w:val="00B33A5E"/>
    <w:rsid w:val="00B33DAD"/>
    <w:rsid w:val="00B33EB7"/>
    <w:rsid w:val="00B34419"/>
    <w:rsid w:val="00B348A1"/>
    <w:rsid w:val="00B348C5"/>
    <w:rsid w:val="00B34FD4"/>
    <w:rsid w:val="00B36DFE"/>
    <w:rsid w:val="00B36E5E"/>
    <w:rsid w:val="00B36EC3"/>
    <w:rsid w:val="00B370A9"/>
    <w:rsid w:val="00B3715E"/>
    <w:rsid w:val="00B3728E"/>
    <w:rsid w:val="00B40C1F"/>
    <w:rsid w:val="00B4142A"/>
    <w:rsid w:val="00B41862"/>
    <w:rsid w:val="00B419B0"/>
    <w:rsid w:val="00B41ABD"/>
    <w:rsid w:val="00B41ACD"/>
    <w:rsid w:val="00B424A2"/>
    <w:rsid w:val="00B42B87"/>
    <w:rsid w:val="00B4393D"/>
    <w:rsid w:val="00B43F87"/>
    <w:rsid w:val="00B4753D"/>
    <w:rsid w:val="00B47773"/>
    <w:rsid w:val="00B507B0"/>
    <w:rsid w:val="00B50CBA"/>
    <w:rsid w:val="00B50D9E"/>
    <w:rsid w:val="00B50F43"/>
    <w:rsid w:val="00B5111A"/>
    <w:rsid w:val="00B517AB"/>
    <w:rsid w:val="00B51E06"/>
    <w:rsid w:val="00B52145"/>
    <w:rsid w:val="00B52157"/>
    <w:rsid w:val="00B52740"/>
    <w:rsid w:val="00B52E1B"/>
    <w:rsid w:val="00B53F8B"/>
    <w:rsid w:val="00B54057"/>
    <w:rsid w:val="00B5405C"/>
    <w:rsid w:val="00B55B9B"/>
    <w:rsid w:val="00B55E66"/>
    <w:rsid w:val="00B57304"/>
    <w:rsid w:val="00B5740E"/>
    <w:rsid w:val="00B574EC"/>
    <w:rsid w:val="00B57600"/>
    <w:rsid w:val="00B5782E"/>
    <w:rsid w:val="00B60742"/>
    <w:rsid w:val="00B60D14"/>
    <w:rsid w:val="00B615C6"/>
    <w:rsid w:val="00B627EF"/>
    <w:rsid w:val="00B6420D"/>
    <w:rsid w:val="00B643B3"/>
    <w:rsid w:val="00B6489F"/>
    <w:rsid w:val="00B65011"/>
    <w:rsid w:val="00B6696F"/>
    <w:rsid w:val="00B7036B"/>
    <w:rsid w:val="00B70967"/>
    <w:rsid w:val="00B709FD"/>
    <w:rsid w:val="00B72B94"/>
    <w:rsid w:val="00B74DAC"/>
    <w:rsid w:val="00B7554F"/>
    <w:rsid w:val="00B75EA6"/>
    <w:rsid w:val="00B77459"/>
    <w:rsid w:val="00B77777"/>
    <w:rsid w:val="00B77C53"/>
    <w:rsid w:val="00B80824"/>
    <w:rsid w:val="00B81294"/>
    <w:rsid w:val="00B82517"/>
    <w:rsid w:val="00B82529"/>
    <w:rsid w:val="00B82556"/>
    <w:rsid w:val="00B83AE2"/>
    <w:rsid w:val="00B84485"/>
    <w:rsid w:val="00B84638"/>
    <w:rsid w:val="00B853BC"/>
    <w:rsid w:val="00B85A74"/>
    <w:rsid w:val="00B85F87"/>
    <w:rsid w:val="00B85FA5"/>
    <w:rsid w:val="00B861B4"/>
    <w:rsid w:val="00B8745D"/>
    <w:rsid w:val="00B8759B"/>
    <w:rsid w:val="00B90440"/>
    <w:rsid w:val="00B904B3"/>
    <w:rsid w:val="00B905C9"/>
    <w:rsid w:val="00B9112D"/>
    <w:rsid w:val="00B93B1A"/>
    <w:rsid w:val="00B93D80"/>
    <w:rsid w:val="00B93F28"/>
    <w:rsid w:val="00B94474"/>
    <w:rsid w:val="00B9521B"/>
    <w:rsid w:val="00B95667"/>
    <w:rsid w:val="00B95C5D"/>
    <w:rsid w:val="00B96166"/>
    <w:rsid w:val="00B971A0"/>
    <w:rsid w:val="00B97E61"/>
    <w:rsid w:val="00BA097F"/>
    <w:rsid w:val="00BA108D"/>
    <w:rsid w:val="00BA12F6"/>
    <w:rsid w:val="00BA1EB1"/>
    <w:rsid w:val="00BA2DD1"/>
    <w:rsid w:val="00BA3587"/>
    <w:rsid w:val="00BA3C2E"/>
    <w:rsid w:val="00BA40A9"/>
    <w:rsid w:val="00BA4D8B"/>
    <w:rsid w:val="00BA597A"/>
    <w:rsid w:val="00BA5B1D"/>
    <w:rsid w:val="00BA6E31"/>
    <w:rsid w:val="00BA6EF6"/>
    <w:rsid w:val="00BA7EA7"/>
    <w:rsid w:val="00BB04C3"/>
    <w:rsid w:val="00BB0C4E"/>
    <w:rsid w:val="00BB1CED"/>
    <w:rsid w:val="00BB4315"/>
    <w:rsid w:val="00BB45E9"/>
    <w:rsid w:val="00BB59C7"/>
    <w:rsid w:val="00BB6559"/>
    <w:rsid w:val="00BB73CF"/>
    <w:rsid w:val="00BB7640"/>
    <w:rsid w:val="00BB7C01"/>
    <w:rsid w:val="00BB7C4B"/>
    <w:rsid w:val="00BB7E0D"/>
    <w:rsid w:val="00BC0282"/>
    <w:rsid w:val="00BC1616"/>
    <w:rsid w:val="00BC1C65"/>
    <w:rsid w:val="00BC1E36"/>
    <w:rsid w:val="00BC216C"/>
    <w:rsid w:val="00BC254D"/>
    <w:rsid w:val="00BC25FE"/>
    <w:rsid w:val="00BC3428"/>
    <w:rsid w:val="00BC37A4"/>
    <w:rsid w:val="00BC3808"/>
    <w:rsid w:val="00BC38C2"/>
    <w:rsid w:val="00BC3EEE"/>
    <w:rsid w:val="00BC44B1"/>
    <w:rsid w:val="00BC6117"/>
    <w:rsid w:val="00BC6D34"/>
    <w:rsid w:val="00BD0109"/>
    <w:rsid w:val="00BD096D"/>
    <w:rsid w:val="00BD0F33"/>
    <w:rsid w:val="00BD1866"/>
    <w:rsid w:val="00BD2D0B"/>
    <w:rsid w:val="00BD36EE"/>
    <w:rsid w:val="00BD5CAB"/>
    <w:rsid w:val="00BD660C"/>
    <w:rsid w:val="00BD680A"/>
    <w:rsid w:val="00BD6BC6"/>
    <w:rsid w:val="00BD7623"/>
    <w:rsid w:val="00BD7BB6"/>
    <w:rsid w:val="00BE17AC"/>
    <w:rsid w:val="00BE3B0B"/>
    <w:rsid w:val="00BE3B97"/>
    <w:rsid w:val="00BE561A"/>
    <w:rsid w:val="00BE6821"/>
    <w:rsid w:val="00BF05CE"/>
    <w:rsid w:val="00BF0A9D"/>
    <w:rsid w:val="00BF0FF7"/>
    <w:rsid w:val="00BF2022"/>
    <w:rsid w:val="00BF2369"/>
    <w:rsid w:val="00BF2567"/>
    <w:rsid w:val="00BF27EF"/>
    <w:rsid w:val="00BF4E55"/>
    <w:rsid w:val="00BF58DE"/>
    <w:rsid w:val="00BF5D3F"/>
    <w:rsid w:val="00BF5EB2"/>
    <w:rsid w:val="00BF5EFC"/>
    <w:rsid w:val="00BF66F1"/>
    <w:rsid w:val="00BF7A5C"/>
    <w:rsid w:val="00BF7BFA"/>
    <w:rsid w:val="00BF7F5F"/>
    <w:rsid w:val="00C003C5"/>
    <w:rsid w:val="00C00CED"/>
    <w:rsid w:val="00C01FCA"/>
    <w:rsid w:val="00C02519"/>
    <w:rsid w:val="00C02881"/>
    <w:rsid w:val="00C02F9C"/>
    <w:rsid w:val="00C04134"/>
    <w:rsid w:val="00C04847"/>
    <w:rsid w:val="00C05B12"/>
    <w:rsid w:val="00C07258"/>
    <w:rsid w:val="00C07A2B"/>
    <w:rsid w:val="00C07ED8"/>
    <w:rsid w:val="00C10092"/>
    <w:rsid w:val="00C10740"/>
    <w:rsid w:val="00C1151E"/>
    <w:rsid w:val="00C1193B"/>
    <w:rsid w:val="00C11994"/>
    <w:rsid w:val="00C12A8D"/>
    <w:rsid w:val="00C12ACE"/>
    <w:rsid w:val="00C12D9D"/>
    <w:rsid w:val="00C13950"/>
    <w:rsid w:val="00C14F2A"/>
    <w:rsid w:val="00C15584"/>
    <w:rsid w:val="00C15783"/>
    <w:rsid w:val="00C159FC"/>
    <w:rsid w:val="00C15C22"/>
    <w:rsid w:val="00C16845"/>
    <w:rsid w:val="00C17017"/>
    <w:rsid w:val="00C17114"/>
    <w:rsid w:val="00C17EFA"/>
    <w:rsid w:val="00C20BF2"/>
    <w:rsid w:val="00C222EE"/>
    <w:rsid w:val="00C2258F"/>
    <w:rsid w:val="00C226A7"/>
    <w:rsid w:val="00C22733"/>
    <w:rsid w:val="00C234DE"/>
    <w:rsid w:val="00C23945"/>
    <w:rsid w:val="00C240B3"/>
    <w:rsid w:val="00C2446A"/>
    <w:rsid w:val="00C24616"/>
    <w:rsid w:val="00C24F90"/>
    <w:rsid w:val="00C258F6"/>
    <w:rsid w:val="00C25E19"/>
    <w:rsid w:val="00C266EC"/>
    <w:rsid w:val="00C27003"/>
    <w:rsid w:val="00C277C9"/>
    <w:rsid w:val="00C27886"/>
    <w:rsid w:val="00C3167C"/>
    <w:rsid w:val="00C326E9"/>
    <w:rsid w:val="00C32BD3"/>
    <w:rsid w:val="00C32D42"/>
    <w:rsid w:val="00C32EF1"/>
    <w:rsid w:val="00C330F7"/>
    <w:rsid w:val="00C33358"/>
    <w:rsid w:val="00C33590"/>
    <w:rsid w:val="00C33C8B"/>
    <w:rsid w:val="00C349CE"/>
    <w:rsid w:val="00C34DFA"/>
    <w:rsid w:val="00C35892"/>
    <w:rsid w:val="00C35954"/>
    <w:rsid w:val="00C35CAC"/>
    <w:rsid w:val="00C3738A"/>
    <w:rsid w:val="00C378CD"/>
    <w:rsid w:val="00C37C6B"/>
    <w:rsid w:val="00C37D8E"/>
    <w:rsid w:val="00C4059F"/>
    <w:rsid w:val="00C405E6"/>
    <w:rsid w:val="00C41614"/>
    <w:rsid w:val="00C416EC"/>
    <w:rsid w:val="00C41A46"/>
    <w:rsid w:val="00C42121"/>
    <w:rsid w:val="00C437C1"/>
    <w:rsid w:val="00C44243"/>
    <w:rsid w:val="00C444C2"/>
    <w:rsid w:val="00C4465E"/>
    <w:rsid w:val="00C44949"/>
    <w:rsid w:val="00C44C52"/>
    <w:rsid w:val="00C456D8"/>
    <w:rsid w:val="00C45E41"/>
    <w:rsid w:val="00C46322"/>
    <w:rsid w:val="00C479E4"/>
    <w:rsid w:val="00C51600"/>
    <w:rsid w:val="00C518A1"/>
    <w:rsid w:val="00C52C6B"/>
    <w:rsid w:val="00C52FAB"/>
    <w:rsid w:val="00C5386A"/>
    <w:rsid w:val="00C54203"/>
    <w:rsid w:val="00C54536"/>
    <w:rsid w:val="00C54733"/>
    <w:rsid w:val="00C54F40"/>
    <w:rsid w:val="00C55DCB"/>
    <w:rsid w:val="00C5702B"/>
    <w:rsid w:val="00C600CF"/>
    <w:rsid w:val="00C615C3"/>
    <w:rsid w:val="00C62B74"/>
    <w:rsid w:val="00C62FBB"/>
    <w:rsid w:val="00C63499"/>
    <w:rsid w:val="00C63D52"/>
    <w:rsid w:val="00C63F62"/>
    <w:rsid w:val="00C653A6"/>
    <w:rsid w:val="00C65C0D"/>
    <w:rsid w:val="00C664E1"/>
    <w:rsid w:val="00C666B5"/>
    <w:rsid w:val="00C66704"/>
    <w:rsid w:val="00C66A93"/>
    <w:rsid w:val="00C6729A"/>
    <w:rsid w:val="00C67328"/>
    <w:rsid w:val="00C677DE"/>
    <w:rsid w:val="00C67D99"/>
    <w:rsid w:val="00C67EB0"/>
    <w:rsid w:val="00C70130"/>
    <w:rsid w:val="00C70962"/>
    <w:rsid w:val="00C70983"/>
    <w:rsid w:val="00C71417"/>
    <w:rsid w:val="00C717F5"/>
    <w:rsid w:val="00C73289"/>
    <w:rsid w:val="00C73AFA"/>
    <w:rsid w:val="00C740C5"/>
    <w:rsid w:val="00C745C3"/>
    <w:rsid w:val="00C755F3"/>
    <w:rsid w:val="00C7567F"/>
    <w:rsid w:val="00C7759F"/>
    <w:rsid w:val="00C775DF"/>
    <w:rsid w:val="00C777D5"/>
    <w:rsid w:val="00C77989"/>
    <w:rsid w:val="00C77FC2"/>
    <w:rsid w:val="00C808AD"/>
    <w:rsid w:val="00C81D88"/>
    <w:rsid w:val="00C82556"/>
    <w:rsid w:val="00C83122"/>
    <w:rsid w:val="00C83504"/>
    <w:rsid w:val="00C84E8E"/>
    <w:rsid w:val="00C856C8"/>
    <w:rsid w:val="00C8592A"/>
    <w:rsid w:val="00C85C62"/>
    <w:rsid w:val="00C8603F"/>
    <w:rsid w:val="00C86601"/>
    <w:rsid w:val="00C90D27"/>
    <w:rsid w:val="00C91C46"/>
    <w:rsid w:val="00C92130"/>
    <w:rsid w:val="00C921B1"/>
    <w:rsid w:val="00C925D7"/>
    <w:rsid w:val="00C94114"/>
    <w:rsid w:val="00C9451C"/>
    <w:rsid w:val="00C95581"/>
    <w:rsid w:val="00C95DDB"/>
    <w:rsid w:val="00C9622A"/>
    <w:rsid w:val="00C96DAE"/>
    <w:rsid w:val="00C973F1"/>
    <w:rsid w:val="00CA1585"/>
    <w:rsid w:val="00CA20B9"/>
    <w:rsid w:val="00CA2938"/>
    <w:rsid w:val="00CA2A44"/>
    <w:rsid w:val="00CA2AD0"/>
    <w:rsid w:val="00CA3062"/>
    <w:rsid w:val="00CA32C1"/>
    <w:rsid w:val="00CA3670"/>
    <w:rsid w:val="00CA4F82"/>
    <w:rsid w:val="00CA5532"/>
    <w:rsid w:val="00CA5A4D"/>
    <w:rsid w:val="00CA5DA6"/>
    <w:rsid w:val="00CA66C7"/>
    <w:rsid w:val="00CA6BBB"/>
    <w:rsid w:val="00CA6E0C"/>
    <w:rsid w:val="00CB07CD"/>
    <w:rsid w:val="00CB0A89"/>
    <w:rsid w:val="00CB12CC"/>
    <w:rsid w:val="00CB1C07"/>
    <w:rsid w:val="00CB1CE1"/>
    <w:rsid w:val="00CB2439"/>
    <w:rsid w:val="00CB31E0"/>
    <w:rsid w:val="00CB32E0"/>
    <w:rsid w:val="00CB3752"/>
    <w:rsid w:val="00CB411E"/>
    <w:rsid w:val="00CB6E09"/>
    <w:rsid w:val="00CB74DF"/>
    <w:rsid w:val="00CB7C7D"/>
    <w:rsid w:val="00CC0D44"/>
    <w:rsid w:val="00CC173F"/>
    <w:rsid w:val="00CC17E3"/>
    <w:rsid w:val="00CC19EF"/>
    <w:rsid w:val="00CC1A66"/>
    <w:rsid w:val="00CC3A0C"/>
    <w:rsid w:val="00CC4202"/>
    <w:rsid w:val="00CC5115"/>
    <w:rsid w:val="00CC5AB8"/>
    <w:rsid w:val="00CC62BA"/>
    <w:rsid w:val="00CC6BB6"/>
    <w:rsid w:val="00CC7154"/>
    <w:rsid w:val="00CC7292"/>
    <w:rsid w:val="00CD02C6"/>
    <w:rsid w:val="00CD03CA"/>
    <w:rsid w:val="00CD0614"/>
    <w:rsid w:val="00CD084C"/>
    <w:rsid w:val="00CD0A51"/>
    <w:rsid w:val="00CD0ACB"/>
    <w:rsid w:val="00CD0FC3"/>
    <w:rsid w:val="00CD1280"/>
    <w:rsid w:val="00CD7DDF"/>
    <w:rsid w:val="00CE00C2"/>
    <w:rsid w:val="00CE06D5"/>
    <w:rsid w:val="00CE1E02"/>
    <w:rsid w:val="00CE3B84"/>
    <w:rsid w:val="00CE3CDB"/>
    <w:rsid w:val="00CE3DF5"/>
    <w:rsid w:val="00CE4271"/>
    <w:rsid w:val="00CE5096"/>
    <w:rsid w:val="00CE5B3D"/>
    <w:rsid w:val="00CE6223"/>
    <w:rsid w:val="00CE720A"/>
    <w:rsid w:val="00CE7303"/>
    <w:rsid w:val="00CE7392"/>
    <w:rsid w:val="00CE7F37"/>
    <w:rsid w:val="00CF09AB"/>
    <w:rsid w:val="00CF0E1A"/>
    <w:rsid w:val="00CF2ACA"/>
    <w:rsid w:val="00CF2F38"/>
    <w:rsid w:val="00CF2F63"/>
    <w:rsid w:val="00CF3162"/>
    <w:rsid w:val="00CF31A0"/>
    <w:rsid w:val="00CF34F1"/>
    <w:rsid w:val="00CF361E"/>
    <w:rsid w:val="00CF4321"/>
    <w:rsid w:val="00CF4351"/>
    <w:rsid w:val="00CF4488"/>
    <w:rsid w:val="00CF4F5E"/>
    <w:rsid w:val="00CF59C2"/>
    <w:rsid w:val="00CF6751"/>
    <w:rsid w:val="00CF6959"/>
    <w:rsid w:val="00CF74BA"/>
    <w:rsid w:val="00CF752C"/>
    <w:rsid w:val="00CF7B1B"/>
    <w:rsid w:val="00D00221"/>
    <w:rsid w:val="00D00A7B"/>
    <w:rsid w:val="00D0111D"/>
    <w:rsid w:val="00D01EF2"/>
    <w:rsid w:val="00D02197"/>
    <w:rsid w:val="00D025E6"/>
    <w:rsid w:val="00D04856"/>
    <w:rsid w:val="00D04F3F"/>
    <w:rsid w:val="00D054B0"/>
    <w:rsid w:val="00D05AA0"/>
    <w:rsid w:val="00D05D25"/>
    <w:rsid w:val="00D06630"/>
    <w:rsid w:val="00D06AAF"/>
    <w:rsid w:val="00D0738A"/>
    <w:rsid w:val="00D0773F"/>
    <w:rsid w:val="00D07F7D"/>
    <w:rsid w:val="00D100F7"/>
    <w:rsid w:val="00D10221"/>
    <w:rsid w:val="00D1032B"/>
    <w:rsid w:val="00D12B62"/>
    <w:rsid w:val="00D14A19"/>
    <w:rsid w:val="00D16237"/>
    <w:rsid w:val="00D17C89"/>
    <w:rsid w:val="00D202A8"/>
    <w:rsid w:val="00D20390"/>
    <w:rsid w:val="00D20B3B"/>
    <w:rsid w:val="00D2119D"/>
    <w:rsid w:val="00D21C24"/>
    <w:rsid w:val="00D21D80"/>
    <w:rsid w:val="00D22117"/>
    <w:rsid w:val="00D22173"/>
    <w:rsid w:val="00D22422"/>
    <w:rsid w:val="00D2386B"/>
    <w:rsid w:val="00D24E13"/>
    <w:rsid w:val="00D24E9B"/>
    <w:rsid w:val="00D25BBB"/>
    <w:rsid w:val="00D267D3"/>
    <w:rsid w:val="00D303E6"/>
    <w:rsid w:val="00D30628"/>
    <w:rsid w:val="00D30BA7"/>
    <w:rsid w:val="00D310D3"/>
    <w:rsid w:val="00D3295D"/>
    <w:rsid w:val="00D33236"/>
    <w:rsid w:val="00D335CE"/>
    <w:rsid w:val="00D335E7"/>
    <w:rsid w:val="00D33A42"/>
    <w:rsid w:val="00D33A54"/>
    <w:rsid w:val="00D33B4E"/>
    <w:rsid w:val="00D33E1D"/>
    <w:rsid w:val="00D34084"/>
    <w:rsid w:val="00D34415"/>
    <w:rsid w:val="00D35B18"/>
    <w:rsid w:val="00D36D98"/>
    <w:rsid w:val="00D37196"/>
    <w:rsid w:val="00D3720C"/>
    <w:rsid w:val="00D37C9D"/>
    <w:rsid w:val="00D4073D"/>
    <w:rsid w:val="00D4290B"/>
    <w:rsid w:val="00D43543"/>
    <w:rsid w:val="00D443E9"/>
    <w:rsid w:val="00D44CB6"/>
    <w:rsid w:val="00D45308"/>
    <w:rsid w:val="00D45A2B"/>
    <w:rsid w:val="00D45E56"/>
    <w:rsid w:val="00D4641B"/>
    <w:rsid w:val="00D464AD"/>
    <w:rsid w:val="00D46C59"/>
    <w:rsid w:val="00D47121"/>
    <w:rsid w:val="00D47F64"/>
    <w:rsid w:val="00D50073"/>
    <w:rsid w:val="00D504C6"/>
    <w:rsid w:val="00D50DD1"/>
    <w:rsid w:val="00D51752"/>
    <w:rsid w:val="00D525A7"/>
    <w:rsid w:val="00D53569"/>
    <w:rsid w:val="00D541DD"/>
    <w:rsid w:val="00D54C38"/>
    <w:rsid w:val="00D558D6"/>
    <w:rsid w:val="00D55F20"/>
    <w:rsid w:val="00D570A7"/>
    <w:rsid w:val="00D57CCB"/>
    <w:rsid w:val="00D60725"/>
    <w:rsid w:val="00D60AA6"/>
    <w:rsid w:val="00D60B6F"/>
    <w:rsid w:val="00D6127A"/>
    <w:rsid w:val="00D616CE"/>
    <w:rsid w:val="00D62050"/>
    <w:rsid w:val="00D6467D"/>
    <w:rsid w:val="00D65119"/>
    <w:rsid w:val="00D6533E"/>
    <w:rsid w:val="00D6549B"/>
    <w:rsid w:val="00D659CB"/>
    <w:rsid w:val="00D65CCA"/>
    <w:rsid w:val="00D65CD1"/>
    <w:rsid w:val="00D6600C"/>
    <w:rsid w:val="00D6626A"/>
    <w:rsid w:val="00D66F11"/>
    <w:rsid w:val="00D67698"/>
    <w:rsid w:val="00D7236E"/>
    <w:rsid w:val="00D72901"/>
    <w:rsid w:val="00D73076"/>
    <w:rsid w:val="00D73A31"/>
    <w:rsid w:val="00D7411F"/>
    <w:rsid w:val="00D7453A"/>
    <w:rsid w:val="00D74B27"/>
    <w:rsid w:val="00D75BCD"/>
    <w:rsid w:val="00D7603C"/>
    <w:rsid w:val="00D7631F"/>
    <w:rsid w:val="00D7710E"/>
    <w:rsid w:val="00D77FB0"/>
    <w:rsid w:val="00D802D6"/>
    <w:rsid w:val="00D81044"/>
    <w:rsid w:val="00D811FD"/>
    <w:rsid w:val="00D814C2"/>
    <w:rsid w:val="00D81E44"/>
    <w:rsid w:val="00D840B9"/>
    <w:rsid w:val="00D848EF"/>
    <w:rsid w:val="00D84C45"/>
    <w:rsid w:val="00D84E7D"/>
    <w:rsid w:val="00D8518D"/>
    <w:rsid w:val="00D8532C"/>
    <w:rsid w:val="00D853AC"/>
    <w:rsid w:val="00D85946"/>
    <w:rsid w:val="00D85CA4"/>
    <w:rsid w:val="00D86291"/>
    <w:rsid w:val="00D86640"/>
    <w:rsid w:val="00D868BD"/>
    <w:rsid w:val="00D87B27"/>
    <w:rsid w:val="00D87D7D"/>
    <w:rsid w:val="00D906CC"/>
    <w:rsid w:val="00D911E3"/>
    <w:rsid w:val="00D91688"/>
    <w:rsid w:val="00D91BAD"/>
    <w:rsid w:val="00D92C30"/>
    <w:rsid w:val="00D9304B"/>
    <w:rsid w:val="00D9340E"/>
    <w:rsid w:val="00D93611"/>
    <w:rsid w:val="00D93BB2"/>
    <w:rsid w:val="00D9420C"/>
    <w:rsid w:val="00D94883"/>
    <w:rsid w:val="00D949E6"/>
    <w:rsid w:val="00D94DD0"/>
    <w:rsid w:val="00D95090"/>
    <w:rsid w:val="00D959E3"/>
    <w:rsid w:val="00D95D2B"/>
    <w:rsid w:val="00D962B5"/>
    <w:rsid w:val="00D963CA"/>
    <w:rsid w:val="00D969E7"/>
    <w:rsid w:val="00D96B28"/>
    <w:rsid w:val="00D975DB"/>
    <w:rsid w:val="00D9773F"/>
    <w:rsid w:val="00D97B74"/>
    <w:rsid w:val="00D97E6F"/>
    <w:rsid w:val="00DA248E"/>
    <w:rsid w:val="00DA2FD9"/>
    <w:rsid w:val="00DA66E0"/>
    <w:rsid w:val="00DA71B8"/>
    <w:rsid w:val="00DA73F1"/>
    <w:rsid w:val="00DB0844"/>
    <w:rsid w:val="00DB0B92"/>
    <w:rsid w:val="00DB125E"/>
    <w:rsid w:val="00DB132D"/>
    <w:rsid w:val="00DB139D"/>
    <w:rsid w:val="00DB1DE9"/>
    <w:rsid w:val="00DB2FB2"/>
    <w:rsid w:val="00DB3721"/>
    <w:rsid w:val="00DB3D30"/>
    <w:rsid w:val="00DB5114"/>
    <w:rsid w:val="00DB5F58"/>
    <w:rsid w:val="00DB63CE"/>
    <w:rsid w:val="00DB722B"/>
    <w:rsid w:val="00DC077F"/>
    <w:rsid w:val="00DC0972"/>
    <w:rsid w:val="00DC1712"/>
    <w:rsid w:val="00DC1E68"/>
    <w:rsid w:val="00DC1F89"/>
    <w:rsid w:val="00DC238B"/>
    <w:rsid w:val="00DC6560"/>
    <w:rsid w:val="00DC66B3"/>
    <w:rsid w:val="00DD199C"/>
    <w:rsid w:val="00DD30C2"/>
    <w:rsid w:val="00DD340F"/>
    <w:rsid w:val="00DD3464"/>
    <w:rsid w:val="00DD36D1"/>
    <w:rsid w:val="00DD444E"/>
    <w:rsid w:val="00DD4F03"/>
    <w:rsid w:val="00DD514A"/>
    <w:rsid w:val="00DD7008"/>
    <w:rsid w:val="00DE0749"/>
    <w:rsid w:val="00DE0771"/>
    <w:rsid w:val="00DE0AAE"/>
    <w:rsid w:val="00DE17D0"/>
    <w:rsid w:val="00DE1DF6"/>
    <w:rsid w:val="00DE27CF"/>
    <w:rsid w:val="00DE35B4"/>
    <w:rsid w:val="00DE3C5E"/>
    <w:rsid w:val="00DE4994"/>
    <w:rsid w:val="00DE4FA3"/>
    <w:rsid w:val="00DE53E7"/>
    <w:rsid w:val="00DE5CAF"/>
    <w:rsid w:val="00DE5CB7"/>
    <w:rsid w:val="00DE5FBC"/>
    <w:rsid w:val="00DE6157"/>
    <w:rsid w:val="00DE74E9"/>
    <w:rsid w:val="00DE7661"/>
    <w:rsid w:val="00DF01A1"/>
    <w:rsid w:val="00DF0746"/>
    <w:rsid w:val="00DF1E09"/>
    <w:rsid w:val="00DF2186"/>
    <w:rsid w:val="00DF2AFE"/>
    <w:rsid w:val="00DF2B6D"/>
    <w:rsid w:val="00DF4DBA"/>
    <w:rsid w:val="00DF5279"/>
    <w:rsid w:val="00DF5CA6"/>
    <w:rsid w:val="00DF604C"/>
    <w:rsid w:val="00DF6E54"/>
    <w:rsid w:val="00DF75F0"/>
    <w:rsid w:val="00DF777E"/>
    <w:rsid w:val="00E0001A"/>
    <w:rsid w:val="00E0007F"/>
    <w:rsid w:val="00E00E16"/>
    <w:rsid w:val="00E01F01"/>
    <w:rsid w:val="00E025BB"/>
    <w:rsid w:val="00E02744"/>
    <w:rsid w:val="00E03AE8"/>
    <w:rsid w:val="00E03E1C"/>
    <w:rsid w:val="00E0565B"/>
    <w:rsid w:val="00E05A4A"/>
    <w:rsid w:val="00E064F4"/>
    <w:rsid w:val="00E06622"/>
    <w:rsid w:val="00E06D10"/>
    <w:rsid w:val="00E0711A"/>
    <w:rsid w:val="00E0744C"/>
    <w:rsid w:val="00E07A83"/>
    <w:rsid w:val="00E07CA8"/>
    <w:rsid w:val="00E1113B"/>
    <w:rsid w:val="00E11846"/>
    <w:rsid w:val="00E11C56"/>
    <w:rsid w:val="00E12A5F"/>
    <w:rsid w:val="00E1422B"/>
    <w:rsid w:val="00E154E0"/>
    <w:rsid w:val="00E158DF"/>
    <w:rsid w:val="00E15A54"/>
    <w:rsid w:val="00E15CD0"/>
    <w:rsid w:val="00E15E36"/>
    <w:rsid w:val="00E162EE"/>
    <w:rsid w:val="00E1685C"/>
    <w:rsid w:val="00E16DAF"/>
    <w:rsid w:val="00E175B0"/>
    <w:rsid w:val="00E178C1"/>
    <w:rsid w:val="00E17B06"/>
    <w:rsid w:val="00E20810"/>
    <w:rsid w:val="00E20AF1"/>
    <w:rsid w:val="00E20D63"/>
    <w:rsid w:val="00E20EAC"/>
    <w:rsid w:val="00E21D69"/>
    <w:rsid w:val="00E22FD3"/>
    <w:rsid w:val="00E22FEF"/>
    <w:rsid w:val="00E236EC"/>
    <w:rsid w:val="00E23E56"/>
    <w:rsid w:val="00E247C6"/>
    <w:rsid w:val="00E24916"/>
    <w:rsid w:val="00E25945"/>
    <w:rsid w:val="00E26403"/>
    <w:rsid w:val="00E269F2"/>
    <w:rsid w:val="00E304A4"/>
    <w:rsid w:val="00E307BC"/>
    <w:rsid w:val="00E30824"/>
    <w:rsid w:val="00E30A0A"/>
    <w:rsid w:val="00E31907"/>
    <w:rsid w:val="00E31E35"/>
    <w:rsid w:val="00E32177"/>
    <w:rsid w:val="00E33736"/>
    <w:rsid w:val="00E34F26"/>
    <w:rsid w:val="00E361F6"/>
    <w:rsid w:val="00E37230"/>
    <w:rsid w:val="00E37AC2"/>
    <w:rsid w:val="00E40098"/>
    <w:rsid w:val="00E40893"/>
    <w:rsid w:val="00E414D9"/>
    <w:rsid w:val="00E41A76"/>
    <w:rsid w:val="00E4293B"/>
    <w:rsid w:val="00E43875"/>
    <w:rsid w:val="00E43AC1"/>
    <w:rsid w:val="00E43CF9"/>
    <w:rsid w:val="00E4403F"/>
    <w:rsid w:val="00E44971"/>
    <w:rsid w:val="00E45AF8"/>
    <w:rsid w:val="00E4663A"/>
    <w:rsid w:val="00E46D98"/>
    <w:rsid w:val="00E475AD"/>
    <w:rsid w:val="00E509A0"/>
    <w:rsid w:val="00E5172A"/>
    <w:rsid w:val="00E51A3C"/>
    <w:rsid w:val="00E5212D"/>
    <w:rsid w:val="00E53870"/>
    <w:rsid w:val="00E53991"/>
    <w:rsid w:val="00E55255"/>
    <w:rsid w:val="00E558C5"/>
    <w:rsid w:val="00E56185"/>
    <w:rsid w:val="00E5620C"/>
    <w:rsid w:val="00E56EEA"/>
    <w:rsid w:val="00E575AE"/>
    <w:rsid w:val="00E60854"/>
    <w:rsid w:val="00E615F4"/>
    <w:rsid w:val="00E618A6"/>
    <w:rsid w:val="00E6190F"/>
    <w:rsid w:val="00E61CFE"/>
    <w:rsid w:val="00E61DE0"/>
    <w:rsid w:val="00E626B8"/>
    <w:rsid w:val="00E62F6E"/>
    <w:rsid w:val="00E630D8"/>
    <w:rsid w:val="00E63B77"/>
    <w:rsid w:val="00E6526C"/>
    <w:rsid w:val="00E66BEC"/>
    <w:rsid w:val="00E6719E"/>
    <w:rsid w:val="00E67319"/>
    <w:rsid w:val="00E674CE"/>
    <w:rsid w:val="00E70747"/>
    <w:rsid w:val="00E71420"/>
    <w:rsid w:val="00E71513"/>
    <w:rsid w:val="00E71650"/>
    <w:rsid w:val="00E71B6E"/>
    <w:rsid w:val="00E71EDB"/>
    <w:rsid w:val="00E72415"/>
    <w:rsid w:val="00E7266A"/>
    <w:rsid w:val="00E72ACF"/>
    <w:rsid w:val="00E73170"/>
    <w:rsid w:val="00E73A81"/>
    <w:rsid w:val="00E73E29"/>
    <w:rsid w:val="00E73FCA"/>
    <w:rsid w:val="00E753E7"/>
    <w:rsid w:val="00E758B5"/>
    <w:rsid w:val="00E765F3"/>
    <w:rsid w:val="00E7773D"/>
    <w:rsid w:val="00E809AE"/>
    <w:rsid w:val="00E81230"/>
    <w:rsid w:val="00E8193D"/>
    <w:rsid w:val="00E83789"/>
    <w:rsid w:val="00E837B9"/>
    <w:rsid w:val="00E83A1B"/>
    <w:rsid w:val="00E84133"/>
    <w:rsid w:val="00E84D34"/>
    <w:rsid w:val="00E84DCA"/>
    <w:rsid w:val="00E85388"/>
    <w:rsid w:val="00E854C0"/>
    <w:rsid w:val="00E86412"/>
    <w:rsid w:val="00E8652D"/>
    <w:rsid w:val="00E86B3B"/>
    <w:rsid w:val="00E87EC0"/>
    <w:rsid w:val="00E905F3"/>
    <w:rsid w:val="00E906FE"/>
    <w:rsid w:val="00E90A90"/>
    <w:rsid w:val="00E90E3E"/>
    <w:rsid w:val="00E91108"/>
    <w:rsid w:val="00E91A32"/>
    <w:rsid w:val="00E91D72"/>
    <w:rsid w:val="00E91E28"/>
    <w:rsid w:val="00E92850"/>
    <w:rsid w:val="00E92D96"/>
    <w:rsid w:val="00E93DA7"/>
    <w:rsid w:val="00E940B6"/>
    <w:rsid w:val="00E94491"/>
    <w:rsid w:val="00E95AEE"/>
    <w:rsid w:val="00E9636D"/>
    <w:rsid w:val="00E96984"/>
    <w:rsid w:val="00E96A10"/>
    <w:rsid w:val="00E97644"/>
    <w:rsid w:val="00E97823"/>
    <w:rsid w:val="00EA04C2"/>
    <w:rsid w:val="00EA1284"/>
    <w:rsid w:val="00EA1292"/>
    <w:rsid w:val="00EA183C"/>
    <w:rsid w:val="00EA2AB3"/>
    <w:rsid w:val="00EA575D"/>
    <w:rsid w:val="00EA64EA"/>
    <w:rsid w:val="00EA6994"/>
    <w:rsid w:val="00EB00AB"/>
    <w:rsid w:val="00EB2525"/>
    <w:rsid w:val="00EB266D"/>
    <w:rsid w:val="00EB30AC"/>
    <w:rsid w:val="00EB4C48"/>
    <w:rsid w:val="00EB4E07"/>
    <w:rsid w:val="00EB6282"/>
    <w:rsid w:val="00EB7AA3"/>
    <w:rsid w:val="00EC056A"/>
    <w:rsid w:val="00EC0726"/>
    <w:rsid w:val="00EC1371"/>
    <w:rsid w:val="00EC1DFB"/>
    <w:rsid w:val="00EC213E"/>
    <w:rsid w:val="00EC280A"/>
    <w:rsid w:val="00EC28CF"/>
    <w:rsid w:val="00EC319C"/>
    <w:rsid w:val="00EC40D3"/>
    <w:rsid w:val="00EC43D1"/>
    <w:rsid w:val="00EC45B9"/>
    <w:rsid w:val="00EC4827"/>
    <w:rsid w:val="00EC54D8"/>
    <w:rsid w:val="00EC64C4"/>
    <w:rsid w:val="00EC6F2F"/>
    <w:rsid w:val="00EC7229"/>
    <w:rsid w:val="00ED04C8"/>
    <w:rsid w:val="00ED1863"/>
    <w:rsid w:val="00ED270A"/>
    <w:rsid w:val="00ED389C"/>
    <w:rsid w:val="00ED4552"/>
    <w:rsid w:val="00ED55A9"/>
    <w:rsid w:val="00ED579F"/>
    <w:rsid w:val="00ED7831"/>
    <w:rsid w:val="00ED7EDA"/>
    <w:rsid w:val="00EE0413"/>
    <w:rsid w:val="00EE0504"/>
    <w:rsid w:val="00EE0803"/>
    <w:rsid w:val="00EE1B51"/>
    <w:rsid w:val="00EE2585"/>
    <w:rsid w:val="00EE3C24"/>
    <w:rsid w:val="00EE4833"/>
    <w:rsid w:val="00EE532D"/>
    <w:rsid w:val="00EE5629"/>
    <w:rsid w:val="00EE5F12"/>
    <w:rsid w:val="00EE662C"/>
    <w:rsid w:val="00EE7B2C"/>
    <w:rsid w:val="00EF0EFB"/>
    <w:rsid w:val="00EF1D31"/>
    <w:rsid w:val="00EF2657"/>
    <w:rsid w:val="00EF323B"/>
    <w:rsid w:val="00EF432B"/>
    <w:rsid w:val="00EF55CC"/>
    <w:rsid w:val="00EF5C53"/>
    <w:rsid w:val="00EF6297"/>
    <w:rsid w:val="00EF6623"/>
    <w:rsid w:val="00EF697A"/>
    <w:rsid w:val="00EF6C10"/>
    <w:rsid w:val="00EF7950"/>
    <w:rsid w:val="00F01160"/>
    <w:rsid w:val="00F01420"/>
    <w:rsid w:val="00F0190B"/>
    <w:rsid w:val="00F02C81"/>
    <w:rsid w:val="00F02FE6"/>
    <w:rsid w:val="00F03A0E"/>
    <w:rsid w:val="00F04729"/>
    <w:rsid w:val="00F049E5"/>
    <w:rsid w:val="00F05CFF"/>
    <w:rsid w:val="00F06C26"/>
    <w:rsid w:val="00F07836"/>
    <w:rsid w:val="00F07FD5"/>
    <w:rsid w:val="00F109F0"/>
    <w:rsid w:val="00F1106A"/>
    <w:rsid w:val="00F11295"/>
    <w:rsid w:val="00F11569"/>
    <w:rsid w:val="00F11CAE"/>
    <w:rsid w:val="00F13407"/>
    <w:rsid w:val="00F14042"/>
    <w:rsid w:val="00F1451D"/>
    <w:rsid w:val="00F14DD8"/>
    <w:rsid w:val="00F16104"/>
    <w:rsid w:val="00F16132"/>
    <w:rsid w:val="00F175C0"/>
    <w:rsid w:val="00F21FBF"/>
    <w:rsid w:val="00F226AA"/>
    <w:rsid w:val="00F24071"/>
    <w:rsid w:val="00F24828"/>
    <w:rsid w:val="00F25300"/>
    <w:rsid w:val="00F256FC"/>
    <w:rsid w:val="00F26721"/>
    <w:rsid w:val="00F2730C"/>
    <w:rsid w:val="00F30EED"/>
    <w:rsid w:val="00F30FD3"/>
    <w:rsid w:val="00F31136"/>
    <w:rsid w:val="00F31875"/>
    <w:rsid w:val="00F31EF0"/>
    <w:rsid w:val="00F31F57"/>
    <w:rsid w:val="00F32E56"/>
    <w:rsid w:val="00F3419C"/>
    <w:rsid w:val="00F34916"/>
    <w:rsid w:val="00F34DB1"/>
    <w:rsid w:val="00F34EB9"/>
    <w:rsid w:val="00F3551B"/>
    <w:rsid w:val="00F356BC"/>
    <w:rsid w:val="00F36A76"/>
    <w:rsid w:val="00F36EE1"/>
    <w:rsid w:val="00F37AF9"/>
    <w:rsid w:val="00F37E83"/>
    <w:rsid w:val="00F40130"/>
    <w:rsid w:val="00F40480"/>
    <w:rsid w:val="00F412BF"/>
    <w:rsid w:val="00F41B2F"/>
    <w:rsid w:val="00F431F6"/>
    <w:rsid w:val="00F438CA"/>
    <w:rsid w:val="00F43F6D"/>
    <w:rsid w:val="00F448C4"/>
    <w:rsid w:val="00F4667D"/>
    <w:rsid w:val="00F47531"/>
    <w:rsid w:val="00F47A27"/>
    <w:rsid w:val="00F47E33"/>
    <w:rsid w:val="00F47F40"/>
    <w:rsid w:val="00F50F54"/>
    <w:rsid w:val="00F5135E"/>
    <w:rsid w:val="00F51F4B"/>
    <w:rsid w:val="00F5362C"/>
    <w:rsid w:val="00F53AB2"/>
    <w:rsid w:val="00F55A5E"/>
    <w:rsid w:val="00F55B64"/>
    <w:rsid w:val="00F560D8"/>
    <w:rsid w:val="00F56B8F"/>
    <w:rsid w:val="00F6050D"/>
    <w:rsid w:val="00F61607"/>
    <w:rsid w:val="00F61827"/>
    <w:rsid w:val="00F61928"/>
    <w:rsid w:val="00F61B04"/>
    <w:rsid w:val="00F61B2B"/>
    <w:rsid w:val="00F61FA0"/>
    <w:rsid w:val="00F62924"/>
    <w:rsid w:val="00F6367B"/>
    <w:rsid w:val="00F63C33"/>
    <w:rsid w:val="00F63E41"/>
    <w:rsid w:val="00F64242"/>
    <w:rsid w:val="00F64520"/>
    <w:rsid w:val="00F64AFE"/>
    <w:rsid w:val="00F65175"/>
    <w:rsid w:val="00F663B3"/>
    <w:rsid w:val="00F6747D"/>
    <w:rsid w:val="00F67D23"/>
    <w:rsid w:val="00F67FBA"/>
    <w:rsid w:val="00F714AD"/>
    <w:rsid w:val="00F71629"/>
    <w:rsid w:val="00F718E9"/>
    <w:rsid w:val="00F71F35"/>
    <w:rsid w:val="00F72546"/>
    <w:rsid w:val="00F738F8"/>
    <w:rsid w:val="00F73936"/>
    <w:rsid w:val="00F74793"/>
    <w:rsid w:val="00F75ADF"/>
    <w:rsid w:val="00F76895"/>
    <w:rsid w:val="00F76A96"/>
    <w:rsid w:val="00F77096"/>
    <w:rsid w:val="00F778DE"/>
    <w:rsid w:val="00F80189"/>
    <w:rsid w:val="00F803EA"/>
    <w:rsid w:val="00F80471"/>
    <w:rsid w:val="00F80D40"/>
    <w:rsid w:val="00F80DAD"/>
    <w:rsid w:val="00F82F27"/>
    <w:rsid w:val="00F83FCC"/>
    <w:rsid w:val="00F84CEF"/>
    <w:rsid w:val="00F87BA5"/>
    <w:rsid w:val="00F902BE"/>
    <w:rsid w:val="00F90F73"/>
    <w:rsid w:val="00F919D8"/>
    <w:rsid w:val="00F922C1"/>
    <w:rsid w:val="00F92856"/>
    <w:rsid w:val="00F93104"/>
    <w:rsid w:val="00F938D6"/>
    <w:rsid w:val="00F93A7C"/>
    <w:rsid w:val="00F94202"/>
    <w:rsid w:val="00F94E98"/>
    <w:rsid w:val="00F972C4"/>
    <w:rsid w:val="00F974FD"/>
    <w:rsid w:val="00FA04FC"/>
    <w:rsid w:val="00FA2743"/>
    <w:rsid w:val="00FA3210"/>
    <w:rsid w:val="00FA3B11"/>
    <w:rsid w:val="00FA3C1A"/>
    <w:rsid w:val="00FA4B66"/>
    <w:rsid w:val="00FA5542"/>
    <w:rsid w:val="00FA57AE"/>
    <w:rsid w:val="00FA6534"/>
    <w:rsid w:val="00FA6A24"/>
    <w:rsid w:val="00FA6CDB"/>
    <w:rsid w:val="00FA726F"/>
    <w:rsid w:val="00FA74B3"/>
    <w:rsid w:val="00FA74EF"/>
    <w:rsid w:val="00FA7590"/>
    <w:rsid w:val="00FA7AE2"/>
    <w:rsid w:val="00FA7AFC"/>
    <w:rsid w:val="00FB0621"/>
    <w:rsid w:val="00FB0CBA"/>
    <w:rsid w:val="00FB1493"/>
    <w:rsid w:val="00FB2092"/>
    <w:rsid w:val="00FB2DDB"/>
    <w:rsid w:val="00FB3341"/>
    <w:rsid w:val="00FB38B0"/>
    <w:rsid w:val="00FB3FD6"/>
    <w:rsid w:val="00FB5C74"/>
    <w:rsid w:val="00FB721F"/>
    <w:rsid w:val="00FB72F0"/>
    <w:rsid w:val="00FC0A6D"/>
    <w:rsid w:val="00FC0B39"/>
    <w:rsid w:val="00FC1759"/>
    <w:rsid w:val="00FC1B76"/>
    <w:rsid w:val="00FC2455"/>
    <w:rsid w:val="00FC2911"/>
    <w:rsid w:val="00FC29BC"/>
    <w:rsid w:val="00FC393A"/>
    <w:rsid w:val="00FC452A"/>
    <w:rsid w:val="00FC4C0C"/>
    <w:rsid w:val="00FC4D01"/>
    <w:rsid w:val="00FC5A19"/>
    <w:rsid w:val="00FC5AF0"/>
    <w:rsid w:val="00FC60CF"/>
    <w:rsid w:val="00FC6DF5"/>
    <w:rsid w:val="00FC705F"/>
    <w:rsid w:val="00FC71E0"/>
    <w:rsid w:val="00FC7485"/>
    <w:rsid w:val="00FC7494"/>
    <w:rsid w:val="00FC74EA"/>
    <w:rsid w:val="00FC7527"/>
    <w:rsid w:val="00FC77A8"/>
    <w:rsid w:val="00FC79E7"/>
    <w:rsid w:val="00FC7AAD"/>
    <w:rsid w:val="00FD0652"/>
    <w:rsid w:val="00FD071E"/>
    <w:rsid w:val="00FD2E20"/>
    <w:rsid w:val="00FD3869"/>
    <w:rsid w:val="00FD4898"/>
    <w:rsid w:val="00FD4A69"/>
    <w:rsid w:val="00FD50BD"/>
    <w:rsid w:val="00FD5428"/>
    <w:rsid w:val="00FD5625"/>
    <w:rsid w:val="00FD5896"/>
    <w:rsid w:val="00FD5AF5"/>
    <w:rsid w:val="00FD6185"/>
    <w:rsid w:val="00FD638F"/>
    <w:rsid w:val="00FD66AE"/>
    <w:rsid w:val="00FD68B3"/>
    <w:rsid w:val="00FD7333"/>
    <w:rsid w:val="00FD7389"/>
    <w:rsid w:val="00FD7616"/>
    <w:rsid w:val="00FD78FB"/>
    <w:rsid w:val="00FE063A"/>
    <w:rsid w:val="00FE1149"/>
    <w:rsid w:val="00FE1C66"/>
    <w:rsid w:val="00FE1E83"/>
    <w:rsid w:val="00FE24C7"/>
    <w:rsid w:val="00FE274C"/>
    <w:rsid w:val="00FE2ED3"/>
    <w:rsid w:val="00FE3562"/>
    <w:rsid w:val="00FE3751"/>
    <w:rsid w:val="00FE3B35"/>
    <w:rsid w:val="00FE5281"/>
    <w:rsid w:val="00FE555E"/>
    <w:rsid w:val="00FE64BC"/>
    <w:rsid w:val="00FE66DC"/>
    <w:rsid w:val="00FE73FD"/>
    <w:rsid w:val="00FE74FA"/>
    <w:rsid w:val="00FF0316"/>
    <w:rsid w:val="00FF078E"/>
    <w:rsid w:val="00FF0865"/>
    <w:rsid w:val="00FF0F5B"/>
    <w:rsid w:val="00FF2372"/>
    <w:rsid w:val="00FF3252"/>
    <w:rsid w:val="00FF47EC"/>
    <w:rsid w:val="00FF4A5D"/>
    <w:rsid w:val="00FF4FC3"/>
    <w:rsid w:val="00FF4FC8"/>
    <w:rsid w:val="00FF56EC"/>
    <w:rsid w:val="00FF5BB1"/>
    <w:rsid w:val="00FF5BD3"/>
    <w:rsid w:val="00FF7768"/>
    <w:rsid w:val="019E2FD7"/>
    <w:rsid w:val="01FBBB6E"/>
    <w:rsid w:val="02254D88"/>
    <w:rsid w:val="024D8986"/>
    <w:rsid w:val="03A23DE3"/>
    <w:rsid w:val="03BCCE4B"/>
    <w:rsid w:val="06243C82"/>
    <w:rsid w:val="0863EF12"/>
    <w:rsid w:val="0904CFAA"/>
    <w:rsid w:val="0D5D310F"/>
    <w:rsid w:val="0DCE108E"/>
    <w:rsid w:val="162A9042"/>
    <w:rsid w:val="1667ADD7"/>
    <w:rsid w:val="18B1B2BD"/>
    <w:rsid w:val="1957AB12"/>
    <w:rsid w:val="1AB47AA2"/>
    <w:rsid w:val="1D79FB0C"/>
    <w:rsid w:val="20D95062"/>
    <w:rsid w:val="2177C8BA"/>
    <w:rsid w:val="247851C0"/>
    <w:rsid w:val="2932AF74"/>
    <w:rsid w:val="2AEE1690"/>
    <w:rsid w:val="2D5FDAB4"/>
    <w:rsid w:val="2DE95A86"/>
    <w:rsid w:val="2E994EF0"/>
    <w:rsid w:val="312857E8"/>
    <w:rsid w:val="32F2F732"/>
    <w:rsid w:val="33EDA56A"/>
    <w:rsid w:val="372DB7F4"/>
    <w:rsid w:val="3C5D4B4B"/>
    <w:rsid w:val="3FA3AC9F"/>
    <w:rsid w:val="405BD172"/>
    <w:rsid w:val="4218F0A0"/>
    <w:rsid w:val="432FB384"/>
    <w:rsid w:val="44F83D1F"/>
    <w:rsid w:val="4515C1D6"/>
    <w:rsid w:val="48DA7218"/>
    <w:rsid w:val="4A57F39A"/>
    <w:rsid w:val="4C085D45"/>
    <w:rsid w:val="4E94ACB0"/>
    <w:rsid w:val="4FBA3A83"/>
    <w:rsid w:val="50DB11EC"/>
    <w:rsid w:val="51BAD8AD"/>
    <w:rsid w:val="52017C0D"/>
    <w:rsid w:val="524A58C4"/>
    <w:rsid w:val="52ED6CF2"/>
    <w:rsid w:val="55F6DCC9"/>
    <w:rsid w:val="56CEB19B"/>
    <w:rsid w:val="57ED452C"/>
    <w:rsid w:val="58F3B427"/>
    <w:rsid w:val="61B0CC73"/>
    <w:rsid w:val="62742F72"/>
    <w:rsid w:val="636094DE"/>
    <w:rsid w:val="640E5F3A"/>
    <w:rsid w:val="6756A0D5"/>
    <w:rsid w:val="679C11AE"/>
    <w:rsid w:val="6C08D271"/>
    <w:rsid w:val="6D606E72"/>
    <w:rsid w:val="71A236C0"/>
    <w:rsid w:val="735D7AAE"/>
    <w:rsid w:val="761A531B"/>
    <w:rsid w:val="76B28F42"/>
    <w:rsid w:val="77E83755"/>
    <w:rsid w:val="782014E8"/>
    <w:rsid w:val="79A49C06"/>
    <w:rsid w:val="7AF433CF"/>
    <w:rsid w:val="7D588C0D"/>
    <w:rsid w:val="7F2342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44741"/>
  <w15:docId w15:val="{35884266-F3D7-4B62-9D41-A80BD7AD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8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AF396E"/>
    <w:pPr>
      <w:widowControl w:val="0"/>
      <w:spacing w:before="360"/>
      <w:contextualSpacing/>
      <w:outlineLvl w:val="0"/>
    </w:pPr>
    <w:rPr>
      <w:rFonts w:ascii="Calibri" w:eastAsiaTheme="minorHAnsi" w:hAnsi="Calibri" w:cstheme="minorBidi"/>
      <w:b/>
      <w:bCs/>
      <w:color w:val="017097" w:themeColor="accent1"/>
      <w:spacing w:val="5"/>
      <w:kern w:val="28"/>
      <w:sz w:val="72"/>
      <w:szCs w:val="28"/>
      <w:lang w:eastAsia="en-US"/>
    </w:rPr>
  </w:style>
  <w:style w:type="paragraph" w:styleId="Heading2">
    <w:name w:val="heading 2"/>
    <w:basedOn w:val="Normal"/>
    <w:next w:val="Normal"/>
    <w:link w:val="Heading2Char"/>
    <w:uiPriority w:val="3"/>
    <w:rsid w:val="00AF396E"/>
    <w:pPr>
      <w:pageBreakBefore/>
      <w:numPr>
        <w:numId w:val="6"/>
      </w:numPr>
      <w:spacing w:after="240" w:line="240" w:lineRule="auto"/>
      <w:outlineLvl w:val="1"/>
    </w:pPr>
    <w:rPr>
      <w:rFonts w:ascii="Calibri" w:eastAsiaTheme="minorEastAsia" w:hAnsi="Calibri"/>
      <w:bCs/>
      <w:color w:val="017097" w:themeColor="accent1"/>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F396E"/>
    <w:rPr>
      <w:rFonts w:ascii="Calibri" w:eastAsiaTheme="minorHAnsi" w:hAnsi="Calibri" w:cstheme="minorBidi"/>
      <w:b/>
      <w:bCs/>
      <w:color w:val="017097" w:themeColor="accent1"/>
      <w:spacing w:val="5"/>
      <w:kern w:val="28"/>
      <w:sz w:val="72"/>
      <w:szCs w:val="28"/>
      <w:lang w:eastAsia="en-US"/>
    </w:rPr>
  </w:style>
  <w:style w:type="character" w:customStyle="1" w:styleId="Heading2Char">
    <w:name w:val="Heading 2 Char"/>
    <w:basedOn w:val="DefaultParagraphFont"/>
    <w:link w:val="Heading2"/>
    <w:uiPriority w:val="3"/>
    <w:rsid w:val="00AF396E"/>
    <w:rPr>
      <w:rFonts w:ascii="Calibri" w:eastAsiaTheme="minorEastAsia" w:hAnsi="Calibri" w:cstheme="minorBidi"/>
      <w:bCs/>
      <w:color w:val="017097" w:themeColor="accent1"/>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AF396E"/>
    <w:pPr>
      <w:spacing w:before="480" w:line="276" w:lineRule="auto"/>
    </w:pPr>
    <w:rPr>
      <w:rFonts w:ascii="Calibri" w:eastAsiaTheme="minorEastAsia" w:hAnsi="Calibri" w:cstheme="minorBidi"/>
      <w:bCs/>
      <w:color w:val="017097" w:themeColor="accent1"/>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3E48CC"/>
    <w:pPr>
      <w:numPr>
        <w:numId w:val="16"/>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9"/>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AF396E"/>
    <w:pPr>
      <w:spacing w:after="60"/>
    </w:pPr>
    <w:rPr>
      <w:b/>
      <w:color w:val="017097" w:themeColor="accent1"/>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017097" w:themeColor="accent1"/>
    </w:rPr>
  </w:style>
  <w:style w:type="paragraph" w:customStyle="1" w:styleId="TableBullet2">
    <w:name w:val="Table Bullet 2"/>
    <w:basedOn w:val="TableBullet1"/>
    <w:qFormat/>
    <w:pPr>
      <w:numPr>
        <w:numId w:val="11"/>
      </w:numPr>
      <w:tabs>
        <w:tab w:val="num" w:pos="284"/>
      </w:tabs>
      <w:ind w:left="568" w:hanging="284"/>
    </w:pPr>
  </w:style>
  <w:style w:type="numbering" w:customStyle="1" w:styleId="TableBulletlist">
    <w:name w:val="Table Bullet list"/>
    <w:uiPriority w:val="99"/>
    <w:pPr>
      <w:numPr>
        <w:numId w:val="10"/>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CAB - List Bullet,List Bullet Cab,Recommendation,List Paragraph1,List Paragraph11,L,Bulleted Para,NFP GP Bulleted List,FooterText,numbered,Paragraphe de liste1,Bulletr List Paragraph,列出段落,列出段落1,List Paragraph2,List Paragraph21,Listeafsnit"/>
    <w:basedOn w:val="Normal"/>
    <w:link w:val="ListParagraphChar"/>
    <w:uiPriority w:val="34"/>
    <w:qFormat/>
    <w:rsid w:val="006C261F"/>
    <w:pPr>
      <w:spacing w:after="0" w:line="240" w:lineRule="auto"/>
      <w:ind w:left="720"/>
    </w:pPr>
    <w:rPr>
      <w:rFonts w:ascii="Calibri" w:hAnsi="Calibri" w:cs="Calibri"/>
    </w:rPr>
  </w:style>
  <w:style w:type="character" w:customStyle="1" w:styleId="ListParagraphChar">
    <w:name w:val="List Paragraph Char"/>
    <w:aliases w:val="CAB - List Bullet Char,List Bullet Cab Char,Recommendation Char,List Paragraph1 Char,List Paragraph11 Char,L Char,Bulleted Para Char,NFP GP Bulleted List Char,FooterText Char,numbered Char,Paragraphe de liste1 Char,列出段落 Char"/>
    <w:basedOn w:val="DefaultParagraphFont"/>
    <w:link w:val="ListParagraph"/>
    <w:uiPriority w:val="34"/>
    <w:qFormat/>
    <w:rsid w:val="005E2358"/>
    <w:rPr>
      <w:rFonts w:ascii="Calibri" w:eastAsiaTheme="minorHAnsi" w:hAnsi="Calibri" w:cs="Calibri"/>
      <w:sz w:val="22"/>
      <w:szCs w:val="22"/>
      <w:lang w:eastAsia="en-US"/>
    </w:rPr>
  </w:style>
  <w:style w:type="paragraph" w:customStyle="1" w:styleId="Default">
    <w:name w:val="Default"/>
    <w:rsid w:val="0024349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15358"/>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2548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8919814">
      <w:bodyDiv w:val="1"/>
      <w:marLeft w:val="0"/>
      <w:marRight w:val="0"/>
      <w:marTop w:val="0"/>
      <w:marBottom w:val="0"/>
      <w:divBdr>
        <w:top w:val="none" w:sz="0" w:space="0" w:color="auto"/>
        <w:left w:val="none" w:sz="0" w:space="0" w:color="auto"/>
        <w:bottom w:val="none" w:sz="0" w:space="0" w:color="auto"/>
        <w:right w:val="none" w:sz="0" w:space="0" w:color="auto"/>
      </w:divBdr>
      <w:divsChild>
        <w:div w:id="425924926">
          <w:marLeft w:val="0"/>
          <w:marRight w:val="0"/>
          <w:marTop w:val="0"/>
          <w:marBottom w:val="0"/>
          <w:divBdr>
            <w:top w:val="none" w:sz="0" w:space="0" w:color="auto"/>
            <w:left w:val="none" w:sz="0" w:space="0" w:color="auto"/>
            <w:bottom w:val="none" w:sz="0" w:space="0" w:color="auto"/>
            <w:right w:val="none" w:sz="0" w:space="0" w:color="auto"/>
          </w:divBdr>
        </w:div>
        <w:div w:id="448353769">
          <w:marLeft w:val="0"/>
          <w:marRight w:val="0"/>
          <w:marTop w:val="0"/>
          <w:marBottom w:val="0"/>
          <w:divBdr>
            <w:top w:val="none" w:sz="0" w:space="0" w:color="auto"/>
            <w:left w:val="none" w:sz="0" w:space="0" w:color="auto"/>
            <w:bottom w:val="none" w:sz="0" w:space="0" w:color="auto"/>
            <w:right w:val="none" w:sz="0" w:space="0" w:color="auto"/>
          </w:divBdr>
        </w:div>
        <w:div w:id="506093712">
          <w:marLeft w:val="0"/>
          <w:marRight w:val="0"/>
          <w:marTop w:val="0"/>
          <w:marBottom w:val="0"/>
          <w:divBdr>
            <w:top w:val="none" w:sz="0" w:space="0" w:color="auto"/>
            <w:left w:val="none" w:sz="0" w:space="0" w:color="auto"/>
            <w:bottom w:val="none" w:sz="0" w:space="0" w:color="auto"/>
            <w:right w:val="none" w:sz="0" w:space="0" w:color="auto"/>
          </w:divBdr>
        </w:div>
        <w:div w:id="745297751">
          <w:marLeft w:val="0"/>
          <w:marRight w:val="0"/>
          <w:marTop w:val="0"/>
          <w:marBottom w:val="0"/>
          <w:divBdr>
            <w:top w:val="none" w:sz="0" w:space="0" w:color="auto"/>
            <w:left w:val="none" w:sz="0" w:space="0" w:color="auto"/>
            <w:bottom w:val="none" w:sz="0" w:space="0" w:color="auto"/>
            <w:right w:val="none" w:sz="0" w:space="0" w:color="auto"/>
          </w:divBdr>
        </w:div>
        <w:div w:id="755591165">
          <w:marLeft w:val="0"/>
          <w:marRight w:val="0"/>
          <w:marTop w:val="0"/>
          <w:marBottom w:val="0"/>
          <w:divBdr>
            <w:top w:val="none" w:sz="0" w:space="0" w:color="auto"/>
            <w:left w:val="none" w:sz="0" w:space="0" w:color="auto"/>
            <w:bottom w:val="none" w:sz="0" w:space="0" w:color="auto"/>
            <w:right w:val="none" w:sz="0" w:space="0" w:color="auto"/>
          </w:divBdr>
        </w:div>
        <w:div w:id="1161039032">
          <w:marLeft w:val="0"/>
          <w:marRight w:val="0"/>
          <w:marTop w:val="0"/>
          <w:marBottom w:val="0"/>
          <w:divBdr>
            <w:top w:val="none" w:sz="0" w:space="0" w:color="auto"/>
            <w:left w:val="none" w:sz="0" w:space="0" w:color="auto"/>
            <w:bottom w:val="none" w:sz="0" w:space="0" w:color="auto"/>
            <w:right w:val="none" w:sz="0" w:space="0" w:color="auto"/>
          </w:divBdr>
        </w:div>
        <w:div w:id="1261526582">
          <w:marLeft w:val="0"/>
          <w:marRight w:val="0"/>
          <w:marTop w:val="0"/>
          <w:marBottom w:val="0"/>
          <w:divBdr>
            <w:top w:val="none" w:sz="0" w:space="0" w:color="auto"/>
            <w:left w:val="none" w:sz="0" w:space="0" w:color="auto"/>
            <w:bottom w:val="none" w:sz="0" w:space="0" w:color="auto"/>
            <w:right w:val="none" w:sz="0" w:space="0" w:color="auto"/>
          </w:divBdr>
        </w:div>
        <w:div w:id="1400250888">
          <w:marLeft w:val="0"/>
          <w:marRight w:val="0"/>
          <w:marTop w:val="0"/>
          <w:marBottom w:val="0"/>
          <w:divBdr>
            <w:top w:val="none" w:sz="0" w:space="0" w:color="auto"/>
            <w:left w:val="none" w:sz="0" w:space="0" w:color="auto"/>
            <w:bottom w:val="none" w:sz="0" w:space="0" w:color="auto"/>
            <w:right w:val="none" w:sz="0" w:space="0" w:color="auto"/>
          </w:divBdr>
        </w:div>
        <w:div w:id="1543520119">
          <w:marLeft w:val="0"/>
          <w:marRight w:val="0"/>
          <w:marTop w:val="0"/>
          <w:marBottom w:val="0"/>
          <w:divBdr>
            <w:top w:val="none" w:sz="0" w:space="0" w:color="auto"/>
            <w:left w:val="none" w:sz="0" w:space="0" w:color="auto"/>
            <w:bottom w:val="none" w:sz="0" w:space="0" w:color="auto"/>
            <w:right w:val="none" w:sz="0" w:space="0" w:color="auto"/>
          </w:divBdr>
        </w:div>
        <w:div w:id="1764447393">
          <w:marLeft w:val="0"/>
          <w:marRight w:val="0"/>
          <w:marTop w:val="0"/>
          <w:marBottom w:val="0"/>
          <w:divBdr>
            <w:top w:val="none" w:sz="0" w:space="0" w:color="auto"/>
            <w:left w:val="none" w:sz="0" w:space="0" w:color="auto"/>
            <w:bottom w:val="none" w:sz="0" w:space="0" w:color="auto"/>
            <w:right w:val="none" w:sz="0" w:space="0" w:color="auto"/>
          </w:divBdr>
        </w:div>
        <w:div w:id="1795055801">
          <w:marLeft w:val="0"/>
          <w:marRight w:val="0"/>
          <w:marTop w:val="0"/>
          <w:marBottom w:val="0"/>
          <w:divBdr>
            <w:top w:val="none" w:sz="0" w:space="0" w:color="auto"/>
            <w:left w:val="none" w:sz="0" w:space="0" w:color="auto"/>
            <w:bottom w:val="none" w:sz="0" w:space="0" w:color="auto"/>
            <w:right w:val="none" w:sz="0" w:space="0" w:color="auto"/>
          </w:divBdr>
        </w:div>
        <w:div w:id="1872448501">
          <w:marLeft w:val="0"/>
          <w:marRight w:val="0"/>
          <w:marTop w:val="0"/>
          <w:marBottom w:val="0"/>
          <w:divBdr>
            <w:top w:val="none" w:sz="0" w:space="0" w:color="auto"/>
            <w:left w:val="none" w:sz="0" w:space="0" w:color="auto"/>
            <w:bottom w:val="none" w:sz="0" w:space="0" w:color="auto"/>
            <w:right w:val="none" w:sz="0" w:space="0" w:color="auto"/>
          </w:divBdr>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20796376">
      <w:bodyDiv w:val="1"/>
      <w:marLeft w:val="0"/>
      <w:marRight w:val="0"/>
      <w:marTop w:val="0"/>
      <w:marBottom w:val="0"/>
      <w:divBdr>
        <w:top w:val="none" w:sz="0" w:space="0" w:color="auto"/>
        <w:left w:val="none" w:sz="0" w:space="0" w:color="auto"/>
        <w:bottom w:val="none" w:sz="0" w:space="0" w:color="auto"/>
        <w:right w:val="none" w:sz="0" w:space="0" w:color="auto"/>
      </w:divBdr>
    </w:div>
    <w:div w:id="246111860">
      <w:bodyDiv w:val="1"/>
      <w:marLeft w:val="0"/>
      <w:marRight w:val="0"/>
      <w:marTop w:val="0"/>
      <w:marBottom w:val="0"/>
      <w:divBdr>
        <w:top w:val="none" w:sz="0" w:space="0" w:color="auto"/>
        <w:left w:val="none" w:sz="0" w:space="0" w:color="auto"/>
        <w:bottom w:val="none" w:sz="0" w:space="0" w:color="auto"/>
        <w:right w:val="none" w:sz="0" w:space="0" w:color="auto"/>
      </w:divBdr>
      <w:divsChild>
        <w:div w:id="906382478">
          <w:marLeft w:val="0"/>
          <w:marRight w:val="0"/>
          <w:marTop w:val="0"/>
          <w:marBottom w:val="0"/>
          <w:divBdr>
            <w:top w:val="none" w:sz="0" w:space="0" w:color="auto"/>
            <w:left w:val="none" w:sz="0" w:space="0" w:color="auto"/>
            <w:bottom w:val="none" w:sz="0" w:space="0" w:color="auto"/>
            <w:right w:val="none" w:sz="0" w:space="0" w:color="auto"/>
          </w:divBdr>
        </w:div>
      </w:divsChild>
    </w:div>
    <w:div w:id="253713891">
      <w:bodyDiv w:val="1"/>
      <w:marLeft w:val="0"/>
      <w:marRight w:val="0"/>
      <w:marTop w:val="0"/>
      <w:marBottom w:val="0"/>
      <w:divBdr>
        <w:top w:val="none" w:sz="0" w:space="0" w:color="auto"/>
        <w:left w:val="none" w:sz="0" w:space="0" w:color="auto"/>
        <w:bottom w:val="none" w:sz="0" w:space="0" w:color="auto"/>
        <w:right w:val="none" w:sz="0" w:space="0" w:color="auto"/>
      </w:divBdr>
    </w:div>
    <w:div w:id="26936445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470971">
      <w:bodyDiv w:val="1"/>
      <w:marLeft w:val="0"/>
      <w:marRight w:val="0"/>
      <w:marTop w:val="0"/>
      <w:marBottom w:val="0"/>
      <w:divBdr>
        <w:top w:val="none" w:sz="0" w:space="0" w:color="auto"/>
        <w:left w:val="none" w:sz="0" w:space="0" w:color="auto"/>
        <w:bottom w:val="none" w:sz="0" w:space="0" w:color="auto"/>
        <w:right w:val="none" w:sz="0" w:space="0" w:color="auto"/>
      </w:divBdr>
    </w:div>
    <w:div w:id="392582803">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8574528">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7796517">
      <w:bodyDiv w:val="1"/>
      <w:marLeft w:val="0"/>
      <w:marRight w:val="0"/>
      <w:marTop w:val="0"/>
      <w:marBottom w:val="0"/>
      <w:divBdr>
        <w:top w:val="none" w:sz="0" w:space="0" w:color="auto"/>
        <w:left w:val="none" w:sz="0" w:space="0" w:color="auto"/>
        <w:bottom w:val="none" w:sz="0" w:space="0" w:color="auto"/>
        <w:right w:val="none" w:sz="0" w:space="0" w:color="auto"/>
      </w:divBdr>
    </w:div>
    <w:div w:id="55207878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069336">
      <w:bodyDiv w:val="1"/>
      <w:marLeft w:val="0"/>
      <w:marRight w:val="0"/>
      <w:marTop w:val="0"/>
      <w:marBottom w:val="0"/>
      <w:divBdr>
        <w:top w:val="none" w:sz="0" w:space="0" w:color="auto"/>
        <w:left w:val="none" w:sz="0" w:space="0" w:color="auto"/>
        <w:bottom w:val="none" w:sz="0" w:space="0" w:color="auto"/>
        <w:right w:val="none" w:sz="0" w:space="0" w:color="auto"/>
      </w:divBdr>
    </w:div>
    <w:div w:id="644238700">
      <w:bodyDiv w:val="1"/>
      <w:marLeft w:val="0"/>
      <w:marRight w:val="0"/>
      <w:marTop w:val="0"/>
      <w:marBottom w:val="0"/>
      <w:divBdr>
        <w:top w:val="none" w:sz="0" w:space="0" w:color="auto"/>
        <w:left w:val="none" w:sz="0" w:space="0" w:color="auto"/>
        <w:bottom w:val="none" w:sz="0" w:space="0" w:color="auto"/>
        <w:right w:val="none" w:sz="0" w:space="0" w:color="auto"/>
      </w:divBdr>
    </w:div>
    <w:div w:id="672337826">
      <w:bodyDiv w:val="1"/>
      <w:marLeft w:val="0"/>
      <w:marRight w:val="0"/>
      <w:marTop w:val="0"/>
      <w:marBottom w:val="0"/>
      <w:divBdr>
        <w:top w:val="none" w:sz="0" w:space="0" w:color="auto"/>
        <w:left w:val="none" w:sz="0" w:space="0" w:color="auto"/>
        <w:bottom w:val="none" w:sz="0" w:space="0" w:color="auto"/>
        <w:right w:val="none" w:sz="0" w:space="0" w:color="auto"/>
      </w:divBdr>
      <w:divsChild>
        <w:div w:id="912003918">
          <w:marLeft w:val="0"/>
          <w:marRight w:val="0"/>
          <w:marTop w:val="0"/>
          <w:marBottom w:val="0"/>
          <w:divBdr>
            <w:top w:val="none" w:sz="0" w:space="0" w:color="auto"/>
            <w:left w:val="none" w:sz="0" w:space="0" w:color="auto"/>
            <w:bottom w:val="none" w:sz="0" w:space="0" w:color="auto"/>
            <w:right w:val="none" w:sz="0" w:space="0" w:color="auto"/>
          </w:divBdr>
          <w:divsChild>
            <w:div w:id="1392192673">
              <w:marLeft w:val="0"/>
              <w:marRight w:val="0"/>
              <w:marTop w:val="0"/>
              <w:marBottom w:val="0"/>
              <w:divBdr>
                <w:top w:val="none" w:sz="0" w:space="0" w:color="auto"/>
                <w:left w:val="none" w:sz="0" w:space="0" w:color="auto"/>
                <w:bottom w:val="none" w:sz="0" w:space="0" w:color="auto"/>
                <w:right w:val="none" w:sz="0" w:space="0" w:color="auto"/>
              </w:divBdr>
              <w:divsChild>
                <w:div w:id="189221508">
                  <w:marLeft w:val="0"/>
                  <w:marRight w:val="0"/>
                  <w:marTop w:val="0"/>
                  <w:marBottom w:val="0"/>
                  <w:divBdr>
                    <w:top w:val="none" w:sz="0" w:space="0" w:color="auto"/>
                    <w:left w:val="none" w:sz="0" w:space="0" w:color="auto"/>
                    <w:bottom w:val="none" w:sz="0" w:space="0" w:color="auto"/>
                    <w:right w:val="none" w:sz="0" w:space="0" w:color="auto"/>
                  </w:divBdr>
                  <w:divsChild>
                    <w:div w:id="1811316091">
                      <w:marLeft w:val="0"/>
                      <w:marRight w:val="0"/>
                      <w:marTop w:val="0"/>
                      <w:marBottom w:val="0"/>
                      <w:divBdr>
                        <w:top w:val="none" w:sz="0" w:space="0" w:color="auto"/>
                        <w:left w:val="none" w:sz="0" w:space="0" w:color="auto"/>
                        <w:bottom w:val="none" w:sz="0" w:space="0" w:color="auto"/>
                        <w:right w:val="none" w:sz="0" w:space="0" w:color="auto"/>
                      </w:divBdr>
                      <w:divsChild>
                        <w:div w:id="484901043">
                          <w:marLeft w:val="0"/>
                          <w:marRight w:val="0"/>
                          <w:marTop w:val="0"/>
                          <w:marBottom w:val="0"/>
                          <w:divBdr>
                            <w:top w:val="none" w:sz="0" w:space="0" w:color="auto"/>
                            <w:left w:val="none" w:sz="0" w:space="0" w:color="auto"/>
                            <w:bottom w:val="none" w:sz="0" w:space="0" w:color="auto"/>
                            <w:right w:val="none" w:sz="0" w:space="0" w:color="auto"/>
                          </w:divBdr>
                          <w:divsChild>
                            <w:div w:id="3918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9150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77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4715643">
      <w:bodyDiv w:val="1"/>
      <w:marLeft w:val="0"/>
      <w:marRight w:val="0"/>
      <w:marTop w:val="0"/>
      <w:marBottom w:val="0"/>
      <w:divBdr>
        <w:top w:val="none" w:sz="0" w:space="0" w:color="auto"/>
        <w:left w:val="none" w:sz="0" w:space="0" w:color="auto"/>
        <w:bottom w:val="none" w:sz="0" w:space="0" w:color="auto"/>
        <w:right w:val="none" w:sz="0" w:space="0" w:color="auto"/>
      </w:divBdr>
    </w:div>
    <w:div w:id="800921879">
      <w:bodyDiv w:val="1"/>
      <w:marLeft w:val="0"/>
      <w:marRight w:val="0"/>
      <w:marTop w:val="0"/>
      <w:marBottom w:val="0"/>
      <w:divBdr>
        <w:top w:val="none" w:sz="0" w:space="0" w:color="auto"/>
        <w:left w:val="none" w:sz="0" w:space="0" w:color="auto"/>
        <w:bottom w:val="none" w:sz="0" w:space="0" w:color="auto"/>
        <w:right w:val="none" w:sz="0" w:space="0" w:color="auto"/>
      </w:divBdr>
    </w:div>
    <w:div w:id="810756849">
      <w:bodyDiv w:val="1"/>
      <w:marLeft w:val="0"/>
      <w:marRight w:val="0"/>
      <w:marTop w:val="0"/>
      <w:marBottom w:val="0"/>
      <w:divBdr>
        <w:top w:val="none" w:sz="0" w:space="0" w:color="auto"/>
        <w:left w:val="none" w:sz="0" w:space="0" w:color="auto"/>
        <w:bottom w:val="none" w:sz="0" w:space="0" w:color="auto"/>
        <w:right w:val="none" w:sz="0" w:space="0" w:color="auto"/>
      </w:divBdr>
      <w:divsChild>
        <w:div w:id="272132269">
          <w:marLeft w:val="0"/>
          <w:marRight w:val="0"/>
          <w:marTop w:val="0"/>
          <w:marBottom w:val="0"/>
          <w:divBdr>
            <w:top w:val="none" w:sz="0" w:space="0" w:color="auto"/>
            <w:left w:val="none" w:sz="0" w:space="0" w:color="auto"/>
            <w:bottom w:val="none" w:sz="0" w:space="0" w:color="auto"/>
            <w:right w:val="none" w:sz="0" w:space="0" w:color="auto"/>
          </w:divBdr>
        </w:div>
        <w:div w:id="1815367650">
          <w:marLeft w:val="0"/>
          <w:marRight w:val="0"/>
          <w:marTop w:val="0"/>
          <w:marBottom w:val="0"/>
          <w:divBdr>
            <w:top w:val="none" w:sz="0" w:space="0" w:color="auto"/>
            <w:left w:val="none" w:sz="0" w:space="0" w:color="auto"/>
            <w:bottom w:val="none" w:sz="0" w:space="0" w:color="auto"/>
            <w:right w:val="none" w:sz="0" w:space="0" w:color="auto"/>
          </w:divBdr>
        </w:div>
      </w:divsChild>
    </w:div>
    <w:div w:id="817262521">
      <w:bodyDiv w:val="1"/>
      <w:marLeft w:val="0"/>
      <w:marRight w:val="0"/>
      <w:marTop w:val="0"/>
      <w:marBottom w:val="0"/>
      <w:divBdr>
        <w:top w:val="none" w:sz="0" w:space="0" w:color="auto"/>
        <w:left w:val="none" w:sz="0" w:space="0" w:color="auto"/>
        <w:bottom w:val="none" w:sz="0" w:space="0" w:color="auto"/>
        <w:right w:val="none" w:sz="0" w:space="0" w:color="auto"/>
      </w:divBdr>
    </w:div>
    <w:div w:id="83198740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6592369">
      <w:bodyDiv w:val="1"/>
      <w:marLeft w:val="0"/>
      <w:marRight w:val="0"/>
      <w:marTop w:val="0"/>
      <w:marBottom w:val="0"/>
      <w:divBdr>
        <w:top w:val="none" w:sz="0" w:space="0" w:color="auto"/>
        <w:left w:val="none" w:sz="0" w:space="0" w:color="auto"/>
        <w:bottom w:val="none" w:sz="0" w:space="0" w:color="auto"/>
        <w:right w:val="none" w:sz="0" w:space="0" w:color="auto"/>
      </w:divBdr>
      <w:divsChild>
        <w:div w:id="1683433917">
          <w:marLeft w:val="0"/>
          <w:marRight w:val="0"/>
          <w:marTop w:val="0"/>
          <w:marBottom w:val="0"/>
          <w:divBdr>
            <w:top w:val="none" w:sz="0" w:space="0" w:color="auto"/>
            <w:left w:val="none" w:sz="0" w:space="0" w:color="auto"/>
            <w:bottom w:val="none" w:sz="0" w:space="0" w:color="auto"/>
            <w:right w:val="none" w:sz="0" w:space="0" w:color="auto"/>
          </w:divBdr>
          <w:divsChild>
            <w:div w:id="1635332329">
              <w:marLeft w:val="0"/>
              <w:marRight w:val="0"/>
              <w:marTop w:val="0"/>
              <w:marBottom w:val="0"/>
              <w:divBdr>
                <w:top w:val="none" w:sz="0" w:space="0" w:color="auto"/>
                <w:left w:val="none" w:sz="0" w:space="0" w:color="auto"/>
                <w:bottom w:val="none" w:sz="0" w:space="0" w:color="auto"/>
                <w:right w:val="none" w:sz="0" w:space="0" w:color="auto"/>
              </w:divBdr>
              <w:divsChild>
                <w:div w:id="1752775253">
                  <w:marLeft w:val="0"/>
                  <w:marRight w:val="0"/>
                  <w:marTop w:val="0"/>
                  <w:marBottom w:val="0"/>
                  <w:divBdr>
                    <w:top w:val="none" w:sz="0" w:space="0" w:color="auto"/>
                    <w:left w:val="none" w:sz="0" w:space="0" w:color="auto"/>
                    <w:bottom w:val="none" w:sz="0" w:space="0" w:color="auto"/>
                    <w:right w:val="none" w:sz="0" w:space="0" w:color="auto"/>
                  </w:divBdr>
                  <w:divsChild>
                    <w:div w:id="9699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77284">
      <w:bodyDiv w:val="1"/>
      <w:marLeft w:val="0"/>
      <w:marRight w:val="0"/>
      <w:marTop w:val="0"/>
      <w:marBottom w:val="0"/>
      <w:divBdr>
        <w:top w:val="none" w:sz="0" w:space="0" w:color="auto"/>
        <w:left w:val="none" w:sz="0" w:space="0" w:color="auto"/>
        <w:bottom w:val="none" w:sz="0" w:space="0" w:color="auto"/>
        <w:right w:val="none" w:sz="0" w:space="0" w:color="auto"/>
      </w:divBdr>
      <w:divsChild>
        <w:div w:id="1724671630">
          <w:marLeft w:val="0"/>
          <w:marRight w:val="0"/>
          <w:marTop w:val="0"/>
          <w:marBottom w:val="0"/>
          <w:divBdr>
            <w:top w:val="none" w:sz="0" w:space="0" w:color="auto"/>
            <w:left w:val="none" w:sz="0" w:space="0" w:color="auto"/>
            <w:bottom w:val="none" w:sz="0" w:space="0" w:color="auto"/>
            <w:right w:val="none" w:sz="0" w:space="0" w:color="auto"/>
          </w:divBdr>
        </w:div>
        <w:div w:id="2009553801">
          <w:marLeft w:val="0"/>
          <w:marRight w:val="0"/>
          <w:marTop w:val="0"/>
          <w:marBottom w:val="0"/>
          <w:divBdr>
            <w:top w:val="none" w:sz="0" w:space="0" w:color="auto"/>
            <w:left w:val="none" w:sz="0" w:space="0" w:color="auto"/>
            <w:bottom w:val="none" w:sz="0" w:space="0" w:color="auto"/>
            <w:right w:val="none" w:sz="0" w:space="0" w:color="auto"/>
          </w:divBdr>
        </w:div>
      </w:divsChild>
    </w:div>
    <w:div w:id="1165171561">
      <w:bodyDiv w:val="1"/>
      <w:marLeft w:val="0"/>
      <w:marRight w:val="0"/>
      <w:marTop w:val="0"/>
      <w:marBottom w:val="0"/>
      <w:divBdr>
        <w:top w:val="none" w:sz="0" w:space="0" w:color="auto"/>
        <w:left w:val="none" w:sz="0" w:space="0" w:color="auto"/>
        <w:bottom w:val="none" w:sz="0" w:space="0" w:color="auto"/>
        <w:right w:val="none" w:sz="0" w:space="0" w:color="auto"/>
      </w:divBdr>
      <w:divsChild>
        <w:div w:id="875388903">
          <w:marLeft w:val="0"/>
          <w:marRight w:val="0"/>
          <w:marTop w:val="0"/>
          <w:marBottom w:val="0"/>
          <w:divBdr>
            <w:top w:val="none" w:sz="0" w:space="0" w:color="auto"/>
            <w:left w:val="none" w:sz="0" w:space="0" w:color="auto"/>
            <w:bottom w:val="none" w:sz="0" w:space="0" w:color="auto"/>
            <w:right w:val="none" w:sz="0" w:space="0" w:color="auto"/>
          </w:divBdr>
          <w:divsChild>
            <w:div w:id="1891645412">
              <w:marLeft w:val="0"/>
              <w:marRight w:val="0"/>
              <w:marTop w:val="0"/>
              <w:marBottom w:val="0"/>
              <w:divBdr>
                <w:top w:val="none" w:sz="0" w:space="0" w:color="auto"/>
                <w:left w:val="none" w:sz="0" w:space="0" w:color="auto"/>
                <w:bottom w:val="none" w:sz="0" w:space="0" w:color="auto"/>
                <w:right w:val="none" w:sz="0" w:space="0" w:color="auto"/>
              </w:divBdr>
              <w:divsChild>
                <w:div w:id="509753854">
                  <w:marLeft w:val="0"/>
                  <w:marRight w:val="0"/>
                  <w:marTop w:val="0"/>
                  <w:marBottom w:val="0"/>
                  <w:divBdr>
                    <w:top w:val="none" w:sz="0" w:space="0" w:color="auto"/>
                    <w:left w:val="none" w:sz="0" w:space="0" w:color="auto"/>
                    <w:bottom w:val="none" w:sz="0" w:space="0" w:color="auto"/>
                    <w:right w:val="none" w:sz="0" w:space="0" w:color="auto"/>
                  </w:divBdr>
                  <w:divsChild>
                    <w:div w:id="196503300">
                      <w:marLeft w:val="0"/>
                      <w:marRight w:val="0"/>
                      <w:marTop w:val="0"/>
                      <w:marBottom w:val="0"/>
                      <w:divBdr>
                        <w:top w:val="none" w:sz="0" w:space="0" w:color="auto"/>
                        <w:left w:val="none" w:sz="0" w:space="0" w:color="auto"/>
                        <w:bottom w:val="none" w:sz="0" w:space="0" w:color="auto"/>
                        <w:right w:val="none" w:sz="0" w:space="0" w:color="auto"/>
                      </w:divBdr>
                      <w:divsChild>
                        <w:div w:id="560139649">
                          <w:marLeft w:val="0"/>
                          <w:marRight w:val="0"/>
                          <w:marTop w:val="0"/>
                          <w:marBottom w:val="0"/>
                          <w:divBdr>
                            <w:top w:val="none" w:sz="0" w:space="0" w:color="auto"/>
                            <w:left w:val="none" w:sz="0" w:space="0" w:color="auto"/>
                            <w:bottom w:val="none" w:sz="0" w:space="0" w:color="auto"/>
                            <w:right w:val="none" w:sz="0" w:space="0" w:color="auto"/>
                          </w:divBdr>
                          <w:divsChild>
                            <w:div w:id="4329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0235025">
      <w:bodyDiv w:val="1"/>
      <w:marLeft w:val="0"/>
      <w:marRight w:val="0"/>
      <w:marTop w:val="0"/>
      <w:marBottom w:val="0"/>
      <w:divBdr>
        <w:top w:val="none" w:sz="0" w:space="0" w:color="auto"/>
        <w:left w:val="none" w:sz="0" w:space="0" w:color="auto"/>
        <w:bottom w:val="none" w:sz="0" w:space="0" w:color="auto"/>
        <w:right w:val="none" w:sz="0" w:space="0" w:color="auto"/>
      </w:divBdr>
    </w:div>
    <w:div w:id="1337608319">
      <w:bodyDiv w:val="1"/>
      <w:marLeft w:val="0"/>
      <w:marRight w:val="0"/>
      <w:marTop w:val="0"/>
      <w:marBottom w:val="0"/>
      <w:divBdr>
        <w:top w:val="none" w:sz="0" w:space="0" w:color="auto"/>
        <w:left w:val="none" w:sz="0" w:space="0" w:color="auto"/>
        <w:bottom w:val="none" w:sz="0" w:space="0" w:color="auto"/>
        <w:right w:val="none" w:sz="0" w:space="0" w:color="auto"/>
      </w:divBdr>
      <w:divsChild>
        <w:div w:id="1980379612">
          <w:marLeft w:val="0"/>
          <w:marRight w:val="0"/>
          <w:marTop w:val="0"/>
          <w:marBottom w:val="0"/>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83865">
      <w:bodyDiv w:val="1"/>
      <w:marLeft w:val="0"/>
      <w:marRight w:val="0"/>
      <w:marTop w:val="0"/>
      <w:marBottom w:val="0"/>
      <w:divBdr>
        <w:top w:val="none" w:sz="0" w:space="0" w:color="auto"/>
        <w:left w:val="none" w:sz="0" w:space="0" w:color="auto"/>
        <w:bottom w:val="none" w:sz="0" w:space="0" w:color="auto"/>
        <w:right w:val="none" w:sz="0" w:space="0" w:color="auto"/>
      </w:divBdr>
    </w:div>
    <w:div w:id="1499690611">
      <w:bodyDiv w:val="1"/>
      <w:marLeft w:val="0"/>
      <w:marRight w:val="0"/>
      <w:marTop w:val="0"/>
      <w:marBottom w:val="0"/>
      <w:divBdr>
        <w:top w:val="none" w:sz="0" w:space="0" w:color="auto"/>
        <w:left w:val="none" w:sz="0" w:space="0" w:color="auto"/>
        <w:bottom w:val="none" w:sz="0" w:space="0" w:color="auto"/>
        <w:right w:val="none" w:sz="0" w:space="0" w:color="auto"/>
      </w:divBdr>
    </w:div>
    <w:div w:id="1514806533">
      <w:bodyDiv w:val="1"/>
      <w:marLeft w:val="0"/>
      <w:marRight w:val="0"/>
      <w:marTop w:val="0"/>
      <w:marBottom w:val="0"/>
      <w:divBdr>
        <w:top w:val="none" w:sz="0" w:space="0" w:color="auto"/>
        <w:left w:val="none" w:sz="0" w:space="0" w:color="auto"/>
        <w:bottom w:val="none" w:sz="0" w:space="0" w:color="auto"/>
        <w:right w:val="none" w:sz="0" w:space="0" w:color="auto"/>
      </w:divBdr>
    </w:div>
    <w:div w:id="152262231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8893516">
      <w:bodyDiv w:val="1"/>
      <w:marLeft w:val="0"/>
      <w:marRight w:val="0"/>
      <w:marTop w:val="0"/>
      <w:marBottom w:val="0"/>
      <w:divBdr>
        <w:top w:val="none" w:sz="0" w:space="0" w:color="auto"/>
        <w:left w:val="none" w:sz="0" w:space="0" w:color="auto"/>
        <w:bottom w:val="none" w:sz="0" w:space="0" w:color="auto"/>
        <w:right w:val="none" w:sz="0" w:space="0" w:color="auto"/>
      </w:divBdr>
      <w:divsChild>
        <w:div w:id="1932614865">
          <w:marLeft w:val="0"/>
          <w:marRight w:val="0"/>
          <w:marTop w:val="0"/>
          <w:marBottom w:val="0"/>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77895">
      <w:bodyDiv w:val="1"/>
      <w:marLeft w:val="0"/>
      <w:marRight w:val="0"/>
      <w:marTop w:val="0"/>
      <w:marBottom w:val="0"/>
      <w:divBdr>
        <w:top w:val="none" w:sz="0" w:space="0" w:color="auto"/>
        <w:left w:val="none" w:sz="0" w:space="0" w:color="auto"/>
        <w:bottom w:val="none" w:sz="0" w:space="0" w:color="auto"/>
        <w:right w:val="none" w:sz="0" w:space="0" w:color="auto"/>
      </w:divBdr>
    </w:div>
    <w:div w:id="1732726151">
      <w:bodyDiv w:val="1"/>
      <w:marLeft w:val="0"/>
      <w:marRight w:val="0"/>
      <w:marTop w:val="0"/>
      <w:marBottom w:val="0"/>
      <w:divBdr>
        <w:top w:val="none" w:sz="0" w:space="0" w:color="auto"/>
        <w:left w:val="none" w:sz="0" w:space="0" w:color="auto"/>
        <w:bottom w:val="none" w:sz="0" w:space="0" w:color="auto"/>
        <w:right w:val="none" w:sz="0" w:space="0" w:color="auto"/>
      </w:divBdr>
      <w:divsChild>
        <w:div w:id="1463645932">
          <w:marLeft w:val="0"/>
          <w:marRight w:val="0"/>
          <w:marTop w:val="0"/>
          <w:marBottom w:val="0"/>
          <w:divBdr>
            <w:top w:val="none" w:sz="0" w:space="0" w:color="auto"/>
            <w:left w:val="none" w:sz="0" w:space="0" w:color="auto"/>
            <w:bottom w:val="none" w:sz="0" w:space="0" w:color="auto"/>
            <w:right w:val="none" w:sz="0" w:space="0" w:color="auto"/>
          </w:divBdr>
        </w:div>
      </w:divsChild>
    </w:div>
    <w:div w:id="1750955111">
      <w:bodyDiv w:val="1"/>
      <w:marLeft w:val="0"/>
      <w:marRight w:val="0"/>
      <w:marTop w:val="0"/>
      <w:marBottom w:val="0"/>
      <w:divBdr>
        <w:top w:val="none" w:sz="0" w:space="0" w:color="auto"/>
        <w:left w:val="none" w:sz="0" w:space="0" w:color="auto"/>
        <w:bottom w:val="none" w:sz="0" w:space="0" w:color="auto"/>
        <w:right w:val="none" w:sz="0" w:space="0" w:color="auto"/>
      </w:divBdr>
      <w:divsChild>
        <w:div w:id="403646179">
          <w:marLeft w:val="0"/>
          <w:marRight w:val="0"/>
          <w:marTop w:val="0"/>
          <w:marBottom w:val="0"/>
          <w:divBdr>
            <w:top w:val="none" w:sz="0" w:space="0" w:color="auto"/>
            <w:left w:val="none" w:sz="0" w:space="0" w:color="auto"/>
            <w:bottom w:val="none" w:sz="0" w:space="0" w:color="auto"/>
            <w:right w:val="none" w:sz="0" w:space="0" w:color="auto"/>
          </w:divBdr>
          <w:divsChild>
            <w:div w:id="996569063">
              <w:marLeft w:val="0"/>
              <w:marRight w:val="0"/>
              <w:marTop w:val="0"/>
              <w:marBottom w:val="0"/>
              <w:divBdr>
                <w:top w:val="none" w:sz="0" w:space="0" w:color="auto"/>
                <w:left w:val="none" w:sz="0" w:space="0" w:color="auto"/>
                <w:bottom w:val="none" w:sz="0" w:space="0" w:color="auto"/>
                <w:right w:val="none" w:sz="0" w:space="0" w:color="auto"/>
              </w:divBdr>
              <w:divsChild>
                <w:div w:id="395977201">
                  <w:marLeft w:val="0"/>
                  <w:marRight w:val="0"/>
                  <w:marTop w:val="0"/>
                  <w:marBottom w:val="0"/>
                  <w:divBdr>
                    <w:top w:val="none" w:sz="0" w:space="0" w:color="auto"/>
                    <w:left w:val="none" w:sz="0" w:space="0" w:color="auto"/>
                    <w:bottom w:val="none" w:sz="0" w:space="0" w:color="auto"/>
                    <w:right w:val="none" w:sz="0" w:space="0" w:color="auto"/>
                  </w:divBdr>
                  <w:divsChild>
                    <w:div w:id="15020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7622597">
          <w:marLeft w:val="446"/>
          <w:marRight w:val="0"/>
          <w:marTop w:val="200"/>
          <w:marBottom w:val="90"/>
          <w:divBdr>
            <w:top w:val="none" w:sz="0" w:space="0" w:color="auto"/>
            <w:left w:val="none" w:sz="0" w:space="0" w:color="auto"/>
            <w:bottom w:val="none" w:sz="0" w:space="0" w:color="auto"/>
            <w:right w:val="none" w:sz="0" w:space="0" w:color="auto"/>
          </w:divBdr>
        </w:div>
      </w:divsChild>
    </w:div>
    <w:div w:id="181784428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168002">
      <w:bodyDiv w:val="1"/>
      <w:marLeft w:val="0"/>
      <w:marRight w:val="0"/>
      <w:marTop w:val="0"/>
      <w:marBottom w:val="0"/>
      <w:divBdr>
        <w:top w:val="none" w:sz="0" w:space="0" w:color="auto"/>
        <w:left w:val="none" w:sz="0" w:space="0" w:color="auto"/>
        <w:bottom w:val="none" w:sz="0" w:space="0" w:color="auto"/>
        <w:right w:val="none" w:sz="0" w:space="0" w:color="auto"/>
      </w:divBdr>
    </w:div>
    <w:div w:id="1968511990">
      <w:bodyDiv w:val="1"/>
      <w:marLeft w:val="0"/>
      <w:marRight w:val="0"/>
      <w:marTop w:val="0"/>
      <w:marBottom w:val="0"/>
      <w:divBdr>
        <w:top w:val="none" w:sz="0" w:space="0" w:color="auto"/>
        <w:left w:val="none" w:sz="0" w:space="0" w:color="auto"/>
        <w:bottom w:val="none" w:sz="0" w:space="0" w:color="auto"/>
        <w:right w:val="none" w:sz="0" w:space="0" w:color="auto"/>
      </w:divBdr>
      <w:divsChild>
        <w:div w:id="1842502105">
          <w:marLeft w:val="0"/>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0449253">
      <w:bodyDiv w:val="1"/>
      <w:marLeft w:val="0"/>
      <w:marRight w:val="0"/>
      <w:marTop w:val="0"/>
      <w:marBottom w:val="0"/>
      <w:divBdr>
        <w:top w:val="none" w:sz="0" w:space="0" w:color="auto"/>
        <w:left w:val="none" w:sz="0" w:space="0" w:color="auto"/>
        <w:bottom w:val="none" w:sz="0" w:space="0" w:color="auto"/>
        <w:right w:val="none" w:sz="0" w:space="0" w:color="auto"/>
      </w:divBdr>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8218">
      <w:bodyDiv w:val="1"/>
      <w:marLeft w:val="0"/>
      <w:marRight w:val="0"/>
      <w:marTop w:val="0"/>
      <w:marBottom w:val="0"/>
      <w:divBdr>
        <w:top w:val="none" w:sz="0" w:space="0" w:color="auto"/>
        <w:left w:val="none" w:sz="0" w:space="0" w:color="auto"/>
        <w:bottom w:val="none" w:sz="0" w:space="0" w:color="auto"/>
        <w:right w:val="none" w:sz="0" w:space="0" w:color="auto"/>
      </w:divBdr>
      <w:divsChild>
        <w:div w:id="111485070">
          <w:marLeft w:val="0"/>
          <w:marRight w:val="0"/>
          <w:marTop w:val="0"/>
          <w:marBottom w:val="0"/>
          <w:divBdr>
            <w:top w:val="none" w:sz="0" w:space="0" w:color="auto"/>
            <w:left w:val="none" w:sz="0" w:space="0" w:color="auto"/>
            <w:bottom w:val="none" w:sz="0" w:space="0" w:color="auto"/>
            <w:right w:val="none" w:sz="0" w:space="0" w:color="auto"/>
          </w:divBdr>
        </w:div>
        <w:div w:id="682360837">
          <w:marLeft w:val="0"/>
          <w:marRight w:val="0"/>
          <w:marTop w:val="0"/>
          <w:marBottom w:val="0"/>
          <w:divBdr>
            <w:top w:val="none" w:sz="0" w:space="0" w:color="auto"/>
            <w:left w:val="none" w:sz="0" w:space="0" w:color="auto"/>
            <w:bottom w:val="none" w:sz="0" w:space="0" w:color="auto"/>
            <w:right w:val="none" w:sz="0" w:space="0" w:color="auto"/>
          </w:divBdr>
        </w:div>
        <w:div w:id="847913396">
          <w:marLeft w:val="0"/>
          <w:marRight w:val="0"/>
          <w:marTop w:val="0"/>
          <w:marBottom w:val="0"/>
          <w:divBdr>
            <w:top w:val="none" w:sz="0" w:space="0" w:color="auto"/>
            <w:left w:val="none" w:sz="0" w:space="0" w:color="auto"/>
            <w:bottom w:val="none" w:sz="0" w:space="0" w:color="auto"/>
            <w:right w:val="none" w:sz="0" w:space="0" w:color="auto"/>
          </w:divBdr>
        </w:div>
        <w:div w:id="1049113976">
          <w:marLeft w:val="0"/>
          <w:marRight w:val="0"/>
          <w:marTop w:val="0"/>
          <w:marBottom w:val="0"/>
          <w:divBdr>
            <w:top w:val="none" w:sz="0" w:space="0" w:color="auto"/>
            <w:left w:val="none" w:sz="0" w:space="0" w:color="auto"/>
            <w:bottom w:val="none" w:sz="0" w:space="0" w:color="auto"/>
            <w:right w:val="none" w:sz="0" w:space="0" w:color="auto"/>
          </w:divBdr>
        </w:div>
        <w:div w:id="1096487547">
          <w:marLeft w:val="0"/>
          <w:marRight w:val="0"/>
          <w:marTop w:val="0"/>
          <w:marBottom w:val="0"/>
          <w:divBdr>
            <w:top w:val="none" w:sz="0" w:space="0" w:color="auto"/>
            <w:left w:val="none" w:sz="0" w:space="0" w:color="auto"/>
            <w:bottom w:val="none" w:sz="0" w:space="0" w:color="auto"/>
            <w:right w:val="none" w:sz="0" w:space="0" w:color="auto"/>
          </w:divBdr>
        </w:div>
        <w:div w:id="1208450700">
          <w:marLeft w:val="0"/>
          <w:marRight w:val="0"/>
          <w:marTop w:val="0"/>
          <w:marBottom w:val="0"/>
          <w:divBdr>
            <w:top w:val="none" w:sz="0" w:space="0" w:color="auto"/>
            <w:left w:val="none" w:sz="0" w:space="0" w:color="auto"/>
            <w:bottom w:val="none" w:sz="0" w:space="0" w:color="auto"/>
            <w:right w:val="none" w:sz="0" w:space="0" w:color="auto"/>
          </w:divBdr>
        </w:div>
        <w:div w:id="1273516396">
          <w:marLeft w:val="0"/>
          <w:marRight w:val="0"/>
          <w:marTop w:val="0"/>
          <w:marBottom w:val="0"/>
          <w:divBdr>
            <w:top w:val="none" w:sz="0" w:space="0" w:color="auto"/>
            <w:left w:val="none" w:sz="0" w:space="0" w:color="auto"/>
            <w:bottom w:val="none" w:sz="0" w:space="0" w:color="auto"/>
            <w:right w:val="none" w:sz="0" w:space="0" w:color="auto"/>
          </w:divBdr>
        </w:div>
        <w:div w:id="1300181870">
          <w:marLeft w:val="0"/>
          <w:marRight w:val="0"/>
          <w:marTop w:val="0"/>
          <w:marBottom w:val="0"/>
          <w:divBdr>
            <w:top w:val="none" w:sz="0" w:space="0" w:color="auto"/>
            <w:left w:val="none" w:sz="0" w:space="0" w:color="auto"/>
            <w:bottom w:val="none" w:sz="0" w:space="0" w:color="auto"/>
            <w:right w:val="none" w:sz="0" w:space="0" w:color="auto"/>
          </w:divBdr>
        </w:div>
        <w:div w:id="1548298178">
          <w:marLeft w:val="0"/>
          <w:marRight w:val="0"/>
          <w:marTop w:val="0"/>
          <w:marBottom w:val="0"/>
          <w:divBdr>
            <w:top w:val="none" w:sz="0" w:space="0" w:color="auto"/>
            <w:left w:val="none" w:sz="0" w:space="0" w:color="auto"/>
            <w:bottom w:val="none" w:sz="0" w:space="0" w:color="auto"/>
            <w:right w:val="none" w:sz="0" w:space="0" w:color="auto"/>
          </w:divBdr>
        </w:div>
        <w:div w:id="1796831730">
          <w:marLeft w:val="0"/>
          <w:marRight w:val="0"/>
          <w:marTop w:val="0"/>
          <w:marBottom w:val="0"/>
          <w:divBdr>
            <w:top w:val="none" w:sz="0" w:space="0" w:color="auto"/>
            <w:left w:val="none" w:sz="0" w:space="0" w:color="auto"/>
            <w:bottom w:val="none" w:sz="0" w:space="0" w:color="auto"/>
            <w:right w:val="none" w:sz="0" w:space="0" w:color="auto"/>
          </w:divBdr>
        </w:div>
        <w:div w:id="1803036953">
          <w:marLeft w:val="0"/>
          <w:marRight w:val="0"/>
          <w:marTop w:val="0"/>
          <w:marBottom w:val="0"/>
          <w:divBdr>
            <w:top w:val="none" w:sz="0" w:space="0" w:color="auto"/>
            <w:left w:val="none" w:sz="0" w:space="0" w:color="auto"/>
            <w:bottom w:val="none" w:sz="0" w:space="0" w:color="auto"/>
            <w:right w:val="none" w:sz="0" w:space="0" w:color="auto"/>
          </w:divBdr>
        </w:div>
        <w:div w:id="185043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hyperlink" Target="https://www.legislation.gov.au/Details/F2015L00060" TargetMode="External"/><Relationship Id="rId26" Type="http://schemas.openxmlformats.org/officeDocument/2006/relationships/hyperlink" Target="https://www.legislation.gov.au/F2015L00352/latest/text" TargetMode="External"/><Relationship Id="rId21" Type="http://schemas.openxmlformats.org/officeDocument/2006/relationships/hyperlink" Target="https://www.legislation.gov.au/Latest/F2016L00098"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mailto:ACCUSecretariat@dcceew.gov.au" TargetMode="External"/><Relationship Id="rId25" Type="http://schemas.openxmlformats.org/officeDocument/2006/relationships/hyperlink" Target="https://cer.gov.au/schemes/australian-carbon-credit-unit-scheme/accu-scheme-methods/animal-effluent-management-metho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www.legislation.gov.au/Series/F2021L01254" TargetMode="External"/><Relationship Id="rId29" Type="http://schemas.openxmlformats.org/officeDocument/2006/relationships/hyperlink" Target="https://cer.gov.au/schemes/australian-carbon-credit-unit-scheme/accu-scheme-methods/domestic-commercial-and-industrial-wastewater-meth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cceew.gov.au/climate-change/emissions-reduction/accu-scheme/methods/animal-effluent-managem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cceew.gov.au/climate-change/emissions-reduction/accu-scheme/methods/animal-effluent-management" TargetMode="External"/><Relationship Id="rId23" Type="http://schemas.openxmlformats.org/officeDocument/2006/relationships/hyperlink" Target="https://cer.gov.au/document/supplement-to-carbon-credits-carbon-farming-initiative-animal-effluent-management-methodology" TargetMode="External"/><Relationship Id="rId28" Type="http://schemas.openxmlformats.org/officeDocument/2006/relationships/hyperlink" Target="https://www.dcceew.gov.au/climate-change/emissions-reduction/accu-scheme/methods/domestic-commercial-and-industrial-wastewate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F2015L00059/latest/tex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F2020L00005/latest/text" TargetMode="External"/><Relationship Id="rId27" Type="http://schemas.openxmlformats.org/officeDocument/2006/relationships/hyperlink" Target="https://cer.gov.au/document/guide-to-using-domestic-commercial-and-industrial-wastewater-method"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dcceew.gov.au/climate-change/emissions-reporting/national-greenhouse-energy-reporting-scheme" TargetMode="External"/><Relationship Id="rId2" Type="http://schemas.openxmlformats.org/officeDocument/2006/relationships/hyperlink" Target="https://www.legislation.gov.au/F2015L00352/latest/versions" TargetMode="External"/><Relationship Id="rId1" Type="http://schemas.openxmlformats.org/officeDocument/2006/relationships/hyperlink" Target="https://cer.gov.au/markets/reports-and-data/accu-project-and-contract-register?view=Projects" TargetMode="External"/><Relationship Id="rId6" Type="http://schemas.openxmlformats.org/officeDocument/2006/relationships/hyperlink" Target="https://www.legislation.gov.au/F2015L00060/latest/versions" TargetMode="External"/><Relationship Id="rId5" Type="http://schemas.openxmlformats.org/officeDocument/2006/relationships/hyperlink" Target="https://www.legislation.gov.au/F2021L01789/latest/text" TargetMode="External"/><Relationship Id="rId4" Type="http://schemas.openxmlformats.org/officeDocument/2006/relationships/hyperlink" Target="https://www.legislation.gov.au/F2021L01254/latest/tex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0092\Documents\WCAG\Making%20Accessible%20Word%20Documents\DCCEEW-Report-template.dotx" TargetMode="External"/></Relationships>
</file>

<file path=word/theme/theme1.xml><?xml version="1.0" encoding="utf-8"?>
<a:theme xmlns:a="http://schemas.openxmlformats.org/drawingml/2006/main" name="Office Theme">
  <a:themeElements>
    <a:clrScheme name="ERAC/CAIC">
      <a:dk1>
        <a:sysClr val="windowText" lastClr="000000"/>
      </a:dk1>
      <a:lt1>
        <a:sysClr val="window" lastClr="FFFFFF"/>
      </a:lt1>
      <a:dk2>
        <a:srgbClr val="201B51"/>
      </a:dk2>
      <a:lt2>
        <a:srgbClr val="44BEAA"/>
      </a:lt2>
      <a:accent1>
        <a:srgbClr val="017097"/>
      </a:accent1>
      <a:accent2>
        <a:srgbClr val="5ECAE5"/>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6db8a4b1dcab5df57e03ba46c07c7e7e">
  <xsd:schema xmlns:xsd="http://www.w3.org/2001/XMLSchema" xmlns:xs="http://www.w3.org/2001/XMLSchema" xmlns:p="http://schemas.microsoft.com/office/2006/metadata/properties" xmlns:ns1="http://schemas.microsoft.com/sharepoint/v3" xmlns:ns2="34b62b4a-5584-4b75-9864-fdc1c6516fc1" xmlns:ns3="0046e55a-d89a-45fd-9fc9-1a5273320001" xmlns:ns4="d81c2681-db7b-4a56-9abd-a3238a78f6b2" xmlns:ns5="a95247a4-6a6b-40fb-87b6-0fb2f012c536" targetNamespace="http://schemas.microsoft.com/office/2006/metadata/properties" ma:root="true" ma:fieldsID="07b15da2069ae8bbae032aeda812055e" ns1:_="" ns2:_="" ns3:_="" ns4:_="" ns5:_="">
    <xsd:import namespace="http://schemas.microsoft.com/sharepoint/v3"/>
    <xsd:import namespace="34b62b4a-5584-4b75-9864-fdc1c6516fc1"/>
    <xsd:import namespace="0046e55a-d89a-45fd-9fc9-1a5273320001"/>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62b4a-5584-4b75-9864-fdc1c6516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6e55a-d89a-45fd-9fc9-1a5273320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84e3e5a-7bf7-49c4-bc80-1d89334c1a3c}"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A430E0A0-DAEE-45A0-9E8F-33989290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b62b4a-5584-4b75-9864-fdc1c6516fc1"/>
    <ds:schemaRef ds:uri="0046e55a-d89a-45fd-9fc9-1a5273320001"/>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Template>
  <TotalTime>6</TotalTime>
  <Pages>24</Pages>
  <Words>7008</Words>
  <Characters>39951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46866</CharactersWithSpaces>
  <SharedDoc>false</SharedDoc>
  <HLinks>
    <vt:vector size="240" baseType="variant">
      <vt:variant>
        <vt:i4>1900563</vt:i4>
      </vt:variant>
      <vt:variant>
        <vt:i4>171</vt:i4>
      </vt:variant>
      <vt:variant>
        <vt:i4>0</vt:i4>
      </vt:variant>
      <vt:variant>
        <vt:i4>5</vt:i4>
      </vt:variant>
      <vt:variant>
        <vt:lpwstr>https://cer.gov.au/schemes/australian-carbon-credit-unit-scheme/accu-scheme-methods/domestic-commercial-and-industrial-wastewater-method</vt:lpwstr>
      </vt:variant>
      <vt:variant>
        <vt:lpwstr/>
      </vt:variant>
      <vt:variant>
        <vt:i4>7274608</vt:i4>
      </vt:variant>
      <vt:variant>
        <vt:i4>168</vt:i4>
      </vt:variant>
      <vt:variant>
        <vt:i4>0</vt:i4>
      </vt:variant>
      <vt:variant>
        <vt:i4>5</vt:i4>
      </vt:variant>
      <vt:variant>
        <vt:lpwstr>https://www.dcceew.gov.au/climate-change/emissions-reduction/accu-scheme/methods/domestic-commercial-and-industrial-wastewater</vt:lpwstr>
      </vt:variant>
      <vt:variant>
        <vt:lpwstr/>
      </vt:variant>
      <vt:variant>
        <vt:i4>7405618</vt:i4>
      </vt:variant>
      <vt:variant>
        <vt:i4>165</vt:i4>
      </vt:variant>
      <vt:variant>
        <vt:i4>0</vt:i4>
      </vt:variant>
      <vt:variant>
        <vt:i4>5</vt:i4>
      </vt:variant>
      <vt:variant>
        <vt:lpwstr>https://cer.gov.au/document/guide-to-using-domestic-commercial-and-industrial-wastewater-method</vt:lpwstr>
      </vt:variant>
      <vt:variant>
        <vt:lpwstr/>
      </vt:variant>
      <vt:variant>
        <vt:i4>3014712</vt:i4>
      </vt:variant>
      <vt:variant>
        <vt:i4>162</vt:i4>
      </vt:variant>
      <vt:variant>
        <vt:i4>0</vt:i4>
      </vt:variant>
      <vt:variant>
        <vt:i4>5</vt:i4>
      </vt:variant>
      <vt:variant>
        <vt:lpwstr>https://www.legislation.gov.au/F2015L00352/latest/text</vt:lpwstr>
      </vt:variant>
      <vt:variant>
        <vt:lpwstr/>
      </vt:variant>
      <vt:variant>
        <vt:i4>1310743</vt:i4>
      </vt:variant>
      <vt:variant>
        <vt:i4>159</vt:i4>
      </vt:variant>
      <vt:variant>
        <vt:i4>0</vt:i4>
      </vt:variant>
      <vt:variant>
        <vt:i4>5</vt:i4>
      </vt:variant>
      <vt:variant>
        <vt:lpwstr>https://cer.gov.au/schemes/australian-carbon-credit-unit-scheme/accu-scheme-methods/animal-effluent-management-method</vt:lpwstr>
      </vt:variant>
      <vt:variant>
        <vt:lpwstr/>
      </vt:variant>
      <vt:variant>
        <vt:i4>3997759</vt:i4>
      </vt:variant>
      <vt:variant>
        <vt:i4>156</vt:i4>
      </vt:variant>
      <vt:variant>
        <vt:i4>0</vt:i4>
      </vt:variant>
      <vt:variant>
        <vt:i4>5</vt:i4>
      </vt:variant>
      <vt:variant>
        <vt:lpwstr>https://www.dcceew.gov.au/climate-change/emissions-reduction/accu-scheme/methods/animal-effluent-management</vt:lpwstr>
      </vt:variant>
      <vt:variant>
        <vt:lpwstr/>
      </vt:variant>
      <vt:variant>
        <vt:i4>94</vt:i4>
      </vt:variant>
      <vt:variant>
        <vt:i4>153</vt:i4>
      </vt:variant>
      <vt:variant>
        <vt:i4>0</vt:i4>
      </vt:variant>
      <vt:variant>
        <vt:i4>5</vt:i4>
      </vt:variant>
      <vt:variant>
        <vt:lpwstr>https://cer.gov.au/document/supplement-to-carbon-credits-carbon-farming-initiative-animal-effluent-management-methodology</vt:lpwstr>
      </vt:variant>
      <vt:variant>
        <vt:lpwstr/>
      </vt:variant>
      <vt:variant>
        <vt:i4>3080254</vt:i4>
      </vt:variant>
      <vt:variant>
        <vt:i4>150</vt:i4>
      </vt:variant>
      <vt:variant>
        <vt:i4>0</vt:i4>
      </vt:variant>
      <vt:variant>
        <vt:i4>5</vt:i4>
      </vt:variant>
      <vt:variant>
        <vt:lpwstr>https://www.legislation.gov.au/F2020L00005/latest/text</vt:lpwstr>
      </vt:variant>
      <vt:variant>
        <vt:lpwstr/>
      </vt:variant>
      <vt:variant>
        <vt:i4>1703992</vt:i4>
      </vt:variant>
      <vt:variant>
        <vt:i4>140</vt:i4>
      </vt:variant>
      <vt:variant>
        <vt:i4>0</vt:i4>
      </vt:variant>
      <vt:variant>
        <vt:i4>5</vt:i4>
      </vt:variant>
      <vt:variant>
        <vt:lpwstr/>
      </vt:variant>
      <vt:variant>
        <vt:lpwstr>_Toc187764863</vt:lpwstr>
      </vt:variant>
      <vt:variant>
        <vt:i4>1245244</vt:i4>
      </vt:variant>
      <vt:variant>
        <vt:i4>131</vt:i4>
      </vt:variant>
      <vt:variant>
        <vt:i4>0</vt:i4>
      </vt:variant>
      <vt:variant>
        <vt:i4>5</vt:i4>
      </vt:variant>
      <vt:variant>
        <vt:lpwstr/>
      </vt:variant>
      <vt:variant>
        <vt:lpwstr>_Toc188449115</vt:lpwstr>
      </vt:variant>
      <vt:variant>
        <vt:i4>1245244</vt:i4>
      </vt:variant>
      <vt:variant>
        <vt:i4>125</vt:i4>
      </vt:variant>
      <vt:variant>
        <vt:i4>0</vt:i4>
      </vt:variant>
      <vt:variant>
        <vt:i4>5</vt:i4>
      </vt:variant>
      <vt:variant>
        <vt:lpwstr/>
      </vt:variant>
      <vt:variant>
        <vt:lpwstr>_Toc188449114</vt:lpwstr>
      </vt:variant>
      <vt:variant>
        <vt:i4>1245244</vt:i4>
      </vt:variant>
      <vt:variant>
        <vt:i4>119</vt:i4>
      </vt:variant>
      <vt:variant>
        <vt:i4>0</vt:i4>
      </vt:variant>
      <vt:variant>
        <vt:i4>5</vt:i4>
      </vt:variant>
      <vt:variant>
        <vt:lpwstr/>
      </vt:variant>
      <vt:variant>
        <vt:lpwstr>_Toc188449113</vt:lpwstr>
      </vt:variant>
      <vt:variant>
        <vt:i4>1245244</vt:i4>
      </vt:variant>
      <vt:variant>
        <vt:i4>113</vt:i4>
      </vt:variant>
      <vt:variant>
        <vt:i4>0</vt:i4>
      </vt:variant>
      <vt:variant>
        <vt:i4>5</vt:i4>
      </vt:variant>
      <vt:variant>
        <vt:lpwstr/>
      </vt:variant>
      <vt:variant>
        <vt:lpwstr>_Toc188449112</vt:lpwstr>
      </vt:variant>
      <vt:variant>
        <vt:i4>1245244</vt:i4>
      </vt:variant>
      <vt:variant>
        <vt:i4>107</vt:i4>
      </vt:variant>
      <vt:variant>
        <vt:i4>0</vt:i4>
      </vt:variant>
      <vt:variant>
        <vt:i4>5</vt:i4>
      </vt:variant>
      <vt:variant>
        <vt:lpwstr/>
      </vt:variant>
      <vt:variant>
        <vt:lpwstr>_Toc188449111</vt:lpwstr>
      </vt:variant>
      <vt:variant>
        <vt:i4>1245244</vt:i4>
      </vt:variant>
      <vt:variant>
        <vt:i4>101</vt:i4>
      </vt:variant>
      <vt:variant>
        <vt:i4>0</vt:i4>
      </vt:variant>
      <vt:variant>
        <vt:i4>5</vt:i4>
      </vt:variant>
      <vt:variant>
        <vt:lpwstr/>
      </vt:variant>
      <vt:variant>
        <vt:lpwstr>_Toc188449110</vt:lpwstr>
      </vt:variant>
      <vt:variant>
        <vt:i4>1179708</vt:i4>
      </vt:variant>
      <vt:variant>
        <vt:i4>95</vt:i4>
      </vt:variant>
      <vt:variant>
        <vt:i4>0</vt:i4>
      </vt:variant>
      <vt:variant>
        <vt:i4>5</vt:i4>
      </vt:variant>
      <vt:variant>
        <vt:lpwstr/>
      </vt:variant>
      <vt:variant>
        <vt:lpwstr>_Toc188449109</vt:lpwstr>
      </vt:variant>
      <vt:variant>
        <vt:i4>1179708</vt:i4>
      </vt:variant>
      <vt:variant>
        <vt:i4>89</vt:i4>
      </vt:variant>
      <vt:variant>
        <vt:i4>0</vt:i4>
      </vt:variant>
      <vt:variant>
        <vt:i4>5</vt:i4>
      </vt:variant>
      <vt:variant>
        <vt:lpwstr/>
      </vt:variant>
      <vt:variant>
        <vt:lpwstr>_Toc188449108</vt:lpwstr>
      </vt:variant>
      <vt:variant>
        <vt:i4>1179708</vt:i4>
      </vt:variant>
      <vt:variant>
        <vt:i4>83</vt:i4>
      </vt:variant>
      <vt:variant>
        <vt:i4>0</vt:i4>
      </vt:variant>
      <vt:variant>
        <vt:i4>5</vt:i4>
      </vt:variant>
      <vt:variant>
        <vt:lpwstr/>
      </vt:variant>
      <vt:variant>
        <vt:lpwstr>_Toc188449107</vt:lpwstr>
      </vt:variant>
      <vt:variant>
        <vt:i4>1179708</vt:i4>
      </vt:variant>
      <vt:variant>
        <vt:i4>77</vt:i4>
      </vt:variant>
      <vt:variant>
        <vt:i4>0</vt:i4>
      </vt:variant>
      <vt:variant>
        <vt:i4>5</vt:i4>
      </vt:variant>
      <vt:variant>
        <vt:lpwstr/>
      </vt:variant>
      <vt:variant>
        <vt:lpwstr>_Toc188449106</vt:lpwstr>
      </vt:variant>
      <vt:variant>
        <vt:i4>1179708</vt:i4>
      </vt:variant>
      <vt:variant>
        <vt:i4>71</vt:i4>
      </vt:variant>
      <vt:variant>
        <vt:i4>0</vt:i4>
      </vt:variant>
      <vt:variant>
        <vt:i4>5</vt:i4>
      </vt:variant>
      <vt:variant>
        <vt:lpwstr/>
      </vt:variant>
      <vt:variant>
        <vt:lpwstr>_Toc188449105</vt:lpwstr>
      </vt:variant>
      <vt:variant>
        <vt:i4>1179708</vt:i4>
      </vt:variant>
      <vt:variant>
        <vt:i4>65</vt:i4>
      </vt:variant>
      <vt:variant>
        <vt:i4>0</vt:i4>
      </vt:variant>
      <vt:variant>
        <vt:i4>5</vt:i4>
      </vt:variant>
      <vt:variant>
        <vt:lpwstr/>
      </vt:variant>
      <vt:variant>
        <vt:lpwstr>_Toc188449104</vt:lpwstr>
      </vt:variant>
      <vt:variant>
        <vt:i4>1179708</vt:i4>
      </vt:variant>
      <vt:variant>
        <vt:i4>59</vt:i4>
      </vt:variant>
      <vt:variant>
        <vt:i4>0</vt:i4>
      </vt:variant>
      <vt:variant>
        <vt:i4>5</vt:i4>
      </vt:variant>
      <vt:variant>
        <vt:lpwstr/>
      </vt:variant>
      <vt:variant>
        <vt:lpwstr>_Toc188449103</vt:lpwstr>
      </vt:variant>
      <vt:variant>
        <vt:i4>1179708</vt:i4>
      </vt:variant>
      <vt:variant>
        <vt:i4>53</vt:i4>
      </vt:variant>
      <vt:variant>
        <vt:i4>0</vt:i4>
      </vt:variant>
      <vt:variant>
        <vt:i4>5</vt:i4>
      </vt:variant>
      <vt:variant>
        <vt:lpwstr/>
      </vt:variant>
      <vt:variant>
        <vt:lpwstr>_Toc188449102</vt:lpwstr>
      </vt:variant>
      <vt:variant>
        <vt:i4>1179708</vt:i4>
      </vt:variant>
      <vt:variant>
        <vt:i4>47</vt:i4>
      </vt:variant>
      <vt:variant>
        <vt:i4>0</vt:i4>
      </vt:variant>
      <vt:variant>
        <vt:i4>5</vt:i4>
      </vt:variant>
      <vt:variant>
        <vt:lpwstr/>
      </vt:variant>
      <vt:variant>
        <vt:lpwstr>_Toc188449101</vt:lpwstr>
      </vt:variant>
      <vt:variant>
        <vt:i4>1179708</vt:i4>
      </vt:variant>
      <vt:variant>
        <vt:i4>41</vt:i4>
      </vt:variant>
      <vt:variant>
        <vt:i4>0</vt:i4>
      </vt:variant>
      <vt:variant>
        <vt:i4>5</vt:i4>
      </vt:variant>
      <vt:variant>
        <vt:lpwstr/>
      </vt:variant>
      <vt:variant>
        <vt:lpwstr>_Toc188449100</vt:lpwstr>
      </vt:variant>
      <vt:variant>
        <vt:i4>1769533</vt:i4>
      </vt:variant>
      <vt:variant>
        <vt:i4>35</vt:i4>
      </vt:variant>
      <vt:variant>
        <vt:i4>0</vt:i4>
      </vt:variant>
      <vt:variant>
        <vt:i4>5</vt:i4>
      </vt:variant>
      <vt:variant>
        <vt:lpwstr/>
      </vt:variant>
      <vt:variant>
        <vt:lpwstr>_Toc188449099</vt:lpwstr>
      </vt:variant>
      <vt:variant>
        <vt:i4>1769533</vt:i4>
      </vt:variant>
      <vt:variant>
        <vt:i4>29</vt:i4>
      </vt:variant>
      <vt:variant>
        <vt:i4>0</vt:i4>
      </vt:variant>
      <vt:variant>
        <vt:i4>5</vt:i4>
      </vt:variant>
      <vt:variant>
        <vt:lpwstr/>
      </vt:variant>
      <vt:variant>
        <vt:lpwstr>_Toc188449098</vt:lpwstr>
      </vt:variant>
      <vt:variant>
        <vt:i4>1769533</vt:i4>
      </vt:variant>
      <vt:variant>
        <vt:i4>23</vt:i4>
      </vt:variant>
      <vt:variant>
        <vt:i4>0</vt:i4>
      </vt:variant>
      <vt:variant>
        <vt:i4>5</vt:i4>
      </vt:variant>
      <vt:variant>
        <vt:lpwstr/>
      </vt:variant>
      <vt:variant>
        <vt:lpwstr>_Toc188449097</vt:lpwstr>
      </vt:variant>
      <vt:variant>
        <vt:i4>1769533</vt:i4>
      </vt:variant>
      <vt:variant>
        <vt:i4>17</vt:i4>
      </vt:variant>
      <vt:variant>
        <vt:i4>0</vt:i4>
      </vt:variant>
      <vt:variant>
        <vt:i4>5</vt:i4>
      </vt:variant>
      <vt:variant>
        <vt:lpwstr/>
      </vt:variant>
      <vt:variant>
        <vt:lpwstr>_Toc188449096</vt:lpwstr>
      </vt:variant>
      <vt:variant>
        <vt:i4>1114221</vt:i4>
      </vt:variant>
      <vt:variant>
        <vt:i4>12</vt:i4>
      </vt:variant>
      <vt:variant>
        <vt:i4>0</vt:i4>
      </vt:variant>
      <vt:variant>
        <vt:i4>5</vt:i4>
      </vt:variant>
      <vt:variant>
        <vt:lpwstr>mailto:ACCUSecretariat@dcceew.gov.au</vt:lpwstr>
      </vt:variant>
      <vt:variant>
        <vt:lpwstr/>
      </vt:variant>
      <vt:variant>
        <vt:i4>6684728</vt:i4>
      </vt:variant>
      <vt:variant>
        <vt:i4>9</vt:i4>
      </vt:variant>
      <vt:variant>
        <vt:i4>0</vt:i4>
      </vt:variant>
      <vt:variant>
        <vt:i4>5</vt:i4>
      </vt:variant>
      <vt:variant>
        <vt:lpwstr>https://www.dcceew.gov.au/</vt:lpwstr>
      </vt:variant>
      <vt:variant>
        <vt:lpwstr/>
      </vt:variant>
      <vt:variant>
        <vt:i4>3997759</vt:i4>
      </vt:variant>
      <vt:variant>
        <vt:i4>6</vt:i4>
      </vt:variant>
      <vt:variant>
        <vt:i4>0</vt:i4>
      </vt:variant>
      <vt:variant>
        <vt:i4>5</vt:i4>
      </vt:variant>
      <vt:variant>
        <vt:lpwstr>https://www.dcceew.gov.au/climate-change/emissions-reduction/accu-scheme/methods/animal-effluent-management</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3407924</vt:i4>
      </vt:variant>
      <vt:variant>
        <vt:i4>15</vt:i4>
      </vt:variant>
      <vt:variant>
        <vt:i4>0</vt:i4>
      </vt:variant>
      <vt:variant>
        <vt:i4>5</vt:i4>
      </vt:variant>
      <vt:variant>
        <vt:lpwstr>https://www.legislation.gov.au/F2015L00060/latest/versions</vt:lpwstr>
      </vt:variant>
      <vt:variant>
        <vt:lpwstr/>
      </vt:variant>
      <vt:variant>
        <vt:i4>2424887</vt:i4>
      </vt:variant>
      <vt:variant>
        <vt:i4>12</vt:i4>
      </vt:variant>
      <vt:variant>
        <vt:i4>0</vt:i4>
      </vt:variant>
      <vt:variant>
        <vt:i4>5</vt:i4>
      </vt:variant>
      <vt:variant>
        <vt:lpwstr>https://www.legislation.gov.au/F2021L01789/latest/text</vt:lpwstr>
      </vt:variant>
      <vt:variant>
        <vt:lpwstr/>
      </vt:variant>
      <vt:variant>
        <vt:i4>2949178</vt:i4>
      </vt:variant>
      <vt:variant>
        <vt:i4>9</vt:i4>
      </vt:variant>
      <vt:variant>
        <vt:i4>0</vt:i4>
      </vt:variant>
      <vt:variant>
        <vt:i4>5</vt:i4>
      </vt:variant>
      <vt:variant>
        <vt:lpwstr>https://www.legislation.gov.au/F2021L01254/latest/text</vt:lpwstr>
      </vt:variant>
      <vt:variant>
        <vt:lpwstr/>
      </vt:variant>
      <vt:variant>
        <vt:i4>3473463</vt:i4>
      </vt:variant>
      <vt:variant>
        <vt:i4>6</vt:i4>
      </vt:variant>
      <vt:variant>
        <vt:i4>0</vt:i4>
      </vt:variant>
      <vt:variant>
        <vt:i4>5</vt:i4>
      </vt:variant>
      <vt:variant>
        <vt:lpwstr>https://www.legislation.gov.au/F2015L00352/latest/versions</vt:lpwstr>
      </vt:variant>
      <vt:variant>
        <vt:lpwstr/>
      </vt:variant>
      <vt:variant>
        <vt:i4>3080254</vt:i4>
      </vt:variant>
      <vt:variant>
        <vt:i4>3</vt:i4>
      </vt:variant>
      <vt:variant>
        <vt:i4>0</vt:i4>
      </vt:variant>
      <vt:variant>
        <vt:i4>5</vt:i4>
      </vt:variant>
      <vt:variant>
        <vt:lpwstr>https://www.legislation.gov.au/F2020L00005/latest/text</vt:lpwstr>
      </vt:variant>
      <vt:variant>
        <vt:lpwstr/>
      </vt:variant>
      <vt:variant>
        <vt:i4>6160471</vt:i4>
      </vt:variant>
      <vt:variant>
        <vt:i4>0</vt:i4>
      </vt:variant>
      <vt:variant>
        <vt:i4>0</vt:i4>
      </vt:variant>
      <vt:variant>
        <vt:i4>5</vt:i4>
      </vt:variant>
      <vt:variant>
        <vt:lpwstr>https://cer.gov.au/markets/reports-and-data/accu-project-and-contract-register?view=Projects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Smith, Kathleen</dc:creator>
  <cp:keywords/>
  <cp:lastModifiedBy>Martin COUSINS</cp:lastModifiedBy>
  <cp:revision>5</cp:revision>
  <cp:lastPrinted>2025-03-05T01:06:00Z</cp:lastPrinted>
  <dcterms:created xsi:type="dcterms:W3CDTF">2025-03-05T01:00:00Z</dcterms:created>
  <dcterms:modified xsi:type="dcterms:W3CDTF">2025-03-05T01:06:00Z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dfa7d64,3b4bc59a,66f30c77,2cd78342,55db5a4f,182665b8</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5ee51434,5b4fbd17,4c0823dd,32d77188,7943c65a,50214588</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