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EC10D" w14:textId="5A506255" w:rsidR="00A62EF3" w:rsidRPr="00D30A58" w:rsidRDefault="00CA4641" w:rsidP="00AA12EC">
      <w:pPr>
        <w:pStyle w:val="Title"/>
        <w:tabs>
          <w:tab w:val="left" w:pos="7938"/>
        </w:tabs>
        <w:rPr>
          <w:sz w:val="44"/>
          <w:szCs w:val="52"/>
        </w:rPr>
      </w:pPr>
      <w:bookmarkStart w:id="0" w:name="_Toc96326909"/>
      <w:r>
        <w:rPr>
          <w:sz w:val="44"/>
          <w:szCs w:val="52"/>
        </w:rPr>
        <w:t>Imp</w:t>
      </w:r>
      <w:r w:rsidR="00DD25B4">
        <w:rPr>
          <w:sz w:val="44"/>
          <w:szCs w:val="52"/>
        </w:rPr>
        <w:t>r</w:t>
      </w:r>
      <w:r>
        <w:rPr>
          <w:sz w:val="44"/>
          <w:szCs w:val="52"/>
        </w:rPr>
        <w:t xml:space="preserve">oving </w:t>
      </w:r>
      <w:r w:rsidR="00846C24">
        <w:rPr>
          <w:sz w:val="44"/>
          <w:szCs w:val="52"/>
        </w:rPr>
        <w:t xml:space="preserve">the </w:t>
      </w:r>
      <w:r>
        <w:rPr>
          <w:sz w:val="44"/>
          <w:szCs w:val="52"/>
        </w:rPr>
        <w:t>w</w:t>
      </w:r>
      <w:r w:rsidR="005E6630">
        <w:rPr>
          <w:sz w:val="44"/>
          <w:szCs w:val="52"/>
        </w:rPr>
        <w:t xml:space="preserve">ater efficiency </w:t>
      </w:r>
      <w:r w:rsidR="00846C24">
        <w:rPr>
          <w:sz w:val="44"/>
          <w:szCs w:val="52"/>
        </w:rPr>
        <w:t>of</w:t>
      </w:r>
      <w:r w:rsidR="005E6630">
        <w:rPr>
          <w:sz w:val="44"/>
          <w:szCs w:val="52"/>
        </w:rPr>
        <w:t xml:space="preserve"> </w:t>
      </w:r>
      <w:r w:rsidR="00D30A58" w:rsidRPr="00D30A58">
        <w:rPr>
          <w:sz w:val="44"/>
          <w:szCs w:val="52"/>
        </w:rPr>
        <w:t>commercial ice maker</w:t>
      </w:r>
      <w:r w:rsidR="005E6630">
        <w:rPr>
          <w:sz w:val="44"/>
          <w:szCs w:val="52"/>
        </w:rPr>
        <w:t>s</w:t>
      </w:r>
    </w:p>
    <w:p w14:paraId="6B50F121" w14:textId="01F8ADB8" w:rsidR="00A62EF3" w:rsidRPr="00D30A58" w:rsidRDefault="00C76B32" w:rsidP="00A62EF3">
      <w:pPr>
        <w:pStyle w:val="Subtitle"/>
        <w:rPr>
          <w:b/>
          <w:bCs/>
        </w:rPr>
      </w:pPr>
      <w:r w:rsidRPr="00D30A58">
        <w:rPr>
          <w:b/>
          <w:bCs/>
        </w:rPr>
        <w:t>Impact Analysis</w:t>
      </w:r>
    </w:p>
    <w:p w14:paraId="206F8A21" w14:textId="77777777" w:rsidR="00D30A58" w:rsidRDefault="00D30A58" w:rsidP="00D30A58">
      <w:pPr>
        <w:rPr>
          <w:rStyle w:val="Emphasis"/>
          <w:i w:val="0"/>
        </w:rPr>
      </w:pPr>
    </w:p>
    <w:p w14:paraId="40B8DE37" w14:textId="338E508E" w:rsidR="00D30A58" w:rsidRDefault="00D30A58" w:rsidP="00D30A58">
      <w:pPr>
        <w:rPr>
          <w:rStyle w:val="Emphasis"/>
          <w:i w:val="0"/>
        </w:rPr>
      </w:pPr>
      <w:r>
        <w:rPr>
          <w:rStyle w:val="Emphasis"/>
          <w:i w:val="0"/>
        </w:rPr>
        <w:t xml:space="preserve">Prepared by the </w:t>
      </w:r>
      <w:r w:rsidRPr="00C243DF">
        <w:rPr>
          <w:rStyle w:val="Emphasis"/>
          <w:i w:val="0"/>
        </w:rPr>
        <w:t>Department</w:t>
      </w:r>
      <w:r>
        <w:rPr>
          <w:rStyle w:val="Emphasis"/>
          <w:i w:val="0"/>
        </w:rPr>
        <w:t xml:space="preserve"> of Climate Change, Energy the Environment and Water</w:t>
      </w:r>
    </w:p>
    <w:p w14:paraId="45D0C6C9" w14:textId="77777777" w:rsidR="00D30A58" w:rsidRDefault="00D30A58" w:rsidP="00A62EF3">
      <w:pPr>
        <w:rPr>
          <w:rStyle w:val="Emphasis"/>
          <w:i w:val="0"/>
        </w:rPr>
      </w:pPr>
    </w:p>
    <w:p w14:paraId="064EA513" w14:textId="3B210AB1" w:rsidR="00C76B32" w:rsidRDefault="00C76B32">
      <w:pPr>
        <w:spacing w:after="200" w:line="288" w:lineRule="auto"/>
        <w:rPr>
          <w:iCs/>
        </w:rPr>
      </w:pPr>
      <w:r>
        <w:rPr>
          <w:iCs/>
        </w:rPr>
        <w:br w:type="page"/>
      </w:r>
    </w:p>
    <w:p w14:paraId="185E0E29" w14:textId="77777777" w:rsidR="00794A3E" w:rsidRPr="00794A3E" w:rsidRDefault="00794A3E" w:rsidP="00794A3E">
      <w:pPr>
        <w:rPr>
          <w:iCs/>
        </w:rPr>
      </w:pPr>
      <w:r w:rsidRPr="00794A3E">
        <w:rPr>
          <w:iCs/>
        </w:rPr>
        <w:lastRenderedPageBreak/>
        <w:t>© Commonwealth of Australia 2025</w:t>
      </w:r>
    </w:p>
    <w:p w14:paraId="6B51F44A" w14:textId="77777777" w:rsidR="00794A3E" w:rsidRPr="00794A3E" w:rsidRDefault="00794A3E" w:rsidP="00794A3E">
      <w:pPr>
        <w:rPr>
          <w:iCs/>
        </w:rPr>
      </w:pPr>
      <w:r w:rsidRPr="00794A3E">
        <w:rPr>
          <w:iCs/>
        </w:rPr>
        <w:t>Ownership of intellectual property rights</w:t>
      </w:r>
    </w:p>
    <w:p w14:paraId="421599F8" w14:textId="77777777" w:rsidR="00794A3E" w:rsidRPr="00794A3E" w:rsidRDefault="00794A3E" w:rsidP="00794A3E">
      <w:pPr>
        <w:rPr>
          <w:iCs/>
        </w:rPr>
      </w:pPr>
      <w:r w:rsidRPr="00794A3E">
        <w:rPr>
          <w:iCs/>
        </w:rPr>
        <w:t>Unless otherwise noted, copyright (and any other intellectual property rights) in this publication is owned by the Commonwealth of Australia (referred to as the Commonwealth).</w:t>
      </w:r>
    </w:p>
    <w:p w14:paraId="51C085E6" w14:textId="77777777" w:rsidR="00794A3E" w:rsidRPr="00794A3E" w:rsidRDefault="00794A3E" w:rsidP="00794A3E">
      <w:pPr>
        <w:rPr>
          <w:iCs/>
        </w:rPr>
      </w:pPr>
      <w:r w:rsidRPr="00794A3E">
        <w:rPr>
          <w:iCs/>
        </w:rPr>
        <w:t>Creative Commons licence</w:t>
      </w:r>
    </w:p>
    <w:p w14:paraId="61DDBB58" w14:textId="77777777" w:rsidR="00794A3E" w:rsidRPr="00794A3E" w:rsidRDefault="00794A3E" w:rsidP="00794A3E">
      <w:pPr>
        <w:rPr>
          <w:iCs/>
        </w:rPr>
      </w:pPr>
      <w:r w:rsidRPr="00794A3E">
        <w:rPr>
          <w:iCs/>
        </w:rPr>
        <w:t xml:space="preserve">All material in this publication is licensed under a </w:t>
      </w:r>
      <w:hyperlink r:id="rId11" w:history="1">
        <w:r w:rsidRPr="00794A3E">
          <w:rPr>
            <w:rStyle w:val="Hyperlink"/>
            <w:iCs/>
          </w:rPr>
          <w:t>Creative Commons Attribution 4.0 International Licence</w:t>
        </w:r>
      </w:hyperlink>
      <w:r w:rsidRPr="00794A3E">
        <w:rPr>
          <w:iCs/>
        </w:rPr>
        <w:t xml:space="preserve"> except content supplied by third parties, logos and the Commonwealth Coat of Arms.</w:t>
      </w:r>
    </w:p>
    <w:p w14:paraId="1269034D" w14:textId="77777777" w:rsidR="00794A3E" w:rsidRPr="00794A3E" w:rsidRDefault="00794A3E" w:rsidP="00794A3E">
      <w:pPr>
        <w:rPr>
          <w:iCs/>
        </w:rPr>
      </w:pPr>
      <w:r w:rsidRPr="00794A3E">
        <w:rPr>
          <w:iCs/>
        </w:rPr>
        <w:t xml:space="preserve">Inquiries about the licence and any use of this document should be submitted via our online contact </w:t>
      </w:r>
      <w:hyperlink r:id="rId12" w:history="1">
        <w:r w:rsidRPr="00794A3E">
          <w:rPr>
            <w:rStyle w:val="Hyperlink"/>
            <w:iCs/>
          </w:rPr>
          <w:t>form</w:t>
        </w:r>
      </w:hyperlink>
      <w:r w:rsidRPr="00794A3E">
        <w:rPr>
          <w:iCs/>
        </w:rPr>
        <w:t>.</w:t>
      </w:r>
    </w:p>
    <w:p w14:paraId="61B05CC4" w14:textId="33B2F494" w:rsidR="00794A3E" w:rsidRPr="00794A3E" w:rsidRDefault="00794A3E" w:rsidP="00794A3E">
      <w:pPr>
        <w:rPr>
          <w:iCs/>
        </w:rPr>
      </w:pPr>
      <w:r w:rsidRPr="00794A3E">
        <w:rPr>
          <w:iCs/>
          <w:noProof/>
        </w:rPr>
        <w:drawing>
          <wp:inline distT="0" distB="0" distL="0" distR="0" wp14:anchorId="19DEEE06" wp14:editId="4E8DDF0E">
            <wp:extent cx="723900" cy="260350"/>
            <wp:effectExtent l="0" t="0" r="0" b="6350"/>
            <wp:docPr id="536968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a:ln>
                      <a:noFill/>
                    </a:ln>
                  </pic:spPr>
                </pic:pic>
              </a:graphicData>
            </a:graphic>
          </wp:inline>
        </w:drawing>
      </w:r>
    </w:p>
    <w:p w14:paraId="45E3A318" w14:textId="77777777" w:rsidR="00794A3E" w:rsidRPr="00794A3E" w:rsidRDefault="00794A3E" w:rsidP="00794A3E">
      <w:pPr>
        <w:rPr>
          <w:iCs/>
        </w:rPr>
      </w:pPr>
      <w:r w:rsidRPr="00794A3E">
        <w:rPr>
          <w:iCs/>
        </w:rPr>
        <w:t>Cataloguing data</w:t>
      </w:r>
    </w:p>
    <w:p w14:paraId="48F4AC08" w14:textId="29C1A224" w:rsidR="00794A3E" w:rsidRPr="00794A3E" w:rsidRDefault="00794A3E" w:rsidP="00794A3E">
      <w:pPr>
        <w:rPr>
          <w:iCs/>
        </w:rPr>
      </w:pPr>
      <w:r w:rsidRPr="00794A3E">
        <w:rPr>
          <w:iCs/>
        </w:rPr>
        <w:t xml:space="preserve">This publication (and any material sourced from it) should be attributed as: </w:t>
      </w:r>
      <w:r>
        <w:rPr>
          <w:iCs/>
        </w:rPr>
        <w:t>Improving the Water Efficiency of Commercial Ice Makers</w:t>
      </w:r>
      <w:r w:rsidRPr="00794A3E">
        <w:rPr>
          <w:iCs/>
        </w:rPr>
        <w:t>, Department of Climate Change, Energy, the Environment and Water, Canberra, February. CC BY 4.0.</w:t>
      </w:r>
    </w:p>
    <w:p w14:paraId="6D78805A" w14:textId="088FE0DE" w:rsidR="00794A3E" w:rsidRPr="00794A3E" w:rsidRDefault="00794A3E" w:rsidP="00794A3E">
      <w:pPr>
        <w:rPr>
          <w:iCs/>
        </w:rPr>
      </w:pPr>
      <w:r w:rsidRPr="00794A3E">
        <w:rPr>
          <w:iCs/>
        </w:rPr>
        <w:t xml:space="preserve">This publication is available at </w:t>
      </w:r>
      <w:r w:rsidRPr="00794A3E">
        <w:rPr>
          <w:i/>
        </w:rPr>
        <w:t>TBC</w:t>
      </w:r>
      <w:r>
        <w:rPr>
          <w:i/>
        </w:rPr>
        <w:t xml:space="preserve"> – updated on completion of the Impact Analysis</w:t>
      </w:r>
      <w:r w:rsidRPr="00794A3E">
        <w:rPr>
          <w:iCs/>
        </w:rPr>
        <w:t>.</w:t>
      </w:r>
    </w:p>
    <w:p w14:paraId="42E0E78B" w14:textId="77777777" w:rsidR="00794A3E" w:rsidRPr="00794A3E" w:rsidRDefault="00794A3E" w:rsidP="00794A3E">
      <w:pPr>
        <w:rPr>
          <w:iCs/>
        </w:rPr>
      </w:pPr>
      <w:r w:rsidRPr="00794A3E">
        <w:rPr>
          <w:iCs/>
        </w:rPr>
        <w:t>Department of Climate Change, Energy, the Environment and Water</w:t>
      </w:r>
    </w:p>
    <w:p w14:paraId="491F9A3C" w14:textId="77777777" w:rsidR="00794A3E" w:rsidRPr="00794A3E" w:rsidRDefault="00794A3E" w:rsidP="00794A3E">
      <w:pPr>
        <w:rPr>
          <w:iCs/>
        </w:rPr>
      </w:pPr>
      <w:r w:rsidRPr="00794A3E">
        <w:rPr>
          <w:iCs/>
        </w:rPr>
        <w:t>GPO Box 3090 Canberra ACT 2601</w:t>
      </w:r>
    </w:p>
    <w:p w14:paraId="5C6CC85C" w14:textId="77777777" w:rsidR="00794A3E" w:rsidRPr="00794A3E" w:rsidRDefault="00794A3E" w:rsidP="00794A3E">
      <w:pPr>
        <w:rPr>
          <w:iCs/>
        </w:rPr>
      </w:pPr>
      <w:r w:rsidRPr="00794A3E">
        <w:rPr>
          <w:iCs/>
        </w:rPr>
        <w:t>Telephone 1800 920 528</w:t>
      </w:r>
    </w:p>
    <w:p w14:paraId="544F6616" w14:textId="77777777" w:rsidR="00794A3E" w:rsidRPr="00794A3E" w:rsidRDefault="00794A3E" w:rsidP="00794A3E">
      <w:pPr>
        <w:rPr>
          <w:iCs/>
        </w:rPr>
      </w:pPr>
      <w:r w:rsidRPr="00794A3E">
        <w:rPr>
          <w:iCs/>
        </w:rPr>
        <w:t>Web dcceew.gov.au</w:t>
      </w:r>
    </w:p>
    <w:p w14:paraId="050C2CB8" w14:textId="77777777" w:rsidR="00794A3E" w:rsidRPr="00794A3E" w:rsidRDefault="00794A3E" w:rsidP="00794A3E">
      <w:pPr>
        <w:rPr>
          <w:iCs/>
        </w:rPr>
      </w:pPr>
      <w:r w:rsidRPr="00794A3E">
        <w:rPr>
          <w:iCs/>
        </w:rPr>
        <w:t>Disclaimer</w:t>
      </w:r>
    </w:p>
    <w:p w14:paraId="5D3C425B" w14:textId="3F1C3056" w:rsidR="00C76B32" w:rsidRPr="00C76B32" w:rsidRDefault="00794A3E" w:rsidP="00794A3E">
      <w:pPr>
        <w:rPr>
          <w:iCs/>
        </w:rPr>
      </w:pPr>
      <w:r w:rsidRPr="00794A3E">
        <w:rPr>
          <w:iCs/>
        </w:rPr>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BA5CA51" w14:textId="77777777" w:rsidR="00C76B32" w:rsidRDefault="00C76B32" w:rsidP="00A62EF3">
      <w:pPr>
        <w:rPr>
          <w:rStyle w:val="Emphasis"/>
          <w:i w:val="0"/>
        </w:rPr>
      </w:pPr>
    </w:p>
    <w:bookmarkEnd w:id="0" w:displacedByCustomXml="next"/>
    <w:sdt>
      <w:sdtPr>
        <w:rPr>
          <w:rFonts w:asciiTheme="minorHAnsi" w:eastAsiaTheme="minorEastAsia" w:hAnsiTheme="minorHAnsi" w:cstheme="minorBidi"/>
          <w:i/>
          <w:iCs/>
          <w:color w:val="auto"/>
          <w:sz w:val="22"/>
          <w:szCs w:val="21"/>
        </w:rPr>
        <w:id w:val="-783421391"/>
        <w:docPartObj>
          <w:docPartGallery w:val="Table of Contents"/>
          <w:docPartUnique/>
        </w:docPartObj>
      </w:sdtPr>
      <w:sdtEndPr>
        <w:rPr>
          <w:b/>
          <w:bCs/>
          <w:i w:val="0"/>
          <w:iCs w:val="0"/>
          <w:noProof/>
        </w:rPr>
      </w:sdtEndPr>
      <w:sdtContent>
        <w:p w14:paraId="7166D9F5" w14:textId="384F97F7" w:rsidR="00F7120A" w:rsidRDefault="00F7120A" w:rsidP="00F7120A">
          <w:pPr>
            <w:pStyle w:val="TOCHeading"/>
            <w:pageBreakBefore/>
          </w:pPr>
          <w:r>
            <w:t>Contents</w:t>
          </w:r>
        </w:p>
        <w:p w14:paraId="4EC4758A" w14:textId="4F9DC12B" w:rsidR="00E25C47" w:rsidRDefault="00F7120A">
          <w:pPr>
            <w:pStyle w:val="TOC1"/>
            <w:tabs>
              <w:tab w:val="right" w:leader="dot" w:pos="9628"/>
            </w:tabs>
            <w:rPr>
              <w:noProof/>
              <w:kern w:val="2"/>
              <w:sz w:val="24"/>
              <w:szCs w:val="24"/>
              <w:lang w:eastAsia="en-AU"/>
              <w14:ligatures w14:val="standardContextual"/>
            </w:rPr>
          </w:pPr>
          <w:r>
            <w:fldChar w:fldCharType="begin"/>
          </w:r>
          <w:r>
            <w:instrText xml:space="preserve"> TOC \o "1-3" \h \z \u </w:instrText>
          </w:r>
          <w:r>
            <w:fldChar w:fldCharType="separate"/>
          </w:r>
          <w:hyperlink w:anchor="_Toc196745398" w:history="1">
            <w:r w:rsidR="00E25C47" w:rsidRPr="009F60CA">
              <w:rPr>
                <w:rStyle w:val="Hyperlink"/>
                <w:noProof/>
              </w:rPr>
              <w:t>Summary</w:t>
            </w:r>
            <w:r w:rsidR="00E25C47">
              <w:rPr>
                <w:noProof/>
                <w:webHidden/>
              </w:rPr>
              <w:tab/>
            </w:r>
            <w:r w:rsidR="00E25C47">
              <w:rPr>
                <w:noProof/>
                <w:webHidden/>
              </w:rPr>
              <w:fldChar w:fldCharType="begin"/>
            </w:r>
            <w:r w:rsidR="00E25C47">
              <w:rPr>
                <w:noProof/>
                <w:webHidden/>
              </w:rPr>
              <w:instrText xml:space="preserve"> PAGEREF _Toc196745398 \h </w:instrText>
            </w:r>
            <w:r w:rsidR="00E25C47">
              <w:rPr>
                <w:noProof/>
                <w:webHidden/>
              </w:rPr>
            </w:r>
            <w:r w:rsidR="00E25C47">
              <w:rPr>
                <w:noProof/>
                <w:webHidden/>
              </w:rPr>
              <w:fldChar w:fldCharType="separate"/>
            </w:r>
            <w:r w:rsidR="002271EC">
              <w:rPr>
                <w:noProof/>
                <w:webHidden/>
              </w:rPr>
              <w:t>7</w:t>
            </w:r>
            <w:r w:rsidR="00E25C47">
              <w:rPr>
                <w:noProof/>
                <w:webHidden/>
              </w:rPr>
              <w:fldChar w:fldCharType="end"/>
            </w:r>
          </w:hyperlink>
        </w:p>
        <w:p w14:paraId="61DE176E" w14:textId="688DF016" w:rsidR="00E25C47" w:rsidRDefault="00E25C47">
          <w:pPr>
            <w:pStyle w:val="TOC2"/>
            <w:tabs>
              <w:tab w:val="right" w:leader="dot" w:pos="9628"/>
            </w:tabs>
            <w:rPr>
              <w:noProof/>
              <w:kern w:val="2"/>
              <w:sz w:val="24"/>
              <w:szCs w:val="24"/>
              <w:lang w:eastAsia="en-AU"/>
              <w14:ligatures w14:val="standardContextual"/>
            </w:rPr>
          </w:pPr>
          <w:hyperlink w:anchor="_Toc196745399" w:history="1">
            <w:r w:rsidRPr="009F60CA">
              <w:rPr>
                <w:rStyle w:val="Hyperlink"/>
                <w:noProof/>
              </w:rPr>
              <w:t>Glossary</w:t>
            </w:r>
            <w:r>
              <w:rPr>
                <w:noProof/>
                <w:webHidden/>
              </w:rPr>
              <w:tab/>
            </w:r>
            <w:r>
              <w:rPr>
                <w:noProof/>
                <w:webHidden/>
              </w:rPr>
              <w:fldChar w:fldCharType="begin"/>
            </w:r>
            <w:r>
              <w:rPr>
                <w:noProof/>
                <w:webHidden/>
              </w:rPr>
              <w:instrText xml:space="preserve"> PAGEREF _Toc196745399 \h </w:instrText>
            </w:r>
            <w:r>
              <w:rPr>
                <w:noProof/>
                <w:webHidden/>
              </w:rPr>
            </w:r>
            <w:r>
              <w:rPr>
                <w:noProof/>
                <w:webHidden/>
              </w:rPr>
              <w:fldChar w:fldCharType="separate"/>
            </w:r>
            <w:r w:rsidR="002271EC">
              <w:rPr>
                <w:noProof/>
                <w:webHidden/>
              </w:rPr>
              <w:t>10</w:t>
            </w:r>
            <w:r>
              <w:rPr>
                <w:noProof/>
                <w:webHidden/>
              </w:rPr>
              <w:fldChar w:fldCharType="end"/>
            </w:r>
          </w:hyperlink>
        </w:p>
        <w:p w14:paraId="2035D12C" w14:textId="4A6E186B" w:rsidR="00E25C47" w:rsidRDefault="00E25C47">
          <w:pPr>
            <w:pStyle w:val="TOC1"/>
            <w:tabs>
              <w:tab w:val="right" w:leader="dot" w:pos="9628"/>
            </w:tabs>
            <w:rPr>
              <w:noProof/>
              <w:kern w:val="2"/>
              <w:sz w:val="24"/>
              <w:szCs w:val="24"/>
              <w:lang w:eastAsia="en-AU"/>
              <w14:ligatures w14:val="standardContextual"/>
            </w:rPr>
          </w:pPr>
          <w:hyperlink w:anchor="_Toc196745400" w:history="1">
            <w:r w:rsidRPr="009F60CA">
              <w:rPr>
                <w:rStyle w:val="Hyperlink"/>
                <w:noProof/>
              </w:rPr>
              <w:t>1. Background and problem</w:t>
            </w:r>
            <w:r>
              <w:rPr>
                <w:noProof/>
                <w:webHidden/>
              </w:rPr>
              <w:tab/>
            </w:r>
            <w:r>
              <w:rPr>
                <w:noProof/>
                <w:webHidden/>
              </w:rPr>
              <w:fldChar w:fldCharType="begin"/>
            </w:r>
            <w:r>
              <w:rPr>
                <w:noProof/>
                <w:webHidden/>
              </w:rPr>
              <w:instrText xml:space="preserve"> PAGEREF _Toc196745400 \h </w:instrText>
            </w:r>
            <w:r>
              <w:rPr>
                <w:noProof/>
                <w:webHidden/>
              </w:rPr>
            </w:r>
            <w:r>
              <w:rPr>
                <w:noProof/>
                <w:webHidden/>
              </w:rPr>
              <w:fldChar w:fldCharType="separate"/>
            </w:r>
            <w:r w:rsidR="002271EC">
              <w:rPr>
                <w:noProof/>
                <w:webHidden/>
              </w:rPr>
              <w:t>11</w:t>
            </w:r>
            <w:r>
              <w:rPr>
                <w:noProof/>
                <w:webHidden/>
              </w:rPr>
              <w:fldChar w:fldCharType="end"/>
            </w:r>
          </w:hyperlink>
        </w:p>
        <w:p w14:paraId="4BA64246" w14:textId="5CCB7BC4" w:rsidR="00E25C47" w:rsidRDefault="00E25C47">
          <w:pPr>
            <w:pStyle w:val="TOC2"/>
            <w:tabs>
              <w:tab w:val="right" w:leader="dot" w:pos="9628"/>
            </w:tabs>
            <w:rPr>
              <w:noProof/>
              <w:kern w:val="2"/>
              <w:sz w:val="24"/>
              <w:szCs w:val="24"/>
              <w:lang w:eastAsia="en-AU"/>
              <w14:ligatures w14:val="standardContextual"/>
            </w:rPr>
          </w:pPr>
          <w:hyperlink w:anchor="_Toc196745401" w:history="1">
            <w:r w:rsidRPr="009F60CA">
              <w:rPr>
                <w:rStyle w:val="Hyperlink"/>
                <w:noProof/>
              </w:rPr>
              <w:t>Commercial Ice Makers</w:t>
            </w:r>
            <w:r>
              <w:rPr>
                <w:noProof/>
                <w:webHidden/>
              </w:rPr>
              <w:tab/>
            </w:r>
            <w:r>
              <w:rPr>
                <w:noProof/>
                <w:webHidden/>
              </w:rPr>
              <w:fldChar w:fldCharType="begin"/>
            </w:r>
            <w:r>
              <w:rPr>
                <w:noProof/>
                <w:webHidden/>
              </w:rPr>
              <w:instrText xml:space="preserve"> PAGEREF _Toc196745401 \h </w:instrText>
            </w:r>
            <w:r>
              <w:rPr>
                <w:noProof/>
                <w:webHidden/>
              </w:rPr>
            </w:r>
            <w:r>
              <w:rPr>
                <w:noProof/>
                <w:webHidden/>
              </w:rPr>
              <w:fldChar w:fldCharType="separate"/>
            </w:r>
            <w:r w:rsidR="002271EC">
              <w:rPr>
                <w:noProof/>
                <w:webHidden/>
              </w:rPr>
              <w:t>11</w:t>
            </w:r>
            <w:r>
              <w:rPr>
                <w:noProof/>
                <w:webHidden/>
              </w:rPr>
              <w:fldChar w:fldCharType="end"/>
            </w:r>
          </w:hyperlink>
        </w:p>
        <w:p w14:paraId="44496799" w14:textId="17FAC4D8" w:rsidR="00E25C47" w:rsidRDefault="00E25C47">
          <w:pPr>
            <w:pStyle w:val="TOC3"/>
            <w:tabs>
              <w:tab w:val="right" w:leader="dot" w:pos="9628"/>
            </w:tabs>
            <w:rPr>
              <w:noProof/>
              <w:kern w:val="2"/>
              <w:sz w:val="24"/>
              <w:szCs w:val="24"/>
              <w:lang w:eastAsia="en-AU"/>
              <w14:ligatures w14:val="standardContextual"/>
            </w:rPr>
          </w:pPr>
          <w:hyperlink w:anchor="_Toc196745402" w:history="1">
            <w:r w:rsidRPr="009F60CA">
              <w:rPr>
                <w:rStyle w:val="Hyperlink"/>
                <w:noProof/>
              </w:rPr>
              <w:t>Technology</w:t>
            </w:r>
            <w:r>
              <w:rPr>
                <w:noProof/>
                <w:webHidden/>
              </w:rPr>
              <w:tab/>
            </w:r>
            <w:r>
              <w:rPr>
                <w:noProof/>
                <w:webHidden/>
              </w:rPr>
              <w:fldChar w:fldCharType="begin"/>
            </w:r>
            <w:r>
              <w:rPr>
                <w:noProof/>
                <w:webHidden/>
              </w:rPr>
              <w:instrText xml:space="preserve"> PAGEREF _Toc196745402 \h </w:instrText>
            </w:r>
            <w:r>
              <w:rPr>
                <w:noProof/>
                <w:webHidden/>
              </w:rPr>
            </w:r>
            <w:r>
              <w:rPr>
                <w:noProof/>
                <w:webHidden/>
              </w:rPr>
              <w:fldChar w:fldCharType="separate"/>
            </w:r>
            <w:r w:rsidR="002271EC">
              <w:rPr>
                <w:noProof/>
                <w:webHidden/>
              </w:rPr>
              <w:t>11</w:t>
            </w:r>
            <w:r>
              <w:rPr>
                <w:noProof/>
                <w:webHidden/>
              </w:rPr>
              <w:fldChar w:fldCharType="end"/>
            </w:r>
          </w:hyperlink>
        </w:p>
        <w:p w14:paraId="4F182F33" w14:textId="5F51D3B4" w:rsidR="00E25C47" w:rsidRDefault="00E25C47">
          <w:pPr>
            <w:pStyle w:val="TOC3"/>
            <w:tabs>
              <w:tab w:val="right" w:leader="dot" w:pos="9628"/>
            </w:tabs>
            <w:rPr>
              <w:noProof/>
              <w:kern w:val="2"/>
              <w:sz w:val="24"/>
              <w:szCs w:val="24"/>
              <w:lang w:eastAsia="en-AU"/>
              <w14:ligatures w14:val="standardContextual"/>
            </w:rPr>
          </w:pPr>
          <w:hyperlink w:anchor="_Toc196745403" w:history="1">
            <w:r w:rsidRPr="009F60CA">
              <w:rPr>
                <w:rStyle w:val="Hyperlink"/>
                <w:noProof/>
              </w:rPr>
              <w:t>Product categories</w:t>
            </w:r>
            <w:r>
              <w:rPr>
                <w:noProof/>
                <w:webHidden/>
              </w:rPr>
              <w:tab/>
            </w:r>
            <w:r>
              <w:rPr>
                <w:noProof/>
                <w:webHidden/>
              </w:rPr>
              <w:fldChar w:fldCharType="begin"/>
            </w:r>
            <w:r>
              <w:rPr>
                <w:noProof/>
                <w:webHidden/>
              </w:rPr>
              <w:instrText xml:space="preserve"> PAGEREF _Toc196745403 \h </w:instrText>
            </w:r>
            <w:r>
              <w:rPr>
                <w:noProof/>
                <w:webHidden/>
              </w:rPr>
            </w:r>
            <w:r>
              <w:rPr>
                <w:noProof/>
                <w:webHidden/>
              </w:rPr>
              <w:fldChar w:fldCharType="separate"/>
            </w:r>
            <w:r w:rsidR="002271EC">
              <w:rPr>
                <w:noProof/>
                <w:webHidden/>
              </w:rPr>
              <w:t>12</w:t>
            </w:r>
            <w:r>
              <w:rPr>
                <w:noProof/>
                <w:webHidden/>
              </w:rPr>
              <w:fldChar w:fldCharType="end"/>
            </w:r>
          </w:hyperlink>
        </w:p>
        <w:p w14:paraId="6DD79077" w14:textId="10A566EF" w:rsidR="00E25C47" w:rsidRDefault="00E25C47">
          <w:pPr>
            <w:pStyle w:val="TOC3"/>
            <w:tabs>
              <w:tab w:val="right" w:leader="dot" w:pos="9628"/>
            </w:tabs>
            <w:rPr>
              <w:noProof/>
              <w:kern w:val="2"/>
              <w:sz w:val="24"/>
              <w:szCs w:val="24"/>
              <w:lang w:eastAsia="en-AU"/>
              <w14:ligatures w14:val="standardContextual"/>
            </w:rPr>
          </w:pPr>
          <w:hyperlink w:anchor="_Toc196745404" w:history="1">
            <w:r w:rsidRPr="009F60CA">
              <w:rPr>
                <w:rStyle w:val="Hyperlink"/>
                <w:noProof/>
              </w:rPr>
              <w:t>The industry</w:t>
            </w:r>
            <w:r>
              <w:rPr>
                <w:noProof/>
                <w:webHidden/>
              </w:rPr>
              <w:tab/>
            </w:r>
            <w:r>
              <w:rPr>
                <w:noProof/>
                <w:webHidden/>
              </w:rPr>
              <w:fldChar w:fldCharType="begin"/>
            </w:r>
            <w:r>
              <w:rPr>
                <w:noProof/>
                <w:webHidden/>
              </w:rPr>
              <w:instrText xml:space="preserve"> PAGEREF _Toc196745404 \h </w:instrText>
            </w:r>
            <w:r>
              <w:rPr>
                <w:noProof/>
                <w:webHidden/>
              </w:rPr>
            </w:r>
            <w:r>
              <w:rPr>
                <w:noProof/>
                <w:webHidden/>
              </w:rPr>
              <w:fldChar w:fldCharType="separate"/>
            </w:r>
            <w:r w:rsidR="002271EC">
              <w:rPr>
                <w:noProof/>
                <w:webHidden/>
              </w:rPr>
              <w:t>15</w:t>
            </w:r>
            <w:r>
              <w:rPr>
                <w:noProof/>
                <w:webHidden/>
              </w:rPr>
              <w:fldChar w:fldCharType="end"/>
            </w:r>
          </w:hyperlink>
        </w:p>
        <w:p w14:paraId="01CE1660" w14:textId="78CE9662" w:rsidR="00E25C47" w:rsidRDefault="00E25C47">
          <w:pPr>
            <w:pStyle w:val="TOC3"/>
            <w:tabs>
              <w:tab w:val="right" w:leader="dot" w:pos="9628"/>
            </w:tabs>
            <w:rPr>
              <w:noProof/>
              <w:kern w:val="2"/>
              <w:sz w:val="24"/>
              <w:szCs w:val="24"/>
              <w:lang w:eastAsia="en-AU"/>
              <w14:ligatures w14:val="standardContextual"/>
            </w:rPr>
          </w:pPr>
          <w:hyperlink w:anchor="_Toc196745405" w:history="1">
            <w:r w:rsidRPr="009F60CA">
              <w:rPr>
                <w:rStyle w:val="Hyperlink"/>
                <w:noProof/>
              </w:rPr>
              <w:t>Users of ice</w:t>
            </w:r>
            <w:r>
              <w:rPr>
                <w:noProof/>
                <w:webHidden/>
              </w:rPr>
              <w:tab/>
            </w:r>
            <w:r>
              <w:rPr>
                <w:noProof/>
                <w:webHidden/>
              </w:rPr>
              <w:fldChar w:fldCharType="begin"/>
            </w:r>
            <w:r>
              <w:rPr>
                <w:noProof/>
                <w:webHidden/>
              </w:rPr>
              <w:instrText xml:space="preserve"> PAGEREF _Toc196745405 \h </w:instrText>
            </w:r>
            <w:r>
              <w:rPr>
                <w:noProof/>
                <w:webHidden/>
              </w:rPr>
            </w:r>
            <w:r>
              <w:rPr>
                <w:noProof/>
                <w:webHidden/>
              </w:rPr>
              <w:fldChar w:fldCharType="separate"/>
            </w:r>
            <w:r w:rsidR="002271EC">
              <w:rPr>
                <w:noProof/>
                <w:webHidden/>
              </w:rPr>
              <w:t>15</w:t>
            </w:r>
            <w:r>
              <w:rPr>
                <w:noProof/>
                <w:webHidden/>
              </w:rPr>
              <w:fldChar w:fldCharType="end"/>
            </w:r>
          </w:hyperlink>
        </w:p>
        <w:p w14:paraId="5A3D1F24" w14:textId="5532371B" w:rsidR="00E25C47" w:rsidRDefault="00E25C47">
          <w:pPr>
            <w:pStyle w:val="TOC3"/>
            <w:tabs>
              <w:tab w:val="right" w:leader="dot" w:pos="9628"/>
            </w:tabs>
            <w:rPr>
              <w:noProof/>
              <w:kern w:val="2"/>
              <w:sz w:val="24"/>
              <w:szCs w:val="24"/>
              <w:lang w:eastAsia="en-AU"/>
              <w14:ligatures w14:val="standardContextual"/>
            </w:rPr>
          </w:pPr>
          <w:hyperlink w:anchor="_Toc196745406" w:history="1">
            <w:r w:rsidRPr="009F60CA">
              <w:rPr>
                <w:rStyle w:val="Hyperlink"/>
                <w:noProof/>
              </w:rPr>
              <w:t>Operating costs</w:t>
            </w:r>
            <w:r>
              <w:rPr>
                <w:noProof/>
                <w:webHidden/>
              </w:rPr>
              <w:tab/>
            </w:r>
            <w:r>
              <w:rPr>
                <w:noProof/>
                <w:webHidden/>
              </w:rPr>
              <w:fldChar w:fldCharType="begin"/>
            </w:r>
            <w:r>
              <w:rPr>
                <w:noProof/>
                <w:webHidden/>
              </w:rPr>
              <w:instrText xml:space="preserve"> PAGEREF _Toc196745406 \h </w:instrText>
            </w:r>
            <w:r>
              <w:rPr>
                <w:noProof/>
                <w:webHidden/>
              </w:rPr>
            </w:r>
            <w:r>
              <w:rPr>
                <w:noProof/>
                <w:webHidden/>
              </w:rPr>
              <w:fldChar w:fldCharType="separate"/>
            </w:r>
            <w:r w:rsidR="002271EC">
              <w:rPr>
                <w:noProof/>
                <w:webHidden/>
              </w:rPr>
              <w:t>16</w:t>
            </w:r>
            <w:r>
              <w:rPr>
                <w:noProof/>
                <w:webHidden/>
              </w:rPr>
              <w:fldChar w:fldCharType="end"/>
            </w:r>
          </w:hyperlink>
        </w:p>
        <w:p w14:paraId="75E07FBE" w14:textId="72353323" w:rsidR="00E25C47" w:rsidRDefault="00E25C47">
          <w:pPr>
            <w:pStyle w:val="TOC3"/>
            <w:tabs>
              <w:tab w:val="right" w:leader="dot" w:pos="9628"/>
            </w:tabs>
            <w:rPr>
              <w:noProof/>
              <w:kern w:val="2"/>
              <w:sz w:val="24"/>
              <w:szCs w:val="24"/>
              <w:lang w:eastAsia="en-AU"/>
              <w14:ligatures w14:val="standardContextual"/>
            </w:rPr>
          </w:pPr>
          <w:hyperlink w:anchor="_Toc196745407" w:history="1">
            <w:r w:rsidRPr="009F60CA">
              <w:rPr>
                <w:rStyle w:val="Hyperlink"/>
                <w:noProof/>
              </w:rPr>
              <w:t>Availability of information</w:t>
            </w:r>
            <w:r>
              <w:rPr>
                <w:noProof/>
                <w:webHidden/>
              </w:rPr>
              <w:tab/>
            </w:r>
            <w:r>
              <w:rPr>
                <w:noProof/>
                <w:webHidden/>
              </w:rPr>
              <w:fldChar w:fldCharType="begin"/>
            </w:r>
            <w:r>
              <w:rPr>
                <w:noProof/>
                <w:webHidden/>
              </w:rPr>
              <w:instrText xml:space="preserve"> PAGEREF _Toc196745407 \h </w:instrText>
            </w:r>
            <w:r>
              <w:rPr>
                <w:noProof/>
                <w:webHidden/>
              </w:rPr>
            </w:r>
            <w:r>
              <w:rPr>
                <w:noProof/>
                <w:webHidden/>
              </w:rPr>
              <w:fldChar w:fldCharType="separate"/>
            </w:r>
            <w:r w:rsidR="002271EC">
              <w:rPr>
                <w:noProof/>
                <w:webHidden/>
              </w:rPr>
              <w:t>18</w:t>
            </w:r>
            <w:r>
              <w:rPr>
                <w:noProof/>
                <w:webHidden/>
              </w:rPr>
              <w:fldChar w:fldCharType="end"/>
            </w:r>
          </w:hyperlink>
        </w:p>
        <w:p w14:paraId="4091A0CC" w14:textId="252E9419" w:rsidR="00E25C47" w:rsidRDefault="00E25C47">
          <w:pPr>
            <w:pStyle w:val="TOC2"/>
            <w:tabs>
              <w:tab w:val="right" w:leader="dot" w:pos="9628"/>
            </w:tabs>
            <w:rPr>
              <w:noProof/>
              <w:kern w:val="2"/>
              <w:sz w:val="24"/>
              <w:szCs w:val="24"/>
              <w:lang w:eastAsia="en-AU"/>
              <w14:ligatures w14:val="standardContextual"/>
            </w:rPr>
          </w:pPr>
          <w:hyperlink w:anchor="_Toc196745408" w:history="1">
            <w:r w:rsidRPr="009F60CA">
              <w:rPr>
                <w:rStyle w:val="Hyperlink"/>
                <w:noProof/>
              </w:rPr>
              <w:t>Current regulations</w:t>
            </w:r>
            <w:r>
              <w:rPr>
                <w:noProof/>
                <w:webHidden/>
              </w:rPr>
              <w:tab/>
            </w:r>
            <w:r>
              <w:rPr>
                <w:noProof/>
                <w:webHidden/>
              </w:rPr>
              <w:fldChar w:fldCharType="begin"/>
            </w:r>
            <w:r>
              <w:rPr>
                <w:noProof/>
                <w:webHidden/>
              </w:rPr>
              <w:instrText xml:space="preserve"> PAGEREF _Toc196745408 \h </w:instrText>
            </w:r>
            <w:r>
              <w:rPr>
                <w:noProof/>
                <w:webHidden/>
              </w:rPr>
            </w:r>
            <w:r>
              <w:rPr>
                <w:noProof/>
                <w:webHidden/>
              </w:rPr>
              <w:fldChar w:fldCharType="separate"/>
            </w:r>
            <w:r w:rsidR="002271EC">
              <w:rPr>
                <w:noProof/>
                <w:webHidden/>
              </w:rPr>
              <w:t>19</w:t>
            </w:r>
            <w:r>
              <w:rPr>
                <w:noProof/>
                <w:webHidden/>
              </w:rPr>
              <w:fldChar w:fldCharType="end"/>
            </w:r>
          </w:hyperlink>
        </w:p>
        <w:p w14:paraId="2DD286DB" w14:textId="6433C2B8" w:rsidR="00E25C47" w:rsidRDefault="00E25C47">
          <w:pPr>
            <w:pStyle w:val="TOC2"/>
            <w:tabs>
              <w:tab w:val="right" w:leader="dot" w:pos="9628"/>
            </w:tabs>
            <w:rPr>
              <w:noProof/>
              <w:kern w:val="2"/>
              <w:sz w:val="24"/>
              <w:szCs w:val="24"/>
              <w:lang w:eastAsia="en-AU"/>
              <w14:ligatures w14:val="standardContextual"/>
            </w:rPr>
          </w:pPr>
          <w:hyperlink w:anchor="_Toc196745409" w:history="1">
            <w:r w:rsidRPr="009F60CA">
              <w:rPr>
                <w:rStyle w:val="Hyperlink"/>
                <w:noProof/>
              </w:rPr>
              <w:t>The problem</w:t>
            </w:r>
            <w:r>
              <w:rPr>
                <w:noProof/>
                <w:webHidden/>
              </w:rPr>
              <w:tab/>
            </w:r>
            <w:r>
              <w:rPr>
                <w:noProof/>
                <w:webHidden/>
              </w:rPr>
              <w:fldChar w:fldCharType="begin"/>
            </w:r>
            <w:r>
              <w:rPr>
                <w:noProof/>
                <w:webHidden/>
              </w:rPr>
              <w:instrText xml:space="preserve"> PAGEREF _Toc196745409 \h </w:instrText>
            </w:r>
            <w:r>
              <w:rPr>
                <w:noProof/>
                <w:webHidden/>
              </w:rPr>
            </w:r>
            <w:r>
              <w:rPr>
                <w:noProof/>
                <w:webHidden/>
              </w:rPr>
              <w:fldChar w:fldCharType="separate"/>
            </w:r>
            <w:r w:rsidR="002271EC">
              <w:rPr>
                <w:noProof/>
                <w:webHidden/>
              </w:rPr>
              <w:t>20</w:t>
            </w:r>
            <w:r>
              <w:rPr>
                <w:noProof/>
                <w:webHidden/>
              </w:rPr>
              <w:fldChar w:fldCharType="end"/>
            </w:r>
          </w:hyperlink>
        </w:p>
        <w:p w14:paraId="008C43BF" w14:textId="1D702E92" w:rsidR="00E25C47" w:rsidRDefault="00E25C47">
          <w:pPr>
            <w:pStyle w:val="TOC1"/>
            <w:tabs>
              <w:tab w:val="right" w:leader="dot" w:pos="9628"/>
            </w:tabs>
            <w:rPr>
              <w:noProof/>
              <w:kern w:val="2"/>
              <w:sz w:val="24"/>
              <w:szCs w:val="24"/>
              <w:lang w:eastAsia="en-AU"/>
              <w14:ligatures w14:val="standardContextual"/>
            </w:rPr>
          </w:pPr>
          <w:hyperlink w:anchor="_Toc196745410" w:history="1">
            <w:r w:rsidRPr="009F60CA">
              <w:rPr>
                <w:rStyle w:val="Hyperlink"/>
                <w:noProof/>
              </w:rPr>
              <w:t>2. Objectives of government intervention</w:t>
            </w:r>
            <w:r>
              <w:rPr>
                <w:noProof/>
                <w:webHidden/>
              </w:rPr>
              <w:tab/>
            </w:r>
            <w:r>
              <w:rPr>
                <w:noProof/>
                <w:webHidden/>
              </w:rPr>
              <w:fldChar w:fldCharType="begin"/>
            </w:r>
            <w:r>
              <w:rPr>
                <w:noProof/>
                <w:webHidden/>
              </w:rPr>
              <w:instrText xml:space="preserve"> PAGEREF _Toc196745410 \h </w:instrText>
            </w:r>
            <w:r>
              <w:rPr>
                <w:noProof/>
                <w:webHidden/>
              </w:rPr>
            </w:r>
            <w:r>
              <w:rPr>
                <w:noProof/>
                <w:webHidden/>
              </w:rPr>
              <w:fldChar w:fldCharType="separate"/>
            </w:r>
            <w:r w:rsidR="002271EC">
              <w:rPr>
                <w:noProof/>
                <w:webHidden/>
              </w:rPr>
              <w:t>23</w:t>
            </w:r>
            <w:r>
              <w:rPr>
                <w:noProof/>
                <w:webHidden/>
              </w:rPr>
              <w:fldChar w:fldCharType="end"/>
            </w:r>
          </w:hyperlink>
        </w:p>
        <w:p w14:paraId="200FB51B" w14:textId="5CCBD7EE" w:rsidR="00E25C47" w:rsidRDefault="00E25C47">
          <w:pPr>
            <w:pStyle w:val="TOC1"/>
            <w:tabs>
              <w:tab w:val="right" w:leader="dot" w:pos="9628"/>
            </w:tabs>
            <w:rPr>
              <w:noProof/>
              <w:kern w:val="2"/>
              <w:sz w:val="24"/>
              <w:szCs w:val="24"/>
              <w:lang w:eastAsia="en-AU"/>
              <w14:ligatures w14:val="standardContextual"/>
            </w:rPr>
          </w:pPr>
          <w:hyperlink w:anchor="_Toc196745411" w:history="1">
            <w:r w:rsidRPr="009F60CA">
              <w:rPr>
                <w:rStyle w:val="Hyperlink"/>
                <w:noProof/>
              </w:rPr>
              <w:t>3. Policy options</w:t>
            </w:r>
            <w:r>
              <w:rPr>
                <w:noProof/>
                <w:webHidden/>
              </w:rPr>
              <w:tab/>
            </w:r>
            <w:r>
              <w:rPr>
                <w:noProof/>
                <w:webHidden/>
              </w:rPr>
              <w:fldChar w:fldCharType="begin"/>
            </w:r>
            <w:r>
              <w:rPr>
                <w:noProof/>
                <w:webHidden/>
              </w:rPr>
              <w:instrText xml:space="preserve"> PAGEREF _Toc196745411 \h </w:instrText>
            </w:r>
            <w:r>
              <w:rPr>
                <w:noProof/>
                <w:webHidden/>
              </w:rPr>
            </w:r>
            <w:r>
              <w:rPr>
                <w:noProof/>
                <w:webHidden/>
              </w:rPr>
              <w:fldChar w:fldCharType="separate"/>
            </w:r>
            <w:r w:rsidR="002271EC">
              <w:rPr>
                <w:noProof/>
                <w:webHidden/>
              </w:rPr>
              <w:t>28</w:t>
            </w:r>
            <w:r>
              <w:rPr>
                <w:noProof/>
                <w:webHidden/>
              </w:rPr>
              <w:fldChar w:fldCharType="end"/>
            </w:r>
          </w:hyperlink>
        </w:p>
        <w:p w14:paraId="15A38190" w14:textId="741107E1" w:rsidR="00E25C47" w:rsidRDefault="00E25C47">
          <w:pPr>
            <w:pStyle w:val="TOC2"/>
            <w:tabs>
              <w:tab w:val="right" w:leader="dot" w:pos="9628"/>
            </w:tabs>
            <w:rPr>
              <w:noProof/>
              <w:kern w:val="2"/>
              <w:sz w:val="24"/>
              <w:szCs w:val="24"/>
              <w:lang w:eastAsia="en-AU"/>
              <w14:ligatures w14:val="standardContextual"/>
            </w:rPr>
          </w:pPr>
          <w:hyperlink w:anchor="_Toc196745412" w:history="1">
            <w:r w:rsidRPr="009F60CA">
              <w:rPr>
                <w:rStyle w:val="Hyperlink"/>
                <w:noProof/>
              </w:rPr>
              <w:t>The following list of policy options is subject to revision following consultation with stakeholders.</w:t>
            </w:r>
            <w:r>
              <w:rPr>
                <w:noProof/>
                <w:webHidden/>
              </w:rPr>
              <w:tab/>
            </w:r>
            <w:r>
              <w:rPr>
                <w:noProof/>
                <w:webHidden/>
              </w:rPr>
              <w:fldChar w:fldCharType="begin"/>
            </w:r>
            <w:r>
              <w:rPr>
                <w:noProof/>
                <w:webHidden/>
              </w:rPr>
              <w:instrText xml:space="preserve"> PAGEREF _Toc196745412 \h </w:instrText>
            </w:r>
            <w:r>
              <w:rPr>
                <w:noProof/>
                <w:webHidden/>
              </w:rPr>
            </w:r>
            <w:r>
              <w:rPr>
                <w:noProof/>
                <w:webHidden/>
              </w:rPr>
              <w:fldChar w:fldCharType="separate"/>
            </w:r>
            <w:r w:rsidR="002271EC">
              <w:rPr>
                <w:noProof/>
                <w:webHidden/>
              </w:rPr>
              <w:t>28</w:t>
            </w:r>
            <w:r>
              <w:rPr>
                <w:noProof/>
                <w:webHidden/>
              </w:rPr>
              <w:fldChar w:fldCharType="end"/>
            </w:r>
          </w:hyperlink>
        </w:p>
        <w:p w14:paraId="3CAE2B7F" w14:textId="5755A3DD" w:rsidR="00E25C47" w:rsidRDefault="00E25C47">
          <w:pPr>
            <w:pStyle w:val="TOC2"/>
            <w:tabs>
              <w:tab w:val="right" w:leader="dot" w:pos="9628"/>
            </w:tabs>
            <w:rPr>
              <w:noProof/>
              <w:kern w:val="2"/>
              <w:sz w:val="24"/>
              <w:szCs w:val="24"/>
              <w:lang w:eastAsia="en-AU"/>
              <w14:ligatures w14:val="standardContextual"/>
            </w:rPr>
          </w:pPr>
          <w:hyperlink w:anchor="_Toc196745413" w:history="1">
            <w:r w:rsidRPr="009F60CA">
              <w:rPr>
                <w:rStyle w:val="Hyperlink"/>
                <w:noProof/>
              </w:rPr>
              <w:t>3.1 Option 1. Status quo</w:t>
            </w:r>
            <w:r>
              <w:rPr>
                <w:noProof/>
                <w:webHidden/>
              </w:rPr>
              <w:tab/>
            </w:r>
            <w:r>
              <w:rPr>
                <w:noProof/>
                <w:webHidden/>
              </w:rPr>
              <w:fldChar w:fldCharType="begin"/>
            </w:r>
            <w:r>
              <w:rPr>
                <w:noProof/>
                <w:webHidden/>
              </w:rPr>
              <w:instrText xml:space="preserve"> PAGEREF _Toc196745413 \h </w:instrText>
            </w:r>
            <w:r>
              <w:rPr>
                <w:noProof/>
                <w:webHidden/>
              </w:rPr>
            </w:r>
            <w:r>
              <w:rPr>
                <w:noProof/>
                <w:webHidden/>
              </w:rPr>
              <w:fldChar w:fldCharType="separate"/>
            </w:r>
            <w:r w:rsidR="002271EC">
              <w:rPr>
                <w:noProof/>
                <w:webHidden/>
              </w:rPr>
              <w:t>28</w:t>
            </w:r>
            <w:r>
              <w:rPr>
                <w:noProof/>
                <w:webHidden/>
              </w:rPr>
              <w:fldChar w:fldCharType="end"/>
            </w:r>
          </w:hyperlink>
        </w:p>
        <w:p w14:paraId="00C76F7C" w14:textId="39F164B7" w:rsidR="00E25C47" w:rsidRDefault="00E25C47">
          <w:pPr>
            <w:pStyle w:val="TOC2"/>
            <w:tabs>
              <w:tab w:val="right" w:leader="dot" w:pos="9628"/>
            </w:tabs>
            <w:rPr>
              <w:noProof/>
              <w:kern w:val="2"/>
              <w:sz w:val="24"/>
              <w:szCs w:val="24"/>
              <w:lang w:eastAsia="en-AU"/>
              <w14:ligatures w14:val="standardContextual"/>
            </w:rPr>
          </w:pPr>
          <w:hyperlink w:anchor="_Toc196745414" w:history="1">
            <w:r w:rsidRPr="009F60CA">
              <w:rPr>
                <w:rStyle w:val="Hyperlink"/>
                <w:noProof/>
              </w:rPr>
              <w:t>3.2 Option 2. Voluntary declaration with WELS support (Non-regulatory)</w:t>
            </w:r>
            <w:r>
              <w:rPr>
                <w:noProof/>
                <w:webHidden/>
              </w:rPr>
              <w:tab/>
            </w:r>
            <w:r>
              <w:rPr>
                <w:noProof/>
                <w:webHidden/>
              </w:rPr>
              <w:fldChar w:fldCharType="begin"/>
            </w:r>
            <w:r>
              <w:rPr>
                <w:noProof/>
                <w:webHidden/>
              </w:rPr>
              <w:instrText xml:space="preserve"> PAGEREF _Toc196745414 \h </w:instrText>
            </w:r>
            <w:r>
              <w:rPr>
                <w:noProof/>
                <w:webHidden/>
              </w:rPr>
            </w:r>
            <w:r>
              <w:rPr>
                <w:noProof/>
                <w:webHidden/>
              </w:rPr>
              <w:fldChar w:fldCharType="separate"/>
            </w:r>
            <w:r w:rsidR="002271EC">
              <w:rPr>
                <w:noProof/>
                <w:webHidden/>
              </w:rPr>
              <w:t>29</w:t>
            </w:r>
            <w:r>
              <w:rPr>
                <w:noProof/>
                <w:webHidden/>
              </w:rPr>
              <w:fldChar w:fldCharType="end"/>
            </w:r>
          </w:hyperlink>
        </w:p>
        <w:p w14:paraId="7E0C96A6" w14:textId="4340BB8F" w:rsidR="00E25C47" w:rsidRDefault="00E25C47">
          <w:pPr>
            <w:pStyle w:val="TOC2"/>
            <w:tabs>
              <w:tab w:val="right" w:leader="dot" w:pos="9628"/>
            </w:tabs>
            <w:rPr>
              <w:noProof/>
              <w:kern w:val="2"/>
              <w:sz w:val="24"/>
              <w:szCs w:val="24"/>
              <w:lang w:eastAsia="en-AU"/>
              <w14:ligatures w14:val="standardContextual"/>
            </w:rPr>
          </w:pPr>
          <w:hyperlink w:anchor="_Toc196745415" w:history="1">
            <w:r w:rsidRPr="009F60CA">
              <w:rPr>
                <w:rStyle w:val="Hyperlink"/>
                <w:noProof/>
              </w:rPr>
              <w:t>3.3 Option 3A. Product registration and information declaration (Regulatory)</w:t>
            </w:r>
            <w:r>
              <w:rPr>
                <w:noProof/>
                <w:webHidden/>
              </w:rPr>
              <w:tab/>
            </w:r>
            <w:r>
              <w:rPr>
                <w:noProof/>
                <w:webHidden/>
              </w:rPr>
              <w:fldChar w:fldCharType="begin"/>
            </w:r>
            <w:r>
              <w:rPr>
                <w:noProof/>
                <w:webHidden/>
              </w:rPr>
              <w:instrText xml:space="preserve"> PAGEREF _Toc196745415 \h </w:instrText>
            </w:r>
            <w:r>
              <w:rPr>
                <w:noProof/>
                <w:webHidden/>
              </w:rPr>
            </w:r>
            <w:r>
              <w:rPr>
                <w:noProof/>
                <w:webHidden/>
              </w:rPr>
              <w:fldChar w:fldCharType="separate"/>
            </w:r>
            <w:r w:rsidR="002271EC">
              <w:rPr>
                <w:noProof/>
                <w:webHidden/>
              </w:rPr>
              <w:t>30</w:t>
            </w:r>
            <w:r>
              <w:rPr>
                <w:noProof/>
                <w:webHidden/>
              </w:rPr>
              <w:fldChar w:fldCharType="end"/>
            </w:r>
          </w:hyperlink>
        </w:p>
        <w:p w14:paraId="43FC5DC2" w14:textId="285008F9" w:rsidR="00E25C47" w:rsidRDefault="00E25C47">
          <w:pPr>
            <w:pStyle w:val="TOC2"/>
            <w:tabs>
              <w:tab w:val="right" w:leader="dot" w:pos="9628"/>
            </w:tabs>
            <w:rPr>
              <w:noProof/>
              <w:kern w:val="2"/>
              <w:sz w:val="24"/>
              <w:szCs w:val="24"/>
              <w:lang w:eastAsia="en-AU"/>
              <w14:ligatures w14:val="standardContextual"/>
            </w:rPr>
          </w:pPr>
          <w:hyperlink w:anchor="_Toc196745416" w:history="1">
            <w:r w:rsidRPr="009F60CA">
              <w:rPr>
                <w:rStyle w:val="Hyperlink"/>
                <w:noProof/>
              </w:rPr>
              <w:t>3.4 Option 3B. Product registration and information declaration - accelerated implementation (Regulatory)</w:t>
            </w:r>
            <w:r>
              <w:rPr>
                <w:noProof/>
                <w:webHidden/>
              </w:rPr>
              <w:tab/>
            </w:r>
            <w:r>
              <w:rPr>
                <w:noProof/>
                <w:webHidden/>
              </w:rPr>
              <w:fldChar w:fldCharType="begin"/>
            </w:r>
            <w:r>
              <w:rPr>
                <w:noProof/>
                <w:webHidden/>
              </w:rPr>
              <w:instrText xml:space="preserve"> PAGEREF _Toc196745416 \h </w:instrText>
            </w:r>
            <w:r>
              <w:rPr>
                <w:noProof/>
                <w:webHidden/>
              </w:rPr>
            </w:r>
            <w:r>
              <w:rPr>
                <w:noProof/>
                <w:webHidden/>
              </w:rPr>
              <w:fldChar w:fldCharType="separate"/>
            </w:r>
            <w:r w:rsidR="002271EC">
              <w:rPr>
                <w:noProof/>
                <w:webHidden/>
              </w:rPr>
              <w:t>31</w:t>
            </w:r>
            <w:r>
              <w:rPr>
                <w:noProof/>
                <w:webHidden/>
              </w:rPr>
              <w:fldChar w:fldCharType="end"/>
            </w:r>
          </w:hyperlink>
        </w:p>
        <w:p w14:paraId="43A5BFCE" w14:textId="2099DE52" w:rsidR="00E25C47" w:rsidRDefault="00E25C47">
          <w:pPr>
            <w:pStyle w:val="TOC2"/>
            <w:tabs>
              <w:tab w:val="right" w:leader="dot" w:pos="9628"/>
            </w:tabs>
            <w:rPr>
              <w:noProof/>
              <w:kern w:val="2"/>
              <w:sz w:val="24"/>
              <w:szCs w:val="24"/>
              <w:lang w:eastAsia="en-AU"/>
              <w14:ligatures w14:val="standardContextual"/>
            </w:rPr>
          </w:pPr>
          <w:hyperlink w:anchor="_Toc196745417" w:history="1">
            <w:r w:rsidRPr="009F60CA">
              <w:rPr>
                <w:rStyle w:val="Hyperlink"/>
                <w:noProof/>
              </w:rPr>
              <w:t>3.5 Option 4A. Product registration, Minimum Water Efficiency Standards and information declaration (Regulatory)</w:t>
            </w:r>
            <w:r>
              <w:rPr>
                <w:noProof/>
                <w:webHidden/>
              </w:rPr>
              <w:tab/>
            </w:r>
            <w:r>
              <w:rPr>
                <w:noProof/>
                <w:webHidden/>
              </w:rPr>
              <w:fldChar w:fldCharType="begin"/>
            </w:r>
            <w:r>
              <w:rPr>
                <w:noProof/>
                <w:webHidden/>
              </w:rPr>
              <w:instrText xml:space="preserve"> PAGEREF _Toc196745417 \h </w:instrText>
            </w:r>
            <w:r>
              <w:rPr>
                <w:noProof/>
                <w:webHidden/>
              </w:rPr>
            </w:r>
            <w:r>
              <w:rPr>
                <w:noProof/>
                <w:webHidden/>
              </w:rPr>
              <w:fldChar w:fldCharType="separate"/>
            </w:r>
            <w:r w:rsidR="002271EC">
              <w:rPr>
                <w:noProof/>
                <w:webHidden/>
              </w:rPr>
              <w:t>31</w:t>
            </w:r>
            <w:r>
              <w:rPr>
                <w:noProof/>
                <w:webHidden/>
              </w:rPr>
              <w:fldChar w:fldCharType="end"/>
            </w:r>
          </w:hyperlink>
        </w:p>
        <w:p w14:paraId="48BC23FE" w14:textId="00DAC66D" w:rsidR="00E25C47" w:rsidRDefault="00E25C47">
          <w:pPr>
            <w:pStyle w:val="TOC2"/>
            <w:tabs>
              <w:tab w:val="right" w:leader="dot" w:pos="9628"/>
            </w:tabs>
            <w:rPr>
              <w:noProof/>
              <w:kern w:val="2"/>
              <w:sz w:val="24"/>
              <w:szCs w:val="24"/>
              <w:lang w:eastAsia="en-AU"/>
              <w14:ligatures w14:val="standardContextual"/>
            </w:rPr>
          </w:pPr>
          <w:hyperlink w:anchor="_Toc196745418" w:history="1">
            <w:r w:rsidRPr="009F60CA">
              <w:rPr>
                <w:rStyle w:val="Hyperlink"/>
                <w:noProof/>
              </w:rPr>
              <w:t>3.6 Option 4B. Product registration, Minimum Water Efficiency Standards and information declaration - accelerated implementation (Regulatory)</w:t>
            </w:r>
            <w:r>
              <w:rPr>
                <w:noProof/>
                <w:webHidden/>
              </w:rPr>
              <w:tab/>
            </w:r>
            <w:r>
              <w:rPr>
                <w:noProof/>
                <w:webHidden/>
              </w:rPr>
              <w:fldChar w:fldCharType="begin"/>
            </w:r>
            <w:r>
              <w:rPr>
                <w:noProof/>
                <w:webHidden/>
              </w:rPr>
              <w:instrText xml:space="preserve"> PAGEREF _Toc196745418 \h </w:instrText>
            </w:r>
            <w:r>
              <w:rPr>
                <w:noProof/>
                <w:webHidden/>
              </w:rPr>
            </w:r>
            <w:r>
              <w:rPr>
                <w:noProof/>
                <w:webHidden/>
              </w:rPr>
              <w:fldChar w:fldCharType="separate"/>
            </w:r>
            <w:r w:rsidR="002271EC">
              <w:rPr>
                <w:noProof/>
                <w:webHidden/>
              </w:rPr>
              <w:t>32</w:t>
            </w:r>
            <w:r>
              <w:rPr>
                <w:noProof/>
                <w:webHidden/>
              </w:rPr>
              <w:fldChar w:fldCharType="end"/>
            </w:r>
          </w:hyperlink>
        </w:p>
        <w:p w14:paraId="74BD9F29" w14:textId="2BF6FBD2" w:rsidR="00E25C47" w:rsidRDefault="00E25C47">
          <w:pPr>
            <w:pStyle w:val="TOC2"/>
            <w:tabs>
              <w:tab w:val="right" w:leader="dot" w:pos="9628"/>
            </w:tabs>
            <w:rPr>
              <w:noProof/>
              <w:kern w:val="2"/>
              <w:sz w:val="24"/>
              <w:szCs w:val="24"/>
              <w:lang w:eastAsia="en-AU"/>
              <w14:ligatures w14:val="standardContextual"/>
            </w:rPr>
          </w:pPr>
          <w:hyperlink w:anchor="_Toc196745419" w:history="1">
            <w:r w:rsidRPr="009F60CA">
              <w:rPr>
                <w:rStyle w:val="Hyperlink"/>
                <w:noProof/>
              </w:rPr>
              <w:t>3.7 Timing and sequencing of options</w:t>
            </w:r>
            <w:r>
              <w:rPr>
                <w:noProof/>
                <w:webHidden/>
              </w:rPr>
              <w:tab/>
            </w:r>
            <w:r>
              <w:rPr>
                <w:noProof/>
                <w:webHidden/>
              </w:rPr>
              <w:fldChar w:fldCharType="begin"/>
            </w:r>
            <w:r>
              <w:rPr>
                <w:noProof/>
                <w:webHidden/>
              </w:rPr>
              <w:instrText xml:space="preserve"> PAGEREF _Toc196745419 \h </w:instrText>
            </w:r>
            <w:r>
              <w:rPr>
                <w:noProof/>
                <w:webHidden/>
              </w:rPr>
            </w:r>
            <w:r>
              <w:rPr>
                <w:noProof/>
                <w:webHidden/>
              </w:rPr>
              <w:fldChar w:fldCharType="separate"/>
            </w:r>
            <w:r w:rsidR="002271EC">
              <w:rPr>
                <w:noProof/>
                <w:webHidden/>
              </w:rPr>
              <w:t>32</w:t>
            </w:r>
            <w:r>
              <w:rPr>
                <w:noProof/>
                <w:webHidden/>
              </w:rPr>
              <w:fldChar w:fldCharType="end"/>
            </w:r>
          </w:hyperlink>
        </w:p>
        <w:p w14:paraId="298FEA92" w14:textId="2E35D04F" w:rsidR="00E25C47" w:rsidRDefault="00E25C47">
          <w:pPr>
            <w:pStyle w:val="TOC1"/>
            <w:tabs>
              <w:tab w:val="right" w:leader="dot" w:pos="9628"/>
            </w:tabs>
            <w:rPr>
              <w:noProof/>
              <w:kern w:val="2"/>
              <w:sz w:val="24"/>
              <w:szCs w:val="24"/>
              <w:lang w:eastAsia="en-AU"/>
              <w14:ligatures w14:val="standardContextual"/>
            </w:rPr>
          </w:pPr>
          <w:hyperlink w:anchor="_Toc196745420" w:history="1">
            <w:r w:rsidRPr="009F60CA">
              <w:rPr>
                <w:rStyle w:val="Hyperlink"/>
                <w:noProof/>
              </w:rPr>
              <w:t>4. Projected costs and benefits</w:t>
            </w:r>
            <w:r>
              <w:rPr>
                <w:noProof/>
                <w:webHidden/>
              </w:rPr>
              <w:tab/>
            </w:r>
            <w:r>
              <w:rPr>
                <w:noProof/>
                <w:webHidden/>
              </w:rPr>
              <w:fldChar w:fldCharType="begin"/>
            </w:r>
            <w:r>
              <w:rPr>
                <w:noProof/>
                <w:webHidden/>
              </w:rPr>
              <w:instrText xml:space="preserve"> PAGEREF _Toc196745420 \h </w:instrText>
            </w:r>
            <w:r>
              <w:rPr>
                <w:noProof/>
                <w:webHidden/>
              </w:rPr>
            </w:r>
            <w:r>
              <w:rPr>
                <w:noProof/>
                <w:webHidden/>
              </w:rPr>
              <w:fldChar w:fldCharType="separate"/>
            </w:r>
            <w:r w:rsidR="002271EC">
              <w:rPr>
                <w:noProof/>
                <w:webHidden/>
              </w:rPr>
              <w:t>36</w:t>
            </w:r>
            <w:r>
              <w:rPr>
                <w:noProof/>
                <w:webHidden/>
              </w:rPr>
              <w:fldChar w:fldCharType="end"/>
            </w:r>
          </w:hyperlink>
        </w:p>
        <w:p w14:paraId="1126B47D" w14:textId="4FF5A0B6" w:rsidR="00E25C47" w:rsidRDefault="00E25C47">
          <w:pPr>
            <w:pStyle w:val="TOC2"/>
            <w:tabs>
              <w:tab w:val="right" w:leader="dot" w:pos="9628"/>
            </w:tabs>
            <w:rPr>
              <w:noProof/>
              <w:kern w:val="2"/>
              <w:sz w:val="24"/>
              <w:szCs w:val="24"/>
              <w:lang w:eastAsia="en-AU"/>
              <w14:ligatures w14:val="standardContextual"/>
            </w:rPr>
          </w:pPr>
          <w:hyperlink w:anchor="_Toc196745421" w:history="1">
            <w:r w:rsidRPr="009F60CA">
              <w:rPr>
                <w:rStyle w:val="Hyperlink"/>
                <w:noProof/>
              </w:rPr>
              <w:t>4.1 Scenarios modelled</w:t>
            </w:r>
            <w:r>
              <w:rPr>
                <w:noProof/>
                <w:webHidden/>
              </w:rPr>
              <w:tab/>
            </w:r>
            <w:r>
              <w:rPr>
                <w:noProof/>
                <w:webHidden/>
              </w:rPr>
              <w:fldChar w:fldCharType="begin"/>
            </w:r>
            <w:r>
              <w:rPr>
                <w:noProof/>
                <w:webHidden/>
              </w:rPr>
              <w:instrText xml:space="preserve"> PAGEREF _Toc196745421 \h </w:instrText>
            </w:r>
            <w:r>
              <w:rPr>
                <w:noProof/>
                <w:webHidden/>
              </w:rPr>
            </w:r>
            <w:r>
              <w:rPr>
                <w:noProof/>
                <w:webHidden/>
              </w:rPr>
              <w:fldChar w:fldCharType="separate"/>
            </w:r>
            <w:r w:rsidR="002271EC">
              <w:rPr>
                <w:noProof/>
                <w:webHidden/>
              </w:rPr>
              <w:t>36</w:t>
            </w:r>
            <w:r>
              <w:rPr>
                <w:noProof/>
                <w:webHidden/>
              </w:rPr>
              <w:fldChar w:fldCharType="end"/>
            </w:r>
          </w:hyperlink>
        </w:p>
        <w:p w14:paraId="14E6E3E6" w14:textId="6ADB1CE0" w:rsidR="00E25C47" w:rsidRDefault="00E25C47">
          <w:pPr>
            <w:pStyle w:val="TOC2"/>
            <w:tabs>
              <w:tab w:val="right" w:leader="dot" w:pos="9628"/>
            </w:tabs>
            <w:rPr>
              <w:noProof/>
              <w:kern w:val="2"/>
              <w:sz w:val="24"/>
              <w:szCs w:val="24"/>
              <w:lang w:eastAsia="en-AU"/>
              <w14:ligatures w14:val="standardContextual"/>
            </w:rPr>
          </w:pPr>
          <w:hyperlink w:anchor="_Toc196745422" w:history="1">
            <w:r w:rsidRPr="009F60CA">
              <w:rPr>
                <w:rStyle w:val="Hyperlink"/>
                <w:noProof/>
              </w:rPr>
              <w:t>4.2 Projected benefits</w:t>
            </w:r>
            <w:r>
              <w:rPr>
                <w:noProof/>
                <w:webHidden/>
              </w:rPr>
              <w:tab/>
            </w:r>
            <w:r>
              <w:rPr>
                <w:noProof/>
                <w:webHidden/>
              </w:rPr>
              <w:fldChar w:fldCharType="begin"/>
            </w:r>
            <w:r>
              <w:rPr>
                <w:noProof/>
                <w:webHidden/>
              </w:rPr>
              <w:instrText xml:space="preserve"> PAGEREF _Toc196745422 \h </w:instrText>
            </w:r>
            <w:r>
              <w:rPr>
                <w:noProof/>
                <w:webHidden/>
              </w:rPr>
            </w:r>
            <w:r>
              <w:rPr>
                <w:noProof/>
                <w:webHidden/>
              </w:rPr>
              <w:fldChar w:fldCharType="separate"/>
            </w:r>
            <w:r w:rsidR="002271EC">
              <w:rPr>
                <w:noProof/>
                <w:webHidden/>
              </w:rPr>
              <w:t>36</w:t>
            </w:r>
            <w:r>
              <w:rPr>
                <w:noProof/>
                <w:webHidden/>
              </w:rPr>
              <w:fldChar w:fldCharType="end"/>
            </w:r>
          </w:hyperlink>
        </w:p>
        <w:p w14:paraId="78C1A2C7" w14:textId="6E1E386A" w:rsidR="00E25C47" w:rsidRDefault="00E25C47">
          <w:pPr>
            <w:pStyle w:val="TOC2"/>
            <w:tabs>
              <w:tab w:val="right" w:leader="dot" w:pos="9628"/>
            </w:tabs>
            <w:rPr>
              <w:noProof/>
              <w:kern w:val="2"/>
              <w:sz w:val="24"/>
              <w:szCs w:val="24"/>
              <w:lang w:eastAsia="en-AU"/>
              <w14:ligatures w14:val="standardContextual"/>
            </w:rPr>
          </w:pPr>
          <w:hyperlink w:anchor="_Toc196745423" w:history="1">
            <w:r w:rsidRPr="009F60CA">
              <w:rPr>
                <w:rStyle w:val="Hyperlink"/>
                <w:noProof/>
              </w:rPr>
              <w:t>4.3 Projected costs</w:t>
            </w:r>
            <w:r>
              <w:rPr>
                <w:noProof/>
                <w:webHidden/>
              </w:rPr>
              <w:tab/>
            </w:r>
            <w:r>
              <w:rPr>
                <w:noProof/>
                <w:webHidden/>
              </w:rPr>
              <w:fldChar w:fldCharType="begin"/>
            </w:r>
            <w:r>
              <w:rPr>
                <w:noProof/>
                <w:webHidden/>
              </w:rPr>
              <w:instrText xml:space="preserve"> PAGEREF _Toc196745423 \h </w:instrText>
            </w:r>
            <w:r>
              <w:rPr>
                <w:noProof/>
                <w:webHidden/>
              </w:rPr>
            </w:r>
            <w:r>
              <w:rPr>
                <w:noProof/>
                <w:webHidden/>
              </w:rPr>
              <w:fldChar w:fldCharType="separate"/>
            </w:r>
            <w:r w:rsidR="002271EC">
              <w:rPr>
                <w:noProof/>
                <w:webHidden/>
              </w:rPr>
              <w:t>41</w:t>
            </w:r>
            <w:r>
              <w:rPr>
                <w:noProof/>
                <w:webHidden/>
              </w:rPr>
              <w:fldChar w:fldCharType="end"/>
            </w:r>
          </w:hyperlink>
        </w:p>
        <w:p w14:paraId="378E9D49" w14:textId="4A5E3436" w:rsidR="00E25C47" w:rsidRDefault="00E25C47">
          <w:pPr>
            <w:pStyle w:val="TOC3"/>
            <w:tabs>
              <w:tab w:val="right" w:leader="dot" w:pos="9628"/>
            </w:tabs>
            <w:rPr>
              <w:noProof/>
              <w:kern w:val="2"/>
              <w:sz w:val="24"/>
              <w:szCs w:val="24"/>
              <w:lang w:eastAsia="en-AU"/>
              <w14:ligatures w14:val="standardContextual"/>
            </w:rPr>
          </w:pPr>
          <w:hyperlink w:anchor="_Toc196745424" w:history="1">
            <w:r w:rsidRPr="009F60CA">
              <w:rPr>
                <w:rStyle w:val="Hyperlink"/>
                <w:noProof/>
              </w:rPr>
              <w:t>WELS Regulator burden</w:t>
            </w:r>
            <w:r>
              <w:rPr>
                <w:noProof/>
                <w:webHidden/>
              </w:rPr>
              <w:tab/>
            </w:r>
            <w:r>
              <w:rPr>
                <w:noProof/>
                <w:webHidden/>
              </w:rPr>
              <w:fldChar w:fldCharType="begin"/>
            </w:r>
            <w:r>
              <w:rPr>
                <w:noProof/>
                <w:webHidden/>
              </w:rPr>
              <w:instrText xml:space="preserve"> PAGEREF _Toc196745424 \h </w:instrText>
            </w:r>
            <w:r>
              <w:rPr>
                <w:noProof/>
                <w:webHidden/>
              </w:rPr>
            </w:r>
            <w:r>
              <w:rPr>
                <w:noProof/>
                <w:webHidden/>
              </w:rPr>
              <w:fldChar w:fldCharType="separate"/>
            </w:r>
            <w:r w:rsidR="002271EC">
              <w:rPr>
                <w:noProof/>
                <w:webHidden/>
              </w:rPr>
              <w:t>43</w:t>
            </w:r>
            <w:r>
              <w:rPr>
                <w:noProof/>
                <w:webHidden/>
              </w:rPr>
              <w:fldChar w:fldCharType="end"/>
            </w:r>
          </w:hyperlink>
        </w:p>
        <w:p w14:paraId="7534D00F" w14:textId="487EEAD3" w:rsidR="00E25C47" w:rsidRDefault="00E25C47">
          <w:pPr>
            <w:pStyle w:val="TOC3"/>
            <w:tabs>
              <w:tab w:val="right" w:leader="dot" w:pos="9628"/>
            </w:tabs>
            <w:rPr>
              <w:noProof/>
              <w:kern w:val="2"/>
              <w:sz w:val="24"/>
              <w:szCs w:val="24"/>
              <w:lang w:eastAsia="en-AU"/>
              <w14:ligatures w14:val="standardContextual"/>
            </w:rPr>
          </w:pPr>
          <w:hyperlink w:anchor="_Toc196745425" w:history="1">
            <w:r w:rsidRPr="009F60CA">
              <w:rPr>
                <w:rStyle w:val="Hyperlink"/>
                <w:noProof/>
              </w:rPr>
              <w:t>Purchaser burden</w:t>
            </w:r>
            <w:r>
              <w:rPr>
                <w:noProof/>
                <w:webHidden/>
              </w:rPr>
              <w:tab/>
            </w:r>
            <w:r>
              <w:rPr>
                <w:noProof/>
                <w:webHidden/>
              </w:rPr>
              <w:fldChar w:fldCharType="begin"/>
            </w:r>
            <w:r>
              <w:rPr>
                <w:noProof/>
                <w:webHidden/>
              </w:rPr>
              <w:instrText xml:space="preserve"> PAGEREF _Toc196745425 \h </w:instrText>
            </w:r>
            <w:r>
              <w:rPr>
                <w:noProof/>
                <w:webHidden/>
              </w:rPr>
            </w:r>
            <w:r>
              <w:rPr>
                <w:noProof/>
                <w:webHidden/>
              </w:rPr>
              <w:fldChar w:fldCharType="separate"/>
            </w:r>
            <w:r w:rsidR="002271EC">
              <w:rPr>
                <w:noProof/>
                <w:webHidden/>
              </w:rPr>
              <w:t>44</w:t>
            </w:r>
            <w:r>
              <w:rPr>
                <w:noProof/>
                <w:webHidden/>
              </w:rPr>
              <w:fldChar w:fldCharType="end"/>
            </w:r>
          </w:hyperlink>
        </w:p>
        <w:p w14:paraId="061EC7CA" w14:textId="486AE65A" w:rsidR="00E25C47" w:rsidRDefault="00E25C47">
          <w:pPr>
            <w:pStyle w:val="TOC2"/>
            <w:tabs>
              <w:tab w:val="right" w:leader="dot" w:pos="9628"/>
            </w:tabs>
            <w:rPr>
              <w:noProof/>
              <w:kern w:val="2"/>
              <w:sz w:val="24"/>
              <w:szCs w:val="24"/>
              <w:lang w:eastAsia="en-AU"/>
              <w14:ligatures w14:val="standardContextual"/>
            </w:rPr>
          </w:pPr>
          <w:hyperlink w:anchor="_Toc196745426" w:history="1">
            <w:r w:rsidRPr="009F60CA">
              <w:rPr>
                <w:rStyle w:val="Hyperlink"/>
                <w:noProof/>
              </w:rPr>
              <w:t>4.4 Benefit/cost analysis</w:t>
            </w:r>
            <w:r>
              <w:rPr>
                <w:noProof/>
                <w:webHidden/>
              </w:rPr>
              <w:tab/>
            </w:r>
            <w:r>
              <w:rPr>
                <w:noProof/>
                <w:webHidden/>
              </w:rPr>
              <w:fldChar w:fldCharType="begin"/>
            </w:r>
            <w:r>
              <w:rPr>
                <w:noProof/>
                <w:webHidden/>
              </w:rPr>
              <w:instrText xml:space="preserve"> PAGEREF _Toc196745426 \h </w:instrText>
            </w:r>
            <w:r>
              <w:rPr>
                <w:noProof/>
                <w:webHidden/>
              </w:rPr>
            </w:r>
            <w:r>
              <w:rPr>
                <w:noProof/>
                <w:webHidden/>
              </w:rPr>
              <w:fldChar w:fldCharType="separate"/>
            </w:r>
            <w:r w:rsidR="002271EC">
              <w:rPr>
                <w:noProof/>
                <w:webHidden/>
              </w:rPr>
              <w:t>45</w:t>
            </w:r>
            <w:r>
              <w:rPr>
                <w:noProof/>
                <w:webHidden/>
              </w:rPr>
              <w:fldChar w:fldCharType="end"/>
            </w:r>
          </w:hyperlink>
        </w:p>
        <w:p w14:paraId="65E33911" w14:textId="3CB4DEA4" w:rsidR="00E25C47" w:rsidRDefault="00E25C47">
          <w:pPr>
            <w:pStyle w:val="TOC3"/>
            <w:tabs>
              <w:tab w:val="right" w:leader="dot" w:pos="9628"/>
            </w:tabs>
            <w:rPr>
              <w:noProof/>
              <w:kern w:val="2"/>
              <w:sz w:val="24"/>
              <w:szCs w:val="24"/>
              <w:lang w:eastAsia="en-AU"/>
              <w14:ligatures w14:val="standardContextual"/>
            </w:rPr>
          </w:pPr>
          <w:hyperlink w:anchor="_Toc196745427" w:history="1">
            <w:r w:rsidRPr="009F60CA">
              <w:rPr>
                <w:rStyle w:val="Hyperlink"/>
                <w:noProof/>
              </w:rPr>
              <w:t>Uncertainty and sensitivity</w:t>
            </w:r>
            <w:r>
              <w:rPr>
                <w:noProof/>
                <w:webHidden/>
              </w:rPr>
              <w:tab/>
            </w:r>
            <w:r>
              <w:rPr>
                <w:noProof/>
                <w:webHidden/>
              </w:rPr>
              <w:fldChar w:fldCharType="begin"/>
            </w:r>
            <w:r>
              <w:rPr>
                <w:noProof/>
                <w:webHidden/>
              </w:rPr>
              <w:instrText xml:space="preserve"> PAGEREF _Toc196745427 \h </w:instrText>
            </w:r>
            <w:r>
              <w:rPr>
                <w:noProof/>
                <w:webHidden/>
              </w:rPr>
            </w:r>
            <w:r>
              <w:rPr>
                <w:noProof/>
                <w:webHidden/>
              </w:rPr>
              <w:fldChar w:fldCharType="separate"/>
            </w:r>
            <w:r w:rsidR="002271EC">
              <w:rPr>
                <w:noProof/>
                <w:webHidden/>
              </w:rPr>
              <w:t>49</w:t>
            </w:r>
            <w:r>
              <w:rPr>
                <w:noProof/>
                <w:webHidden/>
              </w:rPr>
              <w:fldChar w:fldCharType="end"/>
            </w:r>
          </w:hyperlink>
        </w:p>
        <w:p w14:paraId="59113337" w14:textId="5B610F4E" w:rsidR="00E25C47" w:rsidRDefault="00E25C47">
          <w:pPr>
            <w:pStyle w:val="TOC2"/>
            <w:tabs>
              <w:tab w:val="right" w:leader="dot" w:pos="9628"/>
            </w:tabs>
            <w:rPr>
              <w:noProof/>
              <w:kern w:val="2"/>
              <w:sz w:val="24"/>
              <w:szCs w:val="24"/>
              <w:lang w:eastAsia="en-AU"/>
              <w14:ligatures w14:val="standardContextual"/>
            </w:rPr>
          </w:pPr>
          <w:hyperlink w:anchor="_Toc196745428" w:history="1">
            <w:r w:rsidRPr="009F60CA">
              <w:rPr>
                <w:rStyle w:val="Hyperlink"/>
                <w:noProof/>
              </w:rPr>
              <w:t>4.5 Stakeholder Impacts</w:t>
            </w:r>
            <w:r>
              <w:rPr>
                <w:noProof/>
                <w:webHidden/>
              </w:rPr>
              <w:tab/>
            </w:r>
            <w:r>
              <w:rPr>
                <w:noProof/>
                <w:webHidden/>
              </w:rPr>
              <w:fldChar w:fldCharType="begin"/>
            </w:r>
            <w:r>
              <w:rPr>
                <w:noProof/>
                <w:webHidden/>
              </w:rPr>
              <w:instrText xml:space="preserve"> PAGEREF _Toc196745428 \h </w:instrText>
            </w:r>
            <w:r>
              <w:rPr>
                <w:noProof/>
                <w:webHidden/>
              </w:rPr>
            </w:r>
            <w:r>
              <w:rPr>
                <w:noProof/>
                <w:webHidden/>
              </w:rPr>
              <w:fldChar w:fldCharType="separate"/>
            </w:r>
            <w:r w:rsidR="002271EC">
              <w:rPr>
                <w:noProof/>
                <w:webHidden/>
              </w:rPr>
              <w:t>51</w:t>
            </w:r>
            <w:r>
              <w:rPr>
                <w:noProof/>
                <w:webHidden/>
              </w:rPr>
              <w:fldChar w:fldCharType="end"/>
            </w:r>
          </w:hyperlink>
        </w:p>
        <w:p w14:paraId="03E6B05B" w14:textId="34987849" w:rsidR="00E25C47" w:rsidRDefault="00E25C47">
          <w:pPr>
            <w:pStyle w:val="TOC3"/>
            <w:tabs>
              <w:tab w:val="right" w:leader="dot" w:pos="9628"/>
            </w:tabs>
            <w:rPr>
              <w:noProof/>
              <w:kern w:val="2"/>
              <w:sz w:val="24"/>
              <w:szCs w:val="24"/>
              <w:lang w:eastAsia="en-AU"/>
              <w14:ligatures w14:val="standardContextual"/>
            </w:rPr>
          </w:pPr>
          <w:hyperlink w:anchor="_Toc196745429" w:history="1">
            <w:r w:rsidRPr="009F60CA">
              <w:rPr>
                <w:rStyle w:val="Hyperlink"/>
                <w:noProof/>
              </w:rPr>
              <w:t>Suppliers</w:t>
            </w:r>
            <w:r>
              <w:rPr>
                <w:noProof/>
                <w:webHidden/>
              </w:rPr>
              <w:tab/>
            </w:r>
            <w:r>
              <w:rPr>
                <w:noProof/>
                <w:webHidden/>
              </w:rPr>
              <w:fldChar w:fldCharType="begin"/>
            </w:r>
            <w:r>
              <w:rPr>
                <w:noProof/>
                <w:webHidden/>
              </w:rPr>
              <w:instrText xml:space="preserve"> PAGEREF _Toc196745429 \h </w:instrText>
            </w:r>
            <w:r>
              <w:rPr>
                <w:noProof/>
                <w:webHidden/>
              </w:rPr>
            </w:r>
            <w:r>
              <w:rPr>
                <w:noProof/>
                <w:webHidden/>
              </w:rPr>
              <w:fldChar w:fldCharType="separate"/>
            </w:r>
            <w:r w:rsidR="002271EC">
              <w:rPr>
                <w:noProof/>
                <w:webHidden/>
              </w:rPr>
              <w:t>51</w:t>
            </w:r>
            <w:r>
              <w:rPr>
                <w:noProof/>
                <w:webHidden/>
              </w:rPr>
              <w:fldChar w:fldCharType="end"/>
            </w:r>
          </w:hyperlink>
        </w:p>
        <w:p w14:paraId="440851B3" w14:textId="5BE4594E" w:rsidR="00E25C47" w:rsidRDefault="00E25C47">
          <w:pPr>
            <w:pStyle w:val="TOC3"/>
            <w:tabs>
              <w:tab w:val="right" w:leader="dot" w:pos="9628"/>
            </w:tabs>
            <w:rPr>
              <w:noProof/>
              <w:kern w:val="2"/>
              <w:sz w:val="24"/>
              <w:szCs w:val="24"/>
              <w:lang w:eastAsia="en-AU"/>
              <w14:ligatures w14:val="standardContextual"/>
            </w:rPr>
          </w:pPr>
          <w:hyperlink w:anchor="_Toc196745430" w:history="1">
            <w:r w:rsidRPr="009F60CA">
              <w:rPr>
                <w:rStyle w:val="Hyperlink"/>
                <w:noProof/>
              </w:rPr>
              <w:t>Purchasers</w:t>
            </w:r>
            <w:r>
              <w:rPr>
                <w:noProof/>
                <w:webHidden/>
              </w:rPr>
              <w:tab/>
            </w:r>
            <w:r>
              <w:rPr>
                <w:noProof/>
                <w:webHidden/>
              </w:rPr>
              <w:fldChar w:fldCharType="begin"/>
            </w:r>
            <w:r>
              <w:rPr>
                <w:noProof/>
                <w:webHidden/>
              </w:rPr>
              <w:instrText xml:space="preserve"> PAGEREF _Toc196745430 \h </w:instrText>
            </w:r>
            <w:r>
              <w:rPr>
                <w:noProof/>
                <w:webHidden/>
              </w:rPr>
            </w:r>
            <w:r>
              <w:rPr>
                <w:noProof/>
                <w:webHidden/>
              </w:rPr>
              <w:fldChar w:fldCharType="separate"/>
            </w:r>
            <w:r w:rsidR="002271EC">
              <w:rPr>
                <w:noProof/>
                <w:webHidden/>
              </w:rPr>
              <w:t>52</w:t>
            </w:r>
            <w:r>
              <w:rPr>
                <w:noProof/>
                <w:webHidden/>
              </w:rPr>
              <w:fldChar w:fldCharType="end"/>
            </w:r>
          </w:hyperlink>
        </w:p>
        <w:p w14:paraId="0E33142D" w14:textId="3ADA4EA0" w:rsidR="00E25C47" w:rsidRDefault="00E25C47">
          <w:pPr>
            <w:pStyle w:val="TOC3"/>
            <w:tabs>
              <w:tab w:val="right" w:leader="dot" w:pos="9628"/>
            </w:tabs>
            <w:rPr>
              <w:noProof/>
              <w:kern w:val="2"/>
              <w:sz w:val="24"/>
              <w:szCs w:val="24"/>
              <w:lang w:eastAsia="en-AU"/>
              <w14:ligatures w14:val="standardContextual"/>
            </w:rPr>
          </w:pPr>
          <w:hyperlink w:anchor="_Toc196745431" w:history="1">
            <w:r w:rsidRPr="009F60CA">
              <w:rPr>
                <w:rStyle w:val="Hyperlink"/>
                <w:noProof/>
              </w:rPr>
              <w:t>The WELS Regulator</w:t>
            </w:r>
            <w:r>
              <w:rPr>
                <w:noProof/>
                <w:webHidden/>
              </w:rPr>
              <w:tab/>
            </w:r>
            <w:r>
              <w:rPr>
                <w:noProof/>
                <w:webHidden/>
              </w:rPr>
              <w:fldChar w:fldCharType="begin"/>
            </w:r>
            <w:r>
              <w:rPr>
                <w:noProof/>
                <w:webHidden/>
              </w:rPr>
              <w:instrText xml:space="preserve"> PAGEREF _Toc196745431 \h </w:instrText>
            </w:r>
            <w:r>
              <w:rPr>
                <w:noProof/>
                <w:webHidden/>
              </w:rPr>
            </w:r>
            <w:r>
              <w:rPr>
                <w:noProof/>
                <w:webHidden/>
              </w:rPr>
              <w:fldChar w:fldCharType="separate"/>
            </w:r>
            <w:r w:rsidR="002271EC">
              <w:rPr>
                <w:noProof/>
                <w:webHidden/>
              </w:rPr>
              <w:t>53</w:t>
            </w:r>
            <w:r>
              <w:rPr>
                <w:noProof/>
                <w:webHidden/>
              </w:rPr>
              <w:fldChar w:fldCharType="end"/>
            </w:r>
          </w:hyperlink>
        </w:p>
        <w:p w14:paraId="5899B526" w14:textId="7E10665F" w:rsidR="00E25C47" w:rsidRDefault="00E25C47">
          <w:pPr>
            <w:pStyle w:val="TOC3"/>
            <w:tabs>
              <w:tab w:val="right" w:leader="dot" w:pos="9628"/>
            </w:tabs>
            <w:rPr>
              <w:noProof/>
              <w:kern w:val="2"/>
              <w:sz w:val="24"/>
              <w:szCs w:val="24"/>
              <w:lang w:eastAsia="en-AU"/>
              <w14:ligatures w14:val="standardContextual"/>
            </w:rPr>
          </w:pPr>
          <w:hyperlink w:anchor="_Toc196745432" w:history="1">
            <w:r w:rsidRPr="009F60CA">
              <w:rPr>
                <w:rStyle w:val="Hyperlink"/>
                <w:noProof/>
              </w:rPr>
              <w:t>Impacts on competition</w:t>
            </w:r>
            <w:r>
              <w:rPr>
                <w:noProof/>
                <w:webHidden/>
              </w:rPr>
              <w:tab/>
            </w:r>
            <w:r>
              <w:rPr>
                <w:noProof/>
                <w:webHidden/>
              </w:rPr>
              <w:fldChar w:fldCharType="begin"/>
            </w:r>
            <w:r>
              <w:rPr>
                <w:noProof/>
                <w:webHidden/>
              </w:rPr>
              <w:instrText xml:space="preserve"> PAGEREF _Toc196745432 \h </w:instrText>
            </w:r>
            <w:r>
              <w:rPr>
                <w:noProof/>
                <w:webHidden/>
              </w:rPr>
            </w:r>
            <w:r>
              <w:rPr>
                <w:noProof/>
                <w:webHidden/>
              </w:rPr>
              <w:fldChar w:fldCharType="separate"/>
            </w:r>
            <w:r w:rsidR="002271EC">
              <w:rPr>
                <w:noProof/>
                <w:webHidden/>
              </w:rPr>
              <w:t>54</w:t>
            </w:r>
            <w:r>
              <w:rPr>
                <w:noProof/>
                <w:webHidden/>
              </w:rPr>
              <w:fldChar w:fldCharType="end"/>
            </w:r>
          </w:hyperlink>
        </w:p>
        <w:p w14:paraId="1BC7527E" w14:textId="2C54808F" w:rsidR="00E25C47" w:rsidRDefault="00E25C47">
          <w:pPr>
            <w:pStyle w:val="TOC1"/>
            <w:tabs>
              <w:tab w:val="right" w:leader="dot" w:pos="9628"/>
            </w:tabs>
            <w:rPr>
              <w:noProof/>
              <w:kern w:val="2"/>
              <w:sz w:val="24"/>
              <w:szCs w:val="24"/>
              <w:lang w:eastAsia="en-AU"/>
              <w14:ligatures w14:val="standardContextual"/>
            </w:rPr>
          </w:pPr>
          <w:hyperlink w:anchor="_Toc196745433" w:history="1">
            <w:r w:rsidRPr="009F60CA">
              <w:rPr>
                <w:rStyle w:val="Hyperlink"/>
                <w:noProof/>
              </w:rPr>
              <w:t>References</w:t>
            </w:r>
            <w:r>
              <w:rPr>
                <w:noProof/>
                <w:webHidden/>
              </w:rPr>
              <w:tab/>
            </w:r>
            <w:r>
              <w:rPr>
                <w:noProof/>
                <w:webHidden/>
              </w:rPr>
              <w:fldChar w:fldCharType="begin"/>
            </w:r>
            <w:r>
              <w:rPr>
                <w:noProof/>
                <w:webHidden/>
              </w:rPr>
              <w:instrText xml:space="preserve"> PAGEREF _Toc196745433 \h </w:instrText>
            </w:r>
            <w:r>
              <w:rPr>
                <w:noProof/>
                <w:webHidden/>
              </w:rPr>
            </w:r>
            <w:r>
              <w:rPr>
                <w:noProof/>
                <w:webHidden/>
              </w:rPr>
              <w:fldChar w:fldCharType="separate"/>
            </w:r>
            <w:r w:rsidR="002271EC">
              <w:rPr>
                <w:noProof/>
                <w:webHidden/>
              </w:rPr>
              <w:t>55</w:t>
            </w:r>
            <w:r>
              <w:rPr>
                <w:noProof/>
                <w:webHidden/>
              </w:rPr>
              <w:fldChar w:fldCharType="end"/>
            </w:r>
          </w:hyperlink>
        </w:p>
        <w:p w14:paraId="48B45D87" w14:textId="3E26C060" w:rsidR="00E25C47" w:rsidRDefault="00E25C47">
          <w:pPr>
            <w:pStyle w:val="TOC1"/>
            <w:tabs>
              <w:tab w:val="right" w:leader="dot" w:pos="9628"/>
            </w:tabs>
            <w:rPr>
              <w:noProof/>
              <w:kern w:val="2"/>
              <w:sz w:val="24"/>
              <w:szCs w:val="24"/>
              <w:lang w:eastAsia="en-AU"/>
              <w14:ligatures w14:val="standardContextual"/>
            </w:rPr>
          </w:pPr>
          <w:hyperlink w:anchor="_Toc196745434" w:history="1">
            <w:r w:rsidRPr="009F60CA">
              <w:rPr>
                <w:rStyle w:val="Hyperlink"/>
                <w:noProof/>
              </w:rPr>
              <w:t>Appendix A Questions for Stakeholders</w:t>
            </w:r>
            <w:r>
              <w:rPr>
                <w:noProof/>
                <w:webHidden/>
              </w:rPr>
              <w:tab/>
            </w:r>
            <w:r>
              <w:rPr>
                <w:noProof/>
                <w:webHidden/>
              </w:rPr>
              <w:fldChar w:fldCharType="begin"/>
            </w:r>
            <w:r>
              <w:rPr>
                <w:noProof/>
                <w:webHidden/>
              </w:rPr>
              <w:instrText xml:space="preserve"> PAGEREF _Toc196745434 \h </w:instrText>
            </w:r>
            <w:r>
              <w:rPr>
                <w:noProof/>
                <w:webHidden/>
              </w:rPr>
            </w:r>
            <w:r>
              <w:rPr>
                <w:noProof/>
                <w:webHidden/>
              </w:rPr>
              <w:fldChar w:fldCharType="separate"/>
            </w:r>
            <w:r w:rsidR="002271EC">
              <w:rPr>
                <w:noProof/>
                <w:webHidden/>
              </w:rPr>
              <w:t>57</w:t>
            </w:r>
            <w:r>
              <w:rPr>
                <w:noProof/>
                <w:webHidden/>
              </w:rPr>
              <w:fldChar w:fldCharType="end"/>
            </w:r>
          </w:hyperlink>
        </w:p>
        <w:p w14:paraId="4A74CEE5" w14:textId="24C9052F" w:rsidR="00E25C47" w:rsidRDefault="00E25C47">
          <w:pPr>
            <w:pStyle w:val="TOC1"/>
            <w:tabs>
              <w:tab w:val="right" w:leader="dot" w:pos="9628"/>
            </w:tabs>
            <w:rPr>
              <w:noProof/>
              <w:kern w:val="2"/>
              <w:sz w:val="24"/>
              <w:szCs w:val="24"/>
              <w:lang w:eastAsia="en-AU"/>
              <w14:ligatures w14:val="standardContextual"/>
            </w:rPr>
          </w:pPr>
          <w:hyperlink w:anchor="_Toc196745435" w:history="1">
            <w:r w:rsidRPr="009F60CA">
              <w:rPr>
                <w:rStyle w:val="Hyperlink"/>
                <w:noProof/>
              </w:rPr>
              <w:t>Appendix B Cost-Benefit Modelling Details</w:t>
            </w:r>
            <w:r>
              <w:rPr>
                <w:noProof/>
                <w:webHidden/>
              </w:rPr>
              <w:tab/>
            </w:r>
            <w:r>
              <w:rPr>
                <w:noProof/>
                <w:webHidden/>
              </w:rPr>
              <w:fldChar w:fldCharType="begin"/>
            </w:r>
            <w:r>
              <w:rPr>
                <w:noProof/>
                <w:webHidden/>
              </w:rPr>
              <w:instrText xml:space="preserve"> PAGEREF _Toc196745435 \h </w:instrText>
            </w:r>
            <w:r>
              <w:rPr>
                <w:noProof/>
                <w:webHidden/>
              </w:rPr>
            </w:r>
            <w:r>
              <w:rPr>
                <w:noProof/>
                <w:webHidden/>
              </w:rPr>
              <w:fldChar w:fldCharType="separate"/>
            </w:r>
            <w:r w:rsidR="002271EC">
              <w:rPr>
                <w:noProof/>
                <w:webHidden/>
              </w:rPr>
              <w:t>62</w:t>
            </w:r>
            <w:r>
              <w:rPr>
                <w:noProof/>
                <w:webHidden/>
              </w:rPr>
              <w:fldChar w:fldCharType="end"/>
            </w:r>
          </w:hyperlink>
        </w:p>
        <w:p w14:paraId="7E3212A3" w14:textId="679188AA" w:rsidR="00E25C47" w:rsidRDefault="00E25C47">
          <w:pPr>
            <w:pStyle w:val="TOC3"/>
            <w:tabs>
              <w:tab w:val="right" w:leader="dot" w:pos="9628"/>
            </w:tabs>
            <w:rPr>
              <w:noProof/>
              <w:kern w:val="2"/>
              <w:sz w:val="24"/>
              <w:szCs w:val="24"/>
              <w:lang w:eastAsia="en-AU"/>
              <w14:ligatures w14:val="standardContextual"/>
            </w:rPr>
          </w:pPr>
          <w:hyperlink w:anchor="_Toc196745436" w:history="1">
            <w:r w:rsidRPr="009F60CA">
              <w:rPr>
                <w:rStyle w:val="Hyperlink"/>
                <w:noProof/>
              </w:rPr>
              <w:t>Water Prices</w:t>
            </w:r>
            <w:r>
              <w:rPr>
                <w:noProof/>
                <w:webHidden/>
              </w:rPr>
              <w:tab/>
            </w:r>
            <w:r>
              <w:rPr>
                <w:noProof/>
                <w:webHidden/>
              </w:rPr>
              <w:fldChar w:fldCharType="begin"/>
            </w:r>
            <w:r>
              <w:rPr>
                <w:noProof/>
                <w:webHidden/>
              </w:rPr>
              <w:instrText xml:space="preserve"> PAGEREF _Toc196745436 \h </w:instrText>
            </w:r>
            <w:r>
              <w:rPr>
                <w:noProof/>
                <w:webHidden/>
              </w:rPr>
            </w:r>
            <w:r>
              <w:rPr>
                <w:noProof/>
                <w:webHidden/>
              </w:rPr>
              <w:fldChar w:fldCharType="separate"/>
            </w:r>
            <w:r w:rsidR="002271EC">
              <w:rPr>
                <w:noProof/>
                <w:webHidden/>
              </w:rPr>
              <w:t>62</w:t>
            </w:r>
            <w:r>
              <w:rPr>
                <w:noProof/>
                <w:webHidden/>
              </w:rPr>
              <w:fldChar w:fldCharType="end"/>
            </w:r>
          </w:hyperlink>
        </w:p>
        <w:p w14:paraId="6201E32F" w14:textId="6723FF2D" w:rsidR="00E25C47" w:rsidRDefault="00E25C47">
          <w:pPr>
            <w:pStyle w:val="TOC3"/>
            <w:tabs>
              <w:tab w:val="right" w:leader="dot" w:pos="9628"/>
            </w:tabs>
            <w:rPr>
              <w:noProof/>
              <w:kern w:val="2"/>
              <w:sz w:val="24"/>
              <w:szCs w:val="24"/>
              <w:lang w:eastAsia="en-AU"/>
              <w14:ligatures w14:val="standardContextual"/>
            </w:rPr>
          </w:pPr>
          <w:hyperlink w:anchor="_Toc196745437" w:history="1">
            <w:r w:rsidRPr="009F60CA">
              <w:rPr>
                <w:rStyle w:val="Hyperlink"/>
                <w:noProof/>
              </w:rPr>
              <w:t>Operating costs</w:t>
            </w:r>
            <w:r>
              <w:rPr>
                <w:noProof/>
                <w:webHidden/>
              </w:rPr>
              <w:tab/>
            </w:r>
            <w:r>
              <w:rPr>
                <w:noProof/>
                <w:webHidden/>
              </w:rPr>
              <w:fldChar w:fldCharType="begin"/>
            </w:r>
            <w:r>
              <w:rPr>
                <w:noProof/>
                <w:webHidden/>
              </w:rPr>
              <w:instrText xml:space="preserve"> PAGEREF _Toc196745437 \h </w:instrText>
            </w:r>
            <w:r>
              <w:rPr>
                <w:noProof/>
                <w:webHidden/>
              </w:rPr>
            </w:r>
            <w:r>
              <w:rPr>
                <w:noProof/>
                <w:webHidden/>
              </w:rPr>
              <w:fldChar w:fldCharType="separate"/>
            </w:r>
            <w:r w:rsidR="002271EC">
              <w:rPr>
                <w:noProof/>
                <w:webHidden/>
              </w:rPr>
              <w:t>64</w:t>
            </w:r>
            <w:r>
              <w:rPr>
                <w:noProof/>
                <w:webHidden/>
              </w:rPr>
              <w:fldChar w:fldCharType="end"/>
            </w:r>
          </w:hyperlink>
        </w:p>
        <w:p w14:paraId="7D757888" w14:textId="2E617766" w:rsidR="00E25C47" w:rsidRDefault="00E25C47">
          <w:pPr>
            <w:pStyle w:val="TOC3"/>
            <w:tabs>
              <w:tab w:val="right" w:leader="dot" w:pos="9628"/>
            </w:tabs>
            <w:rPr>
              <w:noProof/>
              <w:kern w:val="2"/>
              <w:sz w:val="24"/>
              <w:szCs w:val="24"/>
              <w:lang w:eastAsia="en-AU"/>
              <w14:ligatures w14:val="standardContextual"/>
            </w:rPr>
          </w:pPr>
          <w:hyperlink w:anchor="_Toc196745438" w:history="1">
            <w:r w:rsidRPr="009F60CA">
              <w:rPr>
                <w:rStyle w:val="Hyperlink"/>
                <w:noProof/>
              </w:rPr>
              <w:t>Projected trends</w:t>
            </w:r>
            <w:r>
              <w:rPr>
                <w:noProof/>
                <w:webHidden/>
              </w:rPr>
              <w:tab/>
            </w:r>
            <w:r>
              <w:rPr>
                <w:noProof/>
                <w:webHidden/>
              </w:rPr>
              <w:fldChar w:fldCharType="begin"/>
            </w:r>
            <w:r>
              <w:rPr>
                <w:noProof/>
                <w:webHidden/>
              </w:rPr>
              <w:instrText xml:space="preserve"> PAGEREF _Toc196745438 \h </w:instrText>
            </w:r>
            <w:r>
              <w:rPr>
                <w:noProof/>
                <w:webHidden/>
              </w:rPr>
            </w:r>
            <w:r>
              <w:rPr>
                <w:noProof/>
                <w:webHidden/>
              </w:rPr>
              <w:fldChar w:fldCharType="separate"/>
            </w:r>
            <w:r w:rsidR="002271EC">
              <w:rPr>
                <w:noProof/>
                <w:webHidden/>
              </w:rPr>
              <w:t>67</w:t>
            </w:r>
            <w:r>
              <w:rPr>
                <w:noProof/>
                <w:webHidden/>
              </w:rPr>
              <w:fldChar w:fldCharType="end"/>
            </w:r>
          </w:hyperlink>
        </w:p>
        <w:p w14:paraId="1E9E0048" w14:textId="45571F98" w:rsidR="00E25C47" w:rsidRDefault="00E25C47">
          <w:pPr>
            <w:pStyle w:val="TOC3"/>
            <w:tabs>
              <w:tab w:val="right" w:leader="dot" w:pos="9628"/>
            </w:tabs>
            <w:rPr>
              <w:noProof/>
              <w:kern w:val="2"/>
              <w:sz w:val="24"/>
              <w:szCs w:val="24"/>
              <w:lang w:eastAsia="en-AU"/>
              <w14:ligatures w14:val="standardContextual"/>
            </w:rPr>
          </w:pPr>
          <w:hyperlink w:anchor="_Toc196745439" w:history="1">
            <w:r w:rsidRPr="009F60CA">
              <w:rPr>
                <w:rStyle w:val="Hyperlink"/>
                <w:noProof/>
              </w:rPr>
              <w:t>Product prices</w:t>
            </w:r>
            <w:r>
              <w:rPr>
                <w:noProof/>
                <w:webHidden/>
              </w:rPr>
              <w:tab/>
            </w:r>
            <w:r>
              <w:rPr>
                <w:noProof/>
                <w:webHidden/>
              </w:rPr>
              <w:fldChar w:fldCharType="begin"/>
            </w:r>
            <w:r>
              <w:rPr>
                <w:noProof/>
                <w:webHidden/>
              </w:rPr>
              <w:instrText xml:space="preserve"> PAGEREF _Toc196745439 \h </w:instrText>
            </w:r>
            <w:r>
              <w:rPr>
                <w:noProof/>
                <w:webHidden/>
              </w:rPr>
            </w:r>
            <w:r>
              <w:rPr>
                <w:noProof/>
                <w:webHidden/>
              </w:rPr>
              <w:fldChar w:fldCharType="separate"/>
            </w:r>
            <w:r w:rsidR="002271EC">
              <w:rPr>
                <w:noProof/>
                <w:webHidden/>
              </w:rPr>
              <w:t>72</w:t>
            </w:r>
            <w:r>
              <w:rPr>
                <w:noProof/>
                <w:webHidden/>
              </w:rPr>
              <w:fldChar w:fldCharType="end"/>
            </w:r>
          </w:hyperlink>
        </w:p>
        <w:p w14:paraId="2E7D7BD6" w14:textId="24F767B6" w:rsidR="00E25C47" w:rsidRDefault="00E25C47">
          <w:pPr>
            <w:pStyle w:val="TOC3"/>
            <w:tabs>
              <w:tab w:val="right" w:leader="dot" w:pos="9628"/>
            </w:tabs>
            <w:rPr>
              <w:noProof/>
              <w:kern w:val="2"/>
              <w:sz w:val="24"/>
              <w:szCs w:val="24"/>
              <w:lang w:eastAsia="en-AU"/>
              <w14:ligatures w14:val="standardContextual"/>
            </w:rPr>
          </w:pPr>
          <w:hyperlink w:anchor="_Toc196745440" w:history="1">
            <w:r w:rsidRPr="009F60CA">
              <w:rPr>
                <w:rStyle w:val="Hyperlink"/>
                <w:noProof/>
              </w:rPr>
              <w:t>Administrative costs</w:t>
            </w:r>
            <w:r>
              <w:rPr>
                <w:noProof/>
                <w:webHidden/>
              </w:rPr>
              <w:tab/>
            </w:r>
            <w:r>
              <w:rPr>
                <w:noProof/>
                <w:webHidden/>
              </w:rPr>
              <w:fldChar w:fldCharType="begin"/>
            </w:r>
            <w:r>
              <w:rPr>
                <w:noProof/>
                <w:webHidden/>
              </w:rPr>
              <w:instrText xml:space="preserve"> PAGEREF _Toc196745440 \h </w:instrText>
            </w:r>
            <w:r>
              <w:rPr>
                <w:noProof/>
                <w:webHidden/>
              </w:rPr>
            </w:r>
            <w:r>
              <w:rPr>
                <w:noProof/>
                <w:webHidden/>
              </w:rPr>
              <w:fldChar w:fldCharType="separate"/>
            </w:r>
            <w:r w:rsidR="002271EC">
              <w:rPr>
                <w:noProof/>
                <w:webHidden/>
              </w:rPr>
              <w:t>73</w:t>
            </w:r>
            <w:r>
              <w:rPr>
                <w:noProof/>
                <w:webHidden/>
              </w:rPr>
              <w:fldChar w:fldCharType="end"/>
            </w:r>
          </w:hyperlink>
        </w:p>
        <w:p w14:paraId="1F0484A1" w14:textId="6EB323D6" w:rsidR="00E25C47" w:rsidRDefault="00E25C47">
          <w:pPr>
            <w:pStyle w:val="TOC1"/>
            <w:tabs>
              <w:tab w:val="right" w:leader="dot" w:pos="9628"/>
            </w:tabs>
            <w:rPr>
              <w:noProof/>
              <w:kern w:val="2"/>
              <w:sz w:val="24"/>
              <w:szCs w:val="24"/>
              <w:lang w:eastAsia="en-AU"/>
              <w14:ligatures w14:val="standardContextual"/>
            </w:rPr>
          </w:pPr>
          <w:hyperlink w:anchor="_Toc196745441" w:history="1">
            <w:r w:rsidRPr="009F60CA">
              <w:rPr>
                <w:rStyle w:val="Hyperlink"/>
                <w:noProof/>
              </w:rPr>
              <w:t>Appendix C US Data on CIM water use</w:t>
            </w:r>
            <w:r>
              <w:rPr>
                <w:noProof/>
                <w:webHidden/>
              </w:rPr>
              <w:tab/>
            </w:r>
            <w:r>
              <w:rPr>
                <w:noProof/>
                <w:webHidden/>
              </w:rPr>
              <w:fldChar w:fldCharType="begin"/>
            </w:r>
            <w:r>
              <w:rPr>
                <w:noProof/>
                <w:webHidden/>
              </w:rPr>
              <w:instrText xml:space="preserve"> PAGEREF _Toc196745441 \h </w:instrText>
            </w:r>
            <w:r>
              <w:rPr>
                <w:noProof/>
                <w:webHidden/>
              </w:rPr>
            </w:r>
            <w:r>
              <w:rPr>
                <w:noProof/>
                <w:webHidden/>
              </w:rPr>
              <w:fldChar w:fldCharType="separate"/>
            </w:r>
            <w:r w:rsidR="002271EC">
              <w:rPr>
                <w:noProof/>
                <w:webHidden/>
              </w:rPr>
              <w:t>74</w:t>
            </w:r>
            <w:r>
              <w:rPr>
                <w:noProof/>
                <w:webHidden/>
              </w:rPr>
              <w:fldChar w:fldCharType="end"/>
            </w:r>
          </w:hyperlink>
        </w:p>
        <w:p w14:paraId="0B60DDB2" w14:textId="7085E0D6" w:rsidR="00E25C47" w:rsidRDefault="00E25C47">
          <w:pPr>
            <w:pStyle w:val="TOC1"/>
            <w:tabs>
              <w:tab w:val="right" w:leader="dot" w:pos="9628"/>
            </w:tabs>
            <w:rPr>
              <w:noProof/>
              <w:kern w:val="2"/>
              <w:sz w:val="24"/>
              <w:szCs w:val="24"/>
              <w:lang w:eastAsia="en-AU"/>
              <w14:ligatures w14:val="standardContextual"/>
            </w:rPr>
          </w:pPr>
          <w:hyperlink w:anchor="_Toc196745442" w:history="1">
            <w:r w:rsidRPr="009F60CA">
              <w:rPr>
                <w:rStyle w:val="Hyperlink"/>
                <w:noProof/>
              </w:rPr>
              <w:t>Appendix D New Zealand costs and benefits</w:t>
            </w:r>
            <w:r>
              <w:rPr>
                <w:noProof/>
                <w:webHidden/>
              </w:rPr>
              <w:tab/>
            </w:r>
            <w:r>
              <w:rPr>
                <w:noProof/>
                <w:webHidden/>
              </w:rPr>
              <w:fldChar w:fldCharType="begin"/>
            </w:r>
            <w:r>
              <w:rPr>
                <w:noProof/>
                <w:webHidden/>
              </w:rPr>
              <w:instrText xml:space="preserve"> PAGEREF _Toc196745442 \h </w:instrText>
            </w:r>
            <w:r>
              <w:rPr>
                <w:noProof/>
                <w:webHidden/>
              </w:rPr>
            </w:r>
            <w:r>
              <w:rPr>
                <w:noProof/>
                <w:webHidden/>
              </w:rPr>
              <w:fldChar w:fldCharType="separate"/>
            </w:r>
            <w:r w:rsidR="002271EC">
              <w:rPr>
                <w:noProof/>
                <w:webHidden/>
              </w:rPr>
              <w:t>83</w:t>
            </w:r>
            <w:r>
              <w:rPr>
                <w:noProof/>
                <w:webHidden/>
              </w:rPr>
              <w:fldChar w:fldCharType="end"/>
            </w:r>
          </w:hyperlink>
        </w:p>
        <w:p w14:paraId="11C486E4" w14:textId="1E25BAE6" w:rsidR="00F7120A" w:rsidRDefault="00F7120A">
          <w:r>
            <w:rPr>
              <w:b/>
              <w:bCs/>
              <w:noProof/>
            </w:rPr>
            <w:fldChar w:fldCharType="end"/>
          </w:r>
        </w:p>
      </w:sdtContent>
    </w:sdt>
    <w:p w14:paraId="15074B6E" w14:textId="42ADE796" w:rsidR="004B3D00" w:rsidRDefault="004B3D00" w:rsidP="004B3D00">
      <w:pPr>
        <w:pStyle w:val="Heading4"/>
        <w:pageBreakBefore/>
      </w:pPr>
      <w:r>
        <w:lastRenderedPageBreak/>
        <w:t>Table of Figures</w:t>
      </w:r>
    </w:p>
    <w:p w14:paraId="17746461" w14:textId="01FFC0EC" w:rsidR="00E25C47" w:rsidRDefault="004B3D00">
      <w:pPr>
        <w:pStyle w:val="TableofFigures"/>
        <w:tabs>
          <w:tab w:val="right" w:leader="dot" w:pos="9628"/>
        </w:tabs>
        <w:rPr>
          <w:noProof/>
          <w:kern w:val="2"/>
          <w:sz w:val="24"/>
          <w:szCs w:val="24"/>
          <w:lang w:eastAsia="en-AU"/>
          <w14:ligatures w14:val="standardContextual"/>
        </w:rPr>
      </w:pPr>
      <w:r>
        <w:fldChar w:fldCharType="begin"/>
      </w:r>
      <w:r>
        <w:instrText xml:space="preserve"> TOC \h \z \c "Table" </w:instrText>
      </w:r>
      <w:r>
        <w:fldChar w:fldCharType="separate"/>
      </w:r>
      <w:hyperlink w:anchor="_Toc196745443" w:history="1">
        <w:r w:rsidR="00E25C47" w:rsidRPr="00B70E94">
          <w:rPr>
            <w:rStyle w:val="Hyperlink"/>
            <w:noProof/>
          </w:rPr>
          <w:t>Table 1 Categories of Commercial Ice Maker</w:t>
        </w:r>
        <w:r w:rsidR="00E25C47">
          <w:rPr>
            <w:noProof/>
            <w:webHidden/>
          </w:rPr>
          <w:tab/>
        </w:r>
        <w:r w:rsidR="00E25C47">
          <w:rPr>
            <w:noProof/>
            <w:webHidden/>
          </w:rPr>
          <w:fldChar w:fldCharType="begin"/>
        </w:r>
        <w:r w:rsidR="00E25C47">
          <w:rPr>
            <w:noProof/>
            <w:webHidden/>
          </w:rPr>
          <w:instrText xml:space="preserve"> PAGEREF _Toc196745443 \h </w:instrText>
        </w:r>
        <w:r w:rsidR="00E25C47">
          <w:rPr>
            <w:noProof/>
            <w:webHidden/>
          </w:rPr>
        </w:r>
        <w:r w:rsidR="00E25C47">
          <w:rPr>
            <w:noProof/>
            <w:webHidden/>
          </w:rPr>
          <w:fldChar w:fldCharType="separate"/>
        </w:r>
        <w:r w:rsidR="002271EC">
          <w:rPr>
            <w:noProof/>
            <w:webHidden/>
          </w:rPr>
          <w:t>14</w:t>
        </w:r>
        <w:r w:rsidR="00E25C47">
          <w:rPr>
            <w:noProof/>
            <w:webHidden/>
          </w:rPr>
          <w:fldChar w:fldCharType="end"/>
        </w:r>
      </w:hyperlink>
    </w:p>
    <w:p w14:paraId="673BA7A4" w14:textId="42A9FEC1" w:rsidR="00E25C47" w:rsidRDefault="00E25C47">
      <w:pPr>
        <w:pStyle w:val="TableofFigures"/>
        <w:tabs>
          <w:tab w:val="right" w:leader="dot" w:pos="9628"/>
        </w:tabs>
        <w:rPr>
          <w:noProof/>
          <w:kern w:val="2"/>
          <w:sz w:val="24"/>
          <w:szCs w:val="24"/>
          <w:lang w:eastAsia="en-AU"/>
          <w14:ligatures w14:val="standardContextual"/>
        </w:rPr>
      </w:pPr>
      <w:hyperlink w:anchor="_Toc196745444" w:history="1">
        <w:r w:rsidRPr="00B70E94">
          <w:rPr>
            <w:rStyle w:val="Hyperlink"/>
            <w:noProof/>
          </w:rPr>
          <w:t xml:space="preserve">Table 2 </w:t>
        </w:r>
        <w:r w:rsidRPr="00B70E94">
          <w:rPr>
            <w:rStyle w:val="Hyperlink"/>
            <w:iCs/>
            <w:noProof/>
          </w:rPr>
          <w:t>Indicative Timing</w:t>
        </w:r>
        <w:r>
          <w:rPr>
            <w:noProof/>
            <w:webHidden/>
          </w:rPr>
          <w:tab/>
        </w:r>
        <w:r>
          <w:rPr>
            <w:noProof/>
            <w:webHidden/>
          </w:rPr>
          <w:fldChar w:fldCharType="begin"/>
        </w:r>
        <w:r>
          <w:rPr>
            <w:noProof/>
            <w:webHidden/>
          </w:rPr>
          <w:instrText xml:space="preserve"> PAGEREF _Toc196745444 \h </w:instrText>
        </w:r>
        <w:r>
          <w:rPr>
            <w:noProof/>
            <w:webHidden/>
          </w:rPr>
        </w:r>
        <w:r>
          <w:rPr>
            <w:noProof/>
            <w:webHidden/>
          </w:rPr>
          <w:fldChar w:fldCharType="separate"/>
        </w:r>
        <w:r w:rsidR="002271EC">
          <w:rPr>
            <w:noProof/>
            <w:webHidden/>
          </w:rPr>
          <w:t>33</w:t>
        </w:r>
        <w:r>
          <w:rPr>
            <w:noProof/>
            <w:webHidden/>
          </w:rPr>
          <w:fldChar w:fldCharType="end"/>
        </w:r>
      </w:hyperlink>
    </w:p>
    <w:p w14:paraId="769B2693" w14:textId="06D0FEDC" w:rsidR="00E25C47" w:rsidRDefault="00E25C47">
      <w:pPr>
        <w:pStyle w:val="TableofFigures"/>
        <w:tabs>
          <w:tab w:val="right" w:leader="dot" w:pos="9628"/>
        </w:tabs>
        <w:rPr>
          <w:noProof/>
          <w:kern w:val="2"/>
          <w:sz w:val="24"/>
          <w:szCs w:val="24"/>
          <w:lang w:eastAsia="en-AU"/>
          <w14:ligatures w14:val="standardContextual"/>
        </w:rPr>
      </w:pPr>
      <w:hyperlink w:anchor="_Toc196745445" w:history="1">
        <w:r w:rsidRPr="00B70E94">
          <w:rPr>
            <w:rStyle w:val="Hyperlink"/>
            <w:noProof/>
          </w:rPr>
          <w:t>Table 3 Summary of Proposed options</w:t>
        </w:r>
        <w:r>
          <w:rPr>
            <w:noProof/>
            <w:webHidden/>
          </w:rPr>
          <w:tab/>
        </w:r>
        <w:r>
          <w:rPr>
            <w:noProof/>
            <w:webHidden/>
          </w:rPr>
          <w:fldChar w:fldCharType="begin"/>
        </w:r>
        <w:r>
          <w:rPr>
            <w:noProof/>
            <w:webHidden/>
          </w:rPr>
          <w:instrText xml:space="preserve"> PAGEREF _Toc196745445 \h </w:instrText>
        </w:r>
        <w:r>
          <w:rPr>
            <w:noProof/>
            <w:webHidden/>
          </w:rPr>
        </w:r>
        <w:r>
          <w:rPr>
            <w:noProof/>
            <w:webHidden/>
          </w:rPr>
          <w:fldChar w:fldCharType="separate"/>
        </w:r>
        <w:r w:rsidR="002271EC">
          <w:rPr>
            <w:noProof/>
            <w:webHidden/>
          </w:rPr>
          <w:t>35</w:t>
        </w:r>
        <w:r>
          <w:rPr>
            <w:noProof/>
            <w:webHidden/>
          </w:rPr>
          <w:fldChar w:fldCharType="end"/>
        </w:r>
      </w:hyperlink>
    </w:p>
    <w:p w14:paraId="3923DA1A" w14:textId="69650B37" w:rsidR="00E25C47" w:rsidRDefault="00E25C47">
      <w:pPr>
        <w:pStyle w:val="TableofFigures"/>
        <w:tabs>
          <w:tab w:val="right" w:leader="dot" w:pos="9628"/>
        </w:tabs>
        <w:rPr>
          <w:noProof/>
          <w:kern w:val="2"/>
          <w:sz w:val="24"/>
          <w:szCs w:val="24"/>
          <w:lang w:eastAsia="en-AU"/>
          <w14:ligatures w14:val="standardContextual"/>
        </w:rPr>
      </w:pPr>
      <w:hyperlink w:anchor="_Toc196745446" w:history="1">
        <w:r w:rsidRPr="00B70E94">
          <w:rPr>
            <w:rStyle w:val="Hyperlink"/>
            <w:noProof/>
          </w:rPr>
          <w:t>Table 4 Estimates of Regulatory Burden Costs per liable entity</w:t>
        </w:r>
        <w:r>
          <w:rPr>
            <w:noProof/>
            <w:webHidden/>
          </w:rPr>
          <w:tab/>
        </w:r>
        <w:r>
          <w:rPr>
            <w:noProof/>
            <w:webHidden/>
          </w:rPr>
          <w:fldChar w:fldCharType="begin"/>
        </w:r>
        <w:r>
          <w:rPr>
            <w:noProof/>
            <w:webHidden/>
          </w:rPr>
          <w:instrText xml:space="preserve"> PAGEREF _Toc196745446 \h </w:instrText>
        </w:r>
        <w:r>
          <w:rPr>
            <w:noProof/>
            <w:webHidden/>
          </w:rPr>
        </w:r>
        <w:r>
          <w:rPr>
            <w:noProof/>
            <w:webHidden/>
          </w:rPr>
          <w:fldChar w:fldCharType="separate"/>
        </w:r>
        <w:r w:rsidR="002271EC">
          <w:rPr>
            <w:noProof/>
            <w:webHidden/>
          </w:rPr>
          <w:t>42</w:t>
        </w:r>
        <w:r>
          <w:rPr>
            <w:noProof/>
            <w:webHidden/>
          </w:rPr>
          <w:fldChar w:fldCharType="end"/>
        </w:r>
      </w:hyperlink>
    </w:p>
    <w:p w14:paraId="2F72E54C" w14:textId="26D02D1F" w:rsidR="00E25C47" w:rsidRDefault="00E25C47">
      <w:pPr>
        <w:pStyle w:val="TableofFigures"/>
        <w:tabs>
          <w:tab w:val="right" w:leader="dot" w:pos="9628"/>
        </w:tabs>
        <w:rPr>
          <w:noProof/>
          <w:kern w:val="2"/>
          <w:sz w:val="24"/>
          <w:szCs w:val="24"/>
          <w:lang w:eastAsia="en-AU"/>
          <w14:ligatures w14:val="standardContextual"/>
        </w:rPr>
      </w:pPr>
      <w:hyperlink w:anchor="_Toc196745447" w:history="1">
        <w:r w:rsidRPr="00B70E94">
          <w:rPr>
            <w:rStyle w:val="Hyperlink"/>
            <w:noProof/>
          </w:rPr>
          <w:t>Table 5 Estimate of total regulatory burden</w:t>
        </w:r>
        <w:r>
          <w:rPr>
            <w:noProof/>
            <w:webHidden/>
          </w:rPr>
          <w:tab/>
        </w:r>
        <w:r>
          <w:rPr>
            <w:noProof/>
            <w:webHidden/>
          </w:rPr>
          <w:fldChar w:fldCharType="begin"/>
        </w:r>
        <w:r>
          <w:rPr>
            <w:noProof/>
            <w:webHidden/>
          </w:rPr>
          <w:instrText xml:space="preserve"> PAGEREF _Toc196745447 \h </w:instrText>
        </w:r>
        <w:r>
          <w:rPr>
            <w:noProof/>
            <w:webHidden/>
          </w:rPr>
        </w:r>
        <w:r>
          <w:rPr>
            <w:noProof/>
            <w:webHidden/>
          </w:rPr>
          <w:fldChar w:fldCharType="separate"/>
        </w:r>
        <w:r w:rsidR="002271EC">
          <w:rPr>
            <w:noProof/>
            <w:webHidden/>
          </w:rPr>
          <w:t>43</w:t>
        </w:r>
        <w:r>
          <w:rPr>
            <w:noProof/>
            <w:webHidden/>
          </w:rPr>
          <w:fldChar w:fldCharType="end"/>
        </w:r>
      </w:hyperlink>
    </w:p>
    <w:p w14:paraId="65D363E2" w14:textId="41D649F6" w:rsidR="00E25C47" w:rsidRDefault="00E25C47">
      <w:pPr>
        <w:pStyle w:val="TableofFigures"/>
        <w:tabs>
          <w:tab w:val="right" w:leader="dot" w:pos="9628"/>
        </w:tabs>
        <w:rPr>
          <w:noProof/>
          <w:kern w:val="2"/>
          <w:sz w:val="24"/>
          <w:szCs w:val="24"/>
          <w:lang w:eastAsia="en-AU"/>
          <w14:ligatures w14:val="standardContextual"/>
        </w:rPr>
      </w:pPr>
      <w:hyperlink w:anchor="_Toc196745448" w:history="1">
        <w:r w:rsidRPr="00B70E94">
          <w:rPr>
            <w:rStyle w:val="Hyperlink"/>
            <w:noProof/>
          </w:rPr>
          <w:t>Table 6 Change in costs ($ million) by sector</w:t>
        </w:r>
        <w:r>
          <w:rPr>
            <w:noProof/>
            <w:webHidden/>
          </w:rPr>
          <w:tab/>
        </w:r>
        <w:r>
          <w:rPr>
            <w:noProof/>
            <w:webHidden/>
          </w:rPr>
          <w:fldChar w:fldCharType="begin"/>
        </w:r>
        <w:r>
          <w:rPr>
            <w:noProof/>
            <w:webHidden/>
          </w:rPr>
          <w:instrText xml:space="preserve"> PAGEREF _Toc196745448 \h </w:instrText>
        </w:r>
        <w:r>
          <w:rPr>
            <w:noProof/>
            <w:webHidden/>
          </w:rPr>
        </w:r>
        <w:r>
          <w:rPr>
            <w:noProof/>
            <w:webHidden/>
          </w:rPr>
          <w:fldChar w:fldCharType="separate"/>
        </w:r>
        <w:r w:rsidR="002271EC">
          <w:rPr>
            <w:noProof/>
            <w:webHidden/>
          </w:rPr>
          <w:t>43</w:t>
        </w:r>
        <w:r>
          <w:rPr>
            <w:noProof/>
            <w:webHidden/>
          </w:rPr>
          <w:fldChar w:fldCharType="end"/>
        </w:r>
      </w:hyperlink>
    </w:p>
    <w:p w14:paraId="79ABB5AE" w14:textId="38AC37DA" w:rsidR="00E25C47" w:rsidRDefault="00E25C47">
      <w:pPr>
        <w:pStyle w:val="TableofFigures"/>
        <w:tabs>
          <w:tab w:val="right" w:leader="dot" w:pos="9628"/>
        </w:tabs>
        <w:rPr>
          <w:noProof/>
          <w:kern w:val="2"/>
          <w:sz w:val="24"/>
          <w:szCs w:val="24"/>
          <w:lang w:eastAsia="en-AU"/>
          <w14:ligatures w14:val="standardContextual"/>
        </w:rPr>
      </w:pPr>
      <w:hyperlink w:anchor="_Toc196745449" w:history="1">
        <w:r w:rsidRPr="00B70E94">
          <w:rPr>
            <w:rStyle w:val="Hyperlink"/>
            <w:noProof/>
          </w:rPr>
          <w:t>Table 7 Estimates of costs to WELS Regulator</w:t>
        </w:r>
        <w:r>
          <w:rPr>
            <w:noProof/>
            <w:webHidden/>
          </w:rPr>
          <w:tab/>
        </w:r>
        <w:r>
          <w:rPr>
            <w:noProof/>
            <w:webHidden/>
          </w:rPr>
          <w:fldChar w:fldCharType="begin"/>
        </w:r>
        <w:r>
          <w:rPr>
            <w:noProof/>
            <w:webHidden/>
          </w:rPr>
          <w:instrText xml:space="preserve"> PAGEREF _Toc196745449 \h </w:instrText>
        </w:r>
        <w:r>
          <w:rPr>
            <w:noProof/>
            <w:webHidden/>
          </w:rPr>
        </w:r>
        <w:r>
          <w:rPr>
            <w:noProof/>
            <w:webHidden/>
          </w:rPr>
          <w:fldChar w:fldCharType="separate"/>
        </w:r>
        <w:r w:rsidR="002271EC">
          <w:rPr>
            <w:noProof/>
            <w:webHidden/>
          </w:rPr>
          <w:t>44</w:t>
        </w:r>
        <w:r>
          <w:rPr>
            <w:noProof/>
            <w:webHidden/>
          </w:rPr>
          <w:fldChar w:fldCharType="end"/>
        </w:r>
      </w:hyperlink>
    </w:p>
    <w:p w14:paraId="4B65D995" w14:textId="65B532A4" w:rsidR="00E25C47" w:rsidRDefault="00E25C47">
      <w:pPr>
        <w:pStyle w:val="TableofFigures"/>
        <w:tabs>
          <w:tab w:val="right" w:leader="dot" w:pos="9628"/>
        </w:tabs>
        <w:rPr>
          <w:noProof/>
          <w:kern w:val="2"/>
          <w:sz w:val="24"/>
          <w:szCs w:val="24"/>
          <w:lang w:eastAsia="en-AU"/>
          <w14:ligatures w14:val="standardContextual"/>
        </w:rPr>
      </w:pPr>
      <w:hyperlink w:anchor="_Toc196745450" w:history="1">
        <w:r w:rsidRPr="00B70E94">
          <w:rPr>
            <w:rStyle w:val="Hyperlink"/>
            <w:noProof/>
          </w:rPr>
          <w:t>Table 8 Summary of projected costs and benefits, Australia</w:t>
        </w:r>
        <w:r>
          <w:rPr>
            <w:noProof/>
            <w:webHidden/>
          </w:rPr>
          <w:tab/>
        </w:r>
        <w:r>
          <w:rPr>
            <w:noProof/>
            <w:webHidden/>
          </w:rPr>
          <w:fldChar w:fldCharType="begin"/>
        </w:r>
        <w:r>
          <w:rPr>
            <w:noProof/>
            <w:webHidden/>
          </w:rPr>
          <w:instrText xml:space="preserve"> PAGEREF _Toc196745450 \h </w:instrText>
        </w:r>
        <w:r>
          <w:rPr>
            <w:noProof/>
            <w:webHidden/>
          </w:rPr>
        </w:r>
        <w:r>
          <w:rPr>
            <w:noProof/>
            <w:webHidden/>
          </w:rPr>
          <w:fldChar w:fldCharType="separate"/>
        </w:r>
        <w:r w:rsidR="002271EC">
          <w:rPr>
            <w:noProof/>
            <w:webHidden/>
          </w:rPr>
          <w:t>46</w:t>
        </w:r>
        <w:r>
          <w:rPr>
            <w:noProof/>
            <w:webHidden/>
          </w:rPr>
          <w:fldChar w:fldCharType="end"/>
        </w:r>
      </w:hyperlink>
    </w:p>
    <w:p w14:paraId="1D590F42" w14:textId="7AA09586" w:rsidR="00E25C47" w:rsidRDefault="00E25C47">
      <w:pPr>
        <w:pStyle w:val="TableofFigures"/>
        <w:tabs>
          <w:tab w:val="right" w:leader="dot" w:pos="9628"/>
        </w:tabs>
        <w:rPr>
          <w:noProof/>
          <w:kern w:val="2"/>
          <w:sz w:val="24"/>
          <w:szCs w:val="24"/>
          <w:lang w:eastAsia="en-AU"/>
          <w14:ligatures w14:val="standardContextual"/>
        </w:rPr>
      </w:pPr>
      <w:hyperlink w:anchor="_Toc196745451" w:history="1">
        <w:r w:rsidRPr="00B70E94">
          <w:rPr>
            <w:rStyle w:val="Hyperlink"/>
            <w:noProof/>
          </w:rPr>
          <w:t>Table 9 Sensitivity to discount rate assumptions, Australia</w:t>
        </w:r>
        <w:r>
          <w:rPr>
            <w:noProof/>
            <w:webHidden/>
          </w:rPr>
          <w:tab/>
        </w:r>
        <w:r>
          <w:rPr>
            <w:noProof/>
            <w:webHidden/>
          </w:rPr>
          <w:fldChar w:fldCharType="begin"/>
        </w:r>
        <w:r>
          <w:rPr>
            <w:noProof/>
            <w:webHidden/>
          </w:rPr>
          <w:instrText xml:space="preserve"> PAGEREF _Toc196745451 \h </w:instrText>
        </w:r>
        <w:r>
          <w:rPr>
            <w:noProof/>
            <w:webHidden/>
          </w:rPr>
        </w:r>
        <w:r>
          <w:rPr>
            <w:noProof/>
            <w:webHidden/>
          </w:rPr>
          <w:fldChar w:fldCharType="separate"/>
        </w:r>
        <w:r w:rsidR="002271EC">
          <w:rPr>
            <w:noProof/>
            <w:webHidden/>
          </w:rPr>
          <w:t>49</w:t>
        </w:r>
        <w:r>
          <w:rPr>
            <w:noProof/>
            <w:webHidden/>
          </w:rPr>
          <w:fldChar w:fldCharType="end"/>
        </w:r>
      </w:hyperlink>
    </w:p>
    <w:p w14:paraId="7CAB208E" w14:textId="5F32BD01" w:rsidR="00E25C47" w:rsidRDefault="00E25C47">
      <w:pPr>
        <w:pStyle w:val="TableofFigures"/>
        <w:tabs>
          <w:tab w:val="right" w:leader="dot" w:pos="9628"/>
        </w:tabs>
        <w:rPr>
          <w:noProof/>
          <w:kern w:val="2"/>
          <w:sz w:val="24"/>
          <w:szCs w:val="24"/>
          <w:lang w:eastAsia="en-AU"/>
          <w14:ligatures w14:val="standardContextual"/>
        </w:rPr>
      </w:pPr>
      <w:hyperlink w:anchor="_Toc196745452" w:history="1">
        <w:r w:rsidRPr="00B70E94">
          <w:rPr>
            <w:rStyle w:val="Hyperlink"/>
            <w:noProof/>
          </w:rPr>
          <w:t>Table 10 sensitivity to cooling water reuse assumptions</w:t>
        </w:r>
        <w:r>
          <w:rPr>
            <w:noProof/>
            <w:webHidden/>
          </w:rPr>
          <w:tab/>
        </w:r>
        <w:r>
          <w:rPr>
            <w:noProof/>
            <w:webHidden/>
          </w:rPr>
          <w:fldChar w:fldCharType="begin"/>
        </w:r>
        <w:r>
          <w:rPr>
            <w:noProof/>
            <w:webHidden/>
          </w:rPr>
          <w:instrText xml:space="preserve"> PAGEREF _Toc196745452 \h </w:instrText>
        </w:r>
        <w:r>
          <w:rPr>
            <w:noProof/>
            <w:webHidden/>
          </w:rPr>
        </w:r>
        <w:r>
          <w:rPr>
            <w:noProof/>
            <w:webHidden/>
          </w:rPr>
          <w:fldChar w:fldCharType="separate"/>
        </w:r>
        <w:r w:rsidR="002271EC">
          <w:rPr>
            <w:noProof/>
            <w:webHidden/>
          </w:rPr>
          <w:t>50</w:t>
        </w:r>
        <w:r>
          <w:rPr>
            <w:noProof/>
            <w:webHidden/>
          </w:rPr>
          <w:fldChar w:fldCharType="end"/>
        </w:r>
      </w:hyperlink>
    </w:p>
    <w:p w14:paraId="4C0CCFA9" w14:textId="15B9AFB8" w:rsidR="00E25C47" w:rsidRDefault="00E25C47">
      <w:pPr>
        <w:pStyle w:val="TableofFigures"/>
        <w:tabs>
          <w:tab w:val="right" w:leader="dot" w:pos="9628"/>
        </w:tabs>
        <w:rPr>
          <w:noProof/>
          <w:kern w:val="2"/>
          <w:sz w:val="24"/>
          <w:szCs w:val="24"/>
          <w:lang w:eastAsia="en-AU"/>
          <w14:ligatures w14:val="standardContextual"/>
        </w:rPr>
      </w:pPr>
      <w:hyperlink w:anchor="_Toc196745453" w:history="1">
        <w:r w:rsidRPr="00B70E94">
          <w:rPr>
            <w:rStyle w:val="Hyperlink"/>
            <w:noProof/>
          </w:rPr>
          <w:t>Table 11 Summary of projected costs and benefits, Australia (Price doubled)</w:t>
        </w:r>
        <w:r>
          <w:rPr>
            <w:noProof/>
            <w:webHidden/>
          </w:rPr>
          <w:tab/>
        </w:r>
        <w:r>
          <w:rPr>
            <w:noProof/>
            <w:webHidden/>
          </w:rPr>
          <w:fldChar w:fldCharType="begin"/>
        </w:r>
        <w:r>
          <w:rPr>
            <w:noProof/>
            <w:webHidden/>
          </w:rPr>
          <w:instrText xml:space="preserve"> PAGEREF _Toc196745453 \h </w:instrText>
        </w:r>
        <w:r>
          <w:rPr>
            <w:noProof/>
            <w:webHidden/>
          </w:rPr>
        </w:r>
        <w:r>
          <w:rPr>
            <w:noProof/>
            <w:webHidden/>
          </w:rPr>
          <w:fldChar w:fldCharType="separate"/>
        </w:r>
        <w:r w:rsidR="002271EC">
          <w:rPr>
            <w:noProof/>
            <w:webHidden/>
          </w:rPr>
          <w:t>50</w:t>
        </w:r>
        <w:r>
          <w:rPr>
            <w:noProof/>
            <w:webHidden/>
          </w:rPr>
          <w:fldChar w:fldCharType="end"/>
        </w:r>
      </w:hyperlink>
    </w:p>
    <w:p w14:paraId="22876BC6" w14:textId="2A0D6599" w:rsidR="00E25C47" w:rsidRDefault="00E25C47">
      <w:pPr>
        <w:pStyle w:val="TableofFigures"/>
        <w:tabs>
          <w:tab w:val="right" w:leader="dot" w:pos="9628"/>
        </w:tabs>
        <w:rPr>
          <w:noProof/>
          <w:kern w:val="2"/>
          <w:sz w:val="24"/>
          <w:szCs w:val="24"/>
          <w:lang w:eastAsia="en-AU"/>
          <w14:ligatures w14:val="standardContextual"/>
        </w:rPr>
      </w:pPr>
      <w:hyperlink w:anchor="_Toc196745454" w:history="1">
        <w:r w:rsidRPr="00B70E94">
          <w:rPr>
            <w:rStyle w:val="Hyperlink"/>
            <w:noProof/>
          </w:rPr>
          <w:t>Table 12 simple payback period (years) for cim purchasers</w:t>
        </w:r>
        <w:r>
          <w:rPr>
            <w:noProof/>
            <w:webHidden/>
          </w:rPr>
          <w:tab/>
        </w:r>
        <w:r>
          <w:rPr>
            <w:noProof/>
            <w:webHidden/>
          </w:rPr>
          <w:fldChar w:fldCharType="begin"/>
        </w:r>
        <w:r>
          <w:rPr>
            <w:noProof/>
            <w:webHidden/>
          </w:rPr>
          <w:instrText xml:space="preserve"> PAGEREF _Toc196745454 \h </w:instrText>
        </w:r>
        <w:r>
          <w:rPr>
            <w:noProof/>
            <w:webHidden/>
          </w:rPr>
        </w:r>
        <w:r>
          <w:rPr>
            <w:noProof/>
            <w:webHidden/>
          </w:rPr>
          <w:fldChar w:fldCharType="separate"/>
        </w:r>
        <w:r w:rsidR="002271EC">
          <w:rPr>
            <w:noProof/>
            <w:webHidden/>
          </w:rPr>
          <w:t>53</w:t>
        </w:r>
        <w:r>
          <w:rPr>
            <w:noProof/>
            <w:webHidden/>
          </w:rPr>
          <w:fldChar w:fldCharType="end"/>
        </w:r>
      </w:hyperlink>
    </w:p>
    <w:p w14:paraId="403E5B8E" w14:textId="0987DB3D" w:rsidR="00E25C47" w:rsidRDefault="00E25C47">
      <w:pPr>
        <w:pStyle w:val="TableofFigures"/>
        <w:tabs>
          <w:tab w:val="right" w:leader="dot" w:pos="9628"/>
        </w:tabs>
        <w:rPr>
          <w:noProof/>
          <w:kern w:val="2"/>
          <w:sz w:val="24"/>
          <w:szCs w:val="24"/>
          <w:lang w:eastAsia="en-AU"/>
          <w14:ligatures w14:val="standardContextual"/>
        </w:rPr>
      </w:pPr>
      <w:hyperlink w:anchor="_Toc196745455" w:history="1">
        <w:r w:rsidRPr="00B70E94">
          <w:rPr>
            <w:rStyle w:val="Hyperlink"/>
            <w:noProof/>
          </w:rPr>
          <w:t>Table 13 Estimated mains-supplied water charges by jurisdiction, 2025</w:t>
        </w:r>
        <w:r>
          <w:rPr>
            <w:noProof/>
            <w:webHidden/>
          </w:rPr>
          <w:tab/>
        </w:r>
        <w:r>
          <w:rPr>
            <w:noProof/>
            <w:webHidden/>
          </w:rPr>
          <w:fldChar w:fldCharType="begin"/>
        </w:r>
        <w:r>
          <w:rPr>
            <w:noProof/>
            <w:webHidden/>
          </w:rPr>
          <w:instrText xml:space="preserve"> PAGEREF _Toc196745455 \h </w:instrText>
        </w:r>
        <w:r>
          <w:rPr>
            <w:noProof/>
            <w:webHidden/>
          </w:rPr>
        </w:r>
        <w:r>
          <w:rPr>
            <w:noProof/>
            <w:webHidden/>
          </w:rPr>
          <w:fldChar w:fldCharType="separate"/>
        </w:r>
        <w:r w:rsidR="002271EC">
          <w:rPr>
            <w:noProof/>
            <w:webHidden/>
          </w:rPr>
          <w:t>62</w:t>
        </w:r>
        <w:r>
          <w:rPr>
            <w:noProof/>
            <w:webHidden/>
          </w:rPr>
          <w:fldChar w:fldCharType="end"/>
        </w:r>
      </w:hyperlink>
    </w:p>
    <w:p w14:paraId="334B1B25" w14:textId="5CE5520F" w:rsidR="00E25C47" w:rsidRDefault="00E25C47">
      <w:pPr>
        <w:pStyle w:val="TableofFigures"/>
        <w:tabs>
          <w:tab w:val="right" w:leader="dot" w:pos="9628"/>
        </w:tabs>
        <w:rPr>
          <w:noProof/>
          <w:kern w:val="2"/>
          <w:sz w:val="24"/>
          <w:szCs w:val="24"/>
          <w:lang w:eastAsia="en-AU"/>
          <w14:ligatures w14:val="standardContextual"/>
        </w:rPr>
      </w:pPr>
      <w:hyperlink w:anchor="_Toc196745456" w:history="1">
        <w:r w:rsidRPr="00B70E94">
          <w:rPr>
            <w:rStyle w:val="Hyperlink"/>
            <w:noProof/>
          </w:rPr>
          <w:t>Table 14 Capacity, Market share and BAU water-intensity by CIM class</w:t>
        </w:r>
        <w:r>
          <w:rPr>
            <w:noProof/>
            <w:webHidden/>
          </w:rPr>
          <w:tab/>
        </w:r>
        <w:r>
          <w:rPr>
            <w:noProof/>
            <w:webHidden/>
          </w:rPr>
          <w:fldChar w:fldCharType="begin"/>
        </w:r>
        <w:r>
          <w:rPr>
            <w:noProof/>
            <w:webHidden/>
          </w:rPr>
          <w:instrText xml:space="preserve"> PAGEREF _Toc196745456 \h </w:instrText>
        </w:r>
        <w:r>
          <w:rPr>
            <w:noProof/>
            <w:webHidden/>
          </w:rPr>
        </w:r>
        <w:r>
          <w:rPr>
            <w:noProof/>
            <w:webHidden/>
          </w:rPr>
          <w:fldChar w:fldCharType="separate"/>
        </w:r>
        <w:r w:rsidR="002271EC">
          <w:rPr>
            <w:noProof/>
            <w:webHidden/>
          </w:rPr>
          <w:t>65</w:t>
        </w:r>
        <w:r>
          <w:rPr>
            <w:noProof/>
            <w:webHidden/>
          </w:rPr>
          <w:fldChar w:fldCharType="end"/>
        </w:r>
      </w:hyperlink>
    </w:p>
    <w:p w14:paraId="635D3BFF" w14:textId="1A850CAD" w:rsidR="00E25C47" w:rsidRDefault="00E25C47">
      <w:pPr>
        <w:pStyle w:val="TableofFigures"/>
        <w:tabs>
          <w:tab w:val="right" w:leader="dot" w:pos="9628"/>
        </w:tabs>
        <w:rPr>
          <w:noProof/>
          <w:kern w:val="2"/>
          <w:sz w:val="24"/>
          <w:szCs w:val="24"/>
          <w:lang w:eastAsia="en-AU"/>
          <w14:ligatures w14:val="standardContextual"/>
        </w:rPr>
      </w:pPr>
      <w:hyperlink w:anchor="_Toc196745457" w:history="1">
        <w:r w:rsidRPr="00B70E94">
          <w:rPr>
            <w:rStyle w:val="Hyperlink"/>
            <w:noProof/>
          </w:rPr>
          <w:t>Table 15 Estimated lifetime capital and operating costs for individual icemakers, 2025 (Australian average)</w:t>
        </w:r>
        <w:r>
          <w:rPr>
            <w:noProof/>
            <w:webHidden/>
          </w:rPr>
          <w:tab/>
        </w:r>
        <w:r>
          <w:rPr>
            <w:noProof/>
            <w:webHidden/>
          </w:rPr>
          <w:fldChar w:fldCharType="begin"/>
        </w:r>
        <w:r>
          <w:rPr>
            <w:noProof/>
            <w:webHidden/>
          </w:rPr>
          <w:instrText xml:space="preserve"> PAGEREF _Toc196745457 \h </w:instrText>
        </w:r>
        <w:r>
          <w:rPr>
            <w:noProof/>
            <w:webHidden/>
          </w:rPr>
        </w:r>
        <w:r>
          <w:rPr>
            <w:noProof/>
            <w:webHidden/>
          </w:rPr>
          <w:fldChar w:fldCharType="separate"/>
        </w:r>
        <w:r w:rsidR="002271EC">
          <w:rPr>
            <w:noProof/>
            <w:webHidden/>
          </w:rPr>
          <w:t>66</w:t>
        </w:r>
        <w:r>
          <w:rPr>
            <w:noProof/>
            <w:webHidden/>
          </w:rPr>
          <w:fldChar w:fldCharType="end"/>
        </w:r>
      </w:hyperlink>
    </w:p>
    <w:p w14:paraId="0AD39283" w14:textId="35F439A6" w:rsidR="00E25C47" w:rsidRDefault="00E25C47">
      <w:pPr>
        <w:pStyle w:val="TableofFigures"/>
        <w:tabs>
          <w:tab w:val="right" w:leader="dot" w:pos="9628"/>
        </w:tabs>
        <w:rPr>
          <w:noProof/>
          <w:kern w:val="2"/>
          <w:sz w:val="24"/>
          <w:szCs w:val="24"/>
          <w:lang w:eastAsia="en-AU"/>
          <w14:ligatures w14:val="standardContextual"/>
        </w:rPr>
      </w:pPr>
      <w:hyperlink w:anchor="_Toc196745458" w:history="1">
        <w:r w:rsidRPr="00B70E94">
          <w:rPr>
            <w:rStyle w:val="Hyperlink"/>
            <w:noProof/>
          </w:rPr>
          <w:t>Table 16 Potable water use by USEPA Energy Star certified CIMs, 2024</w:t>
        </w:r>
        <w:r>
          <w:rPr>
            <w:noProof/>
            <w:webHidden/>
          </w:rPr>
          <w:tab/>
        </w:r>
        <w:r>
          <w:rPr>
            <w:noProof/>
            <w:webHidden/>
          </w:rPr>
          <w:fldChar w:fldCharType="begin"/>
        </w:r>
        <w:r>
          <w:rPr>
            <w:noProof/>
            <w:webHidden/>
          </w:rPr>
          <w:instrText xml:space="preserve"> PAGEREF _Toc196745458 \h </w:instrText>
        </w:r>
        <w:r>
          <w:rPr>
            <w:noProof/>
            <w:webHidden/>
          </w:rPr>
        </w:r>
        <w:r>
          <w:rPr>
            <w:noProof/>
            <w:webHidden/>
          </w:rPr>
          <w:fldChar w:fldCharType="separate"/>
        </w:r>
        <w:r w:rsidR="002271EC">
          <w:rPr>
            <w:noProof/>
            <w:webHidden/>
          </w:rPr>
          <w:t>74</w:t>
        </w:r>
        <w:r>
          <w:rPr>
            <w:noProof/>
            <w:webHidden/>
          </w:rPr>
          <w:fldChar w:fldCharType="end"/>
        </w:r>
      </w:hyperlink>
    </w:p>
    <w:p w14:paraId="71A85C24" w14:textId="4491A098" w:rsidR="00E25C47" w:rsidRDefault="00E25C47">
      <w:pPr>
        <w:pStyle w:val="TableofFigures"/>
        <w:tabs>
          <w:tab w:val="right" w:leader="dot" w:pos="9628"/>
        </w:tabs>
        <w:rPr>
          <w:noProof/>
          <w:kern w:val="2"/>
          <w:sz w:val="24"/>
          <w:szCs w:val="24"/>
          <w:lang w:eastAsia="en-AU"/>
          <w14:ligatures w14:val="standardContextual"/>
        </w:rPr>
      </w:pPr>
      <w:hyperlink w:anchor="_Toc196745459" w:history="1">
        <w:r w:rsidRPr="00B70E94">
          <w:rPr>
            <w:rStyle w:val="Hyperlink"/>
            <w:noProof/>
          </w:rPr>
          <w:t>Table 17 Condenser water use by USDOE Registered water-cooled CIMs, 2024</w:t>
        </w:r>
        <w:r>
          <w:rPr>
            <w:noProof/>
            <w:webHidden/>
          </w:rPr>
          <w:tab/>
        </w:r>
        <w:r>
          <w:rPr>
            <w:noProof/>
            <w:webHidden/>
          </w:rPr>
          <w:fldChar w:fldCharType="begin"/>
        </w:r>
        <w:r>
          <w:rPr>
            <w:noProof/>
            <w:webHidden/>
          </w:rPr>
          <w:instrText xml:space="preserve"> PAGEREF _Toc196745459 \h </w:instrText>
        </w:r>
        <w:r>
          <w:rPr>
            <w:noProof/>
            <w:webHidden/>
          </w:rPr>
        </w:r>
        <w:r>
          <w:rPr>
            <w:noProof/>
            <w:webHidden/>
          </w:rPr>
          <w:fldChar w:fldCharType="separate"/>
        </w:r>
        <w:r w:rsidR="002271EC">
          <w:rPr>
            <w:noProof/>
            <w:webHidden/>
          </w:rPr>
          <w:t>75</w:t>
        </w:r>
        <w:r>
          <w:rPr>
            <w:noProof/>
            <w:webHidden/>
          </w:rPr>
          <w:fldChar w:fldCharType="end"/>
        </w:r>
      </w:hyperlink>
    </w:p>
    <w:p w14:paraId="62E3C5E4" w14:textId="7AF2A765" w:rsidR="00E25C47" w:rsidRDefault="00E25C47">
      <w:pPr>
        <w:pStyle w:val="TableofFigures"/>
        <w:tabs>
          <w:tab w:val="right" w:leader="dot" w:pos="9628"/>
        </w:tabs>
        <w:rPr>
          <w:noProof/>
          <w:kern w:val="2"/>
          <w:sz w:val="24"/>
          <w:szCs w:val="24"/>
          <w:lang w:eastAsia="en-AU"/>
          <w14:ligatures w14:val="standardContextual"/>
        </w:rPr>
      </w:pPr>
      <w:hyperlink w:anchor="_Toc196745460" w:history="1">
        <w:r w:rsidRPr="00B70E94">
          <w:rPr>
            <w:rStyle w:val="Hyperlink"/>
            <w:noProof/>
          </w:rPr>
          <w:t>Table 18 Estimates of cost to New Zealand industry and Regulators</w:t>
        </w:r>
        <w:r>
          <w:rPr>
            <w:noProof/>
            <w:webHidden/>
          </w:rPr>
          <w:tab/>
        </w:r>
        <w:r>
          <w:rPr>
            <w:noProof/>
            <w:webHidden/>
          </w:rPr>
          <w:fldChar w:fldCharType="begin"/>
        </w:r>
        <w:r>
          <w:rPr>
            <w:noProof/>
            <w:webHidden/>
          </w:rPr>
          <w:instrText xml:space="preserve"> PAGEREF _Toc196745460 \h </w:instrText>
        </w:r>
        <w:r>
          <w:rPr>
            <w:noProof/>
            <w:webHidden/>
          </w:rPr>
        </w:r>
        <w:r>
          <w:rPr>
            <w:noProof/>
            <w:webHidden/>
          </w:rPr>
          <w:fldChar w:fldCharType="separate"/>
        </w:r>
        <w:r w:rsidR="002271EC">
          <w:rPr>
            <w:noProof/>
            <w:webHidden/>
          </w:rPr>
          <w:t>86</w:t>
        </w:r>
        <w:r>
          <w:rPr>
            <w:noProof/>
            <w:webHidden/>
          </w:rPr>
          <w:fldChar w:fldCharType="end"/>
        </w:r>
      </w:hyperlink>
    </w:p>
    <w:p w14:paraId="572B9C8F" w14:textId="64D40383" w:rsidR="00E25C47" w:rsidRDefault="00E25C47">
      <w:pPr>
        <w:pStyle w:val="TableofFigures"/>
        <w:tabs>
          <w:tab w:val="right" w:leader="dot" w:pos="9628"/>
        </w:tabs>
        <w:rPr>
          <w:noProof/>
          <w:kern w:val="2"/>
          <w:sz w:val="24"/>
          <w:szCs w:val="24"/>
          <w:lang w:eastAsia="en-AU"/>
          <w14:ligatures w14:val="standardContextual"/>
        </w:rPr>
      </w:pPr>
      <w:hyperlink w:anchor="_Toc196745461" w:history="1">
        <w:r w:rsidRPr="00B70E94">
          <w:rPr>
            <w:rStyle w:val="Hyperlink"/>
            <w:noProof/>
          </w:rPr>
          <w:t>Table 19 Summary of projected costs and benefits, New Zealand</w:t>
        </w:r>
        <w:r>
          <w:rPr>
            <w:noProof/>
            <w:webHidden/>
          </w:rPr>
          <w:tab/>
        </w:r>
        <w:r>
          <w:rPr>
            <w:noProof/>
            <w:webHidden/>
          </w:rPr>
          <w:fldChar w:fldCharType="begin"/>
        </w:r>
        <w:r>
          <w:rPr>
            <w:noProof/>
            <w:webHidden/>
          </w:rPr>
          <w:instrText xml:space="preserve"> PAGEREF _Toc196745461 \h </w:instrText>
        </w:r>
        <w:r>
          <w:rPr>
            <w:noProof/>
            <w:webHidden/>
          </w:rPr>
        </w:r>
        <w:r>
          <w:rPr>
            <w:noProof/>
            <w:webHidden/>
          </w:rPr>
          <w:fldChar w:fldCharType="separate"/>
        </w:r>
        <w:r w:rsidR="002271EC">
          <w:rPr>
            <w:noProof/>
            <w:webHidden/>
          </w:rPr>
          <w:t>87</w:t>
        </w:r>
        <w:r>
          <w:rPr>
            <w:noProof/>
            <w:webHidden/>
          </w:rPr>
          <w:fldChar w:fldCharType="end"/>
        </w:r>
      </w:hyperlink>
    </w:p>
    <w:p w14:paraId="3F2206E5" w14:textId="3615B4EB" w:rsidR="00E25C47" w:rsidRDefault="00E25C47">
      <w:pPr>
        <w:pStyle w:val="TableofFigures"/>
        <w:tabs>
          <w:tab w:val="right" w:leader="dot" w:pos="9628"/>
        </w:tabs>
        <w:rPr>
          <w:noProof/>
          <w:kern w:val="2"/>
          <w:sz w:val="24"/>
          <w:szCs w:val="24"/>
          <w:lang w:eastAsia="en-AU"/>
          <w14:ligatures w14:val="standardContextual"/>
        </w:rPr>
      </w:pPr>
      <w:hyperlink w:anchor="_Toc196745462" w:history="1">
        <w:r w:rsidRPr="00B70E94">
          <w:rPr>
            <w:rStyle w:val="Hyperlink"/>
            <w:noProof/>
          </w:rPr>
          <w:t>Table 20 Sensitivity to discount rate assumptions, New Zealand</w:t>
        </w:r>
        <w:r>
          <w:rPr>
            <w:noProof/>
            <w:webHidden/>
          </w:rPr>
          <w:tab/>
        </w:r>
        <w:r>
          <w:rPr>
            <w:noProof/>
            <w:webHidden/>
          </w:rPr>
          <w:fldChar w:fldCharType="begin"/>
        </w:r>
        <w:r>
          <w:rPr>
            <w:noProof/>
            <w:webHidden/>
          </w:rPr>
          <w:instrText xml:space="preserve"> PAGEREF _Toc196745462 \h </w:instrText>
        </w:r>
        <w:r>
          <w:rPr>
            <w:noProof/>
            <w:webHidden/>
          </w:rPr>
        </w:r>
        <w:r>
          <w:rPr>
            <w:noProof/>
            <w:webHidden/>
          </w:rPr>
          <w:fldChar w:fldCharType="separate"/>
        </w:r>
        <w:r w:rsidR="002271EC">
          <w:rPr>
            <w:noProof/>
            <w:webHidden/>
          </w:rPr>
          <w:t>88</w:t>
        </w:r>
        <w:r>
          <w:rPr>
            <w:noProof/>
            <w:webHidden/>
          </w:rPr>
          <w:fldChar w:fldCharType="end"/>
        </w:r>
      </w:hyperlink>
    </w:p>
    <w:p w14:paraId="3FA59704" w14:textId="176F5D14" w:rsidR="004B3D00" w:rsidRDefault="004B3D00">
      <w:pPr>
        <w:spacing w:after="200" w:line="288" w:lineRule="auto"/>
      </w:pPr>
      <w:r>
        <w:fldChar w:fldCharType="end"/>
      </w:r>
    </w:p>
    <w:p w14:paraId="369C367B" w14:textId="65759C01" w:rsidR="00E25C47" w:rsidRDefault="004B3D00">
      <w:pPr>
        <w:pStyle w:val="TableofFigures"/>
        <w:tabs>
          <w:tab w:val="right" w:leader="dot" w:pos="9628"/>
        </w:tabs>
        <w:rPr>
          <w:noProof/>
          <w:kern w:val="2"/>
          <w:sz w:val="24"/>
          <w:szCs w:val="24"/>
          <w:lang w:eastAsia="en-AU"/>
          <w14:ligatures w14:val="standardContextual"/>
        </w:rPr>
      </w:pPr>
      <w:r>
        <w:fldChar w:fldCharType="begin"/>
      </w:r>
      <w:r>
        <w:instrText xml:space="preserve"> TOC \h \z \c "Figure" </w:instrText>
      </w:r>
      <w:r>
        <w:fldChar w:fldCharType="separate"/>
      </w:r>
      <w:hyperlink w:anchor="_Toc196745463" w:history="1">
        <w:r w:rsidR="00E25C47" w:rsidRPr="00240F28">
          <w:rPr>
            <w:rStyle w:val="Hyperlink"/>
            <w:noProof/>
          </w:rPr>
          <w:t>Figure 1 Ice maker refrigeration cycle</w:t>
        </w:r>
        <w:r w:rsidR="00E25C47">
          <w:rPr>
            <w:noProof/>
            <w:webHidden/>
          </w:rPr>
          <w:tab/>
        </w:r>
        <w:r w:rsidR="00E25C47">
          <w:rPr>
            <w:noProof/>
            <w:webHidden/>
          </w:rPr>
          <w:fldChar w:fldCharType="begin"/>
        </w:r>
        <w:r w:rsidR="00E25C47">
          <w:rPr>
            <w:noProof/>
            <w:webHidden/>
          </w:rPr>
          <w:instrText xml:space="preserve"> PAGEREF _Toc196745463 \h </w:instrText>
        </w:r>
        <w:r w:rsidR="00E25C47">
          <w:rPr>
            <w:noProof/>
            <w:webHidden/>
          </w:rPr>
        </w:r>
        <w:r w:rsidR="00E25C47">
          <w:rPr>
            <w:noProof/>
            <w:webHidden/>
          </w:rPr>
          <w:fldChar w:fldCharType="separate"/>
        </w:r>
        <w:r w:rsidR="002271EC">
          <w:rPr>
            <w:noProof/>
            <w:webHidden/>
          </w:rPr>
          <w:t>12</w:t>
        </w:r>
        <w:r w:rsidR="00E25C47">
          <w:rPr>
            <w:noProof/>
            <w:webHidden/>
          </w:rPr>
          <w:fldChar w:fldCharType="end"/>
        </w:r>
      </w:hyperlink>
    </w:p>
    <w:p w14:paraId="21E2DEBB" w14:textId="4261A9BF" w:rsidR="00E25C47" w:rsidRDefault="00E25C47">
      <w:pPr>
        <w:pStyle w:val="TableofFigures"/>
        <w:tabs>
          <w:tab w:val="right" w:leader="dot" w:pos="9628"/>
        </w:tabs>
        <w:rPr>
          <w:noProof/>
          <w:kern w:val="2"/>
          <w:sz w:val="24"/>
          <w:szCs w:val="24"/>
          <w:lang w:eastAsia="en-AU"/>
          <w14:ligatures w14:val="standardContextual"/>
        </w:rPr>
      </w:pPr>
      <w:hyperlink w:anchor="_Toc196745464" w:history="1">
        <w:r w:rsidRPr="00240F28">
          <w:rPr>
            <w:rStyle w:val="Hyperlink"/>
            <w:noProof/>
          </w:rPr>
          <w:t>Figure 2 Self-contained ice maker, modular ice maker with ice storage bin and ice maker with dispenser</w:t>
        </w:r>
        <w:r>
          <w:rPr>
            <w:noProof/>
            <w:webHidden/>
          </w:rPr>
          <w:tab/>
        </w:r>
        <w:r>
          <w:rPr>
            <w:noProof/>
            <w:webHidden/>
          </w:rPr>
          <w:fldChar w:fldCharType="begin"/>
        </w:r>
        <w:r>
          <w:rPr>
            <w:noProof/>
            <w:webHidden/>
          </w:rPr>
          <w:instrText xml:space="preserve"> PAGEREF _Toc196745464 \h </w:instrText>
        </w:r>
        <w:r>
          <w:rPr>
            <w:noProof/>
            <w:webHidden/>
          </w:rPr>
        </w:r>
        <w:r>
          <w:rPr>
            <w:noProof/>
            <w:webHidden/>
          </w:rPr>
          <w:fldChar w:fldCharType="separate"/>
        </w:r>
        <w:r w:rsidR="002271EC">
          <w:rPr>
            <w:noProof/>
            <w:webHidden/>
          </w:rPr>
          <w:t>13</w:t>
        </w:r>
        <w:r>
          <w:rPr>
            <w:noProof/>
            <w:webHidden/>
          </w:rPr>
          <w:fldChar w:fldCharType="end"/>
        </w:r>
      </w:hyperlink>
    </w:p>
    <w:p w14:paraId="178781CE" w14:textId="7124A204" w:rsidR="00E25C47" w:rsidRDefault="00E25C47">
      <w:pPr>
        <w:pStyle w:val="TableofFigures"/>
        <w:tabs>
          <w:tab w:val="right" w:leader="dot" w:pos="9628"/>
        </w:tabs>
        <w:rPr>
          <w:noProof/>
          <w:kern w:val="2"/>
          <w:sz w:val="24"/>
          <w:szCs w:val="24"/>
          <w:lang w:eastAsia="en-AU"/>
          <w14:ligatures w14:val="standardContextual"/>
        </w:rPr>
      </w:pPr>
      <w:hyperlink w:anchor="_Toc196745465" w:history="1">
        <w:r w:rsidRPr="00240F28">
          <w:rPr>
            <w:rStyle w:val="Hyperlink"/>
            <w:noProof/>
          </w:rPr>
          <w:t>Figure 3 NPV of Lifetime operating costs by class of CIM (7% discount rate)</w:t>
        </w:r>
        <w:r>
          <w:rPr>
            <w:noProof/>
            <w:webHidden/>
          </w:rPr>
          <w:tab/>
        </w:r>
        <w:r>
          <w:rPr>
            <w:noProof/>
            <w:webHidden/>
          </w:rPr>
          <w:fldChar w:fldCharType="begin"/>
        </w:r>
        <w:r>
          <w:rPr>
            <w:noProof/>
            <w:webHidden/>
          </w:rPr>
          <w:instrText xml:space="preserve"> PAGEREF _Toc196745465 \h </w:instrText>
        </w:r>
        <w:r>
          <w:rPr>
            <w:noProof/>
            <w:webHidden/>
          </w:rPr>
        </w:r>
        <w:r>
          <w:rPr>
            <w:noProof/>
            <w:webHidden/>
          </w:rPr>
          <w:fldChar w:fldCharType="separate"/>
        </w:r>
        <w:r w:rsidR="002271EC">
          <w:rPr>
            <w:noProof/>
            <w:webHidden/>
          </w:rPr>
          <w:t>17</w:t>
        </w:r>
        <w:r>
          <w:rPr>
            <w:noProof/>
            <w:webHidden/>
          </w:rPr>
          <w:fldChar w:fldCharType="end"/>
        </w:r>
      </w:hyperlink>
    </w:p>
    <w:p w14:paraId="448B7575" w14:textId="2FBA2D5A" w:rsidR="00E25C47" w:rsidRDefault="00E25C47">
      <w:pPr>
        <w:pStyle w:val="TableofFigures"/>
        <w:tabs>
          <w:tab w:val="right" w:leader="dot" w:pos="9628"/>
        </w:tabs>
        <w:rPr>
          <w:noProof/>
          <w:kern w:val="2"/>
          <w:sz w:val="24"/>
          <w:szCs w:val="24"/>
          <w:lang w:eastAsia="en-AU"/>
          <w14:ligatures w14:val="standardContextual"/>
        </w:rPr>
      </w:pPr>
      <w:hyperlink w:anchor="_Toc196745466" w:history="1">
        <w:r w:rsidRPr="00240F28">
          <w:rPr>
            <w:rStyle w:val="Hyperlink"/>
            <w:noProof/>
          </w:rPr>
          <w:t>Figure 4 Indicative water efficiency trends by option</w:t>
        </w:r>
        <w:r>
          <w:rPr>
            <w:noProof/>
            <w:webHidden/>
          </w:rPr>
          <w:tab/>
        </w:r>
        <w:r>
          <w:rPr>
            <w:noProof/>
            <w:webHidden/>
          </w:rPr>
          <w:fldChar w:fldCharType="begin"/>
        </w:r>
        <w:r>
          <w:rPr>
            <w:noProof/>
            <w:webHidden/>
          </w:rPr>
          <w:instrText xml:space="preserve"> PAGEREF _Toc196745466 \h </w:instrText>
        </w:r>
        <w:r>
          <w:rPr>
            <w:noProof/>
            <w:webHidden/>
          </w:rPr>
        </w:r>
        <w:r>
          <w:rPr>
            <w:noProof/>
            <w:webHidden/>
          </w:rPr>
          <w:fldChar w:fldCharType="separate"/>
        </w:r>
        <w:r w:rsidR="002271EC">
          <w:rPr>
            <w:noProof/>
            <w:webHidden/>
          </w:rPr>
          <w:t>37</w:t>
        </w:r>
        <w:r>
          <w:rPr>
            <w:noProof/>
            <w:webHidden/>
          </w:rPr>
          <w:fldChar w:fldCharType="end"/>
        </w:r>
      </w:hyperlink>
    </w:p>
    <w:p w14:paraId="3525D721" w14:textId="5C1949B9" w:rsidR="00E25C47" w:rsidRDefault="00E25C47">
      <w:pPr>
        <w:pStyle w:val="TableofFigures"/>
        <w:tabs>
          <w:tab w:val="right" w:leader="dot" w:pos="9628"/>
        </w:tabs>
        <w:rPr>
          <w:noProof/>
          <w:kern w:val="2"/>
          <w:sz w:val="24"/>
          <w:szCs w:val="24"/>
          <w:lang w:eastAsia="en-AU"/>
          <w14:ligatures w14:val="standardContextual"/>
        </w:rPr>
      </w:pPr>
      <w:hyperlink w:anchor="_Toc196745467" w:history="1">
        <w:r w:rsidRPr="00240F28">
          <w:rPr>
            <w:rStyle w:val="Hyperlink"/>
            <w:noProof/>
          </w:rPr>
          <w:t>Figure 5 Water consumption by jurisdiction, CIMs purchased 2025-40, Australia</w:t>
        </w:r>
        <w:r>
          <w:rPr>
            <w:noProof/>
            <w:webHidden/>
          </w:rPr>
          <w:tab/>
        </w:r>
        <w:r>
          <w:rPr>
            <w:noProof/>
            <w:webHidden/>
          </w:rPr>
          <w:fldChar w:fldCharType="begin"/>
        </w:r>
        <w:r>
          <w:rPr>
            <w:noProof/>
            <w:webHidden/>
          </w:rPr>
          <w:instrText xml:space="preserve"> PAGEREF _Toc196745467 \h </w:instrText>
        </w:r>
        <w:r>
          <w:rPr>
            <w:noProof/>
            <w:webHidden/>
          </w:rPr>
        </w:r>
        <w:r>
          <w:rPr>
            <w:noProof/>
            <w:webHidden/>
          </w:rPr>
          <w:fldChar w:fldCharType="separate"/>
        </w:r>
        <w:r w:rsidR="002271EC">
          <w:rPr>
            <w:noProof/>
            <w:webHidden/>
          </w:rPr>
          <w:t>38</w:t>
        </w:r>
        <w:r>
          <w:rPr>
            <w:noProof/>
            <w:webHidden/>
          </w:rPr>
          <w:fldChar w:fldCharType="end"/>
        </w:r>
      </w:hyperlink>
    </w:p>
    <w:p w14:paraId="07BAEDB9" w14:textId="74934588" w:rsidR="00E25C47" w:rsidRDefault="00E25C47">
      <w:pPr>
        <w:pStyle w:val="TableofFigures"/>
        <w:tabs>
          <w:tab w:val="right" w:leader="dot" w:pos="9628"/>
        </w:tabs>
        <w:rPr>
          <w:noProof/>
          <w:kern w:val="2"/>
          <w:sz w:val="24"/>
          <w:szCs w:val="24"/>
          <w:lang w:eastAsia="en-AU"/>
          <w14:ligatures w14:val="standardContextual"/>
        </w:rPr>
      </w:pPr>
      <w:hyperlink w:anchor="_Toc196745468" w:history="1">
        <w:r w:rsidRPr="00240F28">
          <w:rPr>
            <w:rStyle w:val="Hyperlink"/>
            <w:noProof/>
          </w:rPr>
          <w:t xml:space="preserve">Figure 6 </w:t>
        </w:r>
        <w:r w:rsidRPr="00240F28">
          <w:rPr>
            <w:rStyle w:val="Hyperlink"/>
            <w:noProof/>
            <w:lang w:val="en-US"/>
          </w:rPr>
          <w:t>Water consumption by purpose, CIMs purchased 2025-40, Australia</w:t>
        </w:r>
        <w:r>
          <w:rPr>
            <w:noProof/>
            <w:webHidden/>
          </w:rPr>
          <w:tab/>
        </w:r>
        <w:r>
          <w:rPr>
            <w:noProof/>
            <w:webHidden/>
          </w:rPr>
          <w:fldChar w:fldCharType="begin"/>
        </w:r>
        <w:r>
          <w:rPr>
            <w:noProof/>
            <w:webHidden/>
          </w:rPr>
          <w:instrText xml:space="preserve"> PAGEREF _Toc196745468 \h </w:instrText>
        </w:r>
        <w:r>
          <w:rPr>
            <w:noProof/>
            <w:webHidden/>
          </w:rPr>
        </w:r>
        <w:r>
          <w:rPr>
            <w:noProof/>
            <w:webHidden/>
          </w:rPr>
          <w:fldChar w:fldCharType="separate"/>
        </w:r>
        <w:r w:rsidR="002271EC">
          <w:rPr>
            <w:noProof/>
            <w:webHidden/>
          </w:rPr>
          <w:t>39</w:t>
        </w:r>
        <w:r>
          <w:rPr>
            <w:noProof/>
            <w:webHidden/>
          </w:rPr>
          <w:fldChar w:fldCharType="end"/>
        </w:r>
      </w:hyperlink>
    </w:p>
    <w:p w14:paraId="293E98CB" w14:textId="258A8FE0" w:rsidR="00E25C47" w:rsidRDefault="00E25C47">
      <w:pPr>
        <w:pStyle w:val="TableofFigures"/>
        <w:tabs>
          <w:tab w:val="right" w:leader="dot" w:pos="9628"/>
        </w:tabs>
        <w:rPr>
          <w:noProof/>
          <w:kern w:val="2"/>
          <w:sz w:val="24"/>
          <w:szCs w:val="24"/>
          <w:lang w:eastAsia="en-AU"/>
          <w14:ligatures w14:val="standardContextual"/>
        </w:rPr>
      </w:pPr>
      <w:hyperlink w:anchor="_Toc196745469" w:history="1">
        <w:r w:rsidRPr="00240F28">
          <w:rPr>
            <w:rStyle w:val="Hyperlink"/>
            <w:noProof/>
          </w:rPr>
          <w:t>Figure 7 Water consumed by CIMs sold 2025-2040, Australia</w:t>
        </w:r>
        <w:r>
          <w:rPr>
            <w:noProof/>
            <w:webHidden/>
          </w:rPr>
          <w:tab/>
        </w:r>
        <w:r>
          <w:rPr>
            <w:noProof/>
            <w:webHidden/>
          </w:rPr>
          <w:fldChar w:fldCharType="begin"/>
        </w:r>
        <w:r>
          <w:rPr>
            <w:noProof/>
            <w:webHidden/>
          </w:rPr>
          <w:instrText xml:space="preserve"> PAGEREF _Toc196745469 \h </w:instrText>
        </w:r>
        <w:r>
          <w:rPr>
            <w:noProof/>
            <w:webHidden/>
          </w:rPr>
        </w:r>
        <w:r>
          <w:rPr>
            <w:noProof/>
            <w:webHidden/>
          </w:rPr>
          <w:fldChar w:fldCharType="separate"/>
        </w:r>
        <w:r w:rsidR="002271EC">
          <w:rPr>
            <w:noProof/>
            <w:webHidden/>
          </w:rPr>
          <w:t>40</w:t>
        </w:r>
        <w:r>
          <w:rPr>
            <w:noProof/>
            <w:webHidden/>
          </w:rPr>
          <w:fldChar w:fldCharType="end"/>
        </w:r>
      </w:hyperlink>
    </w:p>
    <w:p w14:paraId="61785B44" w14:textId="50A50A07" w:rsidR="00E25C47" w:rsidRDefault="00E25C47">
      <w:pPr>
        <w:pStyle w:val="TableofFigures"/>
        <w:tabs>
          <w:tab w:val="right" w:leader="dot" w:pos="9628"/>
        </w:tabs>
        <w:rPr>
          <w:noProof/>
          <w:kern w:val="2"/>
          <w:sz w:val="24"/>
          <w:szCs w:val="24"/>
          <w:lang w:eastAsia="en-AU"/>
          <w14:ligatures w14:val="standardContextual"/>
        </w:rPr>
      </w:pPr>
      <w:hyperlink w:anchor="_Toc196745470" w:history="1">
        <w:r w:rsidRPr="00240F28">
          <w:rPr>
            <w:rStyle w:val="Hyperlink"/>
            <w:noProof/>
          </w:rPr>
          <w:t>Figure 8 Water saved by WELS option for CIMs sold 2025-2040, Australia</w:t>
        </w:r>
        <w:r>
          <w:rPr>
            <w:noProof/>
            <w:webHidden/>
          </w:rPr>
          <w:tab/>
        </w:r>
        <w:r>
          <w:rPr>
            <w:noProof/>
            <w:webHidden/>
          </w:rPr>
          <w:fldChar w:fldCharType="begin"/>
        </w:r>
        <w:r>
          <w:rPr>
            <w:noProof/>
            <w:webHidden/>
          </w:rPr>
          <w:instrText xml:space="preserve"> PAGEREF _Toc196745470 \h </w:instrText>
        </w:r>
        <w:r>
          <w:rPr>
            <w:noProof/>
            <w:webHidden/>
          </w:rPr>
        </w:r>
        <w:r>
          <w:rPr>
            <w:noProof/>
            <w:webHidden/>
          </w:rPr>
          <w:fldChar w:fldCharType="separate"/>
        </w:r>
        <w:r w:rsidR="002271EC">
          <w:rPr>
            <w:noProof/>
            <w:webHidden/>
          </w:rPr>
          <w:t>41</w:t>
        </w:r>
        <w:r>
          <w:rPr>
            <w:noProof/>
            <w:webHidden/>
          </w:rPr>
          <w:fldChar w:fldCharType="end"/>
        </w:r>
      </w:hyperlink>
    </w:p>
    <w:p w14:paraId="61523065" w14:textId="221A288E" w:rsidR="00E25C47" w:rsidRDefault="00E25C47">
      <w:pPr>
        <w:pStyle w:val="TableofFigures"/>
        <w:tabs>
          <w:tab w:val="right" w:leader="dot" w:pos="9628"/>
        </w:tabs>
        <w:rPr>
          <w:noProof/>
          <w:kern w:val="2"/>
          <w:sz w:val="24"/>
          <w:szCs w:val="24"/>
          <w:lang w:eastAsia="en-AU"/>
          <w14:ligatures w14:val="standardContextual"/>
        </w:rPr>
      </w:pPr>
      <w:hyperlink w:anchor="_Toc196745471" w:history="1">
        <w:r w:rsidRPr="00240F28">
          <w:rPr>
            <w:rStyle w:val="Hyperlink"/>
            <w:noProof/>
          </w:rPr>
          <w:t>Figure 9 Costs (C), Benefits (B) and B/C ratios by option, Australia</w:t>
        </w:r>
        <w:r>
          <w:rPr>
            <w:noProof/>
            <w:webHidden/>
          </w:rPr>
          <w:tab/>
        </w:r>
        <w:r>
          <w:rPr>
            <w:noProof/>
            <w:webHidden/>
          </w:rPr>
          <w:fldChar w:fldCharType="begin"/>
        </w:r>
        <w:r>
          <w:rPr>
            <w:noProof/>
            <w:webHidden/>
          </w:rPr>
          <w:instrText xml:space="preserve"> PAGEREF _Toc196745471 \h </w:instrText>
        </w:r>
        <w:r>
          <w:rPr>
            <w:noProof/>
            <w:webHidden/>
          </w:rPr>
        </w:r>
        <w:r>
          <w:rPr>
            <w:noProof/>
            <w:webHidden/>
          </w:rPr>
          <w:fldChar w:fldCharType="separate"/>
        </w:r>
        <w:r w:rsidR="002271EC">
          <w:rPr>
            <w:noProof/>
            <w:webHidden/>
          </w:rPr>
          <w:t>47</w:t>
        </w:r>
        <w:r>
          <w:rPr>
            <w:noProof/>
            <w:webHidden/>
          </w:rPr>
          <w:fldChar w:fldCharType="end"/>
        </w:r>
      </w:hyperlink>
    </w:p>
    <w:p w14:paraId="291773BA" w14:textId="7463B8D0" w:rsidR="00E25C47" w:rsidRDefault="00E25C47">
      <w:pPr>
        <w:pStyle w:val="TableofFigures"/>
        <w:tabs>
          <w:tab w:val="right" w:leader="dot" w:pos="9628"/>
        </w:tabs>
        <w:rPr>
          <w:noProof/>
          <w:kern w:val="2"/>
          <w:sz w:val="24"/>
          <w:szCs w:val="24"/>
          <w:lang w:eastAsia="en-AU"/>
          <w14:ligatures w14:val="standardContextual"/>
        </w:rPr>
      </w:pPr>
      <w:hyperlink w:anchor="_Toc196745472" w:history="1">
        <w:r w:rsidRPr="00240F28">
          <w:rPr>
            <w:rStyle w:val="Hyperlink"/>
            <w:noProof/>
          </w:rPr>
          <w:t>Figure 10 NPV of program costs, 2025-2040, Australia</w:t>
        </w:r>
        <w:r>
          <w:rPr>
            <w:noProof/>
            <w:webHidden/>
          </w:rPr>
          <w:tab/>
        </w:r>
        <w:r>
          <w:rPr>
            <w:noProof/>
            <w:webHidden/>
          </w:rPr>
          <w:fldChar w:fldCharType="begin"/>
        </w:r>
        <w:r>
          <w:rPr>
            <w:noProof/>
            <w:webHidden/>
          </w:rPr>
          <w:instrText xml:space="preserve"> PAGEREF _Toc196745472 \h </w:instrText>
        </w:r>
        <w:r>
          <w:rPr>
            <w:noProof/>
            <w:webHidden/>
          </w:rPr>
        </w:r>
        <w:r>
          <w:rPr>
            <w:noProof/>
            <w:webHidden/>
          </w:rPr>
          <w:fldChar w:fldCharType="separate"/>
        </w:r>
        <w:r w:rsidR="002271EC">
          <w:rPr>
            <w:noProof/>
            <w:webHidden/>
          </w:rPr>
          <w:t>47</w:t>
        </w:r>
        <w:r>
          <w:rPr>
            <w:noProof/>
            <w:webHidden/>
          </w:rPr>
          <w:fldChar w:fldCharType="end"/>
        </w:r>
      </w:hyperlink>
    </w:p>
    <w:p w14:paraId="03BF62AB" w14:textId="4E544F0F" w:rsidR="00E25C47" w:rsidRDefault="00E25C47">
      <w:pPr>
        <w:pStyle w:val="TableofFigures"/>
        <w:tabs>
          <w:tab w:val="right" w:leader="dot" w:pos="9628"/>
        </w:tabs>
        <w:rPr>
          <w:noProof/>
          <w:kern w:val="2"/>
          <w:sz w:val="24"/>
          <w:szCs w:val="24"/>
          <w:lang w:eastAsia="en-AU"/>
          <w14:ligatures w14:val="standardContextual"/>
        </w:rPr>
      </w:pPr>
      <w:hyperlink w:anchor="_Toc196745473" w:history="1">
        <w:r w:rsidRPr="00240F28">
          <w:rPr>
            <w:rStyle w:val="Hyperlink"/>
            <w:noProof/>
          </w:rPr>
          <w:t>Figure 11 Stacked benefits by stringency of WELS options by CIM configuration, Australia</w:t>
        </w:r>
        <w:r>
          <w:rPr>
            <w:noProof/>
            <w:webHidden/>
          </w:rPr>
          <w:tab/>
        </w:r>
        <w:r>
          <w:rPr>
            <w:noProof/>
            <w:webHidden/>
          </w:rPr>
          <w:fldChar w:fldCharType="begin"/>
        </w:r>
        <w:r>
          <w:rPr>
            <w:noProof/>
            <w:webHidden/>
          </w:rPr>
          <w:instrText xml:space="preserve"> PAGEREF _Toc196745473 \h </w:instrText>
        </w:r>
        <w:r>
          <w:rPr>
            <w:noProof/>
            <w:webHidden/>
          </w:rPr>
        </w:r>
        <w:r>
          <w:rPr>
            <w:noProof/>
            <w:webHidden/>
          </w:rPr>
          <w:fldChar w:fldCharType="separate"/>
        </w:r>
        <w:r w:rsidR="002271EC">
          <w:rPr>
            <w:noProof/>
            <w:webHidden/>
          </w:rPr>
          <w:t>48</w:t>
        </w:r>
        <w:r>
          <w:rPr>
            <w:noProof/>
            <w:webHidden/>
          </w:rPr>
          <w:fldChar w:fldCharType="end"/>
        </w:r>
      </w:hyperlink>
    </w:p>
    <w:p w14:paraId="6038E128" w14:textId="5FE580FD" w:rsidR="00E25C47" w:rsidRDefault="00E25C47">
      <w:pPr>
        <w:pStyle w:val="TableofFigures"/>
        <w:tabs>
          <w:tab w:val="right" w:leader="dot" w:pos="9628"/>
        </w:tabs>
        <w:rPr>
          <w:noProof/>
          <w:kern w:val="2"/>
          <w:sz w:val="24"/>
          <w:szCs w:val="24"/>
          <w:lang w:eastAsia="en-AU"/>
          <w14:ligatures w14:val="standardContextual"/>
        </w:rPr>
      </w:pPr>
      <w:hyperlink w:anchor="_Toc196745474" w:history="1">
        <w:r w:rsidRPr="00240F28">
          <w:rPr>
            <w:rStyle w:val="Hyperlink"/>
            <w:noProof/>
          </w:rPr>
          <w:t>Figure 12 Projected water prices by jurisdiction</w:t>
        </w:r>
        <w:r>
          <w:rPr>
            <w:noProof/>
            <w:webHidden/>
          </w:rPr>
          <w:tab/>
        </w:r>
        <w:r>
          <w:rPr>
            <w:noProof/>
            <w:webHidden/>
          </w:rPr>
          <w:fldChar w:fldCharType="begin"/>
        </w:r>
        <w:r>
          <w:rPr>
            <w:noProof/>
            <w:webHidden/>
          </w:rPr>
          <w:instrText xml:space="preserve"> PAGEREF _Toc196745474 \h </w:instrText>
        </w:r>
        <w:r>
          <w:rPr>
            <w:noProof/>
            <w:webHidden/>
          </w:rPr>
        </w:r>
        <w:r>
          <w:rPr>
            <w:noProof/>
            <w:webHidden/>
          </w:rPr>
          <w:fldChar w:fldCharType="separate"/>
        </w:r>
        <w:r w:rsidR="002271EC">
          <w:rPr>
            <w:noProof/>
            <w:webHidden/>
          </w:rPr>
          <w:t>64</w:t>
        </w:r>
        <w:r>
          <w:rPr>
            <w:noProof/>
            <w:webHidden/>
          </w:rPr>
          <w:fldChar w:fldCharType="end"/>
        </w:r>
      </w:hyperlink>
    </w:p>
    <w:p w14:paraId="0122ADBA" w14:textId="42D030CE" w:rsidR="00E25C47" w:rsidRDefault="00E25C47">
      <w:pPr>
        <w:pStyle w:val="TableofFigures"/>
        <w:tabs>
          <w:tab w:val="right" w:leader="dot" w:pos="9628"/>
        </w:tabs>
        <w:rPr>
          <w:noProof/>
          <w:kern w:val="2"/>
          <w:sz w:val="24"/>
          <w:szCs w:val="24"/>
          <w:lang w:eastAsia="en-AU"/>
          <w14:ligatures w14:val="standardContextual"/>
        </w:rPr>
      </w:pPr>
      <w:hyperlink w:anchor="_Toc196745475" w:history="1">
        <w:r w:rsidRPr="00240F28">
          <w:rPr>
            <w:rStyle w:val="Hyperlink"/>
            <w:noProof/>
          </w:rPr>
          <w:t>Figure 13 Projected water-intensity trends for IMH-Air-Batch CIMs</w:t>
        </w:r>
        <w:r>
          <w:rPr>
            <w:noProof/>
            <w:webHidden/>
          </w:rPr>
          <w:tab/>
        </w:r>
        <w:r>
          <w:rPr>
            <w:noProof/>
            <w:webHidden/>
          </w:rPr>
          <w:fldChar w:fldCharType="begin"/>
        </w:r>
        <w:r>
          <w:rPr>
            <w:noProof/>
            <w:webHidden/>
          </w:rPr>
          <w:instrText xml:space="preserve"> PAGEREF _Toc196745475 \h </w:instrText>
        </w:r>
        <w:r>
          <w:rPr>
            <w:noProof/>
            <w:webHidden/>
          </w:rPr>
        </w:r>
        <w:r>
          <w:rPr>
            <w:noProof/>
            <w:webHidden/>
          </w:rPr>
          <w:fldChar w:fldCharType="separate"/>
        </w:r>
        <w:r w:rsidR="002271EC">
          <w:rPr>
            <w:noProof/>
            <w:webHidden/>
          </w:rPr>
          <w:t>69</w:t>
        </w:r>
        <w:r>
          <w:rPr>
            <w:noProof/>
            <w:webHidden/>
          </w:rPr>
          <w:fldChar w:fldCharType="end"/>
        </w:r>
      </w:hyperlink>
    </w:p>
    <w:p w14:paraId="2A6F6527" w14:textId="727A63C9" w:rsidR="00E25C47" w:rsidRDefault="00E25C47">
      <w:pPr>
        <w:pStyle w:val="TableofFigures"/>
        <w:tabs>
          <w:tab w:val="right" w:leader="dot" w:pos="9628"/>
        </w:tabs>
        <w:rPr>
          <w:noProof/>
          <w:kern w:val="2"/>
          <w:sz w:val="24"/>
          <w:szCs w:val="24"/>
          <w:lang w:eastAsia="en-AU"/>
          <w14:ligatures w14:val="standardContextual"/>
        </w:rPr>
      </w:pPr>
      <w:hyperlink w:anchor="_Toc196745476" w:history="1">
        <w:r w:rsidRPr="00240F28">
          <w:rPr>
            <w:rStyle w:val="Hyperlink"/>
            <w:noProof/>
          </w:rPr>
          <w:t>Figure 14 Projected water-intensity trends for IMH-Air-Cont CIMS</w:t>
        </w:r>
        <w:r>
          <w:rPr>
            <w:noProof/>
            <w:webHidden/>
          </w:rPr>
          <w:tab/>
        </w:r>
        <w:r>
          <w:rPr>
            <w:noProof/>
            <w:webHidden/>
          </w:rPr>
          <w:fldChar w:fldCharType="begin"/>
        </w:r>
        <w:r>
          <w:rPr>
            <w:noProof/>
            <w:webHidden/>
          </w:rPr>
          <w:instrText xml:space="preserve"> PAGEREF _Toc196745476 \h </w:instrText>
        </w:r>
        <w:r>
          <w:rPr>
            <w:noProof/>
            <w:webHidden/>
          </w:rPr>
        </w:r>
        <w:r>
          <w:rPr>
            <w:noProof/>
            <w:webHidden/>
          </w:rPr>
          <w:fldChar w:fldCharType="separate"/>
        </w:r>
        <w:r w:rsidR="002271EC">
          <w:rPr>
            <w:noProof/>
            <w:webHidden/>
          </w:rPr>
          <w:t>69</w:t>
        </w:r>
        <w:r>
          <w:rPr>
            <w:noProof/>
            <w:webHidden/>
          </w:rPr>
          <w:fldChar w:fldCharType="end"/>
        </w:r>
      </w:hyperlink>
    </w:p>
    <w:p w14:paraId="0E8865EF" w14:textId="76F083D6" w:rsidR="00E25C47" w:rsidRDefault="00E25C47">
      <w:pPr>
        <w:pStyle w:val="TableofFigures"/>
        <w:tabs>
          <w:tab w:val="right" w:leader="dot" w:pos="9628"/>
        </w:tabs>
        <w:rPr>
          <w:noProof/>
          <w:kern w:val="2"/>
          <w:sz w:val="24"/>
          <w:szCs w:val="24"/>
          <w:lang w:eastAsia="en-AU"/>
          <w14:ligatures w14:val="standardContextual"/>
        </w:rPr>
      </w:pPr>
      <w:hyperlink w:anchor="_Toc196745477" w:history="1">
        <w:r w:rsidRPr="00240F28">
          <w:rPr>
            <w:rStyle w:val="Hyperlink"/>
            <w:noProof/>
          </w:rPr>
          <w:t>Figure 15 Projected cooling water-intensity trends for IMH-Water-Batch CIMS</w:t>
        </w:r>
        <w:r>
          <w:rPr>
            <w:noProof/>
            <w:webHidden/>
          </w:rPr>
          <w:tab/>
        </w:r>
        <w:r>
          <w:rPr>
            <w:noProof/>
            <w:webHidden/>
          </w:rPr>
          <w:fldChar w:fldCharType="begin"/>
        </w:r>
        <w:r>
          <w:rPr>
            <w:noProof/>
            <w:webHidden/>
          </w:rPr>
          <w:instrText xml:space="preserve"> PAGEREF _Toc196745477 \h </w:instrText>
        </w:r>
        <w:r>
          <w:rPr>
            <w:noProof/>
            <w:webHidden/>
          </w:rPr>
        </w:r>
        <w:r>
          <w:rPr>
            <w:noProof/>
            <w:webHidden/>
          </w:rPr>
          <w:fldChar w:fldCharType="separate"/>
        </w:r>
        <w:r w:rsidR="002271EC">
          <w:rPr>
            <w:noProof/>
            <w:webHidden/>
          </w:rPr>
          <w:t>70</w:t>
        </w:r>
        <w:r>
          <w:rPr>
            <w:noProof/>
            <w:webHidden/>
          </w:rPr>
          <w:fldChar w:fldCharType="end"/>
        </w:r>
      </w:hyperlink>
    </w:p>
    <w:p w14:paraId="21BB3BDC" w14:textId="59065BDE" w:rsidR="00E25C47" w:rsidRDefault="00E25C47">
      <w:pPr>
        <w:pStyle w:val="TableofFigures"/>
        <w:tabs>
          <w:tab w:val="right" w:leader="dot" w:pos="9628"/>
        </w:tabs>
        <w:rPr>
          <w:noProof/>
          <w:kern w:val="2"/>
          <w:sz w:val="24"/>
          <w:szCs w:val="24"/>
          <w:lang w:eastAsia="en-AU"/>
          <w14:ligatures w14:val="standardContextual"/>
        </w:rPr>
      </w:pPr>
      <w:hyperlink w:anchor="_Toc196745478" w:history="1">
        <w:r w:rsidRPr="00240F28">
          <w:rPr>
            <w:rStyle w:val="Hyperlink"/>
            <w:noProof/>
          </w:rPr>
          <w:t>Figure 16 Projected cooling water-intensity trends for IMH-Water-Cont CIMS</w:t>
        </w:r>
        <w:r>
          <w:rPr>
            <w:noProof/>
            <w:webHidden/>
          </w:rPr>
          <w:tab/>
        </w:r>
        <w:r>
          <w:rPr>
            <w:noProof/>
            <w:webHidden/>
          </w:rPr>
          <w:fldChar w:fldCharType="begin"/>
        </w:r>
        <w:r>
          <w:rPr>
            <w:noProof/>
            <w:webHidden/>
          </w:rPr>
          <w:instrText xml:space="preserve"> PAGEREF _Toc196745478 \h </w:instrText>
        </w:r>
        <w:r>
          <w:rPr>
            <w:noProof/>
            <w:webHidden/>
          </w:rPr>
        </w:r>
        <w:r>
          <w:rPr>
            <w:noProof/>
            <w:webHidden/>
          </w:rPr>
          <w:fldChar w:fldCharType="separate"/>
        </w:r>
        <w:r w:rsidR="002271EC">
          <w:rPr>
            <w:noProof/>
            <w:webHidden/>
          </w:rPr>
          <w:t>70</w:t>
        </w:r>
        <w:r>
          <w:rPr>
            <w:noProof/>
            <w:webHidden/>
          </w:rPr>
          <w:fldChar w:fldCharType="end"/>
        </w:r>
      </w:hyperlink>
    </w:p>
    <w:p w14:paraId="26F42155" w14:textId="51B16CDD" w:rsidR="00E25C47" w:rsidRDefault="00E25C47">
      <w:pPr>
        <w:pStyle w:val="TableofFigures"/>
        <w:tabs>
          <w:tab w:val="right" w:leader="dot" w:pos="9628"/>
        </w:tabs>
        <w:rPr>
          <w:noProof/>
          <w:kern w:val="2"/>
          <w:sz w:val="24"/>
          <w:szCs w:val="24"/>
          <w:lang w:eastAsia="en-AU"/>
          <w14:ligatures w14:val="standardContextual"/>
        </w:rPr>
      </w:pPr>
      <w:hyperlink w:anchor="_Toc196745479" w:history="1">
        <w:r w:rsidRPr="00240F28">
          <w:rPr>
            <w:rStyle w:val="Hyperlink"/>
            <w:noProof/>
          </w:rPr>
          <w:t>Figure 17 Projected water-intensity trends for SCU-Air-Batch CIMs</w:t>
        </w:r>
        <w:r>
          <w:rPr>
            <w:noProof/>
            <w:webHidden/>
          </w:rPr>
          <w:tab/>
        </w:r>
        <w:r>
          <w:rPr>
            <w:noProof/>
            <w:webHidden/>
          </w:rPr>
          <w:fldChar w:fldCharType="begin"/>
        </w:r>
        <w:r>
          <w:rPr>
            <w:noProof/>
            <w:webHidden/>
          </w:rPr>
          <w:instrText xml:space="preserve"> PAGEREF _Toc196745479 \h </w:instrText>
        </w:r>
        <w:r>
          <w:rPr>
            <w:noProof/>
            <w:webHidden/>
          </w:rPr>
        </w:r>
        <w:r>
          <w:rPr>
            <w:noProof/>
            <w:webHidden/>
          </w:rPr>
          <w:fldChar w:fldCharType="separate"/>
        </w:r>
        <w:r w:rsidR="002271EC">
          <w:rPr>
            <w:noProof/>
            <w:webHidden/>
          </w:rPr>
          <w:t>71</w:t>
        </w:r>
        <w:r>
          <w:rPr>
            <w:noProof/>
            <w:webHidden/>
          </w:rPr>
          <w:fldChar w:fldCharType="end"/>
        </w:r>
      </w:hyperlink>
    </w:p>
    <w:p w14:paraId="7EAF70C3" w14:textId="02DADE96" w:rsidR="00E25C47" w:rsidRDefault="00E25C47">
      <w:pPr>
        <w:pStyle w:val="TableofFigures"/>
        <w:tabs>
          <w:tab w:val="right" w:leader="dot" w:pos="9628"/>
        </w:tabs>
        <w:rPr>
          <w:noProof/>
          <w:kern w:val="2"/>
          <w:sz w:val="24"/>
          <w:szCs w:val="24"/>
          <w:lang w:eastAsia="en-AU"/>
          <w14:ligatures w14:val="standardContextual"/>
        </w:rPr>
      </w:pPr>
      <w:hyperlink w:anchor="_Toc196745480" w:history="1">
        <w:r w:rsidRPr="00240F28">
          <w:rPr>
            <w:rStyle w:val="Hyperlink"/>
            <w:noProof/>
          </w:rPr>
          <w:t>Figure 18 Projected water-intensity trends for SCU-Air-Cont CIMs</w:t>
        </w:r>
        <w:r>
          <w:rPr>
            <w:noProof/>
            <w:webHidden/>
          </w:rPr>
          <w:tab/>
        </w:r>
        <w:r>
          <w:rPr>
            <w:noProof/>
            <w:webHidden/>
          </w:rPr>
          <w:fldChar w:fldCharType="begin"/>
        </w:r>
        <w:r>
          <w:rPr>
            <w:noProof/>
            <w:webHidden/>
          </w:rPr>
          <w:instrText xml:space="preserve"> PAGEREF _Toc196745480 \h </w:instrText>
        </w:r>
        <w:r>
          <w:rPr>
            <w:noProof/>
            <w:webHidden/>
          </w:rPr>
        </w:r>
        <w:r>
          <w:rPr>
            <w:noProof/>
            <w:webHidden/>
          </w:rPr>
          <w:fldChar w:fldCharType="separate"/>
        </w:r>
        <w:r w:rsidR="002271EC">
          <w:rPr>
            <w:noProof/>
            <w:webHidden/>
          </w:rPr>
          <w:t>71</w:t>
        </w:r>
        <w:r>
          <w:rPr>
            <w:noProof/>
            <w:webHidden/>
          </w:rPr>
          <w:fldChar w:fldCharType="end"/>
        </w:r>
      </w:hyperlink>
    </w:p>
    <w:p w14:paraId="2B85D7D9" w14:textId="23DBD47D" w:rsidR="00E25C47" w:rsidRDefault="00E25C47">
      <w:pPr>
        <w:pStyle w:val="TableofFigures"/>
        <w:tabs>
          <w:tab w:val="right" w:leader="dot" w:pos="9628"/>
        </w:tabs>
        <w:rPr>
          <w:noProof/>
          <w:kern w:val="2"/>
          <w:sz w:val="24"/>
          <w:szCs w:val="24"/>
          <w:lang w:eastAsia="en-AU"/>
          <w14:ligatures w14:val="standardContextual"/>
        </w:rPr>
      </w:pPr>
      <w:hyperlink w:anchor="_Toc196745481" w:history="1">
        <w:r w:rsidRPr="00240F28">
          <w:rPr>
            <w:rStyle w:val="Hyperlink"/>
            <w:noProof/>
          </w:rPr>
          <w:t>Figure 19 ES certified CIMs, IMH-Batch-Air, Energy &amp; potable water intensity by capacity</w:t>
        </w:r>
        <w:r>
          <w:rPr>
            <w:noProof/>
            <w:webHidden/>
          </w:rPr>
          <w:tab/>
        </w:r>
        <w:r>
          <w:rPr>
            <w:noProof/>
            <w:webHidden/>
          </w:rPr>
          <w:fldChar w:fldCharType="begin"/>
        </w:r>
        <w:r>
          <w:rPr>
            <w:noProof/>
            <w:webHidden/>
          </w:rPr>
          <w:instrText xml:space="preserve"> PAGEREF _Toc196745481 \h </w:instrText>
        </w:r>
        <w:r>
          <w:rPr>
            <w:noProof/>
            <w:webHidden/>
          </w:rPr>
        </w:r>
        <w:r>
          <w:rPr>
            <w:noProof/>
            <w:webHidden/>
          </w:rPr>
          <w:fldChar w:fldCharType="separate"/>
        </w:r>
        <w:r w:rsidR="002271EC">
          <w:rPr>
            <w:noProof/>
            <w:webHidden/>
          </w:rPr>
          <w:t>76</w:t>
        </w:r>
        <w:r>
          <w:rPr>
            <w:noProof/>
            <w:webHidden/>
          </w:rPr>
          <w:fldChar w:fldCharType="end"/>
        </w:r>
      </w:hyperlink>
    </w:p>
    <w:p w14:paraId="48B66A63" w14:textId="40CBABF6" w:rsidR="00E25C47" w:rsidRDefault="00E25C47">
      <w:pPr>
        <w:pStyle w:val="TableofFigures"/>
        <w:tabs>
          <w:tab w:val="right" w:leader="dot" w:pos="9628"/>
        </w:tabs>
        <w:rPr>
          <w:noProof/>
          <w:kern w:val="2"/>
          <w:sz w:val="24"/>
          <w:szCs w:val="24"/>
          <w:lang w:eastAsia="en-AU"/>
          <w14:ligatures w14:val="standardContextual"/>
        </w:rPr>
      </w:pPr>
      <w:hyperlink w:anchor="_Toc196745482" w:history="1">
        <w:r w:rsidRPr="00240F28">
          <w:rPr>
            <w:rStyle w:val="Hyperlink"/>
            <w:noProof/>
          </w:rPr>
          <w:t>Figure 20</w:t>
        </w:r>
        <w:r w:rsidRPr="00240F28">
          <w:rPr>
            <w:rStyle w:val="Hyperlink"/>
            <w:rFonts w:hAnsi="Times New Roman"/>
            <w:noProof/>
            <w:kern w:val="24"/>
            <w:lang w:eastAsia="en-AU"/>
          </w:rPr>
          <w:t xml:space="preserve"> </w:t>
        </w:r>
        <w:r w:rsidRPr="00240F28">
          <w:rPr>
            <w:rStyle w:val="Hyperlink"/>
            <w:noProof/>
          </w:rPr>
          <w:t>ES certified CIMs, IMH-Cont-Air, Energy &amp; potable water intensity by capacity</w:t>
        </w:r>
        <w:r>
          <w:rPr>
            <w:noProof/>
            <w:webHidden/>
          </w:rPr>
          <w:tab/>
        </w:r>
        <w:r>
          <w:rPr>
            <w:noProof/>
            <w:webHidden/>
          </w:rPr>
          <w:fldChar w:fldCharType="begin"/>
        </w:r>
        <w:r>
          <w:rPr>
            <w:noProof/>
            <w:webHidden/>
          </w:rPr>
          <w:instrText xml:space="preserve"> PAGEREF _Toc196745482 \h </w:instrText>
        </w:r>
        <w:r>
          <w:rPr>
            <w:noProof/>
            <w:webHidden/>
          </w:rPr>
        </w:r>
        <w:r>
          <w:rPr>
            <w:noProof/>
            <w:webHidden/>
          </w:rPr>
          <w:fldChar w:fldCharType="separate"/>
        </w:r>
        <w:r w:rsidR="002271EC">
          <w:rPr>
            <w:noProof/>
            <w:webHidden/>
          </w:rPr>
          <w:t>76</w:t>
        </w:r>
        <w:r>
          <w:rPr>
            <w:noProof/>
            <w:webHidden/>
          </w:rPr>
          <w:fldChar w:fldCharType="end"/>
        </w:r>
      </w:hyperlink>
    </w:p>
    <w:p w14:paraId="191C278B" w14:textId="30C9B1AB" w:rsidR="00E25C47" w:rsidRDefault="00E25C47">
      <w:pPr>
        <w:pStyle w:val="TableofFigures"/>
        <w:tabs>
          <w:tab w:val="right" w:leader="dot" w:pos="9628"/>
        </w:tabs>
        <w:rPr>
          <w:noProof/>
          <w:kern w:val="2"/>
          <w:sz w:val="24"/>
          <w:szCs w:val="24"/>
          <w:lang w:eastAsia="en-AU"/>
          <w14:ligatures w14:val="standardContextual"/>
        </w:rPr>
      </w:pPr>
      <w:hyperlink w:anchor="_Toc196745483" w:history="1">
        <w:r w:rsidRPr="00240F28">
          <w:rPr>
            <w:rStyle w:val="Hyperlink"/>
            <w:noProof/>
          </w:rPr>
          <w:t>Figure 21</w:t>
        </w:r>
        <w:r w:rsidRPr="00240F28">
          <w:rPr>
            <w:rStyle w:val="Hyperlink"/>
            <w:rFonts w:hAnsi="Times New Roman"/>
            <w:noProof/>
            <w:kern w:val="24"/>
            <w:lang w:eastAsia="en-AU"/>
          </w:rPr>
          <w:t xml:space="preserve"> </w:t>
        </w:r>
        <w:r w:rsidRPr="00240F28">
          <w:rPr>
            <w:rStyle w:val="Hyperlink"/>
            <w:noProof/>
          </w:rPr>
          <w:t>ES certified CIMs, SCU-Batch-Air, Energy &amp; potable water intensity by capacity</w:t>
        </w:r>
        <w:r>
          <w:rPr>
            <w:noProof/>
            <w:webHidden/>
          </w:rPr>
          <w:tab/>
        </w:r>
        <w:r>
          <w:rPr>
            <w:noProof/>
            <w:webHidden/>
          </w:rPr>
          <w:fldChar w:fldCharType="begin"/>
        </w:r>
        <w:r>
          <w:rPr>
            <w:noProof/>
            <w:webHidden/>
          </w:rPr>
          <w:instrText xml:space="preserve"> PAGEREF _Toc196745483 \h </w:instrText>
        </w:r>
        <w:r>
          <w:rPr>
            <w:noProof/>
            <w:webHidden/>
          </w:rPr>
        </w:r>
        <w:r>
          <w:rPr>
            <w:noProof/>
            <w:webHidden/>
          </w:rPr>
          <w:fldChar w:fldCharType="separate"/>
        </w:r>
        <w:r w:rsidR="002271EC">
          <w:rPr>
            <w:noProof/>
            <w:webHidden/>
          </w:rPr>
          <w:t>77</w:t>
        </w:r>
        <w:r>
          <w:rPr>
            <w:noProof/>
            <w:webHidden/>
          </w:rPr>
          <w:fldChar w:fldCharType="end"/>
        </w:r>
      </w:hyperlink>
    </w:p>
    <w:p w14:paraId="6825AF39" w14:textId="6F36CA8F" w:rsidR="00E25C47" w:rsidRDefault="00E25C47">
      <w:pPr>
        <w:pStyle w:val="TableofFigures"/>
        <w:tabs>
          <w:tab w:val="right" w:leader="dot" w:pos="9628"/>
        </w:tabs>
        <w:rPr>
          <w:noProof/>
          <w:kern w:val="2"/>
          <w:sz w:val="24"/>
          <w:szCs w:val="24"/>
          <w:lang w:eastAsia="en-AU"/>
          <w14:ligatures w14:val="standardContextual"/>
        </w:rPr>
      </w:pPr>
      <w:hyperlink w:anchor="_Toc196745484" w:history="1">
        <w:r w:rsidRPr="00240F28">
          <w:rPr>
            <w:rStyle w:val="Hyperlink"/>
            <w:noProof/>
          </w:rPr>
          <w:t>Figure 22</w:t>
        </w:r>
        <w:r w:rsidRPr="00240F28">
          <w:rPr>
            <w:rStyle w:val="Hyperlink"/>
            <w:rFonts w:hAnsi="Times New Roman"/>
            <w:noProof/>
            <w:kern w:val="24"/>
            <w:lang w:eastAsia="en-AU"/>
          </w:rPr>
          <w:t xml:space="preserve"> </w:t>
        </w:r>
        <w:r w:rsidRPr="00240F28">
          <w:rPr>
            <w:rStyle w:val="Hyperlink"/>
            <w:noProof/>
          </w:rPr>
          <w:t>ES certified CIMs, SCU-Cont-Air, Energy &amp; potable water intensity by capacity</w:t>
        </w:r>
        <w:r>
          <w:rPr>
            <w:noProof/>
            <w:webHidden/>
          </w:rPr>
          <w:tab/>
        </w:r>
        <w:r>
          <w:rPr>
            <w:noProof/>
            <w:webHidden/>
          </w:rPr>
          <w:fldChar w:fldCharType="begin"/>
        </w:r>
        <w:r>
          <w:rPr>
            <w:noProof/>
            <w:webHidden/>
          </w:rPr>
          <w:instrText xml:space="preserve"> PAGEREF _Toc196745484 \h </w:instrText>
        </w:r>
        <w:r>
          <w:rPr>
            <w:noProof/>
            <w:webHidden/>
          </w:rPr>
        </w:r>
        <w:r>
          <w:rPr>
            <w:noProof/>
            <w:webHidden/>
          </w:rPr>
          <w:fldChar w:fldCharType="separate"/>
        </w:r>
        <w:r w:rsidR="002271EC">
          <w:rPr>
            <w:noProof/>
            <w:webHidden/>
          </w:rPr>
          <w:t>77</w:t>
        </w:r>
        <w:r>
          <w:rPr>
            <w:noProof/>
            <w:webHidden/>
          </w:rPr>
          <w:fldChar w:fldCharType="end"/>
        </w:r>
      </w:hyperlink>
    </w:p>
    <w:p w14:paraId="08C01299" w14:textId="0CEA071C" w:rsidR="00E25C47" w:rsidRDefault="00E25C47">
      <w:pPr>
        <w:pStyle w:val="TableofFigures"/>
        <w:tabs>
          <w:tab w:val="right" w:leader="dot" w:pos="9628"/>
        </w:tabs>
        <w:rPr>
          <w:noProof/>
          <w:kern w:val="2"/>
          <w:sz w:val="24"/>
          <w:szCs w:val="24"/>
          <w:lang w:eastAsia="en-AU"/>
          <w14:ligatures w14:val="standardContextual"/>
        </w:rPr>
      </w:pPr>
      <w:hyperlink w:anchor="_Toc196745485" w:history="1">
        <w:r w:rsidRPr="00240F28">
          <w:rPr>
            <w:rStyle w:val="Hyperlink"/>
            <w:noProof/>
          </w:rPr>
          <w:t>Figure 23</w:t>
        </w:r>
        <w:r w:rsidRPr="00240F28">
          <w:rPr>
            <w:rStyle w:val="Hyperlink"/>
            <w:rFonts w:hAnsi="Times New Roman"/>
            <w:noProof/>
            <w:kern w:val="24"/>
            <w:lang w:eastAsia="en-AU"/>
          </w:rPr>
          <w:t xml:space="preserve"> </w:t>
        </w:r>
        <w:r w:rsidRPr="00240F28">
          <w:rPr>
            <w:rStyle w:val="Hyperlink"/>
            <w:noProof/>
          </w:rPr>
          <w:t>ES certified CIMs, Split-Batch-Air, Energy &amp; potable water intensity by capacity</w:t>
        </w:r>
        <w:r>
          <w:rPr>
            <w:noProof/>
            <w:webHidden/>
          </w:rPr>
          <w:tab/>
        </w:r>
        <w:r>
          <w:rPr>
            <w:noProof/>
            <w:webHidden/>
          </w:rPr>
          <w:fldChar w:fldCharType="begin"/>
        </w:r>
        <w:r>
          <w:rPr>
            <w:noProof/>
            <w:webHidden/>
          </w:rPr>
          <w:instrText xml:space="preserve"> PAGEREF _Toc196745485 \h </w:instrText>
        </w:r>
        <w:r>
          <w:rPr>
            <w:noProof/>
            <w:webHidden/>
          </w:rPr>
        </w:r>
        <w:r>
          <w:rPr>
            <w:noProof/>
            <w:webHidden/>
          </w:rPr>
          <w:fldChar w:fldCharType="separate"/>
        </w:r>
        <w:r w:rsidR="002271EC">
          <w:rPr>
            <w:noProof/>
            <w:webHidden/>
          </w:rPr>
          <w:t>78</w:t>
        </w:r>
        <w:r>
          <w:rPr>
            <w:noProof/>
            <w:webHidden/>
          </w:rPr>
          <w:fldChar w:fldCharType="end"/>
        </w:r>
      </w:hyperlink>
    </w:p>
    <w:p w14:paraId="4B9638D8" w14:textId="16EC3993" w:rsidR="00E25C47" w:rsidRDefault="00E25C47">
      <w:pPr>
        <w:pStyle w:val="TableofFigures"/>
        <w:tabs>
          <w:tab w:val="right" w:leader="dot" w:pos="9628"/>
        </w:tabs>
        <w:rPr>
          <w:noProof/>
          <w:kern w:val="2"/>
          <w:sz w:val="24"/>
          <w:szCs w:val="24"/>
          <w:lang w:eastAsia="en-AU"/>
          <w14:ligatures w14:val="standardContextual"/>
        </w:rPr>
      </w:pPr>
      <w:hyperlink w:anchor="_Toc196745486" w:history="1">
        <w:r w:rsidRPr="00240F28">
          <w:rPr>
            <w:rStyle w:val="Hyperlink"/>
            <w:noProof/>
          </w:rPr>
          <w:t>Figure 24</w:t>
        </w:r>
        <w:r w:rsidRPr="00240F28">
          <w:rPr>
            <w:rStyle w:val="Hyperlink"/>
            <w:rFonts w:hAnsi="Times New Roman"/>
            <w:noProof/>
            <w:kern w:val="24"/>
            <w:lang w:eastAsia="en-AU"/>
          </w:rPr>
          <w:t xml:space="preserve"> </w:t>
        </w:r>
        <w:r w:rsidRPr="00240F28">
          <w:rPr>
            <w:rStyle w:val="Hyperlink"/>
            <w:noProof/>
          </w:rPr>
          <w:t>ES certified CIMs, Split-Cont-Air, Energy &amp; potable water intensity by capacity</w:t>
        </w:r>
        <w:r>
          <w:rPr>
            <w:noProof/>
            <w:webHidden/>
          </w:rPr>
          <w:tab/>
        </w:r>
        <w:r>
          <w:rPr>
            <w:noProof/>
            <w:webHidden/>
          </w:rPr>
          <w:fldChar w:fldCharType="begin"/>
        </w:r>
        <w:r>
          <w:rPr>
            <w:noProof/>
            <w:webHidden/>
          </w:rPr>
          <w:instrText xml:space="preserve"> PAGEREF _Toc196745486 \h </w:instrText>
        </w:r>
        <w:r>
          <w:rPr>
            <w:noProof/>
            <w:webHidden/>
          </w:rPr>
        </w:r>
        <w:r>
          <w:rPr>
            <w:noProof/>
            <w:webHidden/>
          </w:rPr>
          <w:fldChar w:fldCharType="separate"/>
        </w:r>
        <w:r w:rsidR="002271EC">
          <w:rPr>
            <w:noProof/>
            <w:webHidden/>
          </w:rPr>
          <w:t>78</w:t>
        </w:r>
        <w:r>
          <w:rPr>
            <w:noProof/>
            <w:webHidden/>
          </w:rPr>
          <w:fldChar w:fldCharType="end"/>
        </w:r>
      </w:hyperlink>
    </w:p>
    <w:p w14:paraId="5D0F9853" w14:textId="0AFE7C07" w:rsidR="00E25C47" w:rsidRDefault="00E25C47">
      <w:pPr>
        <w:pStyle w:val="TableofFigures"/>
        <w:tabs>
          <w:tab w:val="right" w:leader="dot" w:pos="9628"/>
        </w:tabs>
        <w:rPr>
          <w:noProof/>
          <w:kern w:val="2"/>
          <w:sz w:val="24"/>
          <w:szCs w:val="24"/>
          <w:lang w:eastAsia="en-AU"/>
          <w14:ligatures w14:val="standardContextual"/>
        </w:rPr>
      </w:pPr>
      <w:hyperlink w:anchor="_Toc196745487" w:history="1">
        <w:r w:rsidRPr="00240F28">
          <w:rPr>
            <w:rStyle w:val="Hyperlink"/>
            <w:noProof/>
          </w:rPr>
          <w:t>Figure 25</w:t>
        </w:r>
        <w:r w:rsidRPr="00240F28">
          <w:rPr>
            <w:rStyle w:val="Hyperlink"/>
            <w:rFonts w:hAnsi="Times New Roman"/>
            <w:noProof/>
            <w:kern w:val="24"/>
            <w:lang w:eastAsia="en-AU"/>
          </w:rPr>
          <w:t xml:space="preserve"> </w:t>
        </w:r>
        <w:r w:rsidRPr="00240F28">
          <w:rPr>
            <w:rStyle w:val="Hyperlink"/>
            <w:noProof/>
          </w:rPr>
          <w:t>ES certified CIMs, IMH-Batch-Air, Potable water- vs energy- intensity</w:t>
        </w:r>
        <w:r>
          <w:rPr>
            <w:noProof/>
            <w:webHidden/>
          </w:rPr>
          <w:tab/>
        </w:r>
        <w:r>
          <w:rPr>
            <w:noProof/>
            <w:webHidden/>
          </w:rPr>
          <w:fldChar w:fldCharType="begin"/>
        </w:r>
        <w:r>
          <w:rPr>
            <w:noProof/>
            <w:webHidden/>
          </w:rPr>
          <w:instrText xml:space="preserve"> PAGEREF _Toc196745487 \h </w:instrText>
        </w:r>
        <w:r>
          <w:rPr>
            <w:noProof/>
            <w:webHidden/>
          </w:rPr>
        </w:r>
        <w:r>
          <w:rPr>
            <w:noProof/>
            <w:webHidden/>
          </w:rPr>
          <w:fldChar w:fldCharType="separate"/>
        </w:r>
        <w:r w:rsidR="002271EC">
          <w:rPr>
            <w:noProof/>
            <w:webHidden/>
          </w:rPr>
          <w:t>79</w:t>
        </w:r>
        <w:r>
          <w:rPr>
            <w:noProof/>
            <w:webHidden/>
          </w:rPr>
          <w:fldChar w:fldCharType="end"/>
        </w:r>
      </w:hyperlink>
    </w:p>
    <w:p w14:paraId="3A538A89" w14:textId="7EFF0378" w:rsidR="00E25C47" w:rsidRDefault="00E25C47">
      <w:pPr>
        <w:pStyle w:val="TableofFigures"/>
        <w:tabs>
          <w:tab w:val="right" w:leader="dot" w:pos="9628"/>
        </w:tabs>
        <w:rPr>
          <w:noProof/>
          <w:kern w:val="2"/>
          <w:sz w:val="24"/>
          <w:szCs w:val="24"/>
          <w:lang w:eastAsia="en-AU"/>
          <w14:ligatures w14:val="standardContextual"/>
        </w:rPr>
      </w:pPr>
      <w:hyperlink w:anchor="_Toc196745488" w:history="1">
        <w:r w:rsidRPr="00240F28">
          <w:rPr>
            <w:rStyle w:val="Hyperlink"/>
            <w:noProof/>
          </w:rPr>
          <w:t>Figure 26 ES certified CIMs, SCU-Batch-Air, Potable water- vs energy-intensity</w:t>
        </w:r>
        <w:r>
          <w:rPr>
            <w:noProof/>
            <w:webHidden/>
          </w:rPr>
          <w:tab/>
        </w:r>
        <w:r>
          <w:rPr>
            <w:noProof/>
            <w:webHidden/>
          </w:rPr>
          <w:fldChar w:fldCharType="begin"/>
        </w:r>
        <w:r>
          <w:rPr>
            <w:noProof/>
            <w:webHidden/>
          </w:rPr>
          <w:instrText xml:space="preserve"> PAGEREF _Toc196745488 \h </w:instrText>
        </w:r>
        <w:r>
          <w:rPr>
            <w:noProof/>
            <w:webHidden/>
          </w:rPr>
        </w:r>
        <w:r>
          <w:rPr>
            <w:noProof/>
            <w:webHidden/>
          </w:rPr>
          <w:fldChar w:fldCharType="separate"/>
        </w:r>
        <w:r w:rsidR="002271EC">
          <w:rPr>
            <w:noProof/>
            <w:webHidden/>
          </w:rPr>
          <w:t>79</w:t>
        </w:r>
        <w:r>
          <w:rPr>
            <w:noProof/>
            <w:webHidden/>
          </w:rPr>
          <w:fldChar w:fldCharType="end"/>
        </w:r>
      </w:hyperlink>
    </w:p>
    <w:p w14:paraId="31F67034" w14:textId="488EDD4D" w:rsidR="00E25C47" w:rsidRDefault="00E25C47">
      <w:pPr>
        <w:pStyle w:val="TableofFigures"/>
        <w:tabs>
          <w:tab w:val="right" w:leader="dot" w:pos="9628"/>
        </w:tabs>
        <w:rPr>
          <w:noProof/>
          <w:kern w:val="2"/>
          <w:sz w:val="24"/>
          <w:szCs w:val="24"/>
          <w:lang w:eastAsia="en-AU"/>
          <w14:ligatures w14:val="standardContextual"/>
        </w:rPr>
      </w:pPr>
      <w:hyperlink w:anchor="_Toc196745489" w:history="1">
        <w:r w:rsidRPr="00240F28">
          <w:rPr>
            <w:rStyle w:val="Hyperlink"/>
            <w:noProof/>
          </w:rPr>
          <w:t>Figure 27</w:t>
        </w:r>
        <w:r w:rsidRPr="00240F28">
          <w:rPr>
            <w:rStyle w:val="Hyperlink"/>
            <w:rFonts w:hAnsi="Times New Roman"/>
            <w:noProof/>
            <w:kern w:val="24"/>
            <w:lang w:eastAsia="en-AU"/>
          </w:rPr>
          <w:t xml:space="preserve"> </w:t>
        </w:r>
        <w:r w:rsidRPr="00240F28">
          <w:rPr>
            <w:rStyle w:val="Hyperlink"/>
            <w:noProof/>
          </w:rPr>
          <w:t>ES certified CIMs, Split-Batch-Air, Potable water- vs energy-intensity</w:t>
        </w:r>
        <w:r>
          <w:rPr>
            <w:noProof/>
            <w:webHidden/>
          </w:rPr>
          <w:tab/>
        </w:r>
        <w:r>
          <w:rPr>
            <w:noProof/>
            <w:webHidden/>
          </w:rPr>
          <w:fldChar w:fldCharType="begin"/>
        </w:r>
        <w:r>
          <w:rPr>
            <w:noProof/>
            <w:webHidden/>
          </w:rPr>
          <w:instrText xml:space="preserve"> PAGEREF _Toc196745489 \h </w:instrText>
        </w:r>
        <w:r>
          <w:rPr>
            <w:noProof/>
            <w:webHidden/>
          </w:rPr>
        </w:r>
        <w:r>
          <w:rPr>
            <w:noProof/>
            <w:webHidden/>
          </w:rPr>
          <w:fldChar w:fldCharType="separate"/>
        </w:r>
        <w:r w:rsidR="002271EC">
          <w:rPr>
            <w:noProof/>
            <w:webHidden/>
          </w:rPr>
          <w:t>80</w:t>
        </w:r>
        <w:r>
          <w:rPr>
            <w:noProof/>
            <w:webHidden/>
          </w:rPr>
          <w:fldChar w:fldCharType="end"/>
        </w:r>
      </w:hyperlink>
    </w:p>
    <w:p w14:paraId="563B4AD7" w14:textId="68787D6D" w:rsidR="00E25C47" w:rsidRDefault="00E25C47">
      <w:pPr>
        <w:pStyle w:val="TableofFigures"/>
        <w:tabs>
          <w:tab w:val="right" w:leader="dot" w:pos="9628"/>
        </w:tabs>
        <w:rPr>
          <w:noProof/>
          <w:kern w:val="2"/>
          <w:sz w:val="24"/>
          <w:szCs w:val="24"/>
          <w:lang w:eastAsia="en-AU"/>
          <w14:ligatures w14:val="standardContextual"/>
        </w:rPr>
      </w:pPr>
      <w:hyperlink w:anchor="_Toc196745490" w:history="1">
        <w:r w:rsidRPr="00240F28">
          <w:rPr>
            <w:rStyle w:val="Hyperlink"/>
            <w:noProof/>
          </w:rPr>
          <w:t>Figure 28 UDDOE registered CIMs, IMH-Batch-Water, Cooling water-vs energy-intensity</w:t>
        </w:r>
        <w:r>
          <w:rPr>
            <w:noProof/>
            <w:webHidden/>
          </w:rPr>
          <w:tab/>
        </w:r>
        <w:r>
          <w:rPr>
            <w:noProof/>
            <w:webHidden/>
          </w:rPr>
          <w:fldChar w:fldCharType="begin"/>
        </w:r>
        <w:r>
          <w:rPr>
            <w:noProof/>
            <w:webHidden/>
          </w:rPr>
          <w:instrText xml:space="preserve"> PAGEREF _Toc196745490 \h </w:instrText>
        </w:r>
        <w:r>
          <w:rPr>
            <w:noProof/>
            <w:webHidden/>
          </w:rPr>
        </w:r>
        <w:r>
          <w:rPr>
            <w:noProof/>
            <w:webHidden/>
          </w:rPr>
          <w:fldChar w:fldCharType="separate"/>
        </w:r>
        <w:r w:rsidR="002271EC">
          <w:rPr>
            <w:noProof/>
            <w:webHidden/>
          </w:rPr>
          <w:t>80</w:t>
        </w:r>
        <w:r>
          <w:rPr>
            <w:noProof/>
            <w:webHidden/>
          </w:rPr>
          <w:fldChar w:fldCharType="end"/>
        </w:r>
      </w:hyperlink>
    </w:p>
    <w:p w14:paraId="3BB2ECAD" w14:textId="0CB67743" w:rsidR="00E25C47" w:rsidRDefault="00E25C47">
      <w:pPr>
        <w:pStyle w:val="TableofFigures"/>
        <w:tabs>
          <w:tab w:val="right" w:leader="dot" w:pos="9628"/>
        </w:tabs>
        <w:rPr>
          <w:noProof/>
          <w:kern w:val="2"/>
          <w:sz w:val="24"/>
          <w:szCs w:val="24"/>
          <w:lang w:eastAsia="en-AU"/>
          <w14:ligatures w14:val="standardContextual"/>
        </w:rPr>
      </w:pPr>
      <w:hyperlink w:anchor="_Toc196745491" w:history="1">
        <w:r w:rsidRPr="00240F28">
          <w:rPr>
            <w:rStyle w:val="Hyperlink"/>
            <w:noProof/>
          </w:rPr>
          <w:t>Figure 29 USDOE registered CIMs, IMH-Cont-Water, Cooling water-vs energy-intensity</w:t>
        </w:r>
        <w:r>
          <w:rPr>
            <w:noProof/>
            <w:webHidden/>
          </w:rPr>
          <w:tab/>
        </w:r>
        <w:r>
          <w:rPr>
            <w:noProof/>
            <w:webHidden/>
          </w:rPr>
          <w:fldChar w:fldCharType="begin"/>
        </w:r>
        <w:r>
          <w:rPr>
            <w:noProof/>
            <w:webHidden/>
          </w:rPr>
          <w:instrText xml:space="preserve"> PAGEREF _Toc196745491 \h </w:instrText>
        </w:r>
        <w:r>
          <w:rPr>
            <w:noProof/>
            <w:webHidden/>
          </w:rPr>
        </w:r>
        <w:r>
          <w:rPr>
            <w:noProof/>
            <w:webHidden/>
          </w:rPr>
          <w:fldChar w:fldCharType="separate"/>
        </w:r>
        <w:r w:rsidR="002271EC">
          <w:rPr>
            <w:noProof/>
            <w:webHidden/>
          </w:rPr>
          <w:t>81</w:t>
        </w:r>
        <w:r>
          <w:rPr>
            <w:noProof/>
            <w:webHidden/>
          </w:rPr>
          <w:fldChar w:fldCharType="end"/>
        </w:r>
      </w:hyperlink>
    </w:p>
    <w:p w14:paraId="5A2E8921" w14:textId="4C05C252" w:rsidR="00E25C47" w:rsidRDefault="00E25C47">
      <w:pPr>
        <w:pStyle w:val="TableofFigures"/>
        <w:tabs>
          <w:tab w:val="right" w:leader="dot" w:pos="9628"/>
        </w:tabs>
        <w:rPr>
          <w:noProof/>
          <w:kern w:val="2"/>
          <w:sz w:val="24"/>
          <w:szCs w:val="24"/>
          <w:lang w:eastAsia="en-AU"/>
          <w14:ligatures w14:val="standardContextual"/>
        </w:rPr>
      </w:pPr>
      <w:hyperlink w:anchor="_Toc196745492" w:history="1">
        <w:r w:rsidRPr="00240F28">
          <w:rPr>
            <w:rStyle w:val="Hyperlink"/>
            <w:noProof/>
          </w:rPr>
          <w:t>Figure 30 USDOE registered CIMs, SCU-Batch-Water, Cooling water-vs energy-intensity</w:t>
        </w:r>
        <w:r>
          <w:rPr>
            <w:noProof/>
            <w:webHidden/>
          </w:rPr>
          <w:tab/>
        </w:r>
        <w:r>
          <w:rPr>
            <w:noProof/>
            <w:webHidden/>
          </w:rPr>
          <w:fldChar w:fldCharType="begin"/>
        </w:r>
        <w:r>
          <w:rPr>
            <w:noProof/>
            <w:webHidden/>
          </w:rPr>
          <w:instrText xml:space="preserve"> PAGEREF _Toc196745492 \h </w:instrText>
        </w:r>
        <w:r>
          <w:rPr>
            <w:noProof/>
            <w:webHidden/>
          </w:rPr>
        </w:r>
        <w:r>
          <w:rPr>
            <w:noProof/>
            <w:webHidden/>
          </w:rPr>
          <w:fldChar w:fldCharType="separate"/>
        </w:r>
        <w:r w:rsidR="002271EC">
          <w:rPr>
            <w:noProof/>
            <w:webHidden/>
          </w:rPr>
          <w:t>81</w:t>
        </w:r>
        <w:r>
          <w:rPr>
            <w:noProof/>
            <w:webHidden/>
          </w:rPr>
          <w:fldChar w:fldCharType="end"/>
        </w:r>
      </w:hyperlink>
    </w:p>
    <w:p w14:paraId="464FA07D" w14:textId="60851523" w:rsidR="00E25C47" w:rsidRDefault="00E25C47">
      <w:pPr>
        <w:pStyle w:val="TableofFigures"/>
        <w:tabs>
          <w:tab w:val="right" w:leader="dot" w:pos="9628"/>
        </w:tabs>
        <w:rPr>
          <w:noProof/>
          <w:kern w:val="2"/>
          <w:sz w:val="24"/>
          <w:szCs w:val="24"/>
          <w:lang w:eastAsia="en-AU"/>
          <w14:ligatures w14:val="standardContextual"/>
        </w:rPr>
      </w:pPr>
      <w:hyperlink w:anchor="_Toc196745493" w:history="1">
        <w:r w:rsidRPr="00240F28">
          <w:rPr>
            <w:rStyle w:val="Hyperlink"/>
            <w:noProof/>
          </w:rPr>
          <w:t>Figure 31 USDOE registered CIMs, SCU-Cont-Water, Cooling water-vs energy-intensity</w:t>
        </w:r>
        <w:r>
          <w:rPr>
            <w:noProof/>
            <w:webHidden/>
          </w:rPr>
          <w:tab/>
        </w:r>
        <w:r>
          <w:rPr>
            <w:noProof/>
            <w:webHidden/>
          </w:rPr>
          <w:fldChar w:fldCharType="begin"/>
        </w:r>
        <w:r>
          <w:rPr>
            <w:noProof/>
            <w:webHidden/>
          </w:rPr>
          <w:instrText xml:space="preserve"> PAGEREF _Toc196745493 \h </w:instrText>
        </w:r>
        <w:r>
          <w:rPr>
            <w:noProof/>
            <w:webHidden/>
          </w:rPr>
        </w:r>
        <w:r>
          <w:rPr>
            <w:noProof/>
            <w:webHidden/>
          </w:rPr>
          <w:fldChar w:fldCharType="separate"/>
        </w:r>
        <w:r w:rsidR="002271EC">
          <w:rPr>
            <w:noProof/>
            <w:webHidden/>
          </w:rPr>
          <w:t>82</w:t>
        </w:r>
        <w:r>
          <w:rPr>
            <w:noProof/>
            <w:webHidden/>
          </w:rPr>
          <w:fldChar w:fldCharType="end"/>
        </w:r>
      </w:hyperlink>
    </w:p>
    <w:p w14:paraId="77CCABA8" w14:textId="5699335B" w:rsidR="00E25C47" w:rsidRDefault="00E25C47">
      <w:pPr>
        <w:pStyle w:val="TableofFigures"/>
        <w:tabs>
          <w:tab w:val="right" w:leader="dot" w:pos="9628"/>
        </w:tabs>
        <w:rPr>
          <w:noProof/>
          <w:kern w:val="2"/>
          <w:sz w:val="24"/>
          <w:szCs w:val="24"/>
          <w:lang w:eastAsia="en-AU"/>
          <w14:ligatures w14:val="standardContextual"/>
        </w:rPr>
      </w:pPr>
      <w:hyperlink w:anchor="_Toc196745494" w:history="1">
        <w:r w:rsidRPr="00240F28">
          <w:rPr>
            <w:rStyle w:val="Hyperlink"/>
            <w:noProof/>
          </w:rPr>
          <w:t>Figure 32 Water consumed by CIMs sold 2025-2040, New Zealand</w:t>
        </w:r>
        <w:r>
          <w:rPr>
            <w:noProof/>
            <w:webHidden/>
          </w:rPr>
          <w:tab/>
        </w:r>
        <w:r>
          <w:rPr>
            <w:noProof/>
            <w:webHidden/>
          </w:rPr>
          <w:fldChar w:fldCharType="begin"/>
        </w:r>
        <w:r>
          <w:rPr>
            <w:noProof/>
            <w:webHidden/>
          </w:rPr>
          <w:instrText xml:space="preserve"> PAGEREF _Toc196745494 \h </w:instrText>
        </w:r>
        <w:r>
          <w:rPr>
            <w:noProof/>
            <w:webHidden/>
          </w:rPr>
        </w:r>
        <w:r>
          <w:rPr>
            <w:noProof/>
            <w:webHidden/>
          </w:rPr>
          <w:fldChar w:fldCharType="separate"/>
        </w:r>
        <w:r w:rsidR="002271EC">
          <w:rPr>
            <w:noProof/>
            <w:webHidden/>
          </w:rPr>
          <w:t>85</w:t>
        </w:r>
        <w:r>
          <w:rPr>
            <w:noProof/>
            <w:webHidden/>
          </w:rPr>
          <w:fldChar w:fldCharType="end"/>
        </w:r>
      </w:hyperlink>
    </w:p>
    <w:p w14:paraId="01E23A7B" w14:textId="0BE0B54B" w:rsidR="00E25C47" w:rsidRDefault="00E25C47">
      <w:pPr>
        <w:pStyle w:val="TableofFigures"/>
        <w:tabs>
          <w:tab w:val="right" w:leader="dot" w:pos="9628"/>
        </w:tabs>
        <w:rPr>
          <w:noProof/>
          <w:kern w:val="2"/>
          <w:sz w:val="24"/>
          <w:szCs w:val="24"/>
          <w:lang w:eastAsia="en-AU"/>
          <w14:ligatures w14:val="standardContextual"/>
        </w:rPr>
      </w:pPr>
      <w:hyperlink w:anchor="_Toc196745495" w:history="1">
        <w:r w:rsidRPr="00240F28">
          <w:rPr>
            <w:rStyle w:val="Hyperlink"/>
            <w:noProof/>
          </w:rPr>
          <w:t>Figure 33 Water saved by WELS option for CIMs sold 2025-2040, New Zealand</w:t>
        </w:r>
        <w:r>
          <w:rPr>
            <w:noProof/>
            <w:webHidden/>
          </w:rPr>
          <w:tab/>
        </w:r>
        <w:r>
          <w:rPr>
            <w:noProof/>
            <w:webHidden/>
          </w:rPr>
          <w:fldChar w:fldCharType="begin"/>
        </w:r>
        <w:r>
          <w:rPr>
            <w:noProof/>
            <w:webHidden/>
          </w:rPr>
          <w:instrText xml:space="preserve"> PAGEREF _Toc196745495 \h </w:instrText>
        </w:r>
        <w:r>
          <w:rPr>
            <w:noProof/>
            <w:webHidden/>
          </w:rPr>
        </w:r>
        <w:r>
          <w:rPr>
            <w:noProof/>
            <w:webHidden/>
          </w:rPr>
          <w:fldChar w:fldCharType="separate"/>
        </w:r>
        <w:r w:rsidR="002271EC">
          <w:rPr>
            <w:noProof/>
            <w:webHidden/>
          </w:rPr>
          <w:t>85</w:t>
        </w:r>
        <w:r>
          <w:rPr>
            <w:noProof/>
            <w:webHidden/>
          </w:rPr>
          <w:fldChar w:fldCharType="end"/>
        </w:r>
      </w:hyperlink>
    </w:p>
    <w:p w14:paraId="5EEA2A44" w14:textId="46670269" w:rsidR="00E25C47" w:rsidRDefault="00E25C47">
      <w:pPr>
        <w:pStyle w:val="TableofFigures"/>
        <w:tabs>
          <w:tab w:val="right" w:leader="dot" w:pos="9628"/>
        </w:tabs>
        <w:rPr>
          <w:noProof/>
          <w:kern w:val="2"/>
          <w:sz w:val="24"/>
          <w:szCs w:val="24"/>
          <w:lang w:eastAsia="en-AU"/>
          <w14:ligatures w14:val="standardContextual"/>
        </w:rPr>
      </w:pPr>
      <w:hyperlink w:anchor="_Toc196745496" w:history="1">
        <w:r w:rsidRPr="00240F28">
          <w:rPr>
            <w:rStyle w:val="Hyperlink"/>
            <w:noProof/>
          </w:rPr>
          <w:t>Figure 34 NPV of costs and benefits, 2025-2040, New Zealand</w:t>
        </w:r>
        <w:r>
          <w:rPr>
            <w:noProof/>
            <w:webHidden/>
          </w:rPr>
          <w:tab/>
        </w:r>
        <w:r>
          <w:rPr>
            <w:noProof/>
            <w:webHidden/>
          </w:rPr>
          <w:fldChar w:fldCharType="begin"/>
        </w:r>
        <w:r>
          <w:rPr>
            <w:noProof/>
            <w:webHidden/>
          </w:rPr>
          <w:instrText xml:space="preserve"> PAGEREF _Toc196745496 \h </w:instrText>
        </w:r>
        <w:r>
          <w:rPr>
            <w:noProof/>
            <w:webHidden/>
          </w:rPr>
        </w:r>
        <w:r>
          <w:rPr>
            <w:noProof/>
            <w:webHidden/>
          </w:rPr>
          <w:fldChar w:fldCharType="separate"/>
        </w:r>
        <w:r w:rsidR="002271EC">
          <w:rPr>
            <w:noProof/>
            <w:webHidden/>
          </w:rPr>
          <w:t>87</w:t>
        </w:r>
        <w:r>
          <w:rPr>
            <w:noProof/>
            <w:webHidden/>
          </w:rPr>
          <w:fldChar w:fldCharType="end"/>
        </w:r>
      </w:hyperlink>
    </w:p>
    <w:p w14:paraId="58646BA3" w14:textId="04F33DE0" w:rsidR="00E25C47" w:rsidRDefault="00E25C47">
      <w:pPr>
        <w:pStyle w:val="TableofFigures"/>
        <w:tabs>
          <w:tab w:val="right" w:leader="dot" w:pos="9628"/>
        </w:tabs>
        <w:rPr>
          <w:noProof/>
          <w:kern w:val="2"/>
          <w:sz w:val="24"/>
          <w:szCs w:val="24"/>
          <w:lang w:eastAsia="en-AU"/>
          <w14:ligatures w14:val="standardContextual"/>
        </w:rPr>
      </w:pPr>
      <w:hyperlink w:anchor="_Toc196745497" w:history="1">
        <w:r w:rsidRPr="00240F28">
          <w:rPr>
            <w:rStyle w:val="Hyperlink"/>
            <w:noProof/>
          </w:rPr>
          <w:t>Figure 35 NPV of program costs, 2025-2040, New Zealand</w:t>
        </w:r>
        <w:r>
          <w:rPr>
            <w:noProof/>
            <w:webHidden/>
          </w:rPr>
          <w:tab/>
        </w:r>
        <w:r>
          <w:rPr>
            <w:noProof/>
            <w:webHidden/>
          </w:rPr>
          <w:fldChar w:fldCharType="begin"/>
        </w:r>
        <w:r>
          <w:rPr>
            <w:noProof/>
            <w:webHidden/>
          </w:rPr>
          <w:instrText xml:space="preserve"> PAGEREF _Toc196745497 \h </w:instrText>
        </w:r>
        <w:r>
          <w:rPr>
            <w:noProof/>
            <w:webHidden/>
          </w:rPr>
        </w:r>
        <w:r>
          <w:rPr>
            <w:noProof/>
            <w:webHidden/>
          </w:rPr>
          <w:fldChar w:fldCharType="separate"/>
        </w:r>
        <w:r w:rsidR="002271EC">
          <w:rPr>
            <w:noProof/>
            <w:webHidden/>
          </w:rPr>
          <w:t>88</w:t>
        </w:r>
        <w:r>
          <w:rPr>
            <w:noProof/>
            <w:webHidden/>
          </w:rPr>
          <w:fldChar w:fldCharType="end"/>
        </w:r>
      </w:hyperlink>
    </w:p>
    <w:p w14:paraId="216FDD81" w14:textId="1F824381" w:rsidR="0014151F" w:rsidRDefault="004B3D00">
      <w:pPr>
        <w:spacing w:after="200" w:line="288" w:lineRule="auto"/>
      </w:pPr>
      <w:r>
        <w:fldChar w:fldCharType="end"/>
      </w:r>
      <w:r w:rsidR="0014151F">
        <w:br w:type="page"/>
      </w:r>
    </w:p>
    <w:p w14:paraId="5B916E69" w14:textId="10642716" w:rsidR="0014151F" w:rsidRPr="0014151F" w:rsidRDefault="0014151F" w:rsidP="0014151F">
      <w:pPr>
        <w:pStyle w:val="Heading1"/>
      </w:pPr>
      <w:bookmarkStart w:id="1" w:name="_Toc196745398"/>
      <w:r w:rsidRPr="0014151F">
        <w:lastRenderedPageBreak/>
        <w:t>Summary</w:t>
      </w:r>
      <w:bookmarkEnd w:id="1"/>
    </w:p>
    <w:p w14:paraId="4305ADC9" w14:textId="770323E2"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 xml:space="preserve">This </w:t>
      </w:r>
      <w:bookmarkStart w:id="2" w:name="_Hlk193284606"/>
      <w:r w:rsidR="004F69D5" w:rsidRPr="006811EB">
        <w:rPr>
          <w:rFonts w:eastAsia="Calibri" w:cs="Times New Roman"/>
          <w:szCs w:val="22"/>
        </w:rPr>
        <w:t>d</w:t>
      </w:r>
      <w:r w:rsidRPr="006811EB">
        <w:rPr>
          <w:rFonts w:eastAsia="Calibri" w:cs="Times New Roman"/>
          <w:szCs w:val="22"/>
        </w:rPr>
        <w:t>raft Regulat</w:t>
      </w:r>
      <w:r w:rsidR="00057852" w:rsidRPr="006811EB">
        <w:rPr>
          <w:rFonts w:eastAsia="Calibri" w:cs="Times New Roman"/>
          <w:szCs w:val="22"/>
        </w:rPr>
        <w:t>ory</w:t>
      </w:r>
      <w:r w:rsidRPr="006811EB">
        <w:rPr>
          <w:rFonts w:eastAsia="Calibri" w:cs="Times New Roman"/>
          <w:szCs w:val="22"/>
        </w:rPr>
        <w:t xml:space="preserve"> Impact Analysis </w:t>
      </w:r>
      <w:bookmarkEnd w:id="2"/>
      <w:r w:rsidRPr="006811EB">
        <w:rPr>
          <w:rFonts w:eastAsia="Calibri" w:cs="Times New Roman"/>
          <w:szCs w:val="22"/>
        </w:rPr>
        <w:t>considers policy options to improve the water efficiency of commercial ice makers (CIMs) supplied in Australia.</w:t>
      </w:r>
    </w:p>
    <w:p w14:paraId="4BE8DC93" w14:textId="37269F31"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Ice is used for a wide range of applications in the production, transport, preparation, display and service of food, beverages, medicines, and other perishable products. Common uses include cubed ice served in drinks, and flaked ice as a bed for displaying seafood.</w:t>
      </w:r>
    </w:p>
    <w:p w14:paraId="3F62C41A" w14:textId="4840A33B"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 xml:space="preserve">Ice makers generally use potable water to produce food-grade ice. </w:t>
      </w:r>
      <w:r w:rsidR="00057852" w:rsidRPr="006811EB">
        <w:rPr>
          <w:rFonts w:eastAsia="Calibri" w:cs="Times New Roman"/>
          <w:szCs w:val="22"/>
        </w:rPr>
        <w:t>The majority of CIMS are air-cooled, however s</w:t>
      </w:r>
      <w:r w:rsidRPr="006811EB">
        <w:rPr>
          <w:rFonts w:eastAsia="Calibri" w:cs="Times New Roman"/>
          <w:szCs w:val="22"/>
        </w:rPr>
        <w:t>ome models also use water (not necessarily potable) as the cooling medium.</w:t>
      </w:r>
      <w:r w:rsidRPr="006811EB">
        <w:rPr>
          <w:rFonts w:eastAsia="Times New Roman" w:cs="Times New Roman"/>
          <w:szCs w:val="22"/>
        </w:rPr>
        <w:t xml:space="preserve"> </w:t>
      </w:r>
      <w:r w:rsidRPr="006811EB">
        <w:rPr>
          <w:rFonts w:eastAsia="Calibri" w:cs="Times New Roman"/>
          <w:szCs w:val="22"/>
        </w:rPr>
        <w:t xml:space="preserve">At present, CIM suppliers make very little information available to </w:t>
      </w:r>
      <w:r w:rsidR="00057852" w:rsidRPr="006811EB">
        <w:rPr>
          <w:rFonts w:eastAsia="Calibri" w:cs="Times New Roman"/>
          <w:szCs w:val="22"/>
        </w:rPr>
        <w:t>purchasers</w:t>
      </w:r>
      <w:r w:rsidRPr="006811EB">
        <w:rPr>
          <w:rFonts w:eastAsia="Calibri" w:cs="Times New Roman"/>
          <w:szCs w:val="22"/>
        </w:rPr>
        <w:t xml:space="preserve"> about the water use of the products they offer in Australia, although water represents the largest component of lifetime operating costs after energy (and for some CIM types, even more than energy).</w:t>
      </w:r>
    </w:p>
    <w:p w14:paraId="4B09E4F9" w14:textId="77777777"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 xml:space="preserve">A Determination under the </w:t>
      </w:r>
      <w:r w:rsidRPr="006811EB">
        <w:rPr>
          <w:rFonts w:eastAsia="Calibri" w:cs="Times New Roman"/>
          <w:i/>
          <w:iCs/>
          <w:szCs w:val="22"/>
        </w:rPr>
        <w:t>Greenhouse and Energy Minimum Standards (GEMS) Act 2012</w:t>
      </w:r>
      <w:r w:rsidRPr="006811EB">
        <w:rPr>
          <w:rFonts w:eastAsia="Calibri" w:cs="Times New Roman"/>
          <w:szCs w:val="22"/>
        </w:rPr>
        <w:t xml:space="preserve"> which came into force on 3 March 2025 imposes Minimum Energy Performance Standards on CIMs to be supplied or offered for supply after 3 March 2026. The GEMS Determination defines CIMs as automatic ice makers with provision for both water supply and drainage connections and a production capacity up to 1,000 kg/24hr when tested in accordance with specified standards. It excludes manual-fill ice makers and those built into domestic refrigerators.</w:t>
      </w:r>
    </w:p>
    <w:p w14:paraId="55A201E4" w14:textId="57516D9A"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The GEMS Determination require</w:t>
      </w:r>
      <w:r w:rsidR="006F703E" w:rsidRPr="006811EB">
        <w:rPr>
          <w:rFonts w:eastAsia="Calibri" w:cs="Times New Roman"/>
          <w:szCs w:val="22"/>
        </w:rPr>
        <w:t>s</w:t>
      </w:r>
      <w:r w:rsidRPr="006811EB">
        <w:rPr>
          <w:rFonts w:eastAsia="Calibri" w:cs="Times New Roman"/>
          <w:szCs w:val="22"/>
        </w:rPr>
        <w:t xml:space="preserve"> suppliers to declare </w:t>
      </w:r>
      <w:r w:rsidR="006F703E" w:rsidRPr="006811EB">
        <w:rPr>
          <w:rFonts w:eastAsia="Calibri" w:cs="Times New Roman"/>
          <w:szCs w:val="22"/>
        </w:rPr>
        <w:t xml:space="preserve">CIM </w:t>
      </w:r>
      <w:r w:rsidRPr="006811EB">
        <w:rPr>
          <w:rFonts w:eastAsia="Calibri" w:cs="Times New Roman"/>
          <w:szCs w:val="22"/>
        </w:rPr>
        <w:t xml:space="preserve">energy use </w:t>
      </w:r>
      <w:r w:rsidR="006F703E" w:rsidRPr="006811EB">
        <w:rPr>
          <w:rFonts w:eastAsia="Calibri" w:cs="Times New Roman"/>
          <w:szCs w:val="22"/>
        </w:rPr>
        <w:t>to</w:t>
      </w:r>
      <w:r w:rsidRPr="006811EB">
        <w:rPr>
          <w:rFonts w:eastAsia="Calibri" w:cs="Times New Roman"/>
          <w:szCs w:val="22"/>
        </w:rPr>
        <w:t xml:space="preserve"> the GEMS Regulator. </w:t>
      </w:r>
      <w:r w:rsidR="006F703E" w:rsidRPr="006811EB">
        <w:rPr>
          <w:rFonts w:eastAsia="Calibri" w:cs="Times New Roman"/>
          <w:szCs w:val="22"/>
        </w:rPr>
        <w:t xml:space="preserve">It also allows for the voluntary declaration of CIM water use rates. </w:t>
      </w:r>
      <w:r w:rsidRPr="006811EB">
        <w:rPr>
          <w:rFonts w:eastAsia="Calibri" w:cs="Times New Roman"/>
          <w:szCs w:val="22"/>
        </w:rPr>
        <w:t xml:space="preserve">It is uncertain whether suppliers will </w:t>
      </w:r>
      <w:r w:rsidR="00A17AE2" w:rsidRPr="006811EB">
        <w:rPr>
          <w:rFonts w:eastAsia="Calibri" w:cs="Times New Roman"/>
          <w:szCs w:val="22"/>
        </w:rPr>
        <w:t xml:space="preserve">voluntarily </w:t>
      </w:r>
      <w:r w:rsidRPr="006811EB">
        <w:rPr>
          <w:rFonts w:eastAsia="Calibri" w:cs="Times New Roman"/>
          <w:szCs w:val="22"/>
        </w:rPr>
        <w:t>declare water use information in sufficient numbers and whether the information will be disseminated in ways and at times that can usefully inform CIM purchas</w:t>
      </w:r>
      <w:r w:rsidR="006F703E" w:rsidRPr="006811EB">
        <w:rPr>
          <w:rFonts w:eastAsia="Calibri" w:cs="Times New Roman"/>
          <w:szCs w:val="22"/>
        </w:rPr>
        <w:t>ing</w:t>
      </w:r>
      <w:r w:rsidRPr="006811EB">
        <w:rPr>
          <w:rFonts w:eastAsia="Calibri" w:cs="Times New Roman"/>
          <w:szCs w:val="22"/>
        </w:rPr>
        <w:t xml:space="preserve"> decisions.</w:t>
      </w:r>
    </w:p>
    <w:p w14:paraId="432F7513" w14:textId="2D1AEBAB"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 xml:space="preserve">The Water Efficiency Labelling and Standards (WELS) scheme has the objective of reducing the water consumption of selected products. The </w:t>
      </w:r>
      <w:r w:rsidRPr="006811EB">
        <w:rPr>
          <w:rFonts w:eastAsia="Calibri" w:cs="Times New Roman"/>
          <w:i/>
          <w:iCs/>
          <w:szCs w:val="22"/>
        </w:rPr>
        <w:t>Water Efficiency Labelling and Standards Act 2005</w:t>
      </w:r>
      <w:r w:rsidRPr="006811EB">
        <w:rPr>
          <w:rFonts w:eastAsia="Calibri" w:cs="Times New Roman"/>
          <w:szCs w:val="22"/>
        </w:rPr>
        <w:t xml:space="preserve"> (WELS Act) provides for the mandatory registration of products, application of water rating labels, and </w:t>
      </w:r>
      <w:r w:rsidR="006F703E" w:rsidRPr="006811EB">
        <w:rPr>
          <w:rFonts w:eastAsia="Calibri" w:cs="Times New Roman"/>
          <w:szCs w:val="22"/>
        </w:rPr>
        <w:t>M</w:t>
      </w:r>
      <w:r w:rsidRPr="006811EB">
        <w:rPr>
          <w:rFonts w:eastAsia="Calibri" w:cs="Times New Roman"/>
          <w:szCs w:val="22"/>
        </w:rPr>
        <w:t xml:space="preserve">inimum </w:t>
      </w:r>
      <w:r w:rsidR="006F703E" w:rsidRPr="006811EB">
        <w:rPr>
          <w:rFonts w:eastAsia="Calibri" w:cs="Times New Roman"/>
          <w:szCs w:val="22"/>
        </w:rPr>
        <w:t>W</w:t>
      </w:r>
      <w:r w:rsidRPr="006811EB">
        <w:rPr>
          <w:rFonts w:eastAsia="Calibri" w:cs="Times New Roman"/>
          <w:szCs w:val="22"/>
        </w:rPr>
        <w:t xml:space="preserve">ater </w:t>
      </w:r>
      <w:r w:rsidR="006F703E" w:rsidRPr="006811EB">
        <w:rPr>
          <w:rFonts w:eastAsia="Calibri" w:cs="Times New Roman"/>
          <w:szCs w:val="22"/>
        </w:rPr>
        <w:t>E</w:t>
      </w:r>
      <w:r w:rsidRPr="006811EB">
        <w:rPr>
          <w:rFonts w:eastAsia="Calibri" w:cs="Times New Roman"/>
          <w:szCs w:val="22"/>
        </w:rPr>
        <w:t xml:space="preserve">fficiency </w:t>
      </w:r>
      <w:r w:rsidR="006F703E" w:rsidRPr="006811EB">
        <w:rPr>
          <w:rFonts w:eastAsia="Calibri" w:cs="Times New Roman"/>
          <w:szCs w:val="22"/>
        </w:rPr>
        <w:t>S</w:t>
      </w:r>
      <w:r w:rsidRPr="006811EB">
        <w:rPr>
          <w:rFonts w:eastAsia="Calibri" w:cs="Times New Roman"/>
          <w:szCs w:val="22"/>
        </w:rPr>
        <w:t>tandards. At present it regulates showers, taps, flow controllers, toilets, urinals, clothes washers and dishwashers.</w:t>
      </w:r>
    </w:p>
    <w:p w14:paraId="0EAB2D4D" w14:textId="41EADFD3" w:rsidR="007D350D" w:rsidRPr="006811EB" w:rsidRDefault="00FD11D5" w:rsidP="007D350D">
      <w:pPr>
        <w:spacing w:line="259" w:lineRule="auto"/>
        <w:jc w:val="left"/>
        <w:rPr>
          <w:rFonts w:eastAsia="Calibri" w:cs="Times New Roman"/>
          <w:szCs w:val="22"/>
        </w:rPr>
      </w:pPr>
      <w:r>
        <w:rPr>
          <w:rFonts w:eastAsia="Calibri" w:cs="Times New Roman"/>
          <w:szCs w:val="22"/>
        </w:rPr>
        <w:t>CIM</w:t>
      </w:r>
      <w:r w:rsidR="007D350D" w:rsidRPr="006811EB">
        <w:rPr>
          <w:rFonts w:eastAsia="Calibri" w:cs="Times New Roman"/>
          <w:szCs w:val="22"/>
        </w:rPr>
        <w:t>s consume significant quantities of water – over 6.1 Gigalitres (litres x 10</w:t>
      </w:r>
      <w:r w:rsidR="007D350D" w:rsidRPr="006811EB">
        <w:rPr>
          <w:rFonts w:eastAsia="Calibri" w:cs="Times New Roman"/>
          <w:szCs w:val="22"/>
          <w:vertAlign w:val="superscript"/>
        </w:rPr>
        <w:t>9</w:t>
      </w:r>
      <w:r w:rsidR="007D350D" w:rsidRPr="006811EB">
        <w:rPr>
          <w:rFonts w:eastAsia="Calibri" w:cs="Times New Roman"/>
          <w:szCs w:val="22"/>
        </w:rPr>
        <w:t>) per annum in Australia, equivalent to the water use of about 35,000 households. Water</w:t>
      </w:r>
      <w:r w:rsidR="00CE59EF" w:rsidRPr="006811EB">
        <w:rPr>
          <w:rFonts w:eastAsia="Calibri" w:cs="Times New Roman"/>
          <w:szCs w:val="22"/>
        </w:rPr>
        <w:t xml:space="preserve"> </w:t>
      </w:r>
      <w:r w:rsidR="007D350D" w:rsidRPr="006811EB">
        <w:rPr>
          <w:rFonts w:eastAsia="Calibri" w:cs="Times New Roman"/>
          <w:szCs w:val="22"/>
        </w:rPr>
        <w:t>efficiency varies widely across product types (e.g. air versus water cooling) and within types. Purchasers could make substantial lifetime savings if they compared the water use of alternative models and selected the more efficient models on offer.</w:t>
      </w:r>
    </w:p>
    <w:p w14:paraId="57F59CD1" w14:textId="03DDD1B7"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 xml:space="preserve">About 10,500 CIMs are sold in Australia each year, with an estimated installed stock of about 65,000. There is only one Australian manufacturer, and </w:t>
      </w:r>
      <w:r w:rsidR="00A17AE2" w:rsidRPr="006811EB">
        <w:rPr>
          <w:rFonts w:eastAsia="Calibri" w:cs="Times New Roman"/>
          <w:szCs w:val="22"/>
        </w:rPr>
        <w:t>most of</w:t>
      </w:r>
      <w:r w:rsidRPr="006811EB">
        <w:rPr>
          <w:rFonts w:eastAsia="Calibri" w:cs="Times New Roman"/>
          <w:szCs w:val="22"/>
        </w:rPr>
        <w:t xml:space="preserve"> the market is supplied by imports from Europe, China and the USA. CIM water use is increasing due to growth in population and in the foodservice and food retailing sectors.</w:t>
      </w:r>
    </w:p>
    <w:p w14:paraId="048DE076" w14:textId="6F5C1089"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lastRenderedPageBreak/>
        <w:t>Purchasers are rarely aware of the water consumption or operating costs of the models they are considering because the information is either unavailable or presented in ways that make it difficult or impossible to compare models. This is a significant information failure, preventing purchasers from identifying water</w:t>
      </w:r>
      <w:r w:rsidR="00A17AE2" w:rsidRPr="006811EB">
        <w:rPr>
          <w:rFonts w:eastAsia="Calibri" w:cs="Times New Roman"/>
          <w:szCs w:val="22"/>
        </w:rPr>
        <w:t xml:space="preserve"> </w:t>
      </w:r>
      <w:r w:rsidRPr="006811EB">
        <w:rPr>
          <w:rFonts w:eastAsia="Calibri" w:cs="Times New Roman"/>
          <w:szCs w:val="22"/>
        </w:rPr>
        <w:t>efficient products</w:t>
      </w:r>
      <w:r w:rsidR="00163D21" w:rsidRPr="006811EB">
        <w:rPr>
          <w:rFonts w:eastAsia="Calibri" w:cs="Times New Roman"/>
          <w:szCs w:val="22"/>
        </w:rPr>
        <w:t>. This results in purchasers</w:t>
      </w:r>
      <w:r w:rsidRPr="006811EB">
        <w:rPr>
          <w:rFonts w:eastAsia="Calibri" w:cs="Times New Roman"/>
          <w:szCs w:val="22"/>
        </w:rPr>
        <w:t xml:space="preserve"> spending more on water use than if they were properly informed and could compare the water use of products prior to purchase.</w:t>
      </w:r>
    </w:p>
    <w:p w14:paraId="51E8BCDF" w14:textId="6CD6FF55"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 xml:space="preserve">Furthermore, some </w:t>
      </w:r>
      <w:r w:rsidR="00163D21" w:rsidRPr="006811EB">
        <w:rPr>
          <w:rFonts w:eastAsia="Calibri" w:cs="Times New Roman"/>
          <w:szCs w:val="22"/>
        </w:rPr>
        <w:t>CIMs</w:t>
      </w:r>
      <w:r w:rsidRPr="006811EB">
        <w:rPr>
          <w:rFonts w:eastAsia="Calibri" w:cs="Times New Roman"/>
          <w:szCs w:val="22"/>
        </w:rPr>
        <w:t xml:space="preserve"> are purchased by intermediaries who may be unconcerned with the operating costs, which will be borne by the end user.</w:t>
      </w:r>
    </w:p>
    <w:p w14:paraId="68A2A514" w14:textId="299D86C1"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 xml:space="preserve">WELS has developed a range of options to improve </w:t>
      </w:r>
      <w:r w:rsidR="00163D21" w:rsidRPr="006811EB">
        <w:rPr>
          <w:rFonts w:eastAsia="Calibri" w:cs="Times New Roman"/>
          <w:szCs w:val="22"/>
        </w:rPr>
        <w:t xml:space="preserve">the </w:t>
      </w:r>
      <w:r w:rsidR="00CE59EF" w:rsidRPr="006811EB">
        <w:rPr>
          <w:rFonts w:eastAsia="Calibri" w:cs="Times New Roman"/>
          <w:szCs w:val="22"/>
        </w:rPr>
        <w:t>water efficiency</w:t>
      </w:r>
      <w:r w:rsidRPr="006811EB">
        <w:rPr>
          <w:rFonts w:eastAsia="Calibri" w:cs="Times New Roman"/>
          <w:szCs w:val="22"/>
        </w:rPr>
        <w:t xml:space="preserve"> of CIMs, leveraging the GEMS Determination and using the same tests standards and </w:t>
      </w:r>
      <w:r w:rsidR="00163D21" w:rsidRPr="006811EB">
        <w:rPr>
          <w:rFonts w:eastAsia="Calibri" w:cs="Times New Roman"/>
          <w:szCs w:val="22"/>
        </w:rPr>
        <w:t xml:space="preserve">product </w:t>
      </w:r>
      <w:r w:rsidRPr="006811EB">
        <w:rPr>
          <w:rFonts w:eastAsia="Calibri" w:cs="Times New Roman"/>
          <w:szCs w:val="22"/>
        </w:rPr>
        <w:t xml:space="preserve">scope definitions. The objective is to make trusted, reliable, consistent, comprehensive and readily accessible information </w:t>
      </w:r>
      <w:r w:rsidR="00163D21" w:rsidRPr="006811EB">
        <w:rPr>
          <w:rFonts w:eastAsia="Calibri" w:cs="Times New Roman"/>
          <w:szCs w:val="22"/>
        </w:rPr>
        <w:t xml:space="preserve">available to </w:t>
      </w:r>
      <w:r w:rsidR="00057852" w:rsidRPr="006811EB">
        <w:rPr>
          <w:rFonts w:eastAsia="Calibri" w:cs="Times New Roman"/>
          <w:szCs w:val="22"/>
        </w:rPr>
        <w:t>purchasers</w:t>
      </w:r>
      <w:r w:rsidR="00163D21" w:rsidRPr="006811EB">
        <w:rPr>
          <w:rFonts w:eastAsia="Calibri" w:cs="Times New Roman"/>
          <w:szCs w:val="22"/>
        </w:rPr>
        <w:t xml:space="preserve">, </w:t>
      </w:r>
      <w:r w:rsidRPr="006811EB">
        <w:rPr>
          <w:rFonts w:eastAsia="Calibri" w:cs="Times New Roman"/>
          <w:szCs w:val="22"/>
        </w:rPr>
        <w:t xml:space="preserve">regarding the complete operating costs of </w:t>
      </w:r>
      <w:r w:rsidR="00163D21" w:rsidRPr="006811EB">
        <w:rPr>
          <w:rFonts w:eastAsia="Calibri" w:cs="Times New Roman"/>
          <w:szCs w:val="22"/>
        </w:rPr>
        <w:t>CIMs</w:t>
      </w:r>
      <w:r w:rsidRPr="006811EB">
        <w:rPr>
          <w:rFonts w:eastAsia="Calibri" w:cs="Times New Roman"/>
          <w:szCs w:val="22"/>
        </w:rPr>
        <w:t>.</w:t>
      </w:r>
    </w:p>
    <w:p w14:paraId="42A3E9F3" w14:textId="608B1A6D"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 xml:space="preserve">The costs and benefits of the following 5 options have been modelled and compared with the </w:t>
      </w:r>
      <w:r w:rsidR="005D5E85">
        <w:rPr>
          <w:rFonts w:eastAsia="Calibri" w:cs="Times New Roman"/>
          <w:szCs w:val="22"/>
        </w:rPr>
        <w:t>s</w:t>
      </w:r>
      <w:r w:rsidRPr="006811EB">
        <w:rPr>
          <w:rFonts w:eastAsia="Calibri" w:cs="Times New Roman"/>
          <w:szCs w:val="22"/>
        </w:rPr>
        <w:t xml:space="preserve">tatus </w:t>
      </w:r>
      <w:r w:rsidR="005D5E85">
        <w:rPr>
          <w:rFonts w:eastAsia="Calibri" w:cs="Times New Roman"/>
          <w:szCs w:val="22"/>
        </w:rPr>
        <w:t>q</w:t>
      </w:r>
      <w:r w:rsidRPr="006811EB">
        <w:rPr>
          <w:rFonts w:eastAsia="Calibri" w:cs="Times New Roman"/>
          <w:szCs w:val="22"/>
        </w:rPr>
        <w:t xml:space="preserve">uo (Option 1). The </w:t>
      </w:r>
      <w:r w:rsidR="005D5E85">
        <w:rPr>
          <w:rFonts w:eastAsia="Calibri" w:cs="Times New Roman"/>
          <w:szCs w:val="22"/>
        </w:rPr>
        <w:t>s</w:t>
      </w:r>
      <w:r w:rsidRPr="006811EB">
        <w:rPr>
          <w:rFonts w:eastAsia="Calibri" w:cs="Times New Roman"/>
          <w:szCs w:val="22"/>
        </w:rPr>
        <w:t xml:space="preserve">tatus </w:t>
      </w:r>
      <w:r w:rsidR="005D5E85">
        <w:rPr>
          <w:rFonts w:eastAsia="Calibri" w:cs="Times New Roman"/>
          <w:szCs w:val="22"/>
        </w:rPr>
        <w:t>q</w:t>
      </w:r>
      <w:r w:rsidRPr="006811EB">
        <w:rPr>
          <w:rFonts w:eastAsia="Calibri" w:cs="Times New Roman"/>
          <w:szCs w:val="22"/>
        </w:rPr>
        <w:t xml:space="preserve">uo represents CIM suppliers </w:t>
      </w:r>
      <w:r w:rsidR="00163D21" w:rsidRPr="006811EB">
        <w:rPr>
          <w:rFonts w:eastAsia="Calibri" w:cs="Times New Roman"/>
          <w:szCs w:val="22"/>
        </w:rPr>
        <w:t xml:space="preserve">being able </w:t>
      </w:r>
      <w:r w:rsidRPr="006811EB">
        <w:rPr>
          <w:rFonts w:eastAsia="Calibri" w:cs="Times New Roman"/>
          <w:szCs w:val="22"/>
        </w:rPr>
        <w:t>to voluntarily declare water use data to the GEMS Regulator.</w:t>
      </w:r>
    </w:p>
    <w:p w14:paraId="2552E885" w14:textId="3E9ECB75" w:rsidR="007D350D" w:rsidRPr="006811EB" w:rsidRDefault="007D350D" w:rsidP="00DC5884">
      <w:pPr>
        <w:numPr>
          <w:ilvl w:val="0"/>
          <w:numId w:val="53"/>
        </w:numPr>
        <w:spacing w:before="120" w:after="120" w:line="300" w:lineRule="exact"/>
        <w:jc w:val="left"/>
        <w:rPr>
          <w:rFonts w:eastAsia="Calibri" w:cs="Times New Roman"/>
          <w:szCs w:val="22"/>
        </w:rPr>
      </w:pPr>
      <w:r w:rsidRPr="006811EB">
        <w:rPr>
          <w:rFonts w:eastAsia="Calibri" w:cs="Times New Roman"/>
          <w:szCs w:val="22"/>
        </w:rPr>
        <w:t>Option 2: Voluntary declaration with WELS Support (no new regulation). WELS</w:t>
      </w:r>
      <w:r w:rsidR="00163D21" w:rsidRPr="006811EB">
        <w:rPr>
          <w:rFonts w:eastAsia="Calibri" w:cs="Times New Roman"/>
          <w:szCs w:val="22"/>
        </w:rPr>
        <w:t xml:space="preserve"> </w:t>
      </w:r>
      <w:r w:rsidRPr="006811EB">
        <w:rPr>
          <w:rFonts w:eastAsia="Calibri" w:cs="Times New Roman"/>
          <w:szCs w:val="22"/>
        </w:rPr>
        <w:t xml:space="preserve">works with suppliers and </w:t>
      </w:r>
      <w:r w:rsidR="00163D21" w:rsidRPr="006811EB">
        <w:rPr>
          <w:rFonts w:eastAsia="Calibri" w:cs="Times New Roman"/>
          <w:szCs w:val="22"/>
        </w:rPr>
        <w:t>purchasers</w:t>
      </w:r>
      <w:r w:rsidRPr="006811EB">
        <w:rPr>
          <w:rFonts w:eastAsia="Calibri" w:cs="Times New Roman"/>
          <w:szCs w:val="22"/>
        </w:rPr>
        <w:t xml:space="preserve"> to encourage the declaration of water use to the GEMS Regulator, with the aim of </w:t>
      </w:r>
      <w:r w:rsidR="00190508" w:rsidRPr="006811EB">
        <w:rPr>
          <w:rFonts w:eastAsia="Calibri" w:cs="Times New Roman"/>
          <w:szCs w:val="22"/>
        </w:rPr>
        <w:t xml:space="preserve">at minimum </w:t>
      </w:r>
      <w:r w:rsidRPr="006811EB">
        <w:rPr>
          <w:rFonts w:eastAsia="Calibri" w:cs="Times New Roman"/>
          <w:szCs w:val="22"/>
        </w:rPr>
        <w:t xml:space="preserve">80% of registrants declaring water use and </w:t>
      </w:r>
      <w:r w:rsidR="00190508" w:rsidRPr="006811EB">
        <w:rPr>
          <w:rFonts w:eastAsia="Calibri" w:cs="Times New Roman"/>
          <w:szCs w:val="22"/>
        </w:rPr>
        <w:t xml:space="preserve">representing </w:t>
      </w:r>
      <w:r w:rsidRPr="006811EB">
        <w:rPr>
          <w:rFonts w:eastAsia="Calibri" w:cs="Times New Roman"/>
          <w:szCs w:val="22"/>
        </w:rPr>
        <w:t xml:space="preserve">at </w:t>
      </w:r>
      <w:r w:rsidR="00190508" w:rsidRPr="006811EB">
        <w:rPr>
          <w:rFonts w:eastAsia="Calibri" w:cs="Times New Roman"/>
          <w:szCs w:val="22"/>
        </w:rPr>
        <w:t xml:space="preserve">minimum </w:t>
      </w:r>
      <w:r w:rsidRPr="006811EB">
        <w:rPr>
          <w:rFonts w:eastAsia="Calibri" w:cs="Times New Roman"/>
          <w:szCs w:val="22"/>
        </w:rPr>
        <w:t>80% of models (</w:t>
      </w:r>
      <w:r w:rsidR="00190508" w:rsidRPr="006811EB">
        <w:rPr>
          <w:rFonts w:eastAsia="Calibri" w:cs="Times New Roman"/>
          <w:szCs w:val="22"/>
        </w:rPr>
        <w:t>ensuring</w:t>
      </w:r>
      <w:r w:rsidRPr="006811EB">
        <w:rPr>
          <w:rFonts w:eastAsia="Calibri" w:cs="Times New Roman"/>
          <w:szCs w:val="22"/>
        </w:rPr>
        <w:t xml:space="preserve"> less water</w:t>
      </w:r>
      <w:r w:rsidR="00A17AE2" w:rsidRPr="006811EB">
        <w:rPr>
          <w:rFonts w:eastAsia="Calibri" w:cs="Times New Roman"/>
          <w:szCs w:val="22"/>
        </w:rPr>
        <w:t xml:space="preserve"> </w:t>
      </w:r>
      <w:r w:rsidRPr="006811EB">
        <w:rPr>
          <w:rFonts w:eastAsia="Calibri" w:cs="Times New Roman"/>
          <w:szCs w:val="22"/>
        </w:rPr>
        <w:t>efficient models are also covered).</w:t>
      </w:r>
    </w:p>
    <w:p w14:paraId="78AEF69A" w14:textId="65C43D3A" w:rsidR="007D350D" w:rsidRPr="006811EB" w:rsidRDefault="007D350D" w:rsidP="00DC5884">
      <w:pPr>
        <w:numPr>
          <w:ilvl w:val="0"/>
          <w:numId w:val="53"/>
        </w:numPr>
        <w:spacing w:before="120" w:after="120" w:line="300" w:lineRule="exact"/>
        <w:jc w:val="left"/>
        <w:rPr>
          <w:rFonts w:eastAsia="Calibri" w:cs="Times New Roman"/>
          <w:szCs w:val="22"/>
        </w:rPr>
      </w:pPr>
      <w:r w:rsidRPr="006811EB">
        <w:rPr>
          <w:rFonts w:eastAsia="Calibri" w:cs="Times New Roman"/>
          <w:szCs w:val="22"/>
        </w:rPr>
        <w:t xml:space="preserve">Option 3A: Product registration, information </w:t>
      </w:r>
      <w:r w:rsidR="00163D21" w:rsidRPr="006811EB">
        <w:rPr>
          <w:rFonts w:eastAsia="Calibri" w:cs="Times New Roman"/>
          <w:szCs w:val="22"/>
        </w:rPr>
        <w:t xml:space="preserve">declaration </w:t>
      </w:r>
      <w:r w:rsidRPr="006811EB">
        <w:rPr>
          <w:rFonts w:eastAsia="Calibri" w:cs="Times New Roman"/>
          <w:szCs w:val="22"/>
        </w:rPr>
        <w:t>and labelling (regulated under WELS Act).</w:t>
      </w:r>
    </w:p>
    <w:p w14:paraId="6B376C4D" w14:textId="765BB917" w:rsidR="007D350D" w:rsidRPr="006811EB" w:rsidRDefault="007D350D" w:rsidP="00DC5884">
      <w:pPr>
        <w:numPr>
          <w:ilvl w:val="0"/>
          <w:numId w:val="53"/>
        </w:numPr>
        <w:spacing w:before="120" w:after="120" w:line="300" w:lineRule="exact"/>
        <w:jc w:val="left"/>
        <w:rPr>
          <w:rFonts w:eastAsia="Calibri" w:cs="Times New Roman"/>
          <w:szCs w:val="22"/>
        </w:rPr>
      </w:pPr>
      <w:r w:rsidRPr="006811EB">
        <w:rPr>
          <w:rFonts w:eastAsia="Calibri" w:cs="Times New Roman"/>
          <w:szCs w:val="22"/>
        </w:rPr>
        <w:t xml:space="preserve">Option 3B: Product registration, information </w:t>
      </w:r>
      <w:r w:rsidR="00163D21" w:rsidRPr="006811EB">
        <w:rPr>
          <w:rFonts w:eastAsia="Calibri" w:cs="Times New Roman"/>
          <w:szCs w:val="22"/>
        </w:rPr>
        <w:t xml:space="preserve">declaration </w:t>
      </w:r>
      <w:r w:rsidRPr="006811EB">
        <w:rPr>
          <w:rFonts w:eastAsia="Calibri" w:cs="Times New Roman"/>
          <w:szCs w:val="22"/>
        </w:rPr>
        <w:t xml:space="preserve">and labelling (regulated under WELS Act) - accelerated implementation without </w:t>
      </w:r>
      <w:r w:rsidR="00190508" w:rsidRPr="006811EB">
        <w:rPr>
          <w:rFonts w:eastAsia="Calibri" w:cs="Times New Roman"/>
          <w:szCs w:val="22"/>
        </w:rPr>
        <w:t xml:space="preserve">assessing the </w:t>
      </w:r>
      <w:r w:rsidRPr="006811EB">
        <w:rPr>
          <w:rFonts w:eastAsia="Calibri" w:cs="Times New Roman"/>
          <w:szCs w:val="22"/>
        </w:rPr>
        <w:t>success of Option 2 if implemented.</w:t>
      </w:r>
    </w:p>
    <w:p w14:paraId="4842B7A4" w14:textId="2B5BF5A2" w:rsidR="007D350D" w:rsidRPr="006811EB" w:rsidRDefault="007D350D" w:rsidP="00DC5884">
      <w:pPr>
        <w:numPr>
          <w:ilvl w:val="0"/>
          <w:numId w:val="53"/>
        </w:numPr>
        <w:spacing w:before="120" w:after="120" w:line="300" w:lineRule="exact"/>
        <w:jc w:val="left"/>
        <w:rPr>
          <w:rFonts w:eastAsia="Calibri" w:cs="Times New Roman"/>
          <w:szCs w:val="22"/>
        </w:rPr>
      </w:pPr>
      <w:r w:rsidRPr="006811EB">
        <w:rPr>
          <w:rFonts w:eastAsia="Calibri" w:cs="Times New Roman"/>
          <w:szCs w:val="22"/>
        </w:rPr>
        <w:t xml:space="preserve">Option 4A: Product registration, Minimum Water Efficiency Standards and information </w:t>
      </w:r>
      <w:r w:rsidR="00163D21" w:rsidRPr="006811EB">
        <w:rPr>
          <w:rFonts w:eastAsia="Calibri" w:cs="Times New Roman"/>
          <w:szCs w:val="22"/>
        </w:rPr>
        <w:t xml:space="preserve">declaration </w:t>
      </w:r>
      <w:r w:rsidRPr="006811EB">
        <w:rPr>
          <w:rFonts w:eastAsia="Calibri" w:cs="Times New Roman"/>
          <w:szCs w:val="22"/>
        </w:rPr>
        <w:t>(regulated under WELS Act). This option would exclude the least water</w:t>
      </w:r>
      <w:r w:rsidR="00A17AE2" w:rsidRPr="006811EB">
        <w:rPr>
          <w:rFonts w:eastAsia="Calibri" w:cs="Times New Roman"/>
          <w:szCs w:val="22"/>
        </w:rPr>
        <w:t xml:space="preserve"> </w:t>
      </w:r>
      <w:r w:rsidRPr="006811EB">
        <w:rPr>
          <w:rFonts w:eastAsia="Calibri" w:cs="Times New Roman"/>
          <w:szCs w:val="22"/>
        </w:rPr>
        <w:t>efficient products from the market.</w:t>
      </w:r>
    </w:p>
    <w:p w14:paraId="428BD72F" w14:textId="48AE1B3F" w:rsidR="007D350D" w:rsidRPr="006811EB" w:rsidRDefault="007D350D" w:rsidP="00DC5884">
      <w:pPr>
        <w:numPr>
          <w:ilvl w:val="0"/>
          <w:numId w:val="53"/>
        </w:numPr>
        <w:spacing w:before="120" w:after="120" w:line="300" w:lineRule="exact"/>
        <w:jc w:val="left"/>
        <w:rPr>
          <w:rFonts w:eastAsia="Calibri" w:cs="Times New Roman"/>
          <w:szCs w:val="22"/>
        </w:rPr>
      </w:pPr>
      <w:r w:rsidRPr="006811EB">
        <w:rPr>
          <w:rFonts w:eastAsia="Calibri" w:cs="Times New Roman"/>
          <w:szCs w:val="22"/>
        </w:rPr>
        <w:t xml:space="preserve">Option 4B: Product registration, Minimum Water Efficiency Standards and information </w:t>
      </w:r>
      <w:r w:rsidR="00163D21" w:rsidRPr="006811EB">
        <w:rPr>
          <w:rFonts w:eastAsia="Calibri" w:cs="Times New Roman"/>
          <w:szCs w:val="22"/>
        </w:rPr>
        <w:t xml:space="preserve">declaration </w:t>
      </w:r>
      <w:r w:rsidRPr="006811EB">
        <w:rPr>
          <w:rFonts w:eastAsia="Calibri" w:cs="Times New Roman"/>
          <w:szCs w:val="22"/>
        </w:rPr>
        <w:t>(regulated under WELS Act) – accelerated implementation.</w:t>
      </w:r>
    </w:p>
    <w:p w14:paraId="09CB004B" w14:textId="771629C3" w:rsidR="007D350D" w:rsidRPr="006811EB" w:rsidRDefault="007D350D" w:rsidP="00163D21">
      <w:pPr>
        <w:spacing w:before="240" w:after="120" w:line="259" w:lineRule="auto"/>
        <w:jc w:val="left"/>
        <w:rPr>
          <w:rFonts w:eastAsia="Calibri" w:cs="Times New Roman"/>
          <w:szCs w:val="22"/>
        </w:rPr>
      </w:pPr>
      <w:r w:rsidRPr="006811EB">
        <w:rPr>
          <w:rFonts w:eastAsia="Calibri" w:cs="Times New Roman"/>
          <w:szCs w:val="22"/>
        </w:rPr>
        <w:t>The benefit under each option is calculated as the net present value (NPV) of the projected savings in water supply and wastewater charges due to the purchase of CIMs that are, on average, more water</w:t>
      </w:r>
      <w:r w:rsidR="00A17AE2" w:rsidRPr="006811EB">
        <w:rPr>
          <w:rFonts w:eastAsia="Calibri" w:cs="Times New Roman"/>
          <w:szCs w:val="22"/>
        </w:rPr>
        <w:t xml:space="preserve"> </w:t>
      </w:r>
      <w:r w:rsidRPr="006811EB">
        <w:rPr>
          <w:rFonts w:eastAsia="Calibri" w:cs="Times New Roman"/>
          <w:szCs w:val="22"/>
        </w:rPr>
        <w:t xml:space="preserve">efficient than under </w:t>
      </w:r>
      <w:r w:rsidR="00FA0889" w:rsidRPr="006811EB">
        <w:rPr>
          <w:rFonts w:eastAsia="Calibri" w:cs="Times New Roman"/>
          <w:szCs w:val="22"/>
        </w:rPr>
        <w:t xml:space="preserve">the </w:t>
      </w:r>
      <w:r w:rsidR="005D5E85">
        <w:rPr>
          <w:rFonts w:eastAsia="Calibri" w:cs="Times New Roman"/>
          <w:szCs w:val="22"/>
        </w:rPr>
        <w:t>s</w:t>
      </w:r>
      <w:r w:rsidRPr="006811EB">
        <w:rPr>
          <w:rFonts w:eastAsia="Calibri" w:cs="Times New Roman"/>
          <w:szCs w:val="22"/>
        </w:rPr>
        <w:t xml:space="preserve">tatus </w:t>
      </w:r>
      <w:r w:rsidR="005D5E85">
        <w:rPr>
          <w:rFonts w:eastAsia="Calibri" w:cs="Times New Roman"/>
          <w:szCs w:val="22"/>
        </w:rPr>
        <w:t>q</w:t>
      </w:r>
      <w:r w:rsidRPr="006811EB">
        <w:rPr>
          <w:rFonts w:eastAsia="Calibri" w:cs="Times New Roman"/>
          <w:szCs w:val="22"/>
        </w:rPr>
        <w:t>uo (Option 1). The modelling covers all CIMs expected to be sold in Australia between 2025 and 2040.</w:t>
      </w:r>
    </w:p>
    <w:p w14:paraId="4BD6E508" w14:textId="77777777" w:rsidR="007D350D" w:rsidRPr="006811EB" w:rsidRDefault="007D350D" w:rsidP="007D350D">
      <w:pPr>
        <w:spacing w:before="120" w:after="120" w:line="259" w:lineRule="auto"/>
        <w:jc w:val="left"/>
        <w:rPr>
          <w:rFonts w:eastAsia="Calibri" w:cs="Times New Roman"/>
          <w:szCs w:val="22"/>
        </w:rPr>
      </w:pPr>
      <w:r w:rsidRPr="006811EB">
        <w:rPr>
          <w:rFonts w:eastAsia="Calibri" w:cs="Times New Roman"/>
          <w:szCs w:val="22"/>
        </w:rPr>
        <w:t>The costs of each option comprise:</w:t>
      </w:r>
    </w:p>
    <w:p w14:paraId="0E1D4F0F" w14:textId="12025ECC" w:rsidR="007D350D" w:rsidRPr="006811EB" w:rsidRDefault="007D350D" w:rsidP="007D350D">
      <w:pPr>
        <w:numPr>
          <w:ilvl w:val="0"/>
          <w:numId w:val="53"/>
        </w:numPr>
        <w:spacing w:before="120" w:after="120" w:line="300" w:lineRule="exact"/>
        <w:jc w:val="left"/>
        <w:rPr>
          <w:rFonts w:eastAsia="Calibri" w:cs="Times New Roman"/>
          <w:szCs w:val="22"/>
        </w:rPr>
      </w:pPr>
      <w:r w:rsidRPr="006811EB">
        <w:rPr>
          <w:rFonts w:eastAsia="Calibri" w:cs="Times New Roman"/>
          <w:szCs w:val="22"/>
        </w:rPr>
        <w:t xml:space="preserve">The costs to industry of internal administration, revising brochures and advertising, interacting with the WELS Regulator and </w:t>
      </w:r>
      <w:r w:rsidR="00057852" w:rsidRPr="006811EB">
        <w:rPr>
          <w:rFonts w:eastAsia="Calibri" w:cs="Times New Roman"/>
          <w:szCs w:val="22"/>
        </w:rPr>
        <w:t>purchasers</w:t>
      </w:r>
      <w:r w:rsidRPr="006811EB">
        <w:rPr>
          <w:rFonts w:eastAsia="Calibri" w:cs="Times New Roman"/>
          <w:szCs w:val="22"/>
        </w:rPr>
        <w:t xml:space="preserve"> and (for regulatory options) payment </w:t>
      </w:r>
      <w:r w:rsidRPr="006811EB">
        <w:rPr>
          <w:rFonts w:eastAsia="Calibri" w:cs="Times New Roman"/>
          <w:szCs w:val="22"/>
        </w:rPr>
        <w:lastRenderedPageBreak/>
        <w:t xml:space="preserve">of registration fees to the WELS Regulator. There </w:t>
      </w:r>
      <w:r w:rsidR="00190508" w:rsidRPr="006811EB">
        <w:rPr>
          <w:rFonts w:eastAsia="Calibri" w:cs="Times New Roman"/>
          <w:szCs w:val="22"/>
        </w:rPr>
        <w:t>are</w:t>
      </w:r>
      <w:r w:rsidRPr="006811EB">
        <w:rPr>
          <w:rFonts w:eastAsia="Calibri" w:cs="Times New Roman"/>
          <w:szCs w:val="22"/>
        </w:rPr>
        <w:t xml:space="preserve"> no testing costs beyond the </w:t>
      </w:r>
      <w:r w:rsidR="005D5E85">
        <w:rPr>
          <w:rFonts w:eastAsia="Calibri" w:cs="Times New Roman"/>
          <w:szCs w:val="22"/>
        </w:rPr>
        <w:t>s</w:t>
      </w:r>
      <w:r w:rsidRPr="006811EB">
        <w:rPr>
          <w:rFonts w:eastAsia="Calibri" w:cs="Times New Roman"/>
          <w:szCs w:val="22"/>
        </w:rPr>
        <w:t xml:space="preserve">tatus </w:t>
      </w:r>
      <w:r w:rsidR="005D5E85">
        <w:rPr>
          <w:rFonts w:eastAsia="Calibri" w:cs="Times New Roman"/>
          <w:szCs w:val="22"/>
        </w:rPr>
        <w:t>q</w:t>
      </w:r>
      <w:r w:rsidRPr="006811EB">
        <w:rPr>
          <w:rFonts w:eastAsia="Calibri" w:cs="Times New Roman"/>
          <w:szCs w:val="22"/>
        </w:rPr>
        <w:t>uo, as the test reports required for GEMS registration include water use measured under the same standard test</w:t>
      </w:r>
      <w:r w:rsidR="00190508" w:rsidRPr="006811EB">
        <w:rPr>
          <w:rFonts w:eastAsia="Calibri" w:cs="Times New Roman"/>
          <w:szCs w:val="22"/>
        </w:rPr>
        <w:t>.</w:t>
      </w:r>
    </w:p>
    <w:p w14:paraId="156E9C30" w14:textId="06144027" w:rsidR="007D350D" w:rsidRPr="006811EB" w:rsidRDefault="007D350D" w:rsidP="007D350D">
      <w:pPr>
        <w:numPr>
          <w:ilvl w:val="0"/>
          <w:numId w:val="53"/>
        </w:numPr>
        <w:spacing w:before="120" w:after="120" w:line="300" w:lineRule="exact"/>
        <w:jc w:val="left"/>
        <w:rPr>
          <w:rFonts w:eastAsia="Calibri" w:cs="Times New Roman"/>
          <w:szCs w:val="22"/>
        </w:rPr>
      </w:pPr>
      <w:r w:rsidRPr="006811EB">
        <w:rPr>
          <w:rFonts w:eastAsia="Calibri" w:cs="Times New Roman"/>
          <w:szCs w:val="22"/>
        </w:rPr>
        <w:t>The administration costs to the WELS Regulator, beyond those covered by registration fee income</w:t>
      </w:r>
      <w:r w:rsidR="00190508" w:rsidRPr="006811EB">
        <w:rPr>
          <w:rFonts w:eastAsia="Calibri" w:cs="Times New Roman"/>
          <w:szCs w:val="22"/>
        </w:rPr>
        <w:t>.</w:t>
      </w:r>
    </w:p>
    <w:p w14:paraId="4F6A9795" w14:textId="759567BD" w:rsidR="007D350D" w:rsidRPr="006811EB" w:rsidRDefault="007D350D" w:rsidP="007D350D">
      <w:pPr>
        <w:numPr>
          <w:ilvl w:val="0"/>
          <w:numId w:val="53"/>
        </w:numPr>
        <w:spacing w:before="120" w:after="120" w:line="300" w:lineRule="exact"/>
        <w:jc w:val="left"/>
        <w:rPr>
          <w:rFonts w:eastAsia="Calibri" w:cs="Times New Roman"/>
          <w:szCs w:val="22"/>
        </w:rPr>
      </w:pPr>
      <w:r w:rsidRPr="006811EB">
        <w:rPr>
          <w:rFonts w:eastAsia="Calibri" w:cs="Times New Roman"/>
          <w:szCs w:val="22"/>
        </w:rPr>
        <w:t xml:space="preserve">The costs to purchasers of price increases due to improvements in the average </w:t>
      </w:r>
      <w:r w:rsidR="00CE59EF" w:rsidRPr="006811EB">
        <w:rPr>
          <w:rFonts w:eastAsia="Calibri" w:cs="Times New Roman"/>
          <w:szCs w:val="22"/>
        </w:rPr>
        <w:t>water efficiency</w:t>
      </w:r>
      <w:r w:rsidRPr="006811EB">
        <w:rPr>
          <w:rFonts w:eastAsia="Calibri" w:cs="Times New Roman"/>
          <w:szCs w:val="22"/>
        </w:rPr>
        <w:t xml:space="preserve"> of CIMs, whether forced by Minimum Water Efficiency Standards or voluntarily incurred through exercising a preference for more water</w:t>
      </w:r>
      <w:r w:rsidR="00A17AE2" w:rsidRPr="006811EB">
        <w:rPr>
          <w:rFonts w:eastAsia="Calibri" w:cs="Times New Roman"/>
          <w:szCs w:val="22"/>
        </w:rPr>
        <w:t xml:space="preserve"> </w:t>
      </w:r>
      <w:r w:rsidRPr="006811EB">
        <w:rPr>
          <w:rFonts w:eastAsia="Calibri" w:cs="Times New Roman"/>
          <w:szCs w:val="22"/>
        </w:rPr>
        <w:t>efficient models.</w:t>
      </w:r>
    </w:p>
    <w:p w14:paraId="6060B617" w14:textId="77777777" w:rsidR="00190508" w:rsidRPr="006811EB" w:rsidRDefault="007D350D" w:rsidP="00190508">
      <w:pPr>
        <w:spacing w:before="120" w:after="120" w:line="259" w:lineRule="auto"/>
        <w:jc w:val="left"/>
        <w:rPr>
          <w:rFonts w:eastAsia="Calibri" w:cs="Times New Roman"/>
          <w:szCs w:val="22"/>
        </w:rPr>
      </w:pPr>
      <w:r w:rsidRPr="006811EB">
        <w:rPr>
          <w:rFonts w:eastAsia="Calibri" w:cs="Times New Roman"/>
          <w:szCs w:val="22"/>
        </w:rPr>
        <w:t xml:space="preserve">The costs and benefits are summarised in the following table. They are expressed in terms of the present value (PV) in real 2025 dollars (ignoring inflation), with expenditures and savings in future years discounted at 7%. The sensitivity of outcomes to key inputs and to discount rates of 3% and 10% have also been modelled. Outcomes are cost-effective (Benefits/Costs ratio &gt;1) under </w:t>
      </w:r>
      <w:r w:rsidR="00190508" w:rsidRPr="006811EB">
        <w:rPr>
          <w:rFonts w:eastAsia="Calibri" w:cs="Times New Roman"/>
          <w:szCs w:val="22"/>
        </w:rPr>
        <w:t xml:space="preserve">scenarios </w:t>
      </w:r>
      <w:r w:rsidRPr="006811EB">
        <w:rPr>
          <w:rFonts w:eastAsia="Calibri" w:cs="Times New Roman"/>
          <w:szCs w:val="22"/>
        </w:rPr>
        <w:t>modelled.</w:t>
      </w:r>
    </w:p>
    <w:tbl>
      <w:tblPr>
        <w:tblW w:w="9615" w:type="dxa"/>
        <w:tblInd w:w="-5" w:type="dxa"/>
        <w:tblLayout w:type="fixed"/>
        <w:tblCellMar>
          <w:left w:w="57" w:type="dxa"/>
          <w:right w:w="57" w:type="dxa"/>
        </w:tblCellMar>
        <w:tblLook w:val="04A0" w:firstRow="1" w:lastRow="0" w:firstColumn="1" w:lastColumn="0" w:noHBand="0" w:noVBand="1"/>
      </w:tblPr>
      <w:tblGrid>
        <w:gridCol w:w="1134"/>
        <w:gridCol w:w="854"/>
        <w:gridCol w:w="953"/>
        <w:gridCol w:w="1170"/>
        <w:gridCol w:w="851"/>
        <w:gridCol w:w="839"/>
        <w:gridCol w:w="1003"/>
        <w:gridCol w:w="993"/>
        <w:gridCol w:w="864"/>
        <w:gridCol w:w="954"/>
      </w:tblGrid>
      <w:tr w:rsidR="009F656F" w:rsidRPr="009F656F" w14:paraId="3E756B68" w14:textId="77777777" w:rsidTr="009F656F">
        <w:trPr>
          <w:trHeight w:val="253"/>
        </w:trPr>
        <w:tc>
          <w:tcPr>
            <w:tcW w:w="1134" w:type="dxa"/>
            <w:tcBorders>
              <w:top w:val="single" w:sz="4" w:space="0" w:color="auto"/>
              <w:left w:val="single" w:sz="4" w:space="0" w:color="auto"/>
              <w:bottom w:val="nil"/>
              <w:right w:val="single" w:sz="4" w:space="0" w:color="auto"/>
            </w:tcBorders>
            <w:noWrap/>
            <w:vAlign w:val="bottom"/>
          </w:tcPr>
          <w:p w14:paraId="27E85CD4" w14:textId="77777777" w:rsidR="009F656F" w:rsidRPr="009F656F" w:rsidRDefault="009F656F" w:rsidP="009F656F">
            <w:pPr>
              <w:spacing w:before="120" w:after="120" w:line="259" w:lineRule="auto"/>
              <w:jc w:val="left"/>
              <w:rPr>
                <w:rFonts w:ascii="Calibri" w:eastAsia="Calibri" w:hAnsi="Calibri" w:cs="Calibri"/>
                <w:sz w:val="20"/>
                <w:szCs w:val="20"/>
              </w:rPr>
            </w:pPr>
          </w:p>
        </w:tc>
        <w:tc>
          <w:tcPr>
            <w:tcW w:w="3828" w:type="dxa"/>
            <w:gridSpan w:val="4"/>
            <w:tcBorders>
              <w:top w:val="single" w:sz="4" w:space="0" w:color="auto"/>
              <w:left w:val="single" w:sz="4" w:space="0" w:color="auto"/>
              <w:bottom w:val="nil"/>
              <w:right w:val="single" w:sz="4" w:space="0" w:color="auto"/>
            </w:tcBorders>
            <w:noWrap/>
            <w:vAlign w:val="bottom"/>
            <w:hideMark/>
          </w:tcPr>
          <w:p w14:paraId="183DEB2A" w14:textId="4BBD1A2D"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 xml:space="preserve">Costs ($M PV) compared with </w:t>
            </w:r>
            <w:r w:rsidR="005D5E85">
              <w:rPr>
                <w:rFonts w:ascii="Calibri" w:eastAsia="Calibri" w:hAnsi="Calibri" w:cs="Calibri"/>
                <w:sz w:val="20"/>
                <w:szCs w:val="20"/>
              </w:rPr>
              <w:t>s</w:t>
            </w:r>
            <w:r w:rsidRPr="009F656F">
              <w:rPr>
                <w:rFonts w:ascii="Calibri" w:eastAsia="Calibri" w:hAnsi="Calibri" w:cs="Calibri"/>
                <w:sz w:val="20"/>
                <w:szCs w:val="20"/>
              </w:rPr>
              <w:t xml:space="preserve">tatus </w:t>
            </w:r>
            <w:r w:rsidR="005D5E85">
              <w:rPr>
                <w:rFonts w:ascii="Calibri" w:eastAsia="Calibri" w:hAnsi="Calibri" w:cs="Calibri"/>
                <w:sz w:val="20"/>
                <w:szCs w:val="20"/>
              </w:rPr>
              <w:t>q</w:t>
            </w:r>
            <w:r w:rsidRPr="009F656F">
              <w:rPr>
                <w:rFonts w:ascii="Calibri" w:eastAsia="Calibri" w:hAnsi="Calibri" w:cs="Calibri"/>
                <w:sz w:val="20"/>
                <w:szCs w:val="20"/>
              </w:rPr>
              <w:t>uo</w:t>
            </w:r>
          </w:p>
        </w:tc>
        <w:tc>
          <w:tcPr>
            <w:tcW w:w="1842" w:type="dxa"/>
            <w:gridSpan w:val="2"/>
            <w:tcBorders>
              <w:top w:val="single" w:sz="4" w:space="0" w:color="auto"/>
              <w:left w:val="single" w:sz="4" w:space="0" w:color="auto"/>
              <w:bottom w:val="nil"/>
              <w:right w:val="single" w:sz="4" w:space="0" w:color="auto"/>
            </w:tcBorders>
            <w:noWrap/>
            <w:vAlign w:val="bottom"/>
            <w:hideMark/>
          </w:tcPr>
          <w:p w14:paraId="1A735BF0"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Benefits ($M NPV)</w:t>
            </w:r>
          </w:p>
        </w:tc>
        <w:tc>
          <w:tcPr>
            <w:tcW w:w="993" w:type="dxa"/>
            <w:vMerge w:val="restart"/>
            <w:tcBorders>
              <w:top w:val="single" w:sz="4" w:space="0" w:color="auto"/>
              <w:left w:val="single" w:sz="4" w:space="0" w:color="auto"/>
              <w:bottom w:val="single" w:sz="4" w:space="0" w:color="auto"/>
              <w:right w:val="single" w:sz="4" w:space="0" w:color="auto"/>
            </w:tcBorders>
            <w:noWrap/>
            <w:vAlign w:val="bottom"/>
            <w:hideMark/>
          </w:tcPr>
          <w:p w14:paraId="569ACA12"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Benefits/</w:t>
            </w:r>
            <w:r w:rsidRPr="009F656F">
              <w:rPr>
                <w:rFonts w:ascii="Calibri" w:eastAsia="Calibri" w:hAnsi="Calibri" w:cs="Calibri"/>
                <w:sz w:val="20"/>
                <w:szCs w:val="20"/>
              </w:rPr>
              <w:br/>
              <w:t>Costs</w:t>
            </w:r>
          </w:p>
        </w:tc>
        <w:tc>
          <w:tcPr>
            <w:tcW w:w="1818" w:type="dxa"/>
            <w:gridSpan w:val="2"/>
            <w:tcBorders>
              <w:top w:val="single" w:sz="4" w:space="0" w:color="auto"/>
              <w:left w:val="nil"/>
              <w:bottom w:val="single" w:sz="4" w:space="0" w:color="auto"/>
              <w:right w:val="single" w:sz="4" w:space="0" w:color="auto"/>
            </w:tcBorders>
            <w:noWrap/>
            <w:vAlign w:val="bottom"/>
            <w:hideMark/>
          </w:tcPr>
          <w:p w14:paraId="0B47041C"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GL water saved</w:t>
            </w:r>
          </w:p>
        </w:tc>
      </w:tr>
      <w:tr w:rsidR="009F656F" w:rsidRPr="009F656F" w14:paraId="6997418D" w14:textId="77777777" w:rsidTr="009F656F">
        <w:trPr>
          <w:trHeight w:val="300"/>
        </w:trPr>
        <w:tc>
          <w:tcPr>
            <w:tcW w:w="1134" w:type="dxa"/>
            <w:tcBorders>
              <w:top w:val="single" w:sz="4" w:space="0" w:color="auto"/>
              <w:left w:val="single" w:sz="4" w:space="0" w:color="auto"/>
              <w:bottom w:val="single" w:sz="4" w:space="0" w:color="auto"/>
              <w:right w:val="single" w:sz="4" w:space="0" w:color="auto"/>
            </w:tcBorders>
            <w:noWrap/>
            <w:vAlign w:val="bottom"/>
            <w:hideMark/>
          </w:tcPr>
          <w:p w14:paraId="39A64854" w14:textId="77777777" w:rsidR="009F656F" w:rsidRPr="009F656F" w:rsidRDefault="009F656F" w:rsidP="009F656F">
            <w:pPr>
              <w:spacing w:before="120" w:after="120" w:line="259" w:lineRule="auto"/>
              <w:jc w:val="left"/>
              <w:rPr>
                <w:rFonts w:ascii="Calibri" w:eastAsia="Calibri" w:hAnsi="Calibri" w:cs="Calibri"/>
                <w:sz w:val="20"/>
                <w:szCs w:val="20"/>
              </w:rPr>
            </w:pPr>
          </w:p>
        </w:tc>
        <w:tc>
          <w:tcPr>
            <w:tcW w:w="854" w:type="dxa"/>
            <w:tcBorders>
              <w:top w:val="single" w:sz="4" w:space="0" w:color="auto"/>
              <w:left w:val="single" w:sz="4" w:space="0" w:color="auto"/>
              <w:bottom w:val="single" w:sz="4" w:space="0" w:color="auto"/>
              <w:right w:val="nil"/>
            </w:tcBorders>
            <w:noWrap/>
            <w:vAlign w:val="bottom"/>
            <w:hideMark/>
          </w:tcPr>
          <w:p w14:paraId="3B31864C"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Industry</w:t>
            </w:r>
          </w:p>
        </w:tc>
        <w:tc>
          <w:tcPr>
            <w:tcW w:w="953" w:type="dxa"/>
            <w:tcBorders>
              <w:top w:val="single" w:sz="4" w:space="0" w:color="auto"/>
              <w:left w:val="nil"/>
              <w:bottom w:val="single" w:sz="4" w:space="0" w:color="auto"/>
              <w:right w:val="nil"/>
            </w:tcBorders>
            <w:noWrap/>
            <w:vAlign w:val="bottom"/>
            <w:hideMark/>
          </w:tcPr>
          <w:p w14:paraId="75F9EBE5"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 xml:space="preserve">WELS </w:t>
            </w:r>
          </w:p>
        </w:tc>
        <w:tc>
          <w:tcPr>
            <w:tcW w:w="1170" w:type="dxa"/>
            <w:tcBorders>
              <w:top w:val="single" w:sz="4" w:space="0" w:color="auto"/>
              <w:left w:val="nil"/>
              <w:bottom w:val="single" w:sz="4" w:space="0" w:color="auto"/>
              <w:right w:val="nil"/>
            </w:tcBorders>
            <w:noWrap/>
            <w:vAlign w:val="bottom"/>
            <w:hideMark/>
          </w:tcPr>
          <w:p w14:paraId="0FDBABAD"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Purchasers</w:t>
            </w:r>
          </w:p>
        </w:tc>
        <w:tc>
          <w:tcPr>
            <w:tcW w:w="851" w:type="dxa"/>
            <w:tcBorders>
              <w:top w:val="single" w:sz="4" w:space="0" w:color="auto"/>
              <w:left w:val="nil"/>
              <w:bottom w:val="single" w:sz="4" w:space="0" w:color="auto"/>
              <w:right w:val="single" w:sz="4" w:space="0" w:color="auto"/>
            </w:tcBorders>
            <w:noWrap/>
            <w:vAlign w:val="bottom"/>
            <w:hideMark/>
          </w:tcPr>
          <w:p w14:paraId="7955CC82"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Total</w:t>
            </w:r>
          </w:p>
        </w:tc>
        <w:tc>
          <w:tcPr>
            <w:tcW w:w="839" w:type="dxa"/>
            <w:tcBorders>
              <w:top w:val="single" w:sz="4" w:space="0" w:color="auto"/>
              <w:left w:val="single" w:sz="4" w:space="0" w:color="auto"/>
              <w:bottom w:val="single" w:sz="4" w:space="0" w:color="auto"/>
              <w:right w:val="nil"/>
            </w:tcBorders>
            <w:noWrap/>
            <w:vAlign w:val="bottom"/>
            <w:hideMark/>
          </w:tcPr>
          <w:p w14:paraId="6B938E0F"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Gross</w:t>
            </w:r>
          </w:p>
        </w:tc>
        <w:tc>
          <w:tcPr>
            <w:tcW w:w="1003" w:type="dxa"/>
            <w:tcBorders>
              <w:top w:val="single" w:sz="4" w:space="0" w:color="auto"/>
              <w:left w:val="nil"/>
              <w:bottom w:val="single" w:sz="4" w:space="0" w:color="auto"/>
              <w:right w:val="single" w:sz="4" w:space="0" w:color="auto"/>
            </w:tcBorders>
            <w:noWrap/>
            <w:vAlign w:val="bottom"/>
            <w:hideMark/>
          </w:tcPr>
          <w:p w14:paraId="16BDD8F4"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 xml:space="preserve">Net </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C38B3BA" w14:textId="77777777" w:rsidR="009F656F" w:rsidRPr="009F656F" w:rsidRDefault="009F656F" w:rsidP="009F656F">
            <w:pPr>
              <w:spacing w:before="120" w:after="120" w:line="259" w:lineRule="auto"/>
              <w:jc w:val="left"/>
              <w:rPr>
                <w:rFonts w:ascii="Calibri" w:eastAsia="Calibri" w:hAnsi="Calibri" w:cs="Calibri"/>
                <w:sz w:val="20"/>
                <w:szCs w:val="20"/>
              </w:rPr>
            </w:pPr>
          </w:p>
        </w:tc>
        <w:tc>
          <w:tcPr>
            <w:tcW w:w="864" w:type="dxa"/>
            <w:tcBorders>
              <w:top w:val="single" w:sz="4" w:space="0" w:color="auto"/>
              <w:left w:val="nil"/>
              <w:bottom w:val="single" w:sz="4" w:space="0" w:color="auto"/>
              <w:right w:val="nil"/>
            </w:tcBorders>
            <w:noWrap/>
            <w:vAlign w:val="bottom"/>
            <w:hideMark/>
          </w:tcPr>
          <w:p w14:paraId="7653AB0D"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In 2040</w:t>
            </w:r>
          </w:p>
        </w:tc>
        <w:tc>
          <w:tcPr>
            <w:tcW w:w="954" w:type="dxa"/>
            <w:tcBorders>
              <w:top w:val="single" w:sz="4" w:space="0" w:color="auto"/>
              <w:left w:val="nil"/>
              <w:bottom w:val="single" w:sz="4" w:space="0" w:color="auto"/>
              <w:right w:val="single" w:sz="4" w:space="0" w:color="auto"/>
            </w:tcBorders>
            <w:noWrap/>
            <w:vAlign w:val="bottom"/>
            <w:hideMark/>
          </w:tcPr>
          <w:p w14:paraId="02D612AE"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2025-48</w:t>
            </w:r>
          </w:p>
        </w:tc>
      </w:tr>
      <w:tr w:rsidR="009F656F" w:rsidRPr="009F656F" w14:paraId="7FB968ED" w14:textId="77777777" w:rsidTr="009F656F">
        <w:trPr>
          <w:trHeight w:val="300"/>
        </w:trPr>
        <w:tc>
          <w:tcPr>
            <w:tcW w:w="1134" w:type="dxa"/>
            <w:tcBorders>
              <w:top w:val="single" w:sz="4" w:space="0" w:color="auto"/>
              <w:left w:val="single" w:sz="4" w:space="0" w:color="auto"/>
              <w:bottom w:val="nil"/>
              <w:right w:val="single" w:sz="4" w:space="0" w:color="auto"/>
            </w:tcBorders>
            <w:noWrap/>
            <w:vAlign w:val="bottom"/>
            <w:hideMark/>
          </w:tcPr>
          <w:p w14:paraId="6ABA9BBC"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Option 2</w:t>
            </w:r>
          </w:p>
        </w:tc>
        <w:tc>
          <w:tcPr>
            <w:tcW w:w="854" w:type="dxa"/>
            <w:tcBorders>
              <w:top w:val="single" w:sz="4" w:space="0" w:color="auto"/>
              <w:left w:val="single" w:sz="4" w:space="0" w:color="auto"/>
              <w:bottom w:val="nil"/>
              <w:right w:val="nil"/>
            </w:tcBorders>
            <w:noWrap/>
            <w:vAlign w:val="bottom"/>
            <w:hideMark/>
          </w:tcPr>
          <w:p w14:paraId="13F56027"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0.8</w:t>
            </w:r>
          </w:p>
        </w:tc>
        <w:tc>
          <w:tcPr>
            <w:tcW w:w="953" w:type="dxa"/>
            <w:tcBorders>
              <w:top w:val="single" w:sz="4" w:space="0" w:color="auto"/>
              <w:left w:val="nil"/>
              <w:bottom w:val="nil"/>
              <w:right w:val="nil"/>
            </w:tcBorders>
            <w:noWrap/>
            <w:vAlign w:val="bottom"/>
            <w:hideMark/>
          </w:tcPr>
          <w:p w14:paraId="47767E60"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0.8</w:t>
            </w:r>
          </w:p>
        </w:tc>
        <w:tc>
          <w:tcPr>
            <w:tcW w:w="1170" w:type="dxa"/>
            <w:tcBorders>
              <w:top w:val="single" w:sz="4" w:space="0" w:color="auto"/>
              <w:left w:val="nil"/>
              <w:bottom w:val="nil"/>
              <w:right w:val="nil"/>
            </w:tcBorders>
            <w:noWrap/>
            <w:vAlign w:val="bottom"/>
            <w:hideMark/>
          </w:tcPr>
          <w:p w14:paraId="27DB0A49"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2.2</w:t>
            </w:r>
          </w:p>
        </w:tc>
        <w:tc>
          <w:tcPr>
            <w:tcW w:w="851" w:type="dxa"/>
            <w:tcBorders>
              <w:top w:val="single" w:sz="4" w:space="0" w:color="auto"/>
              <w:left w:val="nil"/>
              <w:bottom w:val="nil"/>
              <w:right w:val="single" w:sz="4" w:space="0" w:color="auto"/>
            </w:tcBorders>
            <w:noWrap/>
            <w:vAlign w:val="bottom"/>
            <w:hideMark/>
          </w:tcPr>
          <w:p w14:paraId="19264B18"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3.8</w:t>
            </w:r>
          </w:p>
        </w:tc>
        <w:tc>
          <w:tcPr>
            <w:tcW w:w="839" w:type="dxa"/>
            <w:tcBorders>
              <w:top w:val="single" w:sz="4" w:space="0" w:color="auto"/>
              <w:left w:val="single" w:sz="4" w:space="0" w:color="auto"/>
              <w:bottom w:val="nil"/>
              <w:right w:val="nil"/>
            </w:tcBorders>
            <w:noWrap/>
            <w:vAlign w:val="bottom"/>
            <w:hideMark/>
          </w:tcPr>
          <w:p w14:paraId="6D1B9083"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32.5</w:t>
            </w:r>
          </w:p>
        </w:tc>
        <w:tc>
          <w:tcPr>
            <w:tcW w:w="1003" w:type="dxa"/>
            <w:tcBorders>
              <w:top w:val="single" w:sz="4" w:space="0" w:color="auto"/>
              <w:left w:val="nil"/>
              <w:bottom w:val="nil"/>
              <w:right w:val="single" w:sz="4" w:space="0" w:color="auto"/>
            </w:tcBorders>
            <w:noWrap/>
            <w:vAlign w:val="bottom"/>
            <w:hideMark/>
          </w:tcPr>
          <w:p w14:paraId="5583E5A7"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28.7</w:t>
            </w:r>
          </w:p>
        </w:tc>
        <w:tc>
          <w:tcPr>
            <w:tcW w:w="993" w:type="dxa"/>
            <w:tcBorders>
              <w:top w:val="single" w:sz="4" w:space="0" w:color="auto"/>
              <w:left w:val="single" w:sz="4" w:space="0" w:color="auto"/>
              <w:bottom w:val="nil"/>
              <w:right w:val="single" w:sz="4" w:space="0" w:color="auto"/>
            </w:tcBorders>
            <w:noWrap/>
            <w:vAlign w:val="bottom"/>
            <w:hideMark/>
          </w:tcPr>
          <w:p w14:paraId="400E1F72"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8.5</w:t>
            </w:r>
          </w:p>
        </w:tc>
        <w:tc>
          <w:tcPr>
            <w:tcW w:w="864" w:type="dxa"/>
            <w:tcBorders>
              <w:top w:val="single" w:sz="4" w:space="0" w:color="auto"/>
              <w:left w:val="nil"/>
              <w:bottom w:val="nil"/>
              <w:right w:val="nil"/>
            </w:tcBorders>
            <w:noWrap/>
            <w:vAlign w:val="bottom"/>
            <w:hideMark/>
          </w:tcPr>
          <w:p w14:paraId="78D921D7"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0.4</w:t>
            </w:r>
          </w:p>
        </w:tc>
        <w:tc>
          <w:tcPr>
            <w:tcW w:w="954" w:type="dxa"/>
            <w:tcBorders>
              <w:top w:val="single" w:sz="4" w:space="0" w:color="auto"/>
              <w:left w:val="nil"/>
              <w:bottom w:val="nil"/>
              <w:right w:val="single" w:sz="4" w:space="0" w:color="auto"/>
            </w:tcBorders>
            <w:noWrap/>
            <w:vAlign w:val="bottom"/>
            <w:hideMark/>
          </w:tcPr>
          <w:p w14:paraId="3CF4359C"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4.6</w:t>
            </w:r>
          </w:p>
        </w:tc>
      </w:tr>
      <w:tr w:rsidR="009F656F" w:rsidRPr="009F656F" w14:paraId="66203CD4" w14:textId="77777777" w:rsidTr="009F656F">
        <w:trPr>
          <w:trHeight w:val="300"/>
        </w:trPr>
        <w:tc>
          <w:tcPr>
            <w:tcW w:w="1134" w:type="dxa"/>
            <w:tcBorders>
              <w:top w:val="nil"/>
              <w:left w:val="single" w:sz="4" w:space="0" w:color="auto"/>
              <w:bottom w:val="nil"/>
              <w:right w:val="single" w:sz="4" w:space="0" w:color="auto"/>
            </w:tcBorders>
            <w:noWrap/>
            <w:vAlign w:val="bottom"/>
            <w:hideMark/>
          </w:tcPr>
          <w:p w14:paraId="06FB4257"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Option 3A</w:t>
            </w:r>
          </w:p>
        </w:tc>
        <w:tc>
          <w:tcPr>
            <w:tcW w:w="854" w:type="dxa"/>
            <w:tcBorders>
              <w:top w:val="nil"/>
              <w:left w:val="single" w:sz="4" w:space="0" w:color="auto"/>
              <w:bottom w:val="nil"/>
              <w:right w:val="nil"/>
            </w:tcBorders>
            <w:noWrap/>
            <w:vAlign w:val="bottom"/>
            <w:hideMark/>
          </w:tcPr>
          <w:p w14:paraId="702CA8FE"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2.4</w:t>
            </w:r>
          </w:p>
        </w:tc>
        <w:tc>
          <w:tcPr>
            <w:tcW w:w="953" w:type="dxa"/>
            <w:noWrap/>
            <w:vAlign w:val="bottom"/>
            <w:hideMark/>
          </w:tcPr>
          <w:p w14:paraId="7C5C0A9C"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0.7</w:t>
            </w:r>
          </w:p>
        </w:tc>
        <w:tc>
          <w:tcPr>
            <w:tcW w:w="1170" w:type="dxa"/>
            <w:noWrap/>
            <w:vAlign w:val="bottom"/>
            <w:hideMark/>
          </w:tcPr>
          <w:p w14:paraId="72100A11"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3.6</w:t>
            </w:r>
          </w:p>
        </w:tc>
        <w:tc>
          <w:tcPr>
            <w:tcW w:w="851" w:type="dxa"/>
            <w:tcBorders>
              <w:top w:val="nil"/>
              <w:left w:val="nil"/>
              <w:bottom w:val="nil"/>
              <w:right w:val="single" w:sz="4" w:space="0" w:color="auto"/>
            </w:tcBorders>
            <w:noWrap/>
            <w:vAlign w:val="bottom"/>
            <w:hideMark/>
          </w:tcPr>
          <w:p w14:paraId="6C5F10B4"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6.7</w:t>
            </w:r>
          </w:p>
        </w:tc>
        <w:tc>
          <w:tcPr>
            <w:tcW w:w="839" w:type="dxa"/>
            <w:tcBorders>
              <w:top w:val="nil"/>
              <w:left w:val="single" w:sz="4" w:space="0" w:color="auto"/>
              <w:bottom w:val="nil"/>
              <w:right w:val="nil"/>
            </w:tcBorders>
            <w:noWrap/>
            <w:vAlign w:val="bottom"/>
            <w:hideMark/>
          </w:tcPr>
          <w:p w14:paraId="1610C433"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35.3</w:t>
            </w:r>
          </w:p>
        </w:tc>
        <w:tc>
          <w:tcPr>
            <w:tcW w:w="1003" w:type="dxa"/>
            <w:tcBorders>
              <w:top w:val="nil"/>
              <w:left w:val="nil"/>
              <w:bottom w:val="nil"/>
              <w:right w:val="single" w:sz="4" w:space="0" w:color="auto"/>
            </w:tcBorders>
            <w:noWrap/>
            <w:vAlign w:val="bottom"/>
            <w:hideMark/>
          </w:tcPr>
          <w:p w14:paraId="1C43A748"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28.6</w:t>
            </w:r>
          </w:p>
        </w:tc>
        <w:tc>
          <w:tcPr>
            <w:tcW w:w="993" w:type="dxa"/>
            <w:tcBorders>
              <w:top w:val="nil"/>
              <w:left w:val="single" w:sz="4" w:space="0" w:color="auto"/>
              <w:bottom w:val="nil"/>
              <w:right w:val="single" w:sz="4" w:space="0" w:color="auto"/>
            </w:tcBorders>
            <w:noWrap/>
            <w:vAlign w:val="bottom"/>
            <w:hideMark/>
          </w:tcPr>
          <w:p w14:paraId="6A7524F5"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5.3</w:t>
            </w:r>
          </w:p>
        </w:tc>
        <w:tc>
          <w:tcPr>
            <w:tcW w:w="864" w:type="dxa"/>
            <w:noWrap/>
            <w:vAlign w:val="bottom"/>
            <w:hideMark/>
          </w:tcPr>
          <w:p w14:paraId="2B17C6DD"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0.6</w:t>
            </w:r>
          </w:p>
        </w:tc>
        <w:tc>
          <w:tcPr>
            <w:tcW w:w="954" w:type="dxa"/>
            <w:tcBorders>
              <w:top w:val="nil"/>
              <w:left w:val="nil"/>
              <w:bottom w:val="nil"/>
              <w:right w:val="single" w:sz="4" w:space="0" w:color="auto"/>
            </w:tcBorders>
            <w:noWrap/>
            <w:vAlign w:val="bottom"/>
            <w:hideMark/>
          </w:tcPr>
          <w:p w14:paraId="4A34C96D"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6.2</w:t>
            </w:r>
          </w:p>
        </w:tc>
      </w:tr>
      <w:tr w:rsidR="009F656F" w:rsidRPr="009F656F" w14:paraId="71EC30DE" w14:textId="77777777" w:rsidTr="009F656F">
        <w:trPr>
          <w:trHeight w:val="300"/>
        </w:trPr>
        <w:tc>
          <w:tcPr>
            <w:tcW w:w="1134" w:type="dxa"/>
            <w:tcBorders>
              <w:top w:val="nil"/>
              <w:left w:val="single" w:sz="4" w:space="0" w:color="auto"/>
              <w:bottom w:val="nil"/>
              <w:right w:val="single" w:sz="4" w:space="0" w:color="auto"/>
            </w:tcBorders>
            <w:noWrap/>
            <w:vAlign w:val="bottom"/>
            <w:hideMark/>
          </w:tcPr>
          <w:p w14:paraId="7DCA6FDF"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Option 3B</w:t>
            </w:r>
          </w:p>
        </w:tc>
        <w:tc>
          <w:tcPr>
            <w:tcW w:w="854" w:type="dxa"/>
            <w:tcBorders>
              <w:top w:val="nil"/>
              <w:left w:val="single" w:sz="4" w:space="0" w:color="auto"/>
              <w:bottom w:val="nil"/>
              <w:right w:val="nil"/>
            </w:tcBorders>
            <w:noWrap/>
            <w:vAlign w:val="bottom"/>
            <w:hideMark/>
          </w:tcPr>
          <w:p w14:paraId="5A32BC90"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2.7</w:t>
            </w:r>
          </w:p>
        </w:tc>
        <w:tc>
          <w:tcPr>
            <w:tcW w:w="953" w:type="dxa"/>
            <w:noWrap/>
            <w:vAlign w:val="bottom"/>
            <w:hideMark/>
          </w:tcPr>
          <w:p w14:paraId="6778D892"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0.8</w:t>
            </w:r>
          </w:p>
        </w:tc>
        <w:tc>
          <w:tcPr>
            <w:tcW w:w="1170" w:type="dxa"/>
            <w:noWrap/>
            <w:vAlign w:val="bottom"/>
            <w:hideMark/>
          </w:tcPr>
          <w:p w14:paraId="22194756"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4.1</w:t>
            </w:r>
          </w:p>
        </w:tc>
        <w:tc>
          <w:tcPr>
            <w:tcW w:w="851" w:type="dxa"/>
            <w:tcBorders>
              <w:top w:val="nil"/>
              <w:left w:val="nil"/>
              <w:bottom w:val="nil"/>
              <w:right w:val="single" w:sz="4" w:space="0" w:color="auto"/>
            </w:tcBorders>
            <w:noWrap/>
            <w:vAlign w:val="bottom"/>
            <w:hideMark/>
          </w:tcPr>
          <w:p w14:paraId="3ED2701B"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7.6</w:t>
            </w:r>
          </w:p>
        </w:tc>
        <w:tc>
          <w:tcPr>
            <w:tcW w:w="839" w:type="dxa"/>
            <w:tcBorders>
              <w:top w:val="nil"/>
              <w:left w:val="single" w:sz="4" w:space="0" w:color="auto"/>
              <w:bottom w:val="nil"/>
              <w:right w:val="nil"/>
            </w:tcBorders>
            <w:noWrap/>
            <w:vAlign w:val="bottom"/>
            <w:hideMark/>
          </w:tcPr>
          <w:p w14:paraId="2A2388B0"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37.9</w:t>
            </w:r>
          </w:p>
        </w:tc>
        <w:tc>
          <w:tcPr>
            <w:tcW w:w="1003" w:type="dxa"/>
            <w:tcBorders>
              <w:top w:val="nil"/>
              <w:left w:val="nil"/>
              <w:bottom w:val="nil"/>
              <w:right w:val="single" w:sz="4" w:space="0" w:color="auto"/>
            </w:tcBorders>
            <w:noWrap/>
            <w:vAlign w:val="bottom"/>
            <w:hideMark/>
          </w:tcPr>
          <w:p w14:paraId="303F895A"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30.3</w:t>
            </w:r>
          </w:p>
        </w:tc>
        <w:tc>
          <w:tcPr>
            <w:tcW w:w="993" w:type="dxa"/>
            <w:tcBorders>
              <w:top w:val="nil"/>
              <w:left w:val="single" w:sz="4" w:space="0" w:color="auto"/>
              <w:bottom w:val="nil"/>
              <w:right w:val="single" w:sz="4" w:space="0" w:color="auto"/>
            </w:tcBorders>
            <w:noWrap/>
            <w:vAlign w:val="bottom"/>
            <w:hideMark/>
          </w:tcPr>
          <w:p w14:paraId="10850B21"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5.0</w:t>
            </w:r>
          </w:p>
        </w:tc>
        <w:tc>
          <w:tcPr>
            <w:tcW w:w="864" w:type="dxa"/>
            <w:noWrap/>
            <w:vAlign w:val="bottom"/>
            <w:hideMark/>
          </w:tcPr>
          <w:p w14:paraId="5B08A4C3"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0.6</w:t>
            </w:r>
          </w:p>
        </w:tc>
        <w:tc>
          <w:tcPr>
            <w:tcW w:w="954" w:type="dxa"/>
            <w:tcBorders>
              <w:top w:val="nil"/>
              <w:left w:val="nil"/>
              <w:bottom w:val="nil"/>
              <w:right w:val="single" w:sz="4" w:space="0" w:color="auto"/>
            </w:tcBorders>
            <w:noWrap/>
            <w:vAlign w:val="bottom"/>
            <w:hideMark/>
          </w:tcPr>
          <w:p w14:paraId="75A5BA62"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7.2</w:t>
            </w:r>
          </w:p>
        </w:tc>
      </w:tr>
      <w:tr w:rsidR="009F656F" w:rsidRPr="009F656F" w14:paraId="66B78A46" w14:textId="77777777" w:rsidTr="009F656F">
        <w:trPr>
          <w:trHeight w:val="300"/>
        </w:trPr>
        <w:tc>
          <w:tcPr>
            <w:tcW w:w="1134" w:type="dxa"/>
            <w:tcBorders>
              <w:top w:val="nil"/>
              <w:left w:val="single" w:sz="4" w:space="0" w:color="auto"/>
              <w:bottom w:val="nil"/>
              <w:right w:val="single" w:sz="4" w:space="0" w:color="auto"/>
            </w:tcBorders>
            <w:noWrap/>
            <w:vAlign w:val="bottom"/>
            <w:hideMark/>
          </w:tcPr>
          <w:p w14:paraId="0D1BAAD0"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Option 4A</w:t>
            </w:r>
          </w:p>
        </w:tc>
        <w:tc>
          <w:tcPr>
            <w:tcW w:w="854" w:type="dxa"/>
            <w:tcBorders>
              <w:top w:val="nil"/>
              <w:left w:val="single" w:sz="4" w:space="0" w:color="auto"/>
              <w:bottom w:val="nil"/>
              <w:right w:val="nil"/>
            </w:tcBorders>
            <w:noWrap/>
            <w:vAlign w:val="bottom"/>
            <w:hideMark/>
          </w:tcPr>
          <w:p w14:paraId="7974B245"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2.3</w:t>
            </w:r>
          </w:p>
        </w:tc>
        <w:tc>
          <w:tcPr>
            <w:tcW w:w="953" w:type="dxa"/>
            <w:noWrap/>
            <w:vAlign w:val="bottom"/>
            <w:hideMark/>
          </w:tcPr>
          <w:p w14:paraId="0CE7F090"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0.9</w:t>
            </w:r>
          </w:p>
        </w:tc>
        <w:tc>
          <w:tcPr>
            <w:tcW w:w="1170" w:type="dxa"/>
            <w:noWrap/>
            <w:vAlign w:val="bottom"/>
            <w:hideMark/>
          </w:tcPr>
          <w:p w14:paraId="39048294"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13.9</w:t>
            </w:r>
          </w:p>
        </w:tc>
        <w:tc>
          <w:tcPr>
            <w:tcW w:w="851" w:type="dxa"/>
            <w:tcBorders>
              <w:top w:val="nil"/>
              <w:left w:val="nil"/>
              <w:bottom w:val="nil"/>
              <w:right w:val="single" w:sz="4" w:space="0" w:color="auto"/>
            </w:tcBorders>
            <w:noWrap/>
            <w:vAlign w:val="bottom"/>
            <w:hideMark/>
          </w:tcPr>
          <w:p w14:paraId="7D123F6E"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17.1</w:t>
            </w:r>
          </w:p>
        </w:tc>
        <w:tc>
          <w:tcPr>
            <w:tcW w:w="839" w:type="dxa"/>
            <w:tcBorders>
              <w:top w:val="nil"/>
              <w:left w:val="single" w:sz="4" w:space="0" w:color="auto"/>
              <w:bottom w:val="nil"/>
              <w:right w:val="nil"/>
            </w:tcBorders>
            <w:noWrap/>
            <w:vAlign w:val="bottom"/>
            <w:hideMark/>
          </w:tcPr>
          <w:p w14:paraId="40184CBB"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70.0</w:t>
            </w:r>
          </w:p>
        </w:tc>
        <w:tc>
          <w:tcPr>
            <w:tcW w:w="1003" w:type="dxa"/>
            <w:tcBorders>
              <w:top w:val="nil"/>
              <w:left w:val="nil"/>
              <w:bottom w:val="nil"/>
              <w:right w:val="single" w:sz="4" w:space="0" w:color="auto"/>
            </w:tcBorders>
            <w:noWrap/>
            <w:vAlign w:val="bottom"/>
            <w:hideMark/>
          </w:tcPr>
          <w:p w14:paraId="7F447FD1"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52.9</w:t>
            </w:r>
          </w:p>
        </w:tc>
        <w:tc>
          <w:tcPr>
            <w:tcW w:w="993" w:type="dxa"/>
            <w:tcBorders>
              <w:top w:val="nil"/>
              <w:left w:val="single" w:sz="4" w:space="0" w:color="auto"/>
              <w:bottom w:val="nil"/>
              <w:right w:val="single" w:sz="4" w:space="0" w:color="auto"/>
            </w:tcBorders>
            <w:noWrap/>
            <w:vAlign w:val="bottom"/>
            <w:hideMark/>
          </w:tcPr>
          <w:p w14:paraId="01E8659F"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4.1</w:t>
            </w:r>
          </w:p>
        </w:tc>
        <w:tc>
          <w:tcPr>
            <w:tcW w:w="864" w:type="dxa"/>
            <w:noWrap/>
            <w:vAlign w:val="bottom"/>
            <w:hideMark/>
          </w:tcPr>
          <w:p w14:paraId="4B8F3F6E"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1.8</w:t>
            </w:r>
          </w:p>
        </w:tc>
        <w:tc>
          <w:tcPr>
            <w:tcW w:w="954" w:type="dxa"/>
            <w:tcBorders>
              <w:top w:val="nil"/>
              <w:left w:val="nil"/>
              <w:bottom w:val="nil"/>
              <w:right w:val="single" w:sz="4" w:space="0" w:color="auto"/>
            </w:tcBorders>
            <w:noWrap/>
            <w:vAlign w:val="bottom"/>
            <w:hideMark/>
          </w:tcPr>
          <w:p w14:paraId="5181416B"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22.0</w:t>
            </w:r>
          </w:p>
        </w:tc>
      </w:tr>
      <w:tr w:rsidR="009F656F" w:rsidRPr="009F656F" w14:paraId="7860C497" w14:textId="77777777" w:rsidTr="009F656F">
        <w:trPr>
          <w:trHeight w:val="300"/>
        </w:trPr>
        <w:tc>
          <w:tcPr>
            <w:tcW w:w="1134" w:type="dxa"/>
            <w:tcBorders>
              <w:top w:val="nil"/>
              <w:left w:val="single" w:sz="4" w:space="0" w:color="auto"/>
              <w:bottom w:val="single" w:sz="4" w:space="0" w:color="auto"/>
              <w:right w:val="single" w:sz="4" w:space="0" w:color="auto"/>
            </w:tcBorders>
            <w:noWrap/>
            <w:vAlign w:val="bottom"/>
            <w:hideMark/>
          </w:tcPr>
          <w:p w14:paraId="2A40888E"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Option 4B</w:t>
            </w:r>
          </w:p>
        </w:tc>
        <w:tc>
          <w:tcPr>
            <w:tcW w:w="854" w:type="dxa"/>
            <w:tcBorders>
              <w:top w:val="nil"/>
              <w:left w:val="single" w:sz="4" w:space="0" w:color="auto"/>
              <w:bottom w:val="single" w:sz="4" w:space="0" w:color="auto"/>
              <w:right w:val="nil"/>
            </w:tcBorders>
            <w:noWrap/>
            <w:vAlign w:val="bottom"/>
            <w:hideMark/>
          </w:tcPr>
          <w:p w14:paraId="08C3835C"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2.5</w:t>
            </w:r>
          </w:p>
        </w:tc>
        <w:tc>
          <w:tcPr>
            <w:tcW w:w="953" w:type="dxa"/>
            <w:tcBorders>
              <w:top w:val="nil"/>
              <w:left w:val="nil"/>
              <w:bottom w:val="single" w:sz="4" w:space="0" w:color="auto"/>
              <w:right w:val="nil"/>
            </w:tcBorders>
            <w:noWrap/>
            <w:vAlign w:val="bottom"/>
            <w:hideMark/>
          </w:tcPr>
          <w:p w14:paraId="4F9316BF"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0.7</w:t>
            </w:r>
          </w:p>
        </w:tc>
        <w:tc>
          <w:tcPr>
            <w:tcW w:w="1170" w:type="dxa"/>
            <w:tcBorders>
              <w:top w:val="nil"/>
              <w:left w:val="nil"/>
              <w:bottom w:val="single" w:sz="4" w:space="0" w:color="auto"/>
              <w:right w:val="nil"/>
            </w:tcBorders>
            <w:noWrap/>
            <w:vAlign w:val="bottom"/>
            <w:hideMark/>
          </w:tcPr>
          <w:p w14:paraId="58DC6B50"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11.9</w:t>
            </w:r>
          </w:p>
        </w:tc>
        <w:tc>
          <w:tcPr>
            <w:tcW w:w="851" w:type="dxa"/>
            <w:tcBorders>
              <w:top w:val="nil"/>
              <w:left w:val="nil"/>
              <w:bottom w:val="single" w:sz="4" w:space="0" w:color="auto"/>
              <w:right w:val="single" w:sz="4" w:space="0" w:color="auto"/>
            </w:tcBorders>
            <w:noWrap/>
            <w:vAlign w:val="bottom"/>
            <w:hideMark/>
          </w:tcPr>
          <w:p w14:paraId="1B0DB24F"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15.1</w:t>
            </w:r>
          </w:p>
        </w:tc>
        <w:tc>
          <w:tcPr>
            <w:tcW w:w="839" w:type="dxa"/>
            <w:tcBorders>
              <w:top w:val="nil"/>
              <w:left w:val="single" w:sz="4" w:space="0" w:color="auto"/>
              <w:bottom w:val="single" w:sz="4" w:space="0" w:color="auto"/>
              <w:right w:val="nil"/>
            </w:tcBorders>
            <w:noWrap/>
            <w:vAlign w:val="bottom"/>
            <w:hideMark/>
          </w:tcPr>
          <w:p w14:paraId="777E36CB"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63.3</w:t>
            </w:r>
          </w:p>
        </w:tc>
        <w:tc>
          <w:tcPr>
            <w:tcW w:w="1003" w:type="dxa"/>
            <w:tcBorders>
              <w:top w:val="nil"/>
              <w:left w:val="nil"/>
              <w:bottom w:val="single" w:sz="4" w:space="0" w:color="auto"/>
              <w:right w:val="single" w:sz="4" w:space="0" w:color="auto"/>
            </w:tcBorders>
            <w:noWrap/>
            <w:vAlign w:val="bottom"/>
            <w:hideMark/>
          </w:tcPr>
          <w:p w14:paraId="40090F7E"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48.2</w:t>
            </w:r>
          </w:p>
        </w:tc>
        <w:tc>
          <w:tcPr>
            <w:tcW w:w="993" w:type="dxa"/>
            <w:tcBorders>
              <w:top w:val="nil"/>
              <w:left w:val="single" w:sz="4" w:space="0" w:color="auto"/>
              <w:bottom w:val="single" w:sz="4" w:space="0" w:color="auto"/>
              <w:right w:val="single" w:sz="4" w:space="0" w:color="auto"/>
            </w:tcBorders>
            <w:noWrap/>
            <w:vAlign w:val="bottom"/>
            <w:hideMark/>
          </w:tcPr>
          <w:p w14:paraId="36A43774"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4.2</w:t>
            </w:r>
          </w:p>
        </w:tc>
        <w:tc>
          <w:tcPr>
            <w:tcW w:w="864" w:type="dxa"/>
            <w:tcBorders>
              <w:top w:val="nil"/>
              <w:left w:val="nil"/>
              <w:bottom w:val="single" w:sz="4" w:space="0" w:color="auto"/>
              <w:right w:val="nil"/>
            </w:tcBorders>
            <w:noWrap/>
            <w:vAlign w:val="bottom"/>
            <w:hideMark/>
          </w:tcPr>
          <w:p w14:paraId="54F03F72"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1.5</w:t>
            </w:r>
          </w:p>
        </w:tc>
        <w:tc>
          <w:tcPr>
            <w:tcW w:w="954" w:type="dxa"/>
            <w:tcBorders>
              <w:top w:val="nil"/>
              <w:left w:val="nil"/>
              <w:bottom w:val="single" w:sz="4" w:space="0" w:color="auto"/>
              <w:right w:val="single" w:sz="4" w:space="0" w:color="auto"/>
            </w:tcBorders>
            <w:noWrap/>
            <w:vAlign w:val="bottom"/>
            <w:hideMark/>
          </w:tcPr>
          <w:p w14:paraId="1FBEDE3E" w14:textId="77777777" w:rsidR="009F656F" w:rsidRPr="009F656F" w:rsidRDefault="009F656F" w:rsidP="009F656F">
            <w:pPr>
              <w:spacing w:before="120" w:after="120" w:line="259" w:lineRule="auto"/>
              <w:jc w:val="left"/>
              <w:rPr>
                <w:rFonts w:ascii="Calibri" w:eastAsia="Calibri" w:hAnsi="Calibri" w:cs="Calibri"/>
                <w:sz w:val="20"/>
                <w:szCs w:val="20"/>
              </w:rPr>
            </w:pPr>
            <w:r w:rsidRPr="009F656F">
              <w:rPr>
                <w:rFonts w:ascii="Calibri" w:eastAsia="Calibri" w:hAnsi="Calibri" w:cs="Calibri"/>
                <w:sz w:val="20"/>
                <w:szCs w:val="20"/>
              </w:rPr>
              <w:t>18.4</w:t>
            </w:r>
          </w:p>
        </w:tc>
      </w:tr>
    </w:tbl>
    <w:p w14:paraId="130DEC43" w14:textId="5741132C" w:rsidR="00F51137" w:rsidRPr="006811EB" w:rsidRDefault="00F51137" w:rsidP="007D350D">
      <w:pPr>
        <w:spacing w:before="120" w:after="120" w:line="259" w:lineRule="auto"/>
        <w:jc w:val="left"/>
        <w:rPr>
          <w:rFonts w:eastAsia="Calibri" w:cs="Times New Roman"/>
          <w:szCs w:val="22"/>
        </w:rPr>
      </w:pPr>
    </w:p>
    <w:p w14:paraId="43366891" w14:textId="30A66204" w:rsidR="007D350D" w:rsidRPr="006811EB" w:rsidRDefault="007D350D" w:rsidP="007D350D">
      <w:pPr>
        <w:spacing w:line="259" w:lineRule="auto"/>
        <w:jc w:val="left"/>
        <w:rPr>
          <w:rFonts w:eastAsia="Calibri" w:cs="Times New Roman"/>
          <w:b/>
          <w:bCs/>
          <w:szCs w:val="22"/>
        </w:rPr>
      </w:pPr>
      <w:r w:rsidRPr="006811EB">
        <w:rPr>
          <w:rFonts w:eastAsia="Calibri" w:cs="Times New Roman"/>
          <w:b/>
          <w:bCs/>
          <w:szCs w:val="22"/>
        </w:rPr>
        <w:t>Have your say</w:t>
      </w:r>
    </w:p>
    <w:p w14:paraId="19566343" w14:textId="44098E5A"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 xml:space="preserve">The release of this </w:t>
      </w:r>
      <w:r w:rsidR="004F69D5" w:rsidRPr="006811EB">
        <w:rPr>
          <w:rFonts w:eastAsia="Calibri" w:cs="Times New Roman"/>
          <w:szCs w:val="22"/>
        </w:rPr>
        <w:t>d</w:t>
      </w:r>
      <w:r w:rsidRPr="006811EB">
        <w:rPr>
          <w:rFonts w:eastAsia="Calibri" w:cs="Times New Roman"/>
          <w:szCs w:val="22"/>
        </w:rPr>
        <w:t>raft Regulat</w:t>
      </w:r>
      <w:r w:rsidR="00057852" w:rsidRPr="006811EB">
        <w:rPr>
          <w:rFonts w:eastAsia="Calibri" w:cs="Times New Roman"/>
          <w:szCs w:val="22"/>
        </w:rPr>
        <w:t>ory</w:t>
      </w:r>
      <w:r w:rsidRPr="006811EB">
        <w:rPr>
          <w:rFonts w:eastAsia="Calibri" w:cs="Times New Roman"/>
          <w:szCs w:val="22"/>
        </w:rPr>
        <w:t xml:space="preserve"> Impact Analysis marks the beginning of a public consultation period. Appendix A, Questions for Stakeholders, lists specific questions which stakeholders are invited to </w:t>
      </w:r>
      <w:r w:rsidR="00190508" w:rsidRPr="006811EB">
        <w:rPr>
          <w:rFonts w:eastAsia="Calibri" w:cs="Times New Roman"/>
          <w:szCs w:val="22"/>
        </w:rPr>
        <w:t>answer</w:t>
      </w:r>
      <w:r w:rsidRPr="006811EB">
        <w:rPr>
          <w:rFonts w:eastAsia="Calibri" w:cs="Times New Roman"/>
          <w:szCs w:val="22"/>
        </w:rPr>
        <w:t xml:space="preserve">. </w:t>
      </w:r>
      <w:r w:rsidR="00A77DEA" w:rsidRPr="006811EB">
        <w:rPr>
          <w:rFonts w:eastAsia="Calibri" w:cs="Times New Roman"/>
          <w:szCs w:val="22"/>
        </w:rPr>
        <w:t>Stakeholders</w:t>
      </w:r>
      <w:r w:rsidRPr="006811EB">
        <w:rPr>
          <w:rFonts w:eastAsia="Calibri" w:cs="Times New Roman"/>
          <w:szCs w:val="22"/>
        </w:rPr>
        <w:t xml:space="preserve"> can </w:t>
      </w:r>
      <w:r w:rsidR="00190508" w:rsidRPr="006811EB">
        <w:rPr>
          <w:rFonts w:eastAsia="Calibri" w:cs="Times New Roman"/>
          <w:szCs w:val="22"/>
        </w:rPr>
        <w:t>respond</w:t>
      </w:r>
      <w:r w:rsidRPr="006811EB">
        <w:rPr>
          <w:rFonts w:eastAsia="Calibri" w:cs="Times New Roman"/>
          <w:szCs w:val="22"/>
        </w:rPr>
        <w:t xml:space="preserve"> to these questions as an electronic survey </w:t>
      </w:r>
      <w:r w:rsidR="0083278F">
        <w:rPr>
          <w:rFonts w:eastAsia="Calibri" w:cs="Times New Roman"/>
          <w:szCs w:val="22"/>
        </w:rPr>
        <w:t>or by submission.</w:t>
      </w:r>
    </w:p>
    <w:p w14:paraId="222AB9FD" w14:textId="2E63A99A"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The responses will inform the preparation of a final Regulat</w:t>
      </w:r>
      <w:r w:rsidR="00057852" w:rsidRPr="006811EB">
        <w:rPr>
          <w:rFonts w:eastAsia="Calibri" w:cs="Times New Roman"/>
          <w:szCs w:val="22"/>
        </w:rPr>
        <w:t>ory</w:t>
      </w:r>
      <w:r w:rsidRPr="006811EB">
        <w:rPr>
          <w:rFonts w:eastAsia="Calibri" w:cs="Times New Roman"/>
          <w:szCs w:val="22"/>
        </w:rPr>
        <w:t xml:space="preserve"> Impact Analysis.</w:t>
      </w:r>
    </w:p>
    <w:p w14:paraId="5C2DDEAC" w14:textId="58C6A17B"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Submissions and enquiries can be directed to wels@dcceew.gov.au.</w:t>
      </w:r>
    </w:p>
    <w:p w14:paraId="66C45C6D" w14:textId="183F9826" w:rsidR="007D350D" w:rsidRPr="006811EB" w:rsidRDefault="007D350D" w:rsidP="007D350D">
      <w:pPr>
        <w:spacing w:line="259" w:lineRule="auto"/>
        <w:jc w:val="left"/>
        <w:rPr>
          <w:rFonts w:eastAsia="Calibri" w:cs="Times New Roman"/>
          <w:szCs w:val="22"/>
        </w:rPr>
      </w:pPr>
      <w:r w:rsidRPr="006811EB">
        <w:rPr>
          <w:rFonts w:eastAsia="Calibri" w:cs="Times New Roman"/>
          <w:szCs w:val="22"/>
        </w:rPr>
        <w:t xml:space="preserve">Survey responses and submissions on this document close on </w:t>
      </w:r>
      <w:r w:rsidR="0083278F">
        <w:rPr>
          <w:rFonts w:eastAsia="Calibri" w:cs="Times New Roman"/>
          <w:szCs w:val="22"/>
        </w:rPr>
        <w:t>20 June 2025.</w:t>
      </w:r>
    </w:p>
    <w:p w14:paraId="41E496EF" w14:textId="4231CEE6" w:rsidR="001C2837" w:rsidRPr="006811EB" w:rsidRDefault="007D350D" w:rsidP="00A27733">
      <w:pPr>
        <w:spacing w:line="259" w:lineRule="auto"/>
        <w:jc w:val="left"/>
        <w:rPr>
          <w:szCs w:val="22"/>
        </w:rPr>
      </w:pPr>
      <w:r w:rsidRPr="006811EB">
        <w:rPr>
          <w:rFonts w:eastAsia="Calibri" w:cs="Times New Roman"/>
          <w:szCs w:val="22"/>
        </w:rPr>
        <w:t xml:space="preserve">Information sessions will be held by videoconference on </w:t>
      </w:r>
      <w:r w:rsidR="0083278F">
        <w:rPr>
          <w:rFonts w:eastAsia="Calibri" w:cs="Times New Roman"/>
          <w:szCs w:val="22"/>
        </w:rPr>
        <w:t>27 and 29 May 2025</w:t>
      </w:r>
      <w:r w:rsidRPr="006811EB">
        <w:rPr>
          <w:rFonts w:eastAsia="Calibri" w:cs="Times New Roman"/>
          <w:szCs w:val="22"/>
        </w:rPr>
        <w:t>.</w:t>
      </w:r>
    </w:p>
    <w:p w14:paraId="459BF92D" w14:textId="7465AC05" w:rsidR="00F7120A" w:rsidRDefault="00F7120A" w:rsidP="00F7120A">
      <w:pPr>
        <w:pStyle w:val="Heading2"/>
        <w:pageBreakBefore/>
      </w:pPr>
      <w:bookmarkStart w:id="3" w:name="_Toc196745399"/>
      <w:r>
        <w:lastRenderedPageBreak/>
        <w:t>Glossary</w:t>
      </w:r>
      <w:bookmarkEnd w:id="3"/>
    </w:p>
    <w:tbl>
      <w:tblPr>
        <w:tblStyle w:val="TableGrid"/>
        <w:tblW w:w="0" w:type="auto"/>
        <w:tblLook w:val="04A0" w:firstRow="1" w:lastRow="0" w:firstColumn="1" w:lastColumn="0" w:noHBand="0" w:noVBand="1"/>
      </w:tblPr>
      <w:tblGrid>
        <w:gridCol w:w="1462"/>
        <w:gridCol w:w="8166"/>
      </w:tblGrid>
      <w:tr w:rsidR="00F7120A" w:rsidRPr="006519A2" w14:paraId="0A09B6D2" w14:textId="77777777" w:rsidTr="00942DAD">
        <w:trPr>
          <w:trHeight w:hRule="exact" w:val="284"/>
        </w:trPr>
        <w:tc>
          <w:tcPr>
            <w:tcW w:w="1462" w:type="dxa"/>
            <w:vAlign w:val="center"/>
          </w:tcPr>
          <w:p w14:paraId="50D2ABE4" w14:textId="3F173CDF" w:rsidR="00F7120A" w:rsidRPr="006519A2" w:rsidRDefault="004C48AD" w:rsidP="0014151F">
            <w:pPr>
              <w:rPr>
                <w:sz w:val="20"/>
                <w:szCs w:val="20"/>
              </w:rPr>
            </w:pPr>
            <w:r w:rsidRPr="006519A2">
              <w:rPr>
                <w:sz w:val="20"/>
                <w:szCs w:val="20"/>
              </w:rPr>
              <w:t>AS/NZS</w:t>
            </w:r>
          </w:p>
        </w:tc>
        <w:tc>
          <w:tcPr>
            <w:tcW w:w="8166" w:type="dxa"/>
            <w:vAlign w:val="center"/>
          </w:tcPr>
          <w:p w14:paraId="3D192E15" w14:textId="59D9CF86" w:rsidR="00F7120A" w:rsidRPr="006519A2" w:rsidRDefault="004C48AD" w:rsidP="0014151F">
            <w:pPr>
              <w:rPr>
                <w:sz w:val="20"/>
                <w:szCs w:val="20"/>
              </w:rPr>
            </w:pPr>
            <w:r w:rsidRPr="006519A2">
              <w:rPr>
                <w:sz w:val="20"/>
                <w:szCs w:val="20"/>
              </w:rPr>
              <w:t xml:space="preserve">Australian/New Zealand Standard </w:t>
            </w:r>
          </w:p>
        </w:tc>
      </w:tr>
      <w:tr w:rsidR="00942DAD" w:rsidRPr="006519A2" w14:paraId="0E4EC262" w14:textId="77777777" w:rsidTr="0070646E">
        <w:trPr>
          <w:trHeight w:hRule="exact" w:val="284"/>
        </w:trPr>
        <w:tc>
          <w:tcPr>
            <w:tcW w:w="1462" w:type="dxa"/>
          </w:tcPr>
          <w:p w14:paraId="012F5AFE" w14:textId="5E7EF17E" w:rsidR="00942DAD" w:rsidRPr="006519A2" w:rsidRDefault="00942DAD" w:rsidP="00942DAD">
            <w:pPr>
              <w:rPr>
                <w:sz w:val="20"/>
                <w:szCs w:val="20"/>
              </w:rPr>
            </w:pPr>
            <w:r w:rsidRPr="006519A2">
              <w:rPr>
                <w:sz w:val="20"/>
                <w:szCs w:val="20"/>
              </w:rPr>
              <w:t>AHRI</w:t>
            </w:r>
          </w:p>
        </w:tc>
        <w:tc>
          <w:tcPr>
            <w:tcW w:w="8166" w:type="dxa"/>
          </w:tcPr>
          <w:p w14:paraId="10C26FFC" w14:textId="47035F3E" w:rsidR="00942DAD" w:rsidRPr="006519A2" w:rsidRDefault="00942DAD" w:rsidP="00942DAD">
            <w:pPr>
              <w:rPr>
                <w:sz w:val="20"/>
                <w:szCs w:val="20"/>
              </w:rPr>
            </w:pPr>
            <w:r w:rsidRPr="006519A2">
              <w:rPr>
                <w:sz w:val="20"/>
                <w:szCs w:val="20"/>
              </w:rPr>
              <w:t>Air Conditioning, Heating and Refrigeration Institute (USA)</w:t>
            </w:r>
          </w:p>
        </w:tc>
      </w:tr>
      <w:tr w:rsidR="00942DAD" w:rsidRPr="006519A2" w14:paraId="454E675D" w14:textId="77777777" w:rsidTr="0070646E">
        <w:trPr>
          <w:trHeight w:hRule="exact" w:val="284"/>
        </w:trPr>
        <w:tc>
          <w:tcPr>
            <w:tcW w:w="1462" w:type="dxa"/>
          </w:tcPr>
          <w:p w14:paraId="7E83F28A" w14:textId="676999A6" w:rsidR="00942DAD" w:rsidRPr="006519A2" w:rsidRDefault="00942DAD" w:rsidP="00942DAD">
            <w:pPr>
              <w:rPr>
                <w:sz w:val="20"/>
                <w:szCs w:val="20"/>
              </w:rPr>
            </w:pPr>
            <w:r w:rsidRPr="006519A2">
              <w:rPr>
                <w:sz w:val="20"/>
                <w:szCs w:val="20"/>
              </w:rPr>
              <w:t>ANSI</w:t>
            </w:r>
          </w:p>
        </w:tc>
        <w:tc>
          <w:tcPr>
            <w:tcW w:w="8166" w:type="dxa"/>
          </w:tcPr>
          <w:p w14:paraId="26FCA4E3" w14:textId="5938641F" w:rsidR="00942DAD" w:rsidRPr="006519A2" w:rsidRDefault="00942DAD" w:rsidP="00942DAD">
            <w:pPr>
              <w:rPr>
                <w:sz w:val="20"/>
                <w:szCs w:val="20"/>
              </w:rPr>
            </w:pPr>
            <w:r w:rsidRPr="006519A2">
              <w:rPr>
                <w:sz w:val="20"/>
                <w:szCs w:val="20"/>
              </w:rPr>
              <w:t>American National Standards Institute</w:t>
            </w:r>
          </w:p>
        </w:tc>
      </w:tr>
      <w:tr w:rsidR="00942DAD" w:rsidRPr="006519A2" w14:paraId="76C6A997" w14:textId="77777777" w:rsidTr="0070646E">
        <w:trPr>
          <w:trHeight w:hRule="exact" w:val="284"/>
        </w:trPr>
        <w:tc>
          <w:tcPr>
            <w:tcW w:w="1462" w:type="dxa"/>
          </w:tcPr>
          <w:p w14:paraId="6BE03EE3" w14:textId="6365EBE6" w:rsidR="00942DAD" w:rsidRPr="006519A2" w:rsidRDefault="00942DAD" w:rsidP="00942DAD">
            <w:pPr>
              <w:rPr>
                <w:sz w:val="20"/>
                <w:szCs w:val="20"/>
              </w:rPr>
            </w:pPr>
            <w:r w:rsidRPr="006519A2">
              <w:rPr>
                <w:sz w:val="20"/>
                <w:szCs w:val="20"/>
              </w:rPr>
              <w:t>ASHRAE</w:t>
            </w:r>
          </w:p>
        </w:tc>
        <w:tc>
          <w:tcPr>
            <w:tcW w:w="8166" w:type="dxa"/>
          </w:tcPr>
          <w:p w14:paraId="14D97E15" w14:textId="5817D34F" w:rsidR="00942DAD" w:rsidRPr="006519A2" w:rsidRDefault="00942DAD" w:rsidP="00942DAD">
            <w:pPr>
              <w:rPr>
                <w:sz w:val="20"/>
                <w:szCs w:val="20"/>
              </w:rPr>
            </w:pPr>
            <w:r w:rsidRPr="006519A2">
              <w:rPr>
                <w:sz w:val="20"/>
                <w:szCs w:val="20"/>
              </w:rPr>
              <w:t>American Society of Heating, Refrigerating and Air-Conditioning Engineers</w:t>
            </w:r>
          </w:p>
        </w:tc>
      </w:tr>
      <w:tr w:rsidR="00F7120A" w:rsidRPr="006519A2" w14:paraId="0B692A99" w14:textId="77777777" w:rsidTr="00942DAD">
        <w:trPr>
          <w:trHeight w:hRule="exact" w:val="284"/>
        </w:trPr>
        <w:tc>
          <w:tcPr>
            <w:tcW w:w="1462" w:type="dxa"/>
            <w:vAlign w:val="center"/>
          </w:tcPr>
          <w:p w14:paraId="31B74BF0" w14:textId="173605C8" w:rsidR="00F7120A" w:rsidRPr="006519A2" w:rsidRDefault="009D314B" w:rsidP="0014151F">
            <w:pPr>
              <w:rPr>
                <w:sz w:val="20"/>
                <w:szCs w:val="20"/>
              </w:rPr>
            </w:pPr>
            <w:r w:rsidRPr="006519A2">
              <w:rPr>
                <w:sz w:val="20"/>
                <w:szCs w:val="20"/>
              </w:rPr>
              <w:t>Batch</w:t>
            </w:r>
          </w:p>
        </w:tc>
        <w:tc>
          <w:tcPr>
            <w:tcW w:w="8166" w:type="dxa"/>
            <w:vAlign w:val="center"/>
          </w:tcPr>
          <w:p w14:paraId="5FE9121F" w14:textId="12EC1830" w:rsidR="00F7120A" w:rsidRPr="006519A2" w:rsidRDefault="009D314B" w:rsidP="0014151F">
            <w:pPr>
              <w:rPr>
                <w:sz w:val="20"/>
                <w:szCs w:val="20"/>
              </w:rPr>
            </w:pPr>
            <w:r w:rsidRPr="006519A2">
              <w:rPr>
                <w:sz w:val="20"/>
                <w:szCs w:val="20"/>
              </w:rPr>
              <w:t>Mode of production for shaped ice</w:t>
            </w:r>
          </w:p>
        </w:tc>
      </w:tr>
      <w:tr w:rsidR="00942DAD" w:rsidRPr="006519A2" w14:paraId="7056CE27" w14:textId="77777777" w:rsidTr="00942DAD">
        <w:trPr>
          <w:trHeight w:hRule="exact" w:val="284"/>
        </w:trPr>
        <w:tc>
          <w:tcPr>
            <w:tcW w:w="1462" w:type="dxa"/>
            <w:vAlign w:val="center"/>
          </w:tcPr>
          <w:p w14:paraId="71B634B2" w14:textId="2C20840B" w:rsidR="00942DAD" w:rsidRPr="006519A2" w:rsidRDefault="00942DAD" w:rsidP="0014151F">
            <w:pPr>
              <w:rPr>
                <w:sz w:val="20"/>
                <w:szCs w:val="20"/>
              </w:rPr>
            </w:pPr>
            <w:r w:rsidRPr="006519A2">
              <w:rPr>
                <w:sz w:val="20"/>
                <w:szCs w:val="20"/>
              </w:rPr>
              <w:t>BAU</w:t>
            </w:r>
          </w:p>
        </w:tc>
        <w:tc>
          <w:tcPr>
            <w:tcW w:w="8166" w:type="dxa"/>
            <w:vAlign w:val="center"/>
          </w:tcPr>
          <w:p w14:paraId="7610749E" w14:textId="1A567CC5" w:rsidR="00942DAD" w:rsidRPr="006519A2" w:rsidRDefault="00942DAD" w:rsidP="0014151F">
            <w:pPr>
              <w:rPr>
                <w:sz w:val="20"/>
                <w:szCs w:val="20"/>
              </w:rPr>
            </w:pPr>
            <w:r w:rsidRPr="006519A2">
              <w:rPr>
                <w:sz w:val="20"/>
                <w:szCs w:val="20"/>
              </w:rPr>
              <w:t xml:space="preserve">Business as </w:t>
            </w:r>
            <w:r w:rsidR="006811EB">
              <w:rPr>
                <w:sz w:val="20"/>
                <w:szCs w:val="20"/>
              </w:rPr>
              <w:t>u</w:t>
            </w:r>
            <w:r w:rsidRPr="006519A2">
              <w:rPr>
                <w:sz w:val="20"/>
                <w:szCs w:val="20"/>
              </w:rPr>
              <w:t>sual</w:t>
            </w:r>
          </w:p>
        </w:tc>
      </w:tr>
      <w:tr w:rsidR="00F7120A" w:rsidRPr="006519A2" w14:paraId="1904C3BF" w14:textId="77777777" w:rsidTr="00942DAD">
        <w:trPr>
          <w:trHeight w:hRule="exact" w:val="284"/>
        </w:trPr>
        <w:tc>
          <w:tcPr>
            <w:tcW w:w="1462" w:type="dxa"/>
            <w:vAlign w:val="center"/>
          </w:tcPr>
          <w:p w14:paraId="5C93E24F" w14:textId="21217D35" w:rsidR="00F7120A" w:rsidRPr="006519A2" w:rsidRDefault="00F7120A" w:rsidP="0014151F">
            <w:pPr>
              <w:rPr>
                <w:sz w:val="20"/>
                <w:szCs w:val="20"/>
              </w:rPr>
            </w:pPr>
            <w:r w:rsidRPr="006519A2">
              <w:rPr>
                <w:sz w:val="20"/>
                <w:szCs w:val="20"/>
              </w:rPr>
              <w:t>CIM</w:t>
            </w:r>
          </w:p>
        </w:tc>
        <w:tc>
          <w:tcPr>
            <w:tcW w:w="8166" w:type="dxa"/>
            <w:vAlign w:val="center"/>
          </w:tcPr>
          <w:p w14:paraId="305DC96A" w14:textId="504BD973" w:rsidR="00F7120A" w:rsidRPr="006519A2" w:rsidRDefault="00F7120A" w:rsidP="0014151F">
            <w:pPr>
              <w:rPr>
                <w:sz w:val="20"/>
                <w:szCs w:val="20"/>
              </w:rPr>
            </w:pPr>
            <w:r w:rsidRPr="006519A2">
              <w:rPr>
                <w:sz w:val="20"/>
                <w:szCs w:val="20"/>
              </w:rPr>
              <w:t>Commercial ice maker</w:t>
            </w:r>
          </w:p>
        </w:tc>
      </w:tr>
      <w:tr w:rsidR="009D314B" w:rsidRPr="006519A2" w14:paraId="3CDB058B" w14:textId="77777777" w:rsidTr="00942DAD">
        <w:trPr>
          <w:trHeight w:hRule="exact" w:val="284"/>
        </w:trPr>
        <w:tc>
          <w:tcPr>
            <w:tcW w:w="1462" w:type="dxa"/>
            <w:vAlign w:val="center"/>
          </w:tcPr>
          <w:p w14:paraId="038DC5F4" w14:textId="7419D1EC" w:rsidR="009D314B" w:rsidRPr="006519A2" w:rsidRDefault="009D314B" w:rsidP="0014151F">
            <w:pPr>
              <w:rPr>
                <w:sz w:val="20"/>
                <w:szCs w:val="20"/>
              </w:rPr>
            </w:pPr>
            <w:r w:rsidRPr="006519A2">
              <w:rPr>
                <w:sz w:val="20"/>
                <w:szCs w:val="20"/>
              </w:rPr>
              <w:t>Cont(inuous)</w:t>
            </w:r>
          </w:p>
        </w:tc>
        <w:tc>
          <w:tcPr>
            <w:tcW w:w="8166" w:type="dxa"/>
            <w:vAlign w:val="center"/>
          </w:tcPr>
          <w:p w14:paraId="70EFDC15" w14:textId="263A5C9A" w:rsidR="009D314B" w:rsidRPr="006519A2" w:rsidRDefault="009D314B" w:rsidP="0014151F">
            <w:pPr>
              <w:rPr>
                <w:sz w:val="20"/>
                <w:szCs w:val="20"/>
              </w:rPr>
            </w:pPr>
            <w:r w:rsidRPr="006519A2">
              <w:rPr>
                <w:sz w:val="20"/>
                <w:szCs w:val="20"/>
              </w:rPr>
              <w:t>Mode of production for flaked ice</w:t>
            </w:r>
          </w:p>
        </w:tc>
      </w:tr>
      <w:tr w:rsidR="004C48AD" w:rsidRPr="006519A2" w14:paraId="226705C4" w14:textId="77777777" w:rsidTr="00942DAD">
        <w:trPr>
          <w:trHeight w:hRule="exact" w:val="284"/>
        </w:trPr>
        <w:tc>
          <w:tcPr>
            <w:tcW w:w="1462" w:type="dxa"/>
            <w:vAlign w:val="center"/>
          </w:tcPr>
          <w:p w14:paraId="4E0009D6" w14:textId="065CEA8E" w:rsidR="004C48AD" w:rsidRPr="006519A2" w:rsidRDefault="004C48AD" w:rsidP="0014151F">
            <w:pPr>
              <w:rPr>
                <w:sz w:val="20"/>
                <w:szCs w:val="20"/>
              </w:rPr>
            </w:pPr>
            <w:r w:rsidRPr="006519A2">
              <w:rPr>
                <w:sz w:val="20"/>
                <w:szCs w:val="20"/>
              </w:rPr>
              <w:t>DCCEEW</w:t>
            </w:r>
          </w:p>
        </w:tc>
        <w:tc>
          <w:tcPr>
            <w:tcW w:w="8166" w:type="dxa"/>
            <w:vAlign w:val="center"/>
          </w:tcPr>
          <w:p w14:paraId="728639DF" w14:textId="7F133974" w:rsidR="004C48AD" w:rsidRPr="006519A2" w:rsidRDefault="004C48AD" w:rsidP="0014151F">
            <w:pPr>
              <w:rPr>
                <w:sz w:val="20"/>
                <w:szCs w:val="20"/>
              </w:rPr>
            </w:pPr>
            <w:r w:rsidRPr="006519A2">
              <w:rPr>
                <w:sz w:val="20"/>
                <w:szCs w:val="20"/>
              </w:rPr>
              <w:t xml:space="preserve">Department of Climate Change, Energy </w:t>
            </w:r>
            <w:r w:rsidR="00DD25B4">
              <w:rPr>
                <w:sz w:val="20"/>
                <w:szCs w:val="20"/>
              </w:rPr>
              <w:t>the Environment</w:t>
            </w:r>
            <w:r w:rsidRPr="006519A2">
              <w:rPr>
                <w:sz w:val="20"/>
                <w:szCs w:val="20"/>
              </w:rPr>
              <w:t xml:space="preserve"> and Water</w:t>
            </w:r>
          </w:p>
        </w:tc>
      </w:tr>
      <w:tr w:rsidR="004C48AD" w:rsidRPr="006519A2" w14:paraId="071E98B1" w14:textId="77777777" w:rsidTr="00942DAD">
        <w:trPr>
          <w:trHeight w:hRule="exact" w:val="284"/>
        </w:trPr>
        <w:tc>
          <w:tcPr>
            <w:tcW w:w="1462" w:type="dxa"/>
            <w:vAlign w:val="center"/>
          </w:tcPr>
          <w:p w14:paraId="050310E2" w14:textId="5F62D95F" w:rsidR="004C48AD" w:rsidRPr="006519A2" w:rsidRDefault="004C48AD" w:rsidP="0014151F">
            <w:pPr>
              <w:rPr>
                <w:sz w:val="20"/>
                <w:szCs w:val="20"/>
              </w:rPr>
            </w:pPr>
            <w:r w:rsidRPr="006519A2">
              <w:rPr>
                <w:sz w:val="20"/>
                <w:szCs w:val="20"/>
              </w:rPr>
              <w:t>E3</w:t>
            </w:r>
          </w:p>
        </w:tc>
        <w:tc>
          <w:tcPr>
            <w:tcW w:w="8166" w:type="dxa"/>
            <w:vAlign w:val="center"/>
          </w:tcPr>
          <w:p w14:paraId="61AB63C0" w14:textId="17DC4092" w:rsidR="004C48AD" w:rsidRPr="006519A2" w:rsidRDefault="004C48AD" w:rsidP="0014151F">
            <w:pPr>
              <w:rPr>
                <w:sz w:val="20"/>
                <w:szCs w:val="20"/>
              </w:rPr>
            </w:pPr>
            <w:r w:rsidRPr="006519A2">
              <w:rPr>
                <w:sz w:val="20"/>
                <w:szCs w:val="20"/>
              </w:rPr>
              <w:t>Equipment Energy Efficiency program</w:t>
            </w:r>
          </w:p>
        </w:tc>
      </w:tr>
      <w:tr w:rsidR="0041186E" w:rsidRPr="006519A2" w14:paraId="1BB7C3E2" w14:textId="77777777" w:rsidTr="00942DAD">
        <w:trPr>
          <w:trHeight w:hRule="exact" w:val="284"/>
        </w:trPr>
        <w:tc>
          <w:tcPr>
            <w:tcW w:w="1462" w:type="dxa"/>
            <w:vAlign w:val="center"/>
          </w:tcPr>
          <w:p w14:paraId="334FB2EE" w14:textId="00DD645B" w:rsidR="0041186E" w:rsidRPr="006519A2" w:rsidRDefault="0041186E" w:rsidP="0014151F">
            <w:pPr>
              <w:rPr>
                <w:sz w:val="20"/>
                <w:szCs w:val="20"/>
              </w:rPr>
            </w:pPr>
            <w:r>
              <w:rPr>
                <w:sz w:val="20"/>
                <w:szCs w:val="20"/>
              </w:rPr>
              <w:t>EECA</w:t>
            </w:r>
          </w:p>
        </w:tc>
        <w:tc>
          <w:tcPr>
            <w:tcW w:w="8166" w:type="dxa"/>
            <w:vAlign w:val="center"/>
          </w:tcPr>
          <w:p w14:paraId="139023BD" w14:textId="0DD89847" w:rsidR="0041186E" w:rsidRPr="006519A2" w:rsidRDefault="0041186E" w:rsidP="0014151F">
            <w:pPr>
              <w:rPr>
                <w:sz w:val="20"/>
                <w:szCs w:val="20"/>
              </w:rPr>
            </w:pPr>
            <w:r>
              <w:rPr>
                <w:sz w:val="20"/>
                <w:szCs w:val="20"/>
              </w:rPr>
              <w:t>Energy Efficiency and Conservation Authority (New Zealand)</w:t>
            </w:r>
          </w:p>
        </w:tc>
      </w:tr>
      <w:tr w:rsidR="00F7120A" w:rsidRPr="006519A2" w14:paraId="3C3A1ED3" w14:textId="77777777" w:rsidTr="00942DAD">
        <w:trPr>
          <w:trHeight w:hRule="exact" w:val="284"/>
        </w:trPr>
        <w:tc>
          <w:tcPr>
            <w:tcW w:w="1462" w:type="dxa"/>
            <w:vAlign w:val="center"/>
          </w:tcPr>
          <w:p w14:paraId="7ABBE32A" w14:textId="28C84997" w:rsidR="00F7120A" w:rsidRPr="006519A2" w:rsidRDefault="004C48AD" w:rsidP="0014151F">
            <w:pPr>
              <w:rPr>
                <w:sz w:val="20"/>
                <w:szCs w:val="20"/>
              </w:rPr>
            </w:pPr>
            <w:r w:rsidRPr="006519A2">
              <w:rPr>
                <w:sz w:val="20"/>
                <w:szCs w:val="20"/>
              </w:rPr>
              <w:t>ES</w:t>
            </w:r>
          </w:p>
        </w:tc>
        <w:tc>
          <w:tcPr>
            <w:tcW w:w="8166" w:type="dxa"/>
            <w:vAlign w:val="center"/>
          </w:tcPr>
          <w:p w14:paraId="1506AD7C" w14:textId="29F7D326" w:rsidR="00F7120A" w:rsidRPr="006519A2" w:rsidRDefault="004C48AD" w:rsidP="0014151F">
            <w:pPr>
              <w:rPr>
                <w:sz w:val="20"/>
                <w:szCs w:val="20"/>
              </w:rPr>
            </w:pPr>
            <w:r w:rsidRPr="006519A2">
              <w:rPr>
                <w:sz w:val="20"/>
                <w:szCs w:val="20"/>
              </w:rPr>
              <w:t xml:space="preserve">Energy Star program of the </w:t>
            </w:r>
            <w:r w:rsidR="00A650D8" w:rsidRPr="006519A2">
              <w:rPr>
                <w:sz w:val="20"/>
                <w:szCs w:val="20"/>
              </w:rPr>
              <w:t>US</w:t>
            </w:r>
            <w:r w:rsidRPr="006519A2">
              <w:rPr>
                <w:sz w:val="20"/>
                <w:szCs w:val="20"/>
              </w:rPr>
              <w:t>EPA</w:t>
            </w:r>
          </w:p>
        </w:tc>
      </w:tr>
      <w:tr w:rsidR="00F7120A" w:rsidRPr="006519A2" w14:paraId="30EE67B0" w14:textId="77777777" w:rsidTr="00942DAD">
        <w:trPr>
          <w:trHeight w:hRule="exact" w:val="284"/>
        </w:trPr>
        <w:tc>
          <w:tcPr>
            <w:tcW w:w="1462" w:type="dxa"/>
            <w:vAlign w:val="center"/>
          </w:tcPr>
          <w:p w14:paraId="6F2E2248" w14:textId="6C697798" w:rsidR="00F7120A" w:rsidRPr="006519A2" w:rsidRDefault="00F7120A" w:rsidP="0014151F">
            <w:pPr>
              <w:rPr>
                <w:sz w:val="20"/>
                <w:szCs w:val="20"/>
              </w:rPr>
            </w:pPr>
            <w:r w:rsidRPr="006519A2">
              <w:rPr>
                <w:sz w:val="20"/>
                <w:szCs w:val="20"/>
              </w:rPr>
              <w:t>GEMS</w:t>
            </w:r>
          </w:p>
        </w:tc>
        <w:tc>
          <w:tcPr>
            <w:tcW w:w="8166" w:type="dxa"/>
            <w:vAlign w:val="center"/>
          </w:tcPr>
          <w:p w14:paraId="57E61632" w14:textId="312E7187" w:rsidR="00F7120A" w:rsidRPr="006519A2" w:rsidRDefault="00F7120A" w:rsidP="0014151F">
            <w:pPr>
              <w:rPr>
                <w:sz w:val="20"/>
                <w:szCs w:val="20"/>
              </w:rPr>
            </w:pPr>
            <w:r w:rsidRPr="006519A2">
              <w:rPr>
                <w:sz w:val="20"/>
                <w:szCs w:val="20"/>
              </w:rPr>
              <w:t>Greenhouse and Energy Minimum Standards</w:t>
            </w:r>
            <w:r w:rsidR="006519A2">
              <w:rPr>
                <w:sz w:val="20"/>
                <w:szCs w:val="20"/>
              </w:rPr>
              <w:t xml:space="preserve"> </w:t>
            </w:r>
            <w:r w:rsidR="006519A2" w:rsidRPr="006519A2">
              <w:rPr>
                <w:sz w:val="20"/>
                <w:szCs w:val="20"/>
              </w:rPr>
              <w:t>(Commonwealth Act, 2012)</w:t>
            </w:r>
          </w:p>
        </w:tc>
      </w:tr>
      <w:tr w:rsidR="002F4C85" w:rsidRPr="006519A2" w14:paraId="12FD0B14" w14:textId="77777777" w:rsidTr="00942DAD">
        <w:trPr>
          <w:trHeight w:hRule="exact" w:val="284"/>
        </w:trPr>
        <w:tc>
          <w:tcPr>
            <w:tcW w:w="1462" w:type="dxa"/>
            <w:vAlign w:val="center"/>
          </w:tcPr>
          <w:p w14:paraId="3936B6E5" w14:textId="31FEDB3E" w:rsidR="002F4C85" w:rsidRDefault="002F4C85" w:rsidP="0014151F">
            <w:pPr>
              <w:rPr>
                <w:sz w:val="20"/>
                <w:szCs w:val="20"/>
              </w:rPr>
            </w:pPr>
            <w:r>
              <w:rPr>
                <w:sz w:val="20"/>
                <w:szCs w:val="20"/>
              </w:rPr>
              <w:t>GL</w:t>
            </w:r>
          </w:p>
        </w:tc>
        <w:tc>
          <w:tcPr>
            <w:tcW w:w="8166" w:type="dxa"/>
            <w:vAlign w:val="center"/>
          </w:tcPr>
          <w:p w14:paraId="031335A1" w14:textId="090A3E2F" w:rsidR="002F4C85" w:rsidRPr="002F4C85" w:rsidRDefault="002F4C85" w:rsidP="0014151F">
            <w:pPr>
              <w:rPr>
                <w:sz w:val="20"/>
                <w:szCs w:val="20"/>
              </w:rPr>
            </w:pPr>
            <w:r>
              <w:rPr>
                <w:sz w:val="20"/>
                <w:szCs w:val="20"/>
              </w:rPr>
              <w:t>Gigalitres (litres x 10</w:t>
            </w:r>
            <w:r w:rsidRPr="002F4C85">
              <w:rPr>
                <w:sz w:val="20"/>
                <w:szCs w:val="20"/>
                <w:vertAlign w:val="superscript"/>
              </w:rPr>
              <w:t>9</w:t>
            </w:r>
            <w:r>
              <w:rPr>
                <w:sz w:val="20"/>
                <w:szCs w:val="20"/>
              </w:rPr>
              <w:t>)</w:t>
            </w:r>
          </w:p>
        </w:tc>
      </w:tr>
      <w:tr w:rsidR="00EF62F3" w:rsidRPr="006519A2" w14:paraId="34721DB7" w14:textId="77777777" w:rsidTr="00942DAD">
        <w:trPr>
          <w:trHeight w:hRule="exact" w:val="284"/>
        </w:trPr>
        <w:tc>
          <w:tcPr>
            <w:tcW w:w="1462" w:type="dxa"/>
            <w:vAlign w:val="center"/>
          </w:tcPr>
          <w:p w14:paraId="34631FDC" w14:textId="0442A167" w:rsidR="00EF62F3" w:rsidRPr="006519A2" w:rsidRDefault="00EF62F3" w:rsidP="0014151F">
            <w:pPr>
              <w:rPr>
                <w:sz w:val="20"/>
                <w:szCs w:val="20"/>
              </w:rPr>
            </w:pPr>
            <w:r>
              <w:rPr>
                <w:sz w:val="20"/>
                <w:szCs w:val="20"/>
              </w:rPr>
              <w:t>HE</w:t>
            </w:r>
          </w:p>
        </w:tc>
        <w:tc>
          <w:tcPr>
            <w:tcW w:w="8166" w:type="dxa"/>
            <w:vAlign w:val="center"/>
          </w:tcPr>
          <w:p w14:paraId="59C9F969" w14:textId="182B4087" w:rsidR="00EF62F3" w:rsidRPr="006519A2" w:rsidRDefault="00EF62F3" w:rsidP="0014151F">
            <w:pPr>
              <w:rPr>
                <w:sz w:val="20"/>
                <w:szCs w:val="20"/>
              </w:rPr>
            </w:pPr>
            <w:r>
              <w:rPr>
                <w:sz w:val="20"/>
                <w:szCs w:val="20"/>
              </w:rPr>
              <w:t>High efficiency</w:t>
            </w:r>
          </w:p>
        </w:tc>
      </w:tr>
      <w:tr w:rsidR="004C48AD" w:rsidRPr="006519A2" w14:paraId="7851B3E0" w14:textId="77777777" w:rsidTr="00942DAD">
        <w:trPr>
          <w:trHeight w:hRule="exact" w:val="284"/>
        </w:trPr>
        <w:tc>
          <w:tcPr>
            <w:tcW w:w="1462" w:type="dxa"/>
            <w:vAlign w:val="center"/>
          </w:tcPr>
          <w:p w14:paraId="52A7D381" w14:textId="4EB484BA" w:rsidR="004C48AD" w:rsidRPr="006519A2" w:rsidRDefault="004C48AD" w:rsidP="0014151F">
            <w:pPr>
              <w:rPr>
                <w:sz w:val="20"/>
                <w:szCs w:val="20"/>
              </w:rPr>
            </w:pPr>
            <w:r w:rsidRPr="006519A2">
              <w:rPr>
                <w:sz w:val="20"/>
                <w:szCs w:val="20"/>
              </w:rPr>
              <w:t>IMH</w:t>
            </w:r>
          </w:p>
        </w:tc>
        <w:tc>
          <w:tcPr>
            <w:tcW w:w="8166" w:type="dxa"/>
            <w:vAlign w:val="center"/>
          </w:tcPr>
          <w:p w14:paraId="0B69E3B8" w14:textId="7189235D" w:rsidR="004C48AD" w:rsidRPr="006519A2" w:rsidRDefault="004C48AD" w:rsidP="0014151F">
            <w:pPr>
              <w:rPr>
                <w:sz w:val="20"/>
                <w:szCs w:val="20"/>
              </w:rPr>
            </w:pPr>
            <w:r w:rsidRPr="006519A2">
              <w:rPr>
                <w:sz w:val="20"/>
                <w:szCs w:val="20"/>
              </w:rPr>
              <w:t>Ice making head (configuration of CIM)</w:t>
            </w:r>
          </w:p>
        </w:tc>
      </w:tr>
      <w:tr w:rsidR="00942DAD" w:rsidRPr="006519A2" w14:paraId="655996DB" w14:textId="77777777" w:rsidTr="00942DAD">
        <w:trPr>
          <w:trHeight w:hRule="exact" w:val="284"/>
        </w:trPr>
        <w:tc>
          <w:tcPr>
            <w:tcW w:w="1462" w:type="dxa"/>
            <w:vAlign w:val="center"/>
          </w:tcPr>
          <w:p w14:paraId="24A038E9" w14:textId="453A8820" w:rsidR="00942DAD" w:rsidRPr="006519A2" w:rsidRDefault="00942DAD" w:rsidP="0014151F">
            <w:pPr>
              <w:rPr>
                <w:sz w:val="20"/>
                <w:szCs w:val="20"/>
              </w:rPr>
            </w:pPr>
            <w:r w:rsidRPr="006519A2">
              <w:rPr>
                <w:sz w:val="20"/>
                <w:szCs w:val="20"/>
              </w:rPr>
              <w:t>ISO</w:t>
            </w:r>
          </w:p>
        </w:tc>
        <w:tc>
          <w:tcPr>
            <w:tcW w:w="8166" w:type="dxa"/>
            <w:vAlign w:val="center"/>
          </w:tcPr>
          <w:p w14:paraId="31B41A16" w14:textId="75937B10" w:rsidR="00942DAD" w:rsidRPr="006519A2" w:rsidRDefault="00942DAD" w:rsidP="0014151F">
            <w:pPr>
              <w:rPr>
                <w:sz w:val="20"/>
                <w:szCs w:val="20"/>
              </w:rPr>
            </w:pPr>
            <w:r w:rsidRPr="006519A2">
              <w:rPr>
                <w:sz w:val="20"/>
                <w:szCs w:val="20"/>
              </w:rPr>
              <w:t>International Standards</w:t>
            </w:r>
            <w:r w:rsidR="006519A2">
              <w:rPr>
                <w:sz w:val="20"/>
                <w:szCs w:val="20"/>
              </w:rPr>
              <w:t xml:space="preserve"> </w:t>
            </w:r>
            <w:r w:rsidRPr="006519A2">
              <w:rPr>
                <w:sz w:val="20"/>
                <w:szCs w:val="20"/>
              </w:rPr>
              <w:t>Organization</w:t>
            </w:r>
          </w:p>
        </w:tc>
      </w:tr>
      <w:tr w:rsidR="006519A2" w:rsidRPr="006519A2" w14:paraId="495125D2" w14:textId="77777777" w:rsidTr="0070646E">
        <w:trPr>
          <w:trHeight w:hRule="exact" w:val="284"/>
        </w:trPr>
        <w:tc>
          <w:tcPr>
            <w:tcW w:w="1462" w:type="dxa"/>
          </w:tcPr>
          <w:p w14:paraId="37695C70" w14:textId="217A6D0B" w:rsidR="006519A2" w:rsidRPr="006519A2" w:rsidRDefault="006519A2" w:rsidP="006519A2">
            <w:pPr>
              <w:rPr>
                <w:sz w:val="20"/>
                <w:szCs w:val="20"/>
              </w:rPr>
            </w:pPr>
            <w:r w:rsidRPr="006519A2">
              <w:rPr>
                <w:sz w:val="20"/>
                <w:szCs w:val="20"/>
              </w:rPr>
              <w:t>kg/24hrs</w:t>
            </w:r>
          </w:p>
        </w:tc>
        <w:tc>
          <w:tcPr>
            <w:tcW w:w="8166" w:type="dxa"/>
          </w:tcPr>
          <w:p w14:paraId="600C0CBA" w14:textId="2090045F" w:rsidR="006519A2" w:rsidRPr="006519A2" w:rsidRDefault="006519A2" w:rsidP="006519A2">
            <w:pPr>
              <w:rPr>
                <w:sz w:val="20"/>
                <w:szCs w:val="20"/>
              </w:rPr>
            </w:pPr>
            <w:r w:rsidRPr="006519A2">
              <w:rPr>
                <w:sz w:val="20"/>
                <w:szCs w:val="20"/>
              </w:rPr>
              <w:t>Maximum production capacity of a</w:t>
            </w:r>
            <w:r w:rsidR="006811EB">
              <w:rPr>
                <w:sz w:val="20"/>
                <w:szCs w:val="20"/>
              </w:rPr>
              <w:t xml:space="preserve"> commercial</w:t>
            </w:r>
            <w:r w:rsidRPr="006519A2">
              <w:rPr>
                <w:sz w:val="20"/>
                <w:szCs w:val="20"/>
              </w:rPr>
              <w:t xml:space="preserve"> ice maker (at </w:t>
            </w:r>
            <w:r w:rsidR="006C3741">
              <w:rPr>
                <w:sz w:val="20"/>
                <w:szCs w:val="20"/>
              </w:rPr>
              <w:t xml:space="preserve">a defined </w:t>
            </w:r>
            <w:r w:rsidRPr="006519A2">
              <w:rPr>
                <w:sz w:val="20"/>
                <w:szCs w:val="20"/>
              </w:rPr>
              <w:t>rating point)</w:t>
            </w:r>
          </w:p>
        </w:tc>
      </w:tr>
      <w:tr w:rsidR="002F4C85" w:rsidRPr="006519A2" w14:paraId="7B61B844" w14:textId="77777777" w:rsidTr="0070646E">
        <w:trPr>
          <w:trHeight w:hRule="exact" w:val="284"/>
        </w:trPr>
        <w:tc>
          <w:tcPr>
            <w:tcW w:w="1462" w:type="dxa"/>
          </w:tcPr>
          <w:p w14:paraId="47EEC1DA" w14:textId="2D3421B9" w:rsidR="002F4C85" w:rsidRPr="006519A2" w:rsidRDefault="002F4C85" w:rsidP="006519A2">
            <w:pPr>
              <w:rPr>
                <w:sz w:val="20"/>
                <w:szCs w:val="20"/>
              </w:rPr>
            </w:pPr>
            <w:r>
              <w:rPr>
                <w:sz w:val="20"/>
                <w:szCs w:val="20"/>
              </w:rPr>
              <w:t>kL</w:t>
            </w:r>
          </w:p>
        </w:tc>
        <w:tc>
          <w:tcPr>
            <w:tcW w:w="8166" w:type="dxa"/>
          </w:tcPr>
          <w:p w14:paraId="2D8FA961" w14:textId="78131C57" w:rsidR="002F4C85" w:rsidRPr="006519A2" w:rsidRDefault="002F4C85" w:rsidP="006519A2">
            <w:pPr>
              <w:rPr>
                <w:sz w:val="20"/>
                <w:szCs w:val="20"/>
              </w:rPr>
            </w:pPr>
            <w:r>
              <w:rPr>
                <w:sz w:val="20"/>
                <w:szCs w:val="20"/>
              </w:rPr>
              <w:t xml:space="preserve">Kilolitres </w:t>
            </w:r>
            <w:r w:rsidRPr="002F4C85">
              <w:rPr>
                <w:sz w:val="20"/>
                <w:szCs w:val="20"/>
              </w:rPr>
              <w:t>(litres x 10</w:t>
            </w:r>
            <w:r w:rsidRPr="002F4C85">
              <w:rPr>
                <w:sz w:val="20"/>
                <w:szCs w:val="20"/>
                <w:vertAlign w:val="superscript"/>
              </w:rPr>
              <w:t>3</w:t>
            </w:r>
            <w:r w:rsidRPr="002F4C85">
              <w:rPr>
                <w:sz w:val="20"/>
                <w:szCs w:val="20"/>
              </w:rPr>
              <w:t>)</w:t>
            </w:r>
          </w:p>
        </w:tc>
      </w:tr>
      <w:tr w:rsidR="006519A2" w:rsidRPr="006519A2" w14:paraId="01504B10" w14:textId="77777777" w:rsidTr="0070646E">
        <w:trPr>
          <w:trHeight w:hRule="exact" w:val="284"/>
        </w:trPr>
        <w:tc>
          <w:tcPr>
            <w:tcW w:w="1462" w:type="dxa"/>
          </w:tcPr>
          <w:p w14:paraId="4924B27E" w14:textId="147EFFF2" w:rsidR="006519A2" w:rsidRPr="006519A2" w:rsidRDefault="006519A2" w:rsidP="006519A2">
            <w:pPr>
              <w:rPr>
                <w:sz w:val="20"/>
                <w:szCs w:val="20"/>
              </w:rPr>
            </w:pPr>
            <w:r w:rsidRPr="006519A2">
              <w:rPr>
                <w:sz w:val="20"/>
                <w:szCs w:val="20"/>
              </w:rPr>
              <w:t>kWh/kg</w:t>
            </w:r>
          </w:p>
        </w:tc>
        <w:tc>
          <w:tcPr>
            <w:tcW w:w="8166" w:type="dxa"/>
          </w:tcPr>
          <w:p w14:paraId="1FE0775F" w14:textId="2FA4AD03" w:rsidR="006519A2" w:rsidRPr="006519A2" w:rsidRDefault="006519A2" w:rsidP="006519A2">
            <w:pPr>
              <w:rPr>
                <w:sz w:val="20"/>
                <w:szCs w:val="20"/>
              </w:rPr>
            </w:pPr>
            <w:r w:rsidRPr="006519A2">
              <w:rPr>
                <w:sz w:val="20"/>
                <w:szCs w:val="20"/>
              </w:rPr>
              <w:t xml:space="preserve">Electrical energy </w:t>
            </w:r>
            <w:r>
              <w:rPr>
                <w:sz w:val="20"/>
                <w:szCs w:val="20"/>
              </w:rPr>
              <w:t xml:space="preserve">(kWh) </w:t>
            </w:r>
            <w:r w:rsidRPr="006519A2">
              <w:rPr>
                <w:sz w:val="20"/>
                <w:szCs w:val="20"/>
              </w:rPr>
              <w:t xml:space="preserve">consumed to produce a kg of ice (at </w:t>
            </w:r>
            <w:r w:rsidR="002F4C85">
              <w:rPr>
                <w:sz w:val="20"/>
                <w:szCs w:val="20"/>
              </w:rPr>
              <w:t xml:space="preserve">a defined </w:t>
            </w:r>
            <w:r w:rsidRPr="006519A2">
              <w:rPr>
                <w:sz w:val="20"/>
                <w:szCs w:val="20"/>
              </w:rPr>
              <w:t>rating point)</w:t>
            </w:r>
          </w:p>
        </w:tc>
      </w:tr>
      <w:tr w:rsidR="00942DAD" w:rsidRPr="006519A2" w14:paraId="4C70DCD3" w14:textId="77777777" w:rsidTr="00942DAD">
        <w:trPr>
          <w:trHeight w:hRule="exact" w:val="284"/>
        </w:trPr>
        <w:tc>
          <w:tcPr>
            <w:tcW w:w="1462" w:type="dxa"/>
            <w:vAlign w:val="center"/>
          </w:tcPr>
          <w:p w14:paraId="005C463C" w14:textId="43C1E71B" w:rsidR="00942DAD" w:rsidRPr="006519A2" w:rsidRDefault="006519A2" w:rsidP="0014151F">
            <w:pPr>
              <w:rPr>
                <w:sz w:val="20"/>
                <w:szCs w:val="20"/>
              </w:rPr>
            </w:pPr>
            <w:r w:rsidRPr="006519A2">
              <w:rPr>
                <w:sz w:val="20"/>
                <w:szCs w:val="20"/>
              </w:rPr>
              <w:t>L/kg</w:t>
            </w:r>
          </w:p>
        </w:tc>
        <w:tc>
          <w:tcPr>
            <w:tcW w:w="8166" w:type="dxa"/>
            <w:vAlign w:val="center"/>
          </w:tcPr>
          <w:p w14:paraId="6EFF1FB9" w14:textId="65FD0844" w:rsidR="00942DAD" w:rsidRPr="006519A2" w:rsidRDefault="006519A2" w:rsidP="0014151F">
            <w:pPr>
              <w:rPr>
                <w:sz w:val="20"/>
                <w:szCs w:val="20"/>
              </w:rPr>
            </w:pPr>
            <w:r w:rsidRPr="006519A2">
              <w:rPr>
                <w:sz w:val="20"/>
                <w:szCs w:val="20"/>
              </w:rPr>
              <w:t xml:space="preserve">Water </w:t>
            </w:r>
            <w:r>
              <w:rPr>
                <w:sz w:val="20"/>
                <w:szCs w:val="20"/>
              </w:rPr>
              <w:t xml:space="preserve">(litres) </w:t>
            </w:r>
            <w:r w:rsidRPr="006519A2">
              <w:rPr>
                <w:sz w:val="20"/>
                <w:szCs w:val="20"/>
              </w:rPr>
              <w:t xml:space="preserve">consumed to produce a kg of ice (at </w:t>
            </w:r>
            <w:r w:rsidR="002F4C85">
              <w:rPr>
                <w:sz w:val="20"/>
                <w:szCs w:val="20"/>
              </w:rPr>
              <w:t xml:space="preserve">a defined </w:t>
            </w:r>
            <w:r w:rsidRPr="006519A2">
              <w:rPr>
                <w:sz w:val="20"/>
                <w:szCs w:val="20"/>
              </w:rPr>
              <w:t>rating point)</w:t>
            </w:r>
          </w:p>
        </w:tc>
      </w:tr>
      <w:tr w:rsidR="00F7120A" w:rsidRPr="006519A2" w14:paraId="60374BEB" w14:textId="77777777" w:rsidTr="00942DAD">
        <w:trPr>
          <w:trHeight w:hRule="exact" w:val="284"/>
        </w:trPr>
        <w:tc>
          <w:tcPr>
            <w:tcW w:w="1462" w:type="dxa"/>
            <w:vAlign w:val="center"/>
          </w:tcPr>
          <w:p w14:paraId="1CBD6802" w14:textId="469CE5D4" w:rsidR="00F7120A" w:rsidRPr="006519A2" w:rsidRDefault="00F7120A" w:rsidP="0014151F">
            <w:pPr>
              <w:rPr>
                <w:sz w:val="20"/>
                <w:szCs w:val="20"/>
              </w:rPr>
            </w:pPr>
            <w:r w:rsidRPr="006519A2">
              <w:rPr>
                <w:sz w:val="20"/>
                <w:szCs w:val="20"/>
              </w:rPr>
              <w:t xml:space="preserve">MEPS </w:t>
            </w:r>
          </w:p>
        </w:tc>
        <w:tc>
          <w:tcPr>
            <w:tcW w:w="8166" w:type="dxa"/>
            <w:vAlign w:val="center"/>
          </w:tcPr>
          <w:p w14:paraId="294BE906" w14:textId="2AF57F15" w:rsidR="00F7120A" w:rsidRPr="006519A2" w:rsidRDefault="00F7120A" w:rsidP="0014151F">
            <w:pPr>
              <w:rPr>
                <w:sz w:val="20"/>
                <w:szCs w:val="20"/>
              </w:rPr>
            </w:pPr>
            <w:r w:rsidRPr="006519A2">
              <w:rPr>
                <w:sz w:val="20"/>
                <w:szCs w:val="20"/>
              </w:rPr>
              <w:t xml:space="preserve">Minimum </w:t>
            </w:r>
            <w:r w:rsidR="00DD25B4">
              <w:rPr>
                <w:sz w:val="20"/>
                <w:szCs w:val="20"/>
              </w:rPr>
              <w:t>E</w:t>
            </w:r>
            <w:r w:rsidR="002F4C85" w:rsidRPr="006519A2">
              <w:rPr>
                <w:sz w:val="20"/>
                <w:szCs w:val="20"/>
              </w:rPr>
              <w:t xml:space="preserve">nergy </w:t>
            </w:r>
            <w:r w:rsidR="00DD25B4">
              <w:rPr>
                <w:sz w:val="20"/>
                <w:szCs w:val="20"/>
              </w:rPr>
              <w:t>P</w:t>
            </w:r>
            <w:r w:rsidR="002F4C85" w:rsidRPr="006519A2">
              <w:rPr>
                <w:sz w:val="20"/>
                <w:szCs w:val="20"/>
              </w:rPr>
              <w:t xml:space="preserve">erformance </w:t>
            </w:r>
            <w:r w:rsidR="00DD25B4">
              <w:rPr>
                <w:sz w:val="20"/>
                <w:szCs w:val="20"/>
              </w:rPr>
              <w:t>S</w:t>
            </w:r>
            <w:r w:rsidR="002F4C85" w:rsidRPr="006519A2">
              <w:rPr>
                <w:sz w:val="20"/>
                <w:szCs w:val="20"/>
              </w:rPr>
              <w:t>tandards</w:t>
            </w:r>
          </w:p>
        </w:tc>
      </w:tr>
      <w:tr w:rsidR="001E2E58" w:rsidRPr="006519A2" w14:paraId="3382AE1A" w14:textId="77777777" w:rsidTr="00942DAD">
        <w:trPr>
          <w:trHeight w:hRule="exact" w:val="284"/>
        </w:trPr>
        <w:tc>
          <w:tcPr>
            <w:tcW w:w="1462" w:type="dxa"/>
            <w:vAlign w:val="center"/>
          </w:tcPr>
          <w:p w14:paraId="299AF943" w14:textId="3468A60B" w:rsidR="001E2E58" w:rsidRDefault="001E2E58" w:rsidP="0014151F">
            <w:pPr>
              <w:rPr>
                <w:sz w:val="20"/>
                <w:szCs w:val="20"/>
              </w:rPr>
            </w:pPr>
            <w:r>
              <w:rPr>
                <w:sz w:val="20"/>
                <w:szCs w:val="20"/>
              </w:rPr>
              <w:t>NAFES</w:t>
            </w:r>
          </w:p>
        </w:tc>
        <w:tc>
          <w:tcPr>
            <w:tcW w:w="8166" w:type="dxa"/>
            <w:vAlign w:val="center"/>
          </w:tcPr>
          <w:p w14:paraId="3959579B" w14:textId="010E1429" w:rsidR="001E2E58" w:rsidRDefault="001E2E58" w:rsidP="0014151F">
            <w:pPr>
              <w:rPr>
                <w:sz w:val="20"/>
                <w:szCs w:val="20"/>
              </w:rPr>
            </w:pPr>
            <w:r w:rsidRPr="001E2E58">
              <w:rPr>
                <w:sz w:val="20"/>
                <w:szCs w:val="20"/>
              </w:rPr>
              <w:t>National Association of Food Equipment Suppliers</w:t>
            </w:r>
          </w:p>
        </w:tc>
      </w:tr>
      <w:tr w:rsidR="006C3741" w:rsidRPr="006519A2" w14:paraId="70743D60" w14:textId="77777777" w:rsidTr="00942DAD">
        <w:trPr>
          <w:trHeight w:hRule="exact" w:val="284"/>
        </w:trPr>
        <w:tc>
          <w:tcPr>
            <w:tcW w:w="1462" w:type="dxa"/>
            <w:vAlign w:val="center"/>
          </w:tcPr>
          <w:p w14:paraId="78851666" w14:textId="2E477D2E" w:rsidR="006C3741" w:rsidRPr="006519A2" w:rsidRDefault="006C3741" w:rsidP="0014151F">
            <w:pPr>
              <w:rPr>
                <w:sz w:val="20"/>
                <w:szCs w:val="20"/>
              </w:rPr>
            </w:pPr>
            <w:r>
              <w:rPr>
                <w:sz w:val="20"/>
                <w:szCs w:val="20"/>
              </w:rPr>
              <w:t>NPV</w:t>
            </w:r>
          </w:p>
        </w:tc>
        <w:tc>
          <w:tcPr>
            <w:tcW w:w="8166" w:type="dxa"/>
            <w:vAlign w:val="center"/>
          </w:tcPr>
          <w:p w14:paraId="24B936B3" w14:textId="78607326" w:rsidR="006C3741" w:rsidRPr="006519A2" w:rsidRDefault="006C3741" w:rsidP="0014151F">
            <w:pPr>
              <w:rPr>
                <w:sz w:val="20"/>
                <w:szCs w:val="20"/>
              </w:rPr>
            </w:pPr>
            <w:r>
              <w:rPr>
                <w:sz w:val="20"/>
                <w:szCs w:val="20"/>
              </w:rPr>
              <w:t>Net Present Value: PV of projected costs less PV of projected benefits</w:t>
            </w:r>
          </w:p>
        </w:tc>
      </w:tr>
      <w:tr w:rsidR="006C3741" w:rsidRPr="006519A2" w14:paraId="422CF031" w14:textId="77777777" w:rsidTr="00942DAD">
        <w:trPr>
          <w:trHeight w:hRule="exact" w:val="284"/>
        </w:trPr>
        <w:tc>
          <w:tcPr>
            <w:tcW w:w="1462" w:type="dxa"/>
            <w:vAlign w:val="center"/>
          </w:tcPr>
          <w:p w14:paraId="5947A088" w14:textId="24CC1025" w:rsidR="006C3741" w:rsidRPr="006519A2" w:rsidRDefault="006C3741" w:rsidP="0014151F">
            <w:pPr>
              <w:rPr>
                <w:sz w:val="20"/>
                <w:szCs w:val="20"/>
              </w:rPr>
            </w:pPr>
            <w:r>
              <w:rPr>
                <w:sz w:val="20"/>
                <w:szCs w:val="20"/>
              </w:rPr>
              <w:t>PV</w:t>
            </w:r>
          </w:p>
        </w:tc>
        <w:tc>
          <w:tcPr>
            <w:tcW w:w="8166" w:type="dxa"/>
            <w:vAlign w:val="center"/>
          </w:tcPr>
          <w:p w14:paraId="2BE66E94" w14:textId="3C96959A" w:rsidR="006C3741" w:rsidRPr="006519A2" w:rsidRDefault="006C3741" w:rsidP="0014151F">
            <w:pPr>
              <w:rPr>
                <w:sz w:val="20"/>
                <w:szCs w:val="20"/>
              </w:rPr>
            </w:pPr>
            <w:r>
              <w:rPr>
                <w:sz w:val="20"/>
                <w:szCs w:val="20"/>
              </w:rPr>
              <w:t xml:space="preserve">Present value of a stream of projected values, </w:t>
            </w:r>
            <w:r w:rsidR="002F4C85">
              <w:rPr>
                <w:sz w:val="20"/>
                <w:szCs w:val="20"/>
              </w:rPr>
              <w:t xml:space="preserve">calculated </w:t>
            </w:r>
            <w:r>
              <w:rPr>
                <w:sz w:val="20"/>
                <w:szCs w:val="20"/>
              </w:rPr>
              <w:t xml:space="preserve">using a </w:t>
            </w:r>
            <w:r w:rsidR="002F4C85">
              <w:rPr>
                <w:sz w:val="20"/>
                <w:szCs w:val="20"/>
              </w:rPr>
              <w:t xml:space="preserve">specified </w:t>
            </w:r>
            <w:r>
              <w:rPr>
                <w:sz w:val="20"/>
                <w:szCs w:val="20"/>
              </w:rPr>
              <w:t>discount rate</w:t>
            </w:r>
          </w:p>
        </w:tc>
      </w:tr>
      <w:tr w:rsidR="006C3741" w:rsidRPr="006519A2" w14:paraId="76A1C89B" w14:textId="77777777" w:rsidTr="00942DAD">
        <w:trPr>
          <w:trHeight w:hRule="exact" w:val="284"/>
        </w:trPr>
        <w:tc>
          <w:tcPr>
            <w:tcW w:w="1462" w:type="dxa"/>
            <w:vAlign w:val="center"/>
          </w:tcPr>
          <w:p w14:paraId="7CAB57D6" w14:textId="2B5F9B2C" w:rsidR="006C3741" w:rsidRPr="006519A2" w:rsidRDefault="006C3741" w:rsidP="0014151F">
            <w:pPr>
              <w:rPr>
                <w:sz w:val="20"/>
                <w:szCs w:val="20"/>
              </w:rPr>
            </w:pPr>
            <w:r>
              <w:rPr>
                <w:sz w:val="20"/>
                <w:szCs w:val="20"/>
              </w:rPr>
              <w:t>Rating point</w:t>
            </w:r>
          </w:p>
        </w:tc>
        <w:tc>
          <w:tcPr>
            <w:tcW w:w="8166" w:type="dxa"/>
            <w:vAlign w:val="center"/>
          </w:tcPr>
          <w:p w14:paraId="5455B230" w14:textId="6A4A7484" w:rsidR="006C3741" w:rsidRPr="006519A2" w:rsidRDefault="006C3741" w:rsidP="0014151F">
            <w:pPr>
              <w:rPr>
                <w:sz w:val="20"/>
                <w:szCs w:val="20"/>
              </w:rPr>
            </w:pPr>
            <w:r>
              <w:rPr>
                <w:sz w:val="20"/>
                <w:szCs w:val="20"/>
              </w:rPr>
              <w:t>A</w:t>
            </w:r>
            <w:r w:rsidR="002F4C85">
              <w:rPr>
                <w:sz w:val="20"/>
                <w:szCs w:val="20"/>
              </w:rPr>
              <w:t xml:space="preserve"> CIM </w:t>
            </w:r>
            <w:r>
              <w:rPr>
                <w:sz w:val="20"/>
                <w:szCs w:val="20"/>
              </w:rPr>
              <w:t>operating condition defined by ambient air and supplied water temperatures</w:t>
            </w:r>
          </w:p>
        </w:tc>
      </w:tr>
      <w:tr w:rsidR="00F7120A" w:rsidRPr="006519A2" w14:paraId="2C7028C6" w14:textId="77777777" w:rsidTr="00942DAD">
        <w:trPr>
          <w:trHeight w:hRule="exact" w:val="284"/>
        </w:trPr>
        <w:tc>
          <w:tcPr>
            <w:tcW w:w="1462" w:type="dxa"/>
            <w:vAlign w:val="center"/>
          </w:tcPr>
          <w:p w14:paraId="44684DD0" w14:textId="2273ACF3" w:rsidR="00F7120A" w:rsidRPr="006519A2" w:rsidRDefault="004C48AD" w:rsidP="0014151F">
            <w:pPr>
              <w:rPr>
                <w:sz w:val="20"/>
                <w:szCs w:val="20"/>
              </w:rPr>
            </w:pPr>
            <w:r w:rsidRPr="006519A2">
              <w:rPr>
                <w:sz w:val="20"/>
                <w:szCs w:val="20"/>
              </w:rPr>
              <w:t>SCU</w:t>
            </w:r>
          </w:p>
        </w:tc>
        <w:tc>
          <w:tcPr>
            <w:tcW w:w="8166" w:type="dxa"/>
            <w:vAlign w:val="center"/>
          </w:tcPr>
          <w:p w14:paraId="707DFD6D" w14:textId="17F1ABA0" w:rsidR="00F7120A" w:rsidRPr="006519A2" w:rsidRDefault="004C48AD" w:rsidP="0014151F">
            <w:pPr>
              <w:rPr>
                <w:sz w:val="20"/>
                <w:szCs w:val="20"/>
              </w:rPr>
            </w:pPr>
            <w:r w:rsidRPr="006519A2">
              <w:rPr>
                <w:sz w:val="20"/>
                <w:szCs w:val="20"/>
              </w:rPr>
              <w:t>Self-contained unit (configuration of CIM)</w:t>
            </w:r>
          </w:p>
        </w:tc>
      </w:tr>
      <w:tr w:rsidR="007D3CD9" w:rsidRPr="006519A2" w14:paraId="0F9F0053" w14:textId="77777777" w:rsidTr="00942DAD">
        <w:trPr>
          <w:trHeight w:hRule="exact" w:val="284"/>
        </w:trPr>
        <w:tc>
          <w:tcPr>
            <w:tcW w:w="1462" w:type="dxa"/>
            <w:vAlign w:val="center"/>
          </w:tcPr>
          <w:p w14:paraId="3F3F9A4C" w14:textId="5BD39960" w:rsidR="007D3CD9" w:rsidRPr="006519A2" w:rsidRDefault="007D3CD9" w:rsidP="0014151F">
            <w:pPr>
              <w:rPr>
                <w:sz w:val="20"/>
                <w:szCs w:val="20"/>
              </w:rPr>
            </w:pPr>
            <w:r w:rsidRPr="006519A2">
              <w:rPr>
                <w:sz w:val="20"/>
                <w:szCs w:val="20"/>
              </w:rPr>
              <w:t>RCRC</w:t>
            </w:r>
          </w:p>
        </w:tc>
        <w:tc>
          <w:tcPr>
            <w:tcW w:w="8166" w:type="dxa"/>
            <w:vAlign w:val="center"/>
          </w:tcPr>
          <w:p w14:paraId="060F2F87" w14:textId="0102FE10" w:rsidR="007D3CD9" w:rsidRPr="006519A2" w:rsidRDefault="007D3CD9" w:rsidP="0014151F">
            <w:pPr>
              <w:rPr>
                <w:sz w:val="20"/>
                <w:szCs w:val="20"/>
              </w:rPr>
            </w:pPr>
            <w:r w:rsidRPr="006519A2">
              <w:rPr>
                <w:sz w:val="20"/>
                <w:szCs w:val="20"/>
              </w:rPr>
              <w:t>Remote condensing (i.e. split) and remote compressor</w:t>
            </w:r>
            <w:r w:rsidR="006519A2">
              <w:rPr>
                <w:sz w:val="20"/>
                <w:szCs w:val="20"/>
              </w:rPr>
              <w:t xml:space="preserve"> </w:t>
            </w:r>
            <w:r w:rsidR="006519A2" w:rsidRPr="006519A2">
              <w:rPr>
                <w:sz w:val="20"/>
                <w:szCs w:val="20"/>
              </w:rPr>
              <w:t>(configuration of CIM)</w:t>
            </w:r>
          </w:p>
        </w:tc>
      </w:tr>
      <w:tr w:rsidR="007D3CD9" w:rsidRPr="006519A2" w14:paraId="303663B0" w14:textId="77777777" w:rsidTr="00942DAD">
        <w:trPr>
          <w:trHeight w:hRule="exact" w:val="284"/>
        </w:trPr>
        <w:tc>
          <w:tcPr>
            <w:tcW w:w="1462" w:type="dxa"/>
            <w:vAlign w:val="center"/>
          </w:tcPr>
          <w:p w14:paraId="4B634303" w14:textId="77777777" w:rsidR="007D3CD9" w:rsidRPr="006519A2" w:rsidRDefault="007D3CD9" w:rsidP="0014151F">
            <w:pPr>
              <w:rPr>
                <w:sz w:val="20"/>
                <w:szCs w:val="20"/>
              </w:rPr>
            </w:pPr>
            <w:r w:rsidRPr="006519A2">
              <w:rPr>
                <w:sz w:val="20"/>
                <w:szCs w:val="20"/>
              </w:rPr>
              <w:t>RCU</w:t>
            </w:r>
          </w:p>
          <w:p w14:paraId="64586B6D" w14:textId="06C1944F" w:rsidR="007D3CD9" w:rsidRPr="006519A2" w:rsidRDefault="007D3CD9" w:rsidP="0014151F">
            <w:pPr>
              <w:rPr>
                <w:sz w:val="20"/>
                <w:szCs w:val="20"/>
              </w:rPr>
            </w:pPr>
          </w:p>
        </w:tc>
        <w:tc>
          <w:tcPr>
            <w:tcW w:w="8166" w:type="dxa"/>
            <w:vAlign w:val="center"/>
          </w:tcPr>
          <w:p w14:paraId="2F1E15C8" w14:textId="414C0AC9" w:rsidR="007D3CD9" w:rsidRPr="006519A2" w:rsidRDefault="007D3CD9" w:rsidP="0014151F">
            <w:pPr>
              <w:rPr>
                <w:sz w:val="20"/>
                <w:szCs w:val="20"/>
              </w:rPr>
            </w:pPr>
            <w:r w:rsidRPr="006519A2">
              <w:rPr>
                <w:sz w:val="20"/>
                <w:szCs w:val="20"/>
              </w:rPr>
              <w:t xml:space="preserve">Remote condensing </w:t>
            </w:r>
            <w:r w:rsidR="00DD25B4">
              <w:rPr>
                <w:sz w:val="20"/>
                <w:szCs w:val="20"/>
              </w:rPr>
              <w:t xml:space="preserve">unit </w:t>
            </w:r>
            <w:r w:rsidRPr="006519A2">
              <w:rPr>
                <w:sz w:val="20"/>
                <w:szCs w:val="20"/>
              </w:rPr>
              <w:t>(i.e. split) but not remote compressor</w:t>
            </w:r>
            <w:r w:rsidR="006519A2">
              <w:rPr>
                <w:sz w:val="20"/>
                <w:szCs w:val="20"/>
              </w:rPr>
              <w:t xml:space="preserve"> </w:t>
            </w:r>
            <w:r w:rsidR="006519A2" w:rsidRPr="006519A2">
              <w:rPr>
                <w:sz w:val="20"/>
                <w:szCs w:val="20"/>
              </w:rPr>
              <w:t>(configuration of CIM)</w:t>
            </w:r>
          </w:p>
        </w:tc>
      </w:tr>
      <w:tr w:rsidR="004C48AD" w:rsidRPr="006519A2" w14:paraId="19ACD667" w14:textId="77777777" w:rsidTr="00942DAD">
        <w:trPr>
          <w:trHeight w:hRule="exact" w:val="284"/>
        </w:trPr>
        <w:tc>
          <w:tcPr>
            <w:tcW w:w="1462" w:type="dxa"/>
            <w:vAlign w:val="center"/>
          </w:tcPr>
          <w:p w14:paraId="0872130B" w14:textId="3D9E46FB" w:rsidR="004C48AD" w:rsidRPr="006519A2" w:rsidRDefault="004C48AD" w:rsidP="0014151F">
            <w:pPr>
              <w:rPr>
                <w:sz w:val="20"/>
                <w:szCs w:val="20"/>
              </w:rPr>
            </w:pPr>
            <w:r w:rsidRPr="006519A2">
              <w:rPr>
                <w:sz w:val="20"/>
                <w:szCs w:val="20"/>
              </w:rPr>
              <w:t>Split</w:t>
            </w:r>
          </w:p>
        </w:tc>
        <w:tc>
          <w:tcPr>
            <w:tcW w:w="8166" w:type="dxa"/>
            <w:vAlign w:val="center"/>
          </w:tcPr>
          <w:p w14:paraId="1B515168" w14:textId="12F20A37" w:rsidR="004C48AD" w:rsidRPr="006519A2" w:rsidRDefault="004C48AD" w:rsidP="0014151F">
            <w:pPr>
              <w:rPr>
                <w:sz w:val="20"/>
                <w:szCs w:val="20"/>
              </w:rPr>
            </w:pPr>
            <w:r w:rsidRPr="006519A2">
              <w:rPr>
                <w:sz w:val="20"/>
                <w:szCs w:val="20"/>
              </w:rPr>
              <w:t>A CIM in which the IMH and condenser are physically separate</w:t>
            </w:r>
            <w:r w:rsidR="009D314B" w:rsidRPr="006519A2">
              <w:rPr>
                <w:sz w:val="20"/>
                <w:szCs w:val="20"/>
              </w:rPr>
              <w:t xml:space="preserve"> (RCRC and RCU)</w:t>
            </w:r>
          </w:p>
        </w:tc>
      </w:tr>
      <w:tr w:rsidR="00D42135" w:rsidRPr="006519A2" w14:paraId="28AE973C" w14:textId="77777777" w:rsidTr="0070646E">
        <w:trPr>
          <w:trHeight w:hRule="exact" w:val="284"/>
        </w:trPr>
        <w:tc>
          <w:tcPr>
            <w:tcW w:w="1462" w:type="dxa"/>
          </w:tcPr>
          <w:p w14:paraId="15F43E5A" w14:textId="6AD7E628" w:rsidR="00D42135" w:rsidRPr="006519A2" w:rsidRDefault="00D42135" w:rsidP="00942DAD">
            <w:pPr>
              <w:rPr>
                <w:sz w:val="20"/>
                <w:szCs w:val="20"/>
              </w:rPr>
            </w:pPr>
            <w:r>
              <w:rPr>
                <w:sz w:val="20"/>
                <w:szCs w:val="20"/>
              </w:rPr>
              <w:t>TTMRA</w:t>
            </w:r>
          </w:p>
        </w:tc>
        <w:tc>
          <w:tcPr>
            <w:tcW w:w="8166" w:type="dxa"/>
          </w:tcPr>
          <w:p w14:paraId="5608BFB0" w14:textId="2B44A052" w:rsidR="00D42135" w:rsidRDefault="00D42135" w:rsidP="00942DAD">
            <w:pPr>
              <w:rPr>
                <w:sz w:val="20"/>
                <w:szCs w:val="20"/>
              </w:rPr>
            </w:pPr>
            <w:r>
              <w:rPr>
                <w:sz w:val="20"/>
                <w:szCs w:val="20"/>
              </w:rPr>
              <w:t>Trans-Tasman Mutual Recognition Act</w:t>
            </w:r>
          </w:p>
        </w:tc>
      </w:tr>
      <w:tr w:rsidR="00942DAD" w:rsidRPr="006519A2" w14:paraId="463D66B0" w14:textId="77777777" w:rsidTr="0070646E">
        <w:trPr>
          <w:trHeight w:hRule="exact" w:val="284"/>
        </w:trPr>
        <w:tc>
          <w:tcPr>
            <w:tcW w:w="1462" w:type="dxa"/>
          </w:tcPr>
          <w:p w14:paraId="1007E51E" w14:textId="729750EE" w:rsidR="00942DAD" w:rsidRPr="006519A2" w:rsidRDefault="00942DAD" w:rsidP="00942DAD">
            <w:pPr>
              <w:rPr>
                <w:sz w:val="20"/>
                <w:szCs w:val="20"/>
              </w:rPr>
            </w:pPr>
            <w:r w:rsidRPr="006519A2">
              <w:rPr>
                <w:sz w:val="20"/>
                <w:szCs w:val="20"/>
              </w:rPr>
              <w:t>USDOE</w:t>
            </w:r>
          </w:p>
        </w:tc>
        <w:tc>
          <w:tcPr>
            <w:tcW w:w="8166" w:type="dxa"/>
          </w:tcPr>
          <w:p w14:paraId="19ED78BB" w14:textId="579F9907" w:rsidR="00942DAD" w:rsidRPr="006519A2" w:rsidRDefault="002F4C85" w:rsidP="00942DAD">
            <w:pPr>
              <w:rPr>
                <w:sz w:val="20"/>
                <w:szCs w:val="20"/>
              </w:rPr>
            </w:pPr>
            <w:r>
              <w:rPr>
                <w:sz w:val="20"/>
                <w:szCs w:val="20"/>
              </w:rPr>
              <w:t xml:space="preserve">US </w:t>
            </w:r>
            <w:r w:rsidR="00942DAD" w:rsidRPr="006519A2">
              <w:rPr>
                <w:sz w:val="20"/>
                <w:szCs w:val="20"/>
              </w:rPr>
              <w:t>Department of Energy</w:t>
            </w:r>
          </w:p>
        </w:tc>
      </w:tr>
      <w:tr w:rsidR="00942DAD" w:rsidRPr="006519A2" w14:paraId="54A54724" w14:textId="77777777" w:rsidTr="00942DAD">
        <w:trPr>
          <w:trHeight w:hRule="exact" w:val="284"/>
        </w:trPr>
        <w:tc>
          <w:tcPr>
            <w:tcW w:w="1462" w:type="dxa"/>
            <w:vAlign w:val="center"/>
          </w:tcPr>
          <w:p w14:paraId="570CB5A5" w14:textId="78125D2E" w:rsidR="00942DAD" w:rsidRPr="006519A2" w:rsidRDefault="00942DAD" w:rsidP="00942DAD">
            <w:pPr>
              <w:rPr>
                <w:sz w:val="20"/>
                <w:szCs w:val="20"/>
              </w:rPr>
            </w:pPr>
            <w:r w:rsidRPr="006519A2">
              <w:rPr>
                <w:sz w:val="20"/>
                <w:szCs w:val="20"/>
              </w:rPr>
              <w:t>USEPA</w:t>
            </w:r>
          </w:p>
        </w:tc>
        <w:tc>
          <w:tcPr>
            <w:tcW w:w="8166" w:type="dxa"/>
            <w:vAlign w:val="center"/>
          </w:tcPr>
          <w:p w14:paraId="1DA16B7C" w14:textId="3DF342FB" w:rsidR="00942DAD" w:rsidRPr="006519A2" w:rsidRDefault="002F4C85" w:rsidP="00942DAD">
            <w:pPr>
              <w:rPr>
                <w:sz w:val="20"/>
                <w:szCs w:val="20"/>
              </w:rPr>
            </w:pPr>
            <w:r>
              <w:rPr>
                <w:sz w:val="20"/>
                <w:szCs w:val="20"/>
              </w:rPr>
              <w:t xml:space="preserve">US </w:t>
            </w:r>
            <w:r w:rsidR="00942DAD" w:rsidRPr="006519A2">
              <w:rPr>
                <w:sz w:val="20"/>
                <w:szCs w:val="20"/>
              </w:rPr>
              <w:t>Environmental Protection Agency</w:t>
            </w:r>
          </w:p>
        </w:tc>
      </w:tr>
      <w:tr w:rsidR="00F7120A" w:rsidRPr="006519A2" w14:paraId="6907EBE1" w14:textId="77777777" w:rsidTr="00942DAD">
        <w:trPr>
          <w:trHeight w:hRule="exact" w:val="284"/>
        </w:trPr>
        <w:tc>
          <w:tcPr>
            <w:tcW w:w="1462" w:type="dxa"/>
            <w:vAlign w:val="center"/>
          </w:tcPr>
          <w:p w14:paraId="65D8F63D" w14:textId="539F8ED7" w:rsidR="00F7120A" w:rsidRPr="006519A2" w:rsidRDefault="00F7120A" w:rsidP="0014151F">
            <w:pPr>
              <w:rPr>
                <w:sz w:val="20"/>
                <w:szCs w:val="20"/>
              </w:rPr>
            </w:pPr>
            <w:r w:rsidRPr="006519A2">
              <w:rPr>
                <w:sz w:val="20"/>
                <w:szCs w:val="20"/>
              </w:rPr>
              <w:t xml:space="preserve">WELS </w:t>
            </w:r>
          </w:p>
        </w:tc>
        <w:tc>
          <w:tcPr>
            <w:tcW w:w="8166" w:type="dxa"/>
            <w:vAlign w:val="center"/>
          </w:tcPr>
          <w:p w14:paraId="4F6B78D9" w14:textId="6D8DD78F" w:rsidR="00F7120A" w:rsidRPr="006519A2" w:rsidRDefault="00F7120A" w:rsidP="0014151F">
            <w:pPr>
              <w:rPr>
                <w:sz w:val="20"/>
                <w:szCs w:val="20"/>
              </w:rPr>
            </w:pPr>
            <w:r w:rsidRPr="006519A2">
              <w:rPr>
                <w:sz w:val="20"/>
                <w:szCs w:val="20"/>
              </w:rPr>
              <w:t xml:space="preserve">Water Efficiency Labelling and Standards </w:t>
            </w:r>
            <w:r w:rsidR="006519A2" w:rsidRPr="006519A2">
              <w:rPr>
                <w:sz w:val="20"/>
                <w:szCs w:val="20"/>
              </w:rPr>
              <w:t>(Commonwealth Act, 20</w:t>
            </w:r>
            <w:r w:rsidR="006519A2">
              <w:rPr>
                <w:sz w:val="20"/>
                <w:szCs w:val="20"/>
              </w:rPr>
              <w:t>05</w:t>
            </w:r>
            <w:r w:rsidR="006519A2" w:rsidRPr="006519A2">
              <w:rPr>
                <w:sz w:val="20"/>
                <w:szCs w:val="20"/>
              </w:rPr>
              <w:t>)</w:t>
            </w:r>
          </w:p>
        </w:tc>
      </w:tr>
    </w:tbl>
    <w:p w14:paraId="7B853ABE" w14:textId="77777777" w:rsidR="00F7120A" w:rsidRDefault="00F7120A" w:rsidP="0014151F"/>
    <w:p w14:paraId="5F925CC5" w14:textId="0CC6AFA5" w:rsidR="0014151F" w:rsidRDefault="00D525F1" w:rsidP="00FC08CF">
      <w:pPr>
        <w:pStyle w:val="Heading1"/>
        <w:pageBreakBefore/>
        <w:numPr>
          <w:ilvl w:val="0"/>
          <w:numId w:val="12"/>
        </w:numPr>
        <w:ind w:left="714" w:hanging="357"/>
      </w:pPr>
      <w:bookmarkStart w:id="4" w:name="_Toc196745400"/>
      <w:r>
        <w:lastRenderedPageBreak/>
        <w:t>Background</w:t>
      </w:r>
      <w:r w:rsidR="00A77DEA">
        <w:t xml:space="preserve"> and problem</w:t>
      </w:r>
      <w:bookmarkEnd w:id="4"/>
    </w:p>
    <w:p w14:paraId="46DBB53F" w14:textId="77777777" w:rsidR="00D525F1" w:rsidRPr="00574A07" w:rsidRDefault="00D525F1" w:rsidP="00D525F1">
      <w:pPr>
        <w:pStyle w:val="Heading2"/>
      </w:pPr>
      <w:bookmarkStart w:id="5" w:name="_Toc149034347"/>
      <w:bookmarkStart w:id="6" w:name="_Toc196745401"/>
      <w:r w:rsidRPr="00574A07">
        <w:t>Commercial Ice Makers</w:t>
      </w:r>
      <w:bookmarkEnd w:id="5"/>
      <w:bookmarkEnd w:id="6"/>
    </w:p>
    <w:p w14:paraId="5BAD18B7" w14:textId="08CE487C" w:rsidR="00050F71" w:rsidRPr="00FD4DFF" w:rsidRDefault="00050F71" w:rsidP="00050F71">
      <w:bookmarkStart w:id="7" w:name="_Toc149034348"/>
      <w:r>
        <w:t>Commercial ice makers</w:t>
      </w:r>
      <w:r w:rsidR="000B5A41">
        <w:t xml:space="preserve"> (CIMs) </w:t>
      </w:r>
      <w:r>
        <w:t xml:space="preserve">are part of the standard equipment needed to operate food, catering and hospitality businesses. </w:t>
      </w:r>
      <w:r w:rsidR="000B5A41">
        <w:t>T</w:t>
      </w:r>
      <w:r>
        <w:t xml:space="preserve">hey consume </w:t>
      </w:r>
      <w:r w:rsidRPr="00FD4DFF">
        <w:t xml:space="preserve">potable water to produce food-grade ice. </w:t>
      </w:r>
      <w:r w:rsidR="006811EB">
        <w:t xml:space="preserve">The majority of CIMs are </w:t>
      </w:r>
      <w:r w:rsidR="006811EB" w:rsidRPr="00FD4DFF">
        <w:t>air</w:t>
      </w:r>
      <w:r w:rsidR="00885D64">
        <w:t>-</w:t>
      </w:r>
      <w:r w:rsidR="006811EB" w:rsidRPr="00FD4DFF">
        <w:t>cooled</w:t>
      </w:r>
      <w:r w:rsidR="006811EB">
        <w:t>, however s</w:t>
      </w:r>
      <w:r w:rsidRPr="00FD4DFF">
        <w:t xml:space="preserve">ome models also use water (not necessarily potable) as the cooling medium. At present, CIM suppliers make very little information available to </w:t>
      </w:r>
      <w:r w:rsidR="00057852">
        <w:rPr>
          <w:rFonts w:ascii="Calibri" w:eastAsia="Calibri" w:hAnsi="Calibri" w:cs="Times New Roman"/>
          <w:szCs w:val="22"/>
        </w:rPr>
        <w:t>purchasers</w:t>
      </w:r>
      <w:r w:rsidRPr="00FD4DFF">
        <w:t xml:space="preserve"> about the water use of the products they offer, although water represents the largest component of lifetime operating costs after energy (and for some CIM types, even more than energy).</w:t>
      </w:r>
    </w:p>
    <w:p w14:paraId="2853DBC5" w14:textId="73FD6B90" w:rsidR="00050F71" w:rsidRDefault="00050F71" w:rsidP="00E80B63">
      <w:r>
        <w:t xml:space="preserve">As there is a wide range in the </w:t>
      </w:r>
      <w:r w:rsidR="00CE59EF">
        <w:t>water efficiency</w:t>
      </w:r>
      <w:r>
        <w:t xml:space="preserve"> of different models</w:t>
      </w:r>
      <w:r w:rsidR="000B5A41">
        <w:t xml:space="preserve">, </w:t>
      </w:r>
      <w:r>
        <w:t>many purchase</w:t>
      </w:r>
      <w:r w:rsidR="000B5A41">
        <w:t>rs select</w:t>
      </w:r>
      <w:r>
        <w:t xml:space="preserve"> </w:t>
      </w:r>
      <w:r w:rsidR="000B5A41">
        <w:t xml:space="preserve">products </w:t>
      </w:r>
      <w:r>
        <w:t xml:space="preserve">which consume </w:t>
      </w:r>
      <w:r w:rsidR="000B5A41">
        <w:t xml:space="preserve">more water than would be the case if they had access to this information prior to their purchase, or if all CIMs were subject to </w:t>
      </w:r>
      <w:r w:rsidR="00A77DEA">
        <w:t>M</w:t>
      </w:r>
      <w:r w:rsidR="000B5A41">
        <w:t xml:space="preserve">inimum </w:t>
      </w:r>
      <w:r w:rsidR="00A77DEA">
        <w:t>W</w:t>
      </w:r>
      <w:r w:rsidR="000B5A41">
        <w:t xml:space="preserve">ater </w:t>
      </w:r>
      <w:r w:rsidR="00A77DEA">
        <w:t>E</w:t>
      </w:r>
      <w:r w:rsidR="000B5A41">
        <w:t xml:space="preserve">fficiency </w:t>
      </w:r>
      <w:r w:rsidR="00A77DEA">
        <w:t>S</w:t>
      </w:r>
      <w:r w:rsidR="000B5A41">
        <w:t>tandards. The difference can amount to hundreds or even thousands of dollars in excess running costs over the CIM’s service life.</w:t>
      </w:r>
    </w:p>
    <w:p w14:paraId="75C5140A" w14:textId="0DFC6FA6" w:rsidR="00D525F1" w:rsidRPr="00574A07" w:rsidRDefault="00D525F1" w:rsidP="00D525F1">
      <w:pPr>
        <w:pStyle w:val="E3Heading2"/>
      </w:pPr>
      <w:bookmarkStart w:id="8" w:name="_Toc196745402"/>
      <w:r w:rsidRPr="00574A07">
        <w:t>Technology</w:t>
      </w:r>
      <w:bookmarkEnd w:id="7"/>
      <w:bookmarkEnd w:id="8"/>
    </w:p>
    <w:p w14:paraId="249EC1E4" w14:textId="68AA848B" w:rsidR="00D525F1" w:rsidRPr="00574A07" w:rsidRDefault="00D525F1" w:rsidP="00D525F1">
      <w:r w:rsidRPr="00574A07">
        <w:t>Ice is used for a wide range of applications in the production, transport, preparation, display and service of food, beverages, medicines, and other perishable products. Common uses include cubed ice served in drinks, and flaked ice as a bed for displaying seafoods. Ice makers generally use potable water to produce food-grade ice, although there is also non-potable industrial ice, for specialised uses such as slowing the curing of concrete.</w:t>
      </w:r>
    </w:p>
    <w:p w14:paraId="64976C9C" w14:textId="0809F0C1" w:rsidR="00A27733" w:rsidRDefault="00D525F1" w:rsidP="00D525F1">
      <w:r w:rsidRPr="00574A07">
        <w:t>Ice is made by freezing water, essentially using the same refrigeration cycle as other freezers</w:t>
      </w:r>
      <w:r>
        <w:t xml:space="preserve">. </w:t>
      </w:r>
      <w:r w:rsidRPr="00574A07">
        <w:t>Water is run or sprayed over a shaped panel that is cooled by evaporation of a refrigerant gas. The gas absorbs heat from the evaporator and is pumped around a closed circuit to a condenser, where it transfers the heat to the ambient air (or in some cases, water) and condenses to a liquid (</w:t>
      </w:r>
      <w:r w:rsidRPr="00574A07">
        <w:fldChar w:fldCharType="begin"/>
      </w:r>
      <w:r w:rsidRPr="00574A07">
        <w:instrText xml:space="preserve"> REF _Ref76985141 \h </w:instrText>
      </w:r>
      <w:r>
        <w:instrText xml:space="preserve"> \* MERGEFORMAT </w:instrText>
      </w:r>
      <w:r w:rsidRPr="00574A07">
        <w:fldChar w:fldCharType="separate"/>
      </w:r>
      <w:r w:rsidR="002271EC" w:rsidRPr="00574A07">
        <w:t xml:space="preserve">Figure </w:t>
      </w:r>
      <w:r w:rsidR="002271EC">
        <w:rPr>
          <w:noProof/>
        </w:rPr>
        <w:t>1</w:t>
      </w:r>
      <w:r w:rsidRPr="00574A07">
        <w:fldChar w:fldCharType="end"/>
      </w:r>
      <w:r w:rsidRPr="00574A07">
        <w:t>)</w:t>
      </w:r>
      <w:r w:rsidR="00AD71F4">
        <w:t>.</w:t>
      </w:r>
      <w:r w:rsidRPr="00574A07">
        <w:rPr>
          <w:rStyle w:val="FootnoteReference"/>
        </w:rPr>
        <w:footnoteReference w:id="1"/>
      </w:r>
      <w:r w:rsidRPr="00574A07">
        <w:t xml:space="preserve"> The process consumes electrical energy in a number of ways: mainly in the motor driving the refrigeration compressor, but also in other fans, pumps and heaters, depending on the design of the ice maker.</w:t>
      </w:r>
    </w:p>
    <w:p w14:paraId="34722C45" w14:textId="77777777" w:rsidR="00A27733" w:rsidRDefault="00A27733">
      <w:pPr>
        <w:spacing w:after="200" w:line="288" w:lineRule="auto"/>
        <w:jc w:val="left"/>
      </w:pPr>
      <w:r>
        <w:br w:type="page"/>
      </w:r>
    </w:p>
    <w:p w14:paraId="202E8367" w14:textId="0D1EDEC4" w:rsidR="00D525F1" w:rsidRPr="00574A07" w:rsidRDefault="00D525F1" w:rsidP="00D525F1">
      <w:pPr>
        <w:pStyle w:val="Caption"/>
        <w:jc w:val="center"/>
      </w:pPr>
      <w:bookmarkStart w:id="9" w:name="_Ref76985141"/>
      <w:bookmarkStart w:id="10" w:name="_Toc82765133"/>
      <w:bookmarkStart w:id="11" w:name="_Toc123659534"/>
      <w:bookmarkStart w:id="12" w:name="_Toc196745463"/>
      <w:r w:rsidRPr="00574A07">
        <w:lastRenderedPageBreak/>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2271EC">
        <w:rPr>
          <w:noProof/>
        </w:rPr>
        <w:t>1</w:t>
      </w:r>
      <w:r w:rsidRPr="00574A07">
        <w:rPr>
          <w:noProof/>
        </w:rPr>
        <w:fldChar w:fldCharType="end"/>
      </w:r>
      <w:bookmarkEnd w:id="9"/>
      <w:r w:rsidRPr="00574A07">
        <w:t xml:space="preserve"> Ice maker refrigeration cycle</w:t>
      </w:r>
      <w:bookmarkEnd w:id="10"/>
      <w:bookmarkEnd w:id="11"/>
      <w:bookmarkEnd w:id="12"/>
    </w:p>
    <w:p w14:paraId="3373BB05" w14:textId="77777777" w:rsidR="00D525F1" w:rsidRPr="00574A07" w:rsidRDefault="00D525F1" w:rsidP="00D525F1">
      <w:pPr>
        <w:jc w:val="center"/>
      </w:pPr>
      <w:r w:rsidRPr="00574A07">
        <w:rPr>
          <w:noProof/>
          <w:lang w:eastAsia="en-AU"/>
        </w:rPr>
        <w:drawing>
          <wp:inline distT="0" distB="0" distL="0" distR="0" wp14:anchorId="11380ABD" wp14:editId="2E00B852">
            <wp:extent cx="3624877" cy="1863305"/>
            <wp:effectExtent l="19050" t="19050" r="13970" b="22860"/>
            <wp:docPr id="3" name="Picture 3" descr="Flow diagram of the refrigeration circuit, showing key components. These include the compressor driven by an electric motor, the evaporator where ice is formed and the condenser where the hot refrigerant gas is cooled and lique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3432" cy="1883123"/>
                    </a:xfrm>
                    <a:prstGeom prst="rect">
                      <a:avLst/>
                    </a:prstGeom>
                    <a:noFill/>
                    <a:ln>
                      <a:solidFill>
                        <a:schemeClr val="accent1"/>
                      </a:solidFill>
                    </a:ln>
                  </pic:spPr>
                </pic:pic>
              </a:graphicData>
            </a:graphic>
          </wp:inline>
        </w:drawing>
      </w:r>
    </w:p>
    <w:p w14:paraId="4CEAC709" w14:textId="77777777" w:rsidR="00D525F1" w:rsidRPr="00574A07" w:rsidRDefault="00D525F1" w:rsidP="00D525F1">
      <w:pPr>
        <w:pStyle w:val="E3Heading2"/>
      </w:pPr>
      <w:bookmarkStart w:id="13" w:name="_Toc149034349"/>
      <w:bookmarkStart w:id="14" w:name="_Toc196745403"/>
      <w:r w:rsidRPr="00574A07">
        <w:t>Product categories</w:t>
      </w:r>
      <w:bookmarkEnd w:id="13"/>
      <w:bookmarkEnd w:id="14"/>
    </w:p>
    <w:p w14:paraId="5CF95F4C" w14:textId="3CF63BD5" w:rsidR="00D525F1" w:rsidRDefault="00D525F1" w:rsidP="00D525F1">
      <w:r w:rsidRPr="00574A07">
        <w:t>There are many different ways to categorise ice makers – by type of ice made, production capacity (usually expressed in kg ice/24 hrs), physical configuration and other factors</w:t>
      </w:r>
      <w:r>
        <w:t xml:space="preserve">. </w:t>
      </w:r>
      <w:r w:rsidRPr="00574A07">
        <w:t xml:space="preserve">For the purposes of this document, the scope </w:t>
      </w:r>
      <w:r>
        <w:t xml:space="preserve">and classifications are identical to those adopted for regulating CIMs </w:t>
      </w:r>
      <w:r w:rsidR="00235E64">
        <w:t xml:space="preserve">with regard to their energy efficiency </w:t>
      </w:r>
      <w:r>
        <w:t xml:space="preserve">under a </w:t>
      </w:r>
      <w:r w:rsidR="007E511E" w:rsidRPr="00D260B9">
        <w:t xml:space="preserve">Determination </w:t>
      </w:r>
      <w:r w:rsidR="008C13FF">
        <w:t xml:space="preserve">made </w:t>
      </w:r>
      <w:r w:rsidR="007E511E" w:rsidRPr="00D260B9">
        <w:t xml:space="preserve">under the Commonwealth </w:t>
      </w:r>
      <w:hyperlink r:id="rId16" w:history="1">
        <w:r w:rsidR="007E511E" w:rsidRPr="00D260B9">
          <w:rPr>
            <w:rStyle w:val="Hyperlink"/>
            <w:i/>
            <w:iCs/>
          </w:rPr>
          <w:t>Greenhouse and Energy Minimum Standards (GEMS) Act 2012</w:t>
        </w:r>
      </w:hyperlink>
      <w:r w:rsidR="00A536E8">
        <w:t>.</w:t>
      </w:r>
    </w:p>
    <w:p w14:paraId="65E2781D" w14:textId="39E317D9" w:rsidR="00D525F1" w:rsidRPr="00574A07" w:rsidRDefault="00D525F1" w:rsidP="00D525F1">
      <w:r>
        <w:t xml:space="preserve">This covers </w:t>
      </w:r>
      <w:r w:rsidRPr="00574A07">
        <w:t xml:space="preserve">ice makers with plumbed connections and </w:t>
      </w:r>
      <w:r w:rsidR="008C13FF">
        <w:t xml:space="preserve">which are </w:t>
      </w:r>
      <w:r w:rsidRPr="00574A07">
        <w:t xml:space="preserve">capable of producing up to 1,000 kg of ice per 24 hrs, when tested in accordance with standard AS/NZS 4865 or </w:t>
      </w:r>
      <w:r w:rsidR="008C13FF">
        <w:t xml:space="preserve">an </w:t>
      </w:r>
      <w:r w:rsidRPr="00574A07">
        <w:t>equivalent.</w:t>
      </w:r>
      <w:r w:rsidRPr="00574A07">
        <w:rPr>
          <w:rStyle w:val="FootnoteReference"/>
        </w:rPr>
        <w:footnoteReference w:id="2"/>
      </w:r>
      <w:r w:rsidRPr="00574A07">
        <w:t xml:space="preserve"> The following types are </w:t>
      </w:r>
      <w:r w:rsidR="00A650D8">
        <w:t>explicitly excluded from the scope of the GEMS Determination:</w:t>
      </w:r>
    </w:p>
    <w:p w14:paraId="3C26D431" w14:textId="3E80EACD" w:rsidR="00D525F1" w:rsidRPr="00574A07" w:rsidRDefault="00D525F1" w:rsidP="004E26AE">
      <w:pPr>
        <w:pStyle w:val="ListParagraph"/>
        <w:numPr>
          <w:ilvl w:val="0"/>
          <w:numId w:val="17"/>
        </w:numPr>
        <w:spacing w:after="120" w:line="276" w:lineRule="auto"/>
      </w:pPr>
      <w:r w:rsidRPr="00574A07">
        <w:t>Manual-fill ice makers</w:t>
      </w:r>
      <w:r w:rsidR="00A650D8">
        <w:t xml:space="preserve">, which </w:t>
      </w:r>
      <w:r w:rsidRPr="00574A07">
        <w:t>lack a water supply connection point and a drain point</w:t>
      </w:r>
      <w:r w:rsidR="00B55EA8">
        <w:t>.</w:t>
      </w:r>
    </w:p>
    <w:p w14:paraId="38A7259B" w14:textId="75C8B089" w:rsidR="00D525F1" w:rsidRPr="00574A07" w:rsidRDefault="00D525F1" w:rsidP="004E26AE">
      <w:pPr>
        <w:pStyle w:val="ListParagraph"/>
        <w:numPr>
          <w:ilvl w:val="0"/>
          <w:numId w:val="17"/>
        </w:numPr>
        <w:spacing w:after="120" w:line="276" w:lineRule="auto"/>
      </w:pPr>
      <w:r w:rsidRPr="00574A07">
        <w:t>Ice makers built into domestic refrigerators</w:t>
      </w:r>
      <w:r>
        <w:t>.</w:t>
      </w:r>
    </w:p>
    <w:p w14:paraId="7F5A81EC" w14:textId="6499A132" w:rsidR="00A27733" w:rsidRDefault="00D525F1" w:rsidP="00D525F1">
      <w:r w:rsidRPr="00574A07">
        <w:t>Of the ice makers within scope, self-contained units have both the ice maker and the storage bin built into the one cabinet (</w:t>
      </w:r>
      <w:r w:rsidRPr="00574A07">
        <w:fldChar w:fldCharType="begin"/>
      </w:r>
      <w:r w:rsidRPr="00574A07">
        <w:instrText xml:space="preserve"> REF _Ref77000153 \h </w:instrText>
      </w:r>
      <w:r>
        <w:instrText xml:space="preserve"> \* MERGEFORMAT </w:instrText>
      </w:r>
      <w:r w:rsidRPr="00574A07">
        <w:fldChar w:fldCharType="separate"/>
      </w:r>
      <w:r w:rsidR="002271EC" w:rsidRPr="00574A07">
        <w:t xml:space="preserve">Figure </w:t>
      </w:r>
      <w:r w:rsidR="002271EC">
        <w:rPr>
          <w:noProof/>
        </w:rPr>
        <w:t>2</w:t>
      </w:r>
      <w:r w:rsidRPr="00574A07">
        <w:fldChar w:fldCharType="end"/>
      </w:r>
      <w:r w:rsidRPr="00574A07">
        <w:t xml:space="preserve">, left). The storage bin capacity is typically a third to a half of the </w:t>
      </w:r>
      <w:r w:rsidR="008C13FF" w:rsidRPr="00574A07">
        <w:t>24</w:t>
      </w:r>
      <w:r w:rsidR="008C13FF">
        <w:t>-hour</w:t>
      </w:r>
      <w:r w:rsidRPr="00574A07">
        <w:t xml:space="preserve"> production capacity. Most self-contained units are designed for under counter installation, but there </w:t>
      </w:r>
      <w:r w:rsidR="008C13FF" w:rsidRPr="00574A07">
        <w:t>is</w:t>
      </w:r>
      <w:r w:rsidRPr="00574A07">
        <w:t xml:space="preserve"> also dispenser models designed to sit on countertops for high-turnover beverage service applications. Modular ice makers (</w:t>
      </w:r>
      <w:r w:rsidRPr="00574A07">
        <w:fldChar w:fldCharType="begin"/>
      </w:r>
      <w:r w:rsidRPr="00574A07">
        <w:instrText xml:space="preserve"> REF _Ref77000153 \h </w:instrText>
      </w:r>
      <w:r>
        <w:instrText xml:space="preserve"> \* MERGEFORMAT </w:instrText>
      </w:r>
      <w:r w:rsidRPr="00574A07">
        <w:fldChar w:fldCharType="separate"/>
      </w:r>
      <w:r w:rsidR="002271EC" w:rsidRPr="00574A07">
        <w:t xml:space="preserve">Figure </w:t>
      </w:r>
      <w:r w:rsidR="002271EC">
        <w:rPr>
          <w:noProof/>
        </w:rPr>
        <w:t>2</w:t>
      </w:r>
      <w:r w:rsidRPr="00574A07">
        <w:fldChar w:fldCharType="end"/>
      </w:r>
      <w:r w:rsidRPr="00574A07">
        <w:t xml:space="preserve">, centre) are designed to sit on top of separate ice storage bins, so production capacities and bin volumes can be matched according to usage patterns. All ice makers are designed to automatically cease operation once the bin is full, and resume once the ice level </w:t>
      </w:r>
      <w:r w:rsidR="007E511E">
        <w:t xml:space="preserve">in the </w:t>
      </w:r>
      <w:r w:rsidRPr="00574A07">
        <w:t>bin falls</w:t>
      </w:r>
      <w:r w:rsidR="00A536E8">
        <w:t xml:space="preserve">, </w:t>
      </w:r>
      <w:r w:rsidRPr="00574A07">
        <w:t>whether from usage or melting. The storage may be designed so that ice is removed manually or dispensed automatically without being handled (</w:t>
      </w:r>
      <w:r w:rsidRPr="00574A07">
        <w:fldChar w:fldCharType="begin"/>
      </w:r>
      <w:r w:rsidRPr="00574A07">
        <w:instrText xml:space="preserve"> REF _Ref77000153 \h </w:instrText>
      </w:r>
      <w:r>
        <w:instrText xml:space="preserve"> \* MERGEFORMAT </w:instrText>
      </w:r>
      <w:r w:rsidRPr="00574A07">
        <w:fldChar w:fldCharType="separate"/>
      </w:r>
      <w:r w:rsidR="002271EC" w:rsidRPr="00574A07">
        <w:t xml:space="preserve">Figure </w:t>
      </w:r>
      <w:r w:rsidR="002271EC">
        <w:rPr>
          <w:noProof/>
        </w:rPr>
        <w:t>2</w:t>
      </w:r>
      <w:r w:rsidRPr="00574A07">
        <w:fldChar w:fldCharType="end"/>
      </w:r>
      <w:r w:rsidRPr="00574A07">
        <w:t>, right)</w:t>
      </w:r>
      <w:r>
        <w:t>.</w:t>
      </w:r>
    </w:p>
    <w:p w14:paraId="10963FB1" w14:textId="77777777" w:rsidR="00A27733" w:rsidRDefault="00A27733">
      <w:pPr>
        <w:spacing w:after="200" w:line="288" w:lineRule="auto"/>
        <w:jc w:val="left"/>
      </w:pPr>
      <w:r>
        <w:br w:type="page"/>
      </w:r>
    </w:p>
    <w:p w14:paraId="4E373A09" w14:textId="3FA98005" w:rsidR="00D525F1" w:rsidRPr="00574A07" w:rsidRDefault="00D525F1" w:rsidP="00D525F1">
      <w:pPr>
        <w:pStyle w:val="Caption"/>
        <w:jc w:val="center"/>
      </w:pPr>
      <w:bookmarkStart w:id="15" w:name="_Ref77000153"/>
      <w:bookmarkStart w:id="16" w:name="_Toc82765134"/>
      <w:bookmarkStart w:id="17" w:name="_Toc123659535"/>
      <w:bookmarkStart w:id="18" w:name="_Toc196745464"/>
      <w:r w:rsidRPr="00574A07">
        <w:lastRenderedPageBreak/>
        <w:t xml:space="preserve">Figure </w:t>
      </w:r>
      <w:r w:rsidRPr="00574A07">
        <w:rPr>
          <w:noProof/>
        </w:rPr>
        <w:fldChar w:fldCharType="begin"/>
      </w:r>
      <w:r w:rsidRPr="00574A07">
        <w:rPr>
          <w:noProof/>
        </w:rPr>
        <w:instrText xml:space="preserve"> SEQ Figure \* ARABIC </w:instrText>
      </w:r>
      <w:r w:rsidRPr="00574A07">
        <w:rPr>
          <w:noProof/>
        </w:rPr>
        <w:fldChar w:fldCharType="separate"/>
      </w:r>
      <w:r w:rsidR="002271EC">
        <w:rPr>
          <w:noProof/>
        </w:rPr>
        <w:t>2</w:t>
      </w:r>
      <w:r w:rsidRPr="00574A07">
        <w:rPr>
          <w:noProof/>
        </w:rPr>
        <w:fldChar w:fldCharType="end"/>
      </w:r>
      <w:bookmarkEnd w:id="15"/>
      <w:r w:rsidRPr="00574A07">
        <w:t xml:space="preserve"> Self-contained ice maker, modular ice maker with ice storage bin and ice maker with dispenser</w:t>
      </w:r>
      <w:bookmarkEnd w:id="16"/>
      <w:bookmarkEnd w:id="17"/>
      <w:bookmarkEnd w:id="18"/>
    </w:p>
    <w:p w14:paraId="37BA5C7D" w14:textId="77777777" w:rsidR="00D525F1" w:rsidRPr="00574A07" w:rsidRDefault="00D525F1" w:rsidP="00D525F1">
      <w:pPr>
        <w:jc w:val="center"/>
      </w:pPr>
      <w:r>
        <w:rPr>
          <w:noProof/>
          <w:lang w:eastAsia="en-AU"/>
        </w:rPr>
        <w:drawing>
          <wp:inline distT="0" distB="0" distL="0" distR="0" wp14:anchorId="6CABFC73" wp14:editId="273A569A">
            <wp:extent cx="1542647" cy="2063750"/>
            <wp:effectExtent l="0" t="0" r="635" b="0"/>
            <wp:docPr id="13" name="Picture 13" descr="Illustration of a self-contained ice m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ion of a self-contained ice maker.  "/>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70830" cy="2101453"/>
                    </a:xfrm>
                    <a:prstGeom prst="rect">
                      <a:avLst/>
                    </a:prstGeom>
                  </pic:spPr>
                </pic:pic>
              </a:graphicData>
            </a:graphic>
          </wp:inline>
        </w:drawing>
      </w:r>
      <w:r>
        <w:rPr>
          <w:noProof/>
          <w:lang w:eastAsia="en-AU"/>
        </w:rPr>
        <w:drawing>
          <wp:inline distT="0" distB="0" distL="0" distR="0" wp14:anchorId="40C88828" wp14:editId="681C3FD8">
            <wp:extent cx="1539063" cy="2467155"/>
            <wp:effectExtent l="0" t="0" r="4445" b="0"/>
            <wp:docPr id="17" name="Picture 17" descr="Illustration of a modular ice maker installed above an ice storage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3658" cy="2522612"/>
                    </a:xfrm>
                    <a:prstGeom prst="rect">
                      <a:avLst/>
                    </a:prstGeom>
                  </pic:spPr>
                </pic:pic>
              </a:graphicData>
            </a:graphic>
          </wp:inline>
        </w:drawing>
      </w:r>
      <w:r>
        <w:rPr>
          <w:noProof/>
          <w:lang w:eastAsia="en-AU"/>
        </w:rPr>
        <w:drawing>
          <wp:inline distT="0" distB="0" distL="0" distR="0" wp14:anchorId="1ECA2F17" wp14:editId="65E617A0">
            <wp:extent cx="1711235" cy="2178050"/>
            <wp:effectExtent l="0" t="0" r="3810" b="0"/>
            <wp:docPr id="24" name="Picture 24" descr="Illustration of an ice maker with an in-built ice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of an ice maker with an in-built ice dispens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3470" cy="2244534"/>
                    </a:xfrm>
                    <a:prstGeom prst="rect">
                      <a:avLst/>
                    </a:prstGeom>
                  </pic:spPr>
                </pic:pic>
              </a:graphicData>
            </a:graphic>
          </wp:inline>
        </w:drawing>
      </w:r>
    </w:p>
    <w:p w14:paraId="037AEC80" w14:textId="5DE2BEB4" w:rsidR="00D525F1" w:rsidRPr="00574A07" w:rsidRDefault="00D525F1" w:rsidP="00D525F1">
      <w:r w:rsidRPr="00574A07">
        <w:t xml:space="preserve">Most </w:t>
      </w:r>
      <w:r w:rsidR="00A536E8">
        <w:t xml:space="preserve">of the </w:t>
      </w:r>
      <w:r w:rsidRPr="00574A07">
        <w:t>ice makers sold use air to cool the condenser, but models where cooling water is run over the condenser are also available. These use less energy per k</w:t>
      </w:r>
      <w:r w:rsidR="007E511E">
        <w:t>ilo</w:t>
      </w:r>
      <w:r w:rsidRPr="00574A07">
        <w:t>g</w:t>
      </w:r>
      <w:r w:rsidR="007E511E">
        <w:t>ram</w:t>
      </w:r>
      <w:r w:rsidRPr="00574A07">
        <w:t xml:space="preserve"> of ice made but consume </w:t>
      </w:r>
      <w:r w:rsidR="00A650D8">
        <w:t xml:space="preserve">significant </w:t>
      </w:r>
      <w:r w:rsidRPr="00574A07">
        <w:t>quantities of cooling water if continuously run to waste. Their most efficient use is in installations with chilled water recirculation system</w:t>
      </w:r>
      <w:r w:rsidR="00ED014C">
        <w:t>s</w:t>
      </w:r>
      <w:r w:rsidRPr="00574A07">
        <w:t xml:space="preserve"> coupled with cooling towers </w:t>
      </w:r>
      <w:r w:rsidR="00A536E8">
        <w:t xml:space="preserve">that can </w:t>
      </w:r>
      <w:r w:rsidRPr="00574A07">
        <w:t>serv</w:t>
      </w:r>
      <w:r w:rsidR="00A536E8">
        <w:t>e</w:t>
      </w:r>
      <w:r w:rsidRPr="00574A07">
        <w:t xml:space="preserve"> several ice makers as well as air conditioner heat exchangers. Water cooling also reduces the heat load where ice makers are installed in air</w:t>
      </w:r>
      <w:r>
        <w:t>-</w:t>
      </w:r>
      <w:r w:rsidRPr="00574A07">
        <w:t>conditioned spaces</w:t>
      </w:r>
      <w:r>
        <w:t xml:space="preserve">. </w:t>
      </w:r>
      <w:r w:rsidRPr="00574A07">
        <w:t xml:space="preserve">Another way to reduce heat load is to locate the condenser remotely from the ice maker and link the two by refrigerant lines. </w:t>
      </w:r>
      <w:r>
        <w:t xml:space="preserve">This configuration is called a split system. </w:t>
      </w:r>
      <w:r w:rsidRPr="00574A07">
        <w:t>The compressor can be housed either with the ice making head or with the remote condenser.</w:t>
      </w:r>
    </w:p>
    <w:p w14:paraId="689B7A46" w14:textId="4E02490E" w:rsidR="00451AD2" w:rsidRDefault="00D525F1" w:rsidP="00D525F1">
      <w:r w:rsidRPr="00574A07">
        <w:t xml:space="preserve">Apart from </w:t>
      </w:r>
      <w:r w:rsidR="008C13FF">
        <w:t xml:space="preserve">the </w:t>
      </w:r>
      <w:r w:rsidRPr="00574A07">
        <w:t>physical configuration</w:t>
      </w:r>
      <w:r>
        <w:t xml:space="preserve"> and mode of cooling</w:t>
      </w:r>
      <w:r w:rsidRPr="00574A07">
        <w:t>, ice makers are also classified by the type of ice they make and how they make it</w:t>
      </w:r>
      <w:r w:rsidR="0038019A">
        <w:t xml:space="preserve"> (</w:t>
      </w:r>
      <w:r w:rsidR="0038019A">
        <w:fldChar w:fldCharType="begin"/>
      </w:r>
      <w:r w:rsidR="0038019A">
        <w:instrText xml:space="preserve"> REF _Ref188862870 \h </w:instrText>
      </w:r>
      <w:r w:rsidR="0038019A">
        <w:fldChar w:fldCharType="separate"/>
      </w:r>
      <w:r w:rsidR="002271EC">
        <w:t xml:space="preserve">Table </w:t>
      </w:r>
      <w:r w:rsidR="002271EC">
        <w:rPr>
          <w:noProof/>
        </w:rPr>
        <w:t>1</w:t>
      </w:r>
      <w:r w:rsidR="0038019A">
        <w:fldChar w:fldCharType="end"/>
      </w:r>
      <w:r w:rsidR="0038019A">
        <w:t>)</w:t>
      </w:r>
      <w:r w:rsidRPr="00574A07">
        <w:t>. Cubed or shaped ice is hard, clear</w:t>
      </w:r>
      <w:r w:rsidR="00A536E8">
        <w:t xml:space="preserve">, </w:t>
      </w:r>
      <w:r w:rsidRPr="00574A07">
        <w:t xml:space="preserve">dry, </w:t>
      </w:r>
      <w:r w:rsidR="00A536E8">
        <w:t xml:space="preserve">slow to melt </w:t>
      </w:r>
      <w:r w:rsidRPr="00574A07">
        <w:t>and intended mainly for adding to beverages</w:t>
      </w:r>
      <w:r>
        <w:t xml:space="preserve">. </w:t>
      </w:r>
      <w:r w:rsidRPr="00574A07">
        <w:t>It can be produced in a range of sizes and shapes such as dice, crescents, balls</w:t>
      </w:r>
      <w:r w:rsidR="00A536E8">
        <w:t xml:space="preserve"> and </w:t>
      </w:r>
      <w:r w:rsidRPr="00574A07">
        <w:t>cylinders</w:t>
      </w:r>
      <w:r w:rsidR="00A536E8">
        <w:t xml:space="preserve">. </w:t>
      </w:r>
      <w:r w:rsidRPr="00574A07">
        <w:t>It is made in batches</w:t>
      </w:r>
      <w:r w:rsidR="00451AD2">
        <w:t>: w</w:t>
      </w:r>
      <w:r w:rsidRPr="00574A07">
        <w:t xml:space="preserve">ater is sprayed or run on to a shaped evaporator, and once the ice reaches the required shape and size </w:t>
      </w:r>
      <w:r w:rsidR="00451AD2">
        <w:t xml:space="preserve">the batch </w:t>
      </w:r>
      <w:r w:rsidRPr="00574A07">
        <w:t>is harvested</w:t>
      </w:r>
      <w:r w:rsidR="00451AD2">
        <w:t xml:space="preserve"> </w:t>
      </w:r>
      <w:r w:rsidRPr="00574A07">
        <w:t>by either momentarily heating the evaporator with hot refrigerant gas or running warmer inlet water behind the ice, which has the advantage of pre-cooling the water for the next batch.</w:t>
      </w:r>
    </w:p>
    <w:p w14:paraId="71F26DC3" w14:textId="30D4E8C8" w:rsidR="00235E64" w:rsidRDefault="00D525F1" w:rsidP="00D525F1">
      <w:r w:rsidRPr="00574A07">
        <w:t xml:space="preserve">Some of the potable water used for batch ice is flushed away to remove impurities, but this loses both the water and the energy used to cool it. </w:t>
      </w:r>
      <w:r w:rsidR="00451AD2" w:rsidRPr="00451AD2">
        <w:t xml:space="preserve">Batch ice makers can use as much potable water in the flushing and harvesting as is </w:t>
      </w:r>
      <w:r w:rsidR="008C13FF">
        <w:t>contained</w:t>
      </w:r>
      <w:r w:rsidR="00451AD2" w:rsidRPr="00451AD2">
        <w:t xml:space="preserve"> in usable ice. Some designs can minimise water loss while maintaining ice quality.</w:t>
      </w:r>
    </w:p>
    <w:p w14:paraId="5F6ED663" w14:textId="77777777" w:rsidR="00451AD2" w:rsidRDefault="00451AD2" w:rsidP="00D525F1"/>
    <w:p w14:paraId="2A33966E" w14:textId="493D1D69" w:rsidR="00235E64" w:rsidRDefault="006C443E" w:rsidP="006C443E">
      <w:pPr>
        <w:pStyle w:val="Caption"/>
        <w:keepNext/>
        <w:jc w:val="center"/>
      </w:pPr>
      <w:bookmarkStart w:id="19" w:name="_Ref188862870"/>
      <w:bookmarkStart w:id="20" w:name="_Toc196745443"/>
      <w:r>
        <w:lastRenderedPageBreak/>
        <w:t xml:space="preserve">Table </w:t>
      </w:r>
      <w:r w:rsidR="0042496D">
        <w:fldChar w:fldCharType="begin"/>
      </w:r>
      <w:r w:rsidR="0042496D">
        <w:instrText xml:space="preserve"> SEQ Table \* ARABIC </w:instrText>
      </w:r>
      <w:r w:rsidR="0042496D">
        <w:fldChar w:fldCharType="separate"/>
      </w:r>
      <w:r w:rsidR="002271EC">
        <w:rPr>
          <w:noProof/>
        </w:rPr>
        <w:t>1</w:t>
      </w:r>
      <w:r w:rsidR="0042496D">
        <w:rPr>
          <w:noProof/>
        </w:rPr>
        <w:fldChar w:fldCharType="end"/>
      </w:r>
      <w:bookmarkEnd w:id="19"/>
      <w:r>
        <w:t xml:space="preserve"> Categories of Commercial Ice Maker</w:t>
      </w:r>
      <w:bookmarkEnd w:id="20"/>
    </w:p>
    <w:tbl>
      <w:tblPr>
        <w:tblW w:w="8717" w:type="dxa"/>
        <w:jc w:val="center"/>
        <w:tblCellMar>
          <w:left w:w="0" w:type="dxa"/>
          <w:right w:w="0" w:type="dxa"/>
        </w:tblCellMar>
        <w:tblLook w:val="04A0" w:firstRow="1" w:lastRow="0" w:firstColumn="1" w:lastColumn="0" w:noHBand="0" w:noVBand="1"/>
      </w:tblPr>
      <w:tblGrid>
        <w:gridCol w:w="4669"/>
        <w:gridCol w:w="1286"/>
        <w:gridCol w:w="1286"/>
        <w:gridCol w:w="1286"/>
        <w:gridCol w:w="190"/>
      </w:tblGrid>
      <w:tr w:rsidR="00235E64" w:rsidRPr="000114E3" w14:paraId="34005C84" w14:textId="77777777" w:rsidTr="006C443E">
        <w:trPr>
          <w:gridAfter w:val="1"/>
          <w:wAfter w:w="190" w:type="dxa"/>
          <w:trHeight w:val="408"/>
          <w:tblHeader/>
          <w:jc w:val="center"/>
        </w:trPr>
        <w:tc>
          <w:tcPr>
            <w:tcW w:w="4669" w:type="dxa"/>
            <w:vMerge w:val="restart"/>
            <w:tcBorders>
              <w:top w:val="single" w:sz="18" w:space="0" w:color="000000"/>
              <w:bottom w:val="single" w:sz="18" w:space="0" w:color="000000"/>
            </w:tcBorders>
            <w:tcMar>
              <w:top w:w="0" w:type="dxa"/>
              <w:left w:w="85" w:type="dxa"/>
              <w:bottom w:w="0" w:type="dxa"/>
              <w:right w:w="85" w:type="dxa"/>
            </w:tcMar>
            <w:vAlign w:val="center"/>
            <w:hideMark/>
          </w:tcPr>
          <w:p w14:paraId="13106381" w14:textId="209B3864" w:rsidR="00235E64" w:rsidRPr="000114E3" w:rsidRDefault="006C443E" w:rsidP="0084351D">
            <w:pPr>
              <w:spacing w:before="60" w:line="240" w:lineRule="atLeast"/>
              <w:rPr>
                <w:rFonts w:ascii="Calibri" w:eastAsia="Times New Roman" w:hAnsi="Calibri" w:cs="Calibri"/>
                <w:b/>
                <w:bCs/>
                <w:sz w:val="20"/>
                <w:szCs w:val="20"/>
                <w:lang w:eastAsia="en-AU"/>
              </w:rPr>
            </w:pPr>
            <w:r w:rsidRPr="000114E3">
              <w:rPr>
                <w:rFonts w:ascii="Calibri" w:eastAsia="Times New Roman" w:hAnsi="Calibri" w:cs="Calibri"/>
                <w:b/>
                <w:bCs/>
                <w:sz w:val="20"/>
                <w:szCs w:val="20"/>
                <w:lang w:eastAsia="en-AU"/>
              </w:rPr>
              <w:t>C</w:t>
            </w:r>
            <w:r w:rsidR="00235E64" w:rsidRPr="000114E3">
              <w:rPr>
                <w:rFonts w:ascii="Calibri" w:eastAsia="Times New Roman" w:hAnsi="Calibri" w:cs="Calibri"/>
                <w:b/>
                <w:bCs/>
                <w:sz w:val="20"/>
                <w:szCs w:val="20"/>
                <w:lang w:eastAsia="en-AU"/>
              </w:rPr>
              <w:t>onfiguration</w:t>
            </w:r>
          </w:p>
        </w:tc>
        <w:tc>
          <w:tcPr>
            <w:tcW w:w="1286" w:type="dxa"/>
            <w:vMerge w:val="restart"/>
            <w:tcBorders>
              <w:top w:val="single" w:sz="18" w:space="0" w:color="000000"/>
              <w:bottom w:val="single" w:sz="18" w:space="0" w:color="000000"/>
            </w:tcBorders>
            <w:tcMar>
              <w:top w:w="0" w:type="dxa"/>
              <w:left w:w="85" w:type="dxa"/>
              <w:bottom w:w="0" w:type="dxa"/>
              <w:right w:w="85" w:type="dxa"/>
            </w:tcMar>
            <w:vAlign w:val="center"/>
            <w:hideMark/>
          </w:tcPr>
          <w:p w14:paraId="76C618E3" w14:textId="59B9333D" w:rsidR="00235E64" w:rsidRPr="000114E3" w:rsidRDefault="00235E64" w:rsidP="0084351D">
            <w:pPr>
              <w:spacing w:before="60" w:line="240" w:lineRule="atLeast"/>
              <w:rPr>
                <w:rFonts w:ascii="Calibri" w:eastAsia="Times New Roman" w:hAnsi="Calibri" w:cs="Calibri"/>
                <w:b/>
                <w:bCs/>
                <w:sz w:val="20"/>
                <w:szCs w:val="20"/>
                <w:lang w:eastAsia="en-AU"/>
              </w:rPr>
            </w:pPr>
            <w:r w:rsidRPr="000114E3">
              <w:rPr>
                <w:rFonts w:ascii="Calibri" w:eastAsia="Times New Roman" w:hAnsi="Calibri" w:cs="Calibri"/>
                <w:b/>
                <w:bCs/>
                <w:sz w:val="20"/>
                <w:szCs w:val="20"/>
                <w:lang w:eastAsia="en-AU"/>
              </w:rPr>
              <w:t>Product class</w:t>
            </w:r>
            <w:r w:rsidR="0084351D" w:rsidRPr="000114E3">
              <w:rPr>
                <w:rFonts w:ascii="Calibri" w:eastAsia="Times New Roman" w:hAnsi="Calibri" w:cs="Calibri"/>
                <w:b/>
                <w:bCs/>
                <w:sz w:val="20"/>
                <w:szCs w:val="20"/>
                <w:lang w:eastAsia="en-AU"/>
              </w:rPr>
              <w:t xml:space="preserve"> (GEMS)</w:t>
            </w:r>
          </w:p>
        </w:tc>
        <w:tc>
          <w:tcPr>
            <w:tcW w:w="1286" w:type="dxa"/>
            <w:vMerge w:val="restart"/>
            <w:tcBorders>
              <w:top w:val="single" w:sz="18" w:space="0" w:color="000000"/>
              <w:bottom w:val="single" w:sz="18" w:space="0" w:color="000000"/>
            </w:tcBorders>
            <w:tcMar>
              <w:top w:w="0" w:type="dxa"/>
              <w:left w:w="85" w:type="dxa"/>
              <w:bottom w:w="0" w:type="dxa"/>
              <w:right w:w="85" w:type="dxa"/>
            </w:tcMar>
            <w:vAlign w:val="center"/>
            <w:hideMark/>
          </w:tcPr>
          <w:p w14:paraId="28B5BDAE" w14:textId="77777777" w:rsidR="00235E64" w:rsidRPr="000114E3" w:rsidRDefault="00235E64" w:rsidP="0084351D">
            <w:pPr>
              <w:spacing w:before="60" w:line="240" w:lineRule="atLeast"/>
              <w:ind w:left="219" w:hanging="219"/>
              <w:rPr>
                <w:rFonts w:ascii="Calibri" w:eastAsia="Times New Roman" w:hAnsi="Calibri" w:cs="Calibri"/>
                <w:b/>
                <w:bCs/>
                <w:sz w:val="20"/>
                <w:szCs w:val="20"/>
                <w:lang w:eastAsia="en-AU"/>
              </w:rPr>
            </w:pPr>
            <w:r w:rsidRPr="000114E3">
              <w:rPr>
                <w:rFonts w:ascii="Calibri" w:eastAsia="Times New Roman" w:hAnsi="Calibri" w:cs="Calibri"/>
                <w:b/>
                <w:bCs/>
                <w:sz w:val="20"/>
                <w:szCs w:val="20"/>
                <w:lang w:eastAsia="en-AU"/>
              </w:rPr>
              <w:t>Cooling mode</w:t>
            </w:r>
          </w:p>
        </w:tc>
        <w:tc>
          <w:tcPr>
            <w:tcW w:w="1286" w:type="dxa"/>
            <w:tcBorders>
              <w:top w:val="single" w:sz="18" w:space="0" w:color="000000"/>
            </w:tcBorders>
            <w:tcMar>
              <w:top w:w="0" w:type="dxa"/>
              <w:left w:w="85" w:type="dxa"/>
              <w:bottom w:w="0" w:type="dxa"/>
              <w:right w:w="85" w:type="dxa"/>
            </w:tcMar>
            <w:hideMark/>
          </w:tcPr>
          <w:p w14:paraId="641FD377" w14:textId="77777777" w:rsidR="00235E64" w:rsidRPr="000114E3" w:rsidRDefault="00235E64" w:rsidP="0084351D">
            <w:pPr>
              <w:spacing w:before="60" w:line="240" w:lineRule="atLeast"/>
              <w:rPr>
                <w:rFonts w:ascii="Calibri" w:eastAsia="Times New Roman" w:hAnsi="Calibri" w:cs="Calibri"/>
                <w:b/>
                <w:bCs/>
                <w:sz w:val="20"/>
                <w:szCs w:val="20"/>
                <w:lang w:eastAsia="en-AU"/>
              </w:rPr>
            </w:pPr>
            <w:r w:rsidRPr="000114E3">
              <w:rPr>
                <w:rFonts w:ascii="Calibri" w:eastAsia="Times New Roman" w:hAnsi="Calibri" w:cs="Calibri"/>
                <w:b/>
                <w:bCs/>
                <w:sz w:val="20"/>
                <w:szCs w:val="20"/>
                <w:lang w:eastAsia="en-AU"/>
              </w:rPr>
              <w:t>Production mode</w:t>
            </w:r>
          </w:p>
        </w:tc>
      </w:tr>
      <w:tr w:rsidR="00235E64" w:rsidRPr="000114E3" w14:paraId="257755A0" w14:textId="77777777" w:rsidTr="006C443E">
        <w:trPr>
          <w:gridAfter w:val="1"/>
          <w:wAfter w:w="190" w:type="dxa"/>
          <w:trHeight w:val="35"/>
          <w:tblHeader/>
          <w:jc w:val="center"/>
        </w:trPr>
        <w:tc>
          <w:tcPr>
            <w:tcW w:w="4669" w:type="dxa"/>
            <w:vMerge/>
            <w:tcBorders>
              <w:top w:val="single" w:sz="18" w:space="0" w:color="000000"/>
              <w:bottom w:val="single" w:sz="18" w:space="0" w:color="000000"/>
            </w:tcBorders>
            <w:vAlign w:val="center"/>
            <w:hideMark/>
          </w:tcPr>
          <w:p w14:paraId="0CE9F718" w14:textId="77777777" w:rsidR="00235E64" w:rsidRPr="000114E3" w:rsidRDefault="00235E64" w:rsidP="0084351D">
            <w:pPr>
              <w:spacing w:line="240" w:lineRule="auto"/>
              <w:rPr>
                <w:rFonts w:ascii="Calibri" w:eastAsia="Times New Roman" w:hAnsi="Calibri" w:cs="Calibri"/>
                <w:b/>
                <w:bCs/>
                <w:sz w:val="20"/>
                <w:szCs w:val="20"/>
                <w:lang w:eastAsia="en-AU"/>
              </w:rPr>
            </w:pPr>
          </w:p>
        </w:tc>
        <w:tc>
          <w:tcPr>
            <w:tcW w:w="1286" w:type="dxa"/>
            <w:vMerge/>
            <w:tcBorders>
              <w:top w:val="single" w:sz="18" w:space="0" w:color="000000"/>
              <w:bottom w:val="single" w:sz="18" w:space="0" w:color="000000"/>
            </w:tcBorders>
            <w:vAlign w:val="center"/>
            <w:hideMark/>
          </w:tcPr>
          <w:p w14:paraId="06B8FD9C" w14:textId="77777777" w:rsidR="00235E64" w:rsidRPr="000114E3" w:rsidRDefault="00235E64" w:rsidP="0084351D">
            <w:pPr>
              <w:spacing w:line="240" w:lineRule="auto"/>
              <w:rPr>
                <w:rFonts w:ascii="Calibri" w:eastAsia="Times New Roman" w:hAnsi="Calibri" w:cs="Calibri"/>
                <w:b/>
                <w:bCs/>
                <w:sz w:val="20"/>
                <w:szCs w:val="20"/>
                <w:lang w:eastAsia="en-AU"/>
              </w:rPr>
            </w:pPr>
          </w:p>
        </w:tc>
        <w:tc>
          <w:tcPr>
            <w:tcW w:w="1286" w:type="dxa"/>
            <w:vMerge/>
            <w:tcBorders>
              <w:top w:val="single" w:sz="18" w:space="0" w:color="000000"/>
              <w:bottom w:val="single" w:sz="18" w:space="0" w:color="000000"/>
            </w:tcBorders>
            <w:vAlign w:val="center"/>
            <w:hideMark/>
          </w:tcPr>
          <w:p w14:paraId="01E5EB65" w14:textId="77777777" w:rsidR="00235E64" w:rsidRPr="000114E3" w:rsidRDefault="00235E64" w:rsidP="0084351D">
            <w:pPr>
              <w:spacing w:line="240" w:lineRule="auto"/>
              <w:rPr>
                <w:rFonts w:ascii="Calibri" w:eastAsia="Times New Roman" w:hAnsi="Calibri" w:cs="Calibri"/>
                <w:b/>
                <w:bCs/>
                <w:sz w:val="20"/>
                <w:szCs w:val="20"/>
                <w:lang w:eastAsia="en-AU"/>
              </w:rPr>
            </w:pPr>
          </w:p>
        </w:tc>
        <w:tc>
          <w:tcPr>
            <w:tcW w:w="1286" w:type="dxa"/>
            <w:tcBorders>
              <w:bottom w:val="single" w:sz="18" w:space="0" w:color="000000"/>
            </w:tcBorders>
            <w:tcMar>
              <w:top w:w="0" w:type="dxa"/>
              <w:left w:w="85" w:type="dxa"/>
              <w:bottom w:w="0" w:type="dxa"/>
              <w:right w:w="85" w:type="dxa"/>
            </w:tcMar>
            <w:hideMark/>
          </w:tcPr>
          <w:p w14:paraId="6C842B20" w14:textId="77777777" w:rsidR="00235E64" w:rsidRPr="000114E3" w:rsidRDefault="00235E64" w:rsidP="0084351D">
            <w:pPr>
              <w:spacing w:before="60" w:line="240" w:lineRule="atLeast"/>
              <w:jc w:val="center"/>
              <w:rPr>
                <w:rFonts w:ascii="Calibri" w:eastAsia="Times New Roman" w:hAnsi="Calibri" w:cs="Calibri"/>
                <w:b/>
                <w:bCs/>
                <w:sz w:val="20"/>
                <w:szCs w:val="20"/>
                <w:lang w:eastAsia="en-AU"/>
              </w:rPr>
            </w:pPr>
          </w:p>
        </w:tc>
      </w:tr>
      <w:tr w:rsidR="00235E64" w:rsidRPr="000114E3" w14:paraId="4C9811DE" w14:textId="77777777" w:rsidTr="006C443E">
        <w:trPr>
          <w:trHeight w:val="52"/>
          <w:jc w:val="center"/>
        </w:trPr>
        <w:tc>
          <w:tcPr>
            <w:tcW w:w="4669" w:type="dxa"/>
            <w:vMerge w:val="restart"/>
            <w:tcBorders>
              <w:top w:val="single" w:sz="18" w:space="0" w:color="000000"/>
            </w:tcBorders>
            <w:tcMar>
              <w:top w:w="0" w:type="dxa"/>
              <w:left w:w="85" w:type="dxa"/>
              <w:bottom w:w="0" w:type="dxa"/>
              <w:right w:w="85" w:type="dxa"/>
            </w:tcMar>
            <w:vAlign w:val="center"/>
            <w:hideMark/>
          </w:tcPr>
          <w:p w14:paraId="6E1CB45D" w14:textId="66362DF5" w:rsidR="00235E64" w:rsidRPr="000114E3" w:rsidRDefault="00235E64" w:rsidP="0084351D">
            <w:pPr>
              <w:spacing w:before="60" w:line="240" w:lineRule="atLeast"/>
              <w:rPr>
                <w:rFonts w:ascii="Calibri" w:eastAsia="Times New Roman" w:hAnsi="Calibri" w:cs="Calibri"/>
                <w:b/>
                <w:bCs/>
                <w:sz w:val="20"/>
                <w:szCs w:val="20"/>
                <w:lang w:eastAsia="en-AU"/>
              </w:rPr>
            </w:pPr>
            <w:r w:rsidRPr="000114E3">
              <w:rPr>
                <w:rFonts w:ascii="Calibri" w:eastAsia="Times New Roman" w:hAnsi="Calibri" w:cs="Calibri"/>
                <w:b/>
                <w:bCs/>
                <w:sz w:val="20"/>
                <w:szCs w:val="20"/>
                <w:lang w:eastAsia="en-AU"/>
              </w:rPr>
              <w:t>Modular</w:t>
            </w:r>
            <w:r w:rsidR="006C443E" w:rsidRPr="000114E3">
              <w:rPr>
                <w:rFonts w:ascii="Calibri" w:eastAsia="Times New Roman" w:hAnsi="Calibri" w:cs="Calibri"/>
                <w:b/>
                <w:bCs/>
                <w:sz w:val="20"/>
                <w:szCs w:val="20"/>
                <w:lang w:eastAsia="en-AU"/>
              </w:rPr>
              <w:t xml:space="preserve"> (Ice Maker Head)</w:t>
            </w:r>
          </w:p>
          <w:p w14:paraId="5E403A6F" w14:textId="77777777" w:rsidR="00235E64" w:rsidRPr="000114E3" w:rsidRDefault="00235E64" w:rsidP="0084351D">
            <w:pPr>
              <w:spacing w:before="60" w:line="240" w:lineRule="auto"/>
              <w:ind w:left="284" w:hanging="284"/>
              <w:rPr>
                <w:rFonts w:ascii="Calibri" w:eastAsia="Times New Roman" w:hAnsi="Calibri" w:cs="Calibri"/>
                <w:sz w:val="20"/>
                <w:szCs w:val="20"/>
                <w:lang w:eastAsia="en-AU"/>
              </w:rPr>
            </w:pPr>
          </w:p>
        </w:tc>
        <w:tc>
          <w:tcPr>
            <w:tcW w:w="1286" w:type="dxa"/>
            <w:tcBorders>
              <w:top w:val="single" w:sz="18" w:space="0" w:color="000000"/>
            </w:tcBorders>
            <w:tcMar>
              <w:top w:w="0" w:type="dxa"/>
              <w:left w:w="85" w:type="dxa"/>
              <w:bottom w:w="0" w:type="dxa"/>
              <w:right w:w="85" w:type="dxa"/>
            </w:tcMar>
            <w:hideMark/>
          </w:tcPr>
          <w:p w14:paraId="610EAED5"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1</w:t>
            </w:r>
          </w:p>
        </w:tc>
        <w:tc>
          <w:tcPr>
            <w:tcW w:w="1286" w:type="dxa"/>
            <w:tcBorders>
              <w:top w:val="single" w:sz="18" w:space="0" w:color="000000"/>
            </w:tcBorders>
            <w:tcMar>
              <w:top w:w="0" w:type="dxa"/>
              <w:left w:w="85" w:type="dxa"/>
              <w:bottom w:w="0" w:type="dxa"/>
              <w:right w:w="85" w:type="dxa"/>
            </w:tcMar>
            <w:hideMark/>
          </w:tcPr>
          <w:p w14:paraId="0B55FA8C"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Air</w:t>
            </w:r>
          </w:p>
        </w:tc>
        <w:tc>
          <w:tcPr>
            <w:tcW w:w="1286" w:type="dxa"/>
            <w:tcBorders>
              <w:top w:val="single" w:sz="18" w:space="0" w:color="000000"/>
            </w:tcBorders>
            <w:tcMar>
              <w:top w:w="0" w:type="dxa"/>
              <w:left w:w="85" w:type="dxa"/>
              <w:bottom w:w="0" w:type="dxa"/>
              <w:right w:w="85" w:type="dxa"/>
            </w:tcMar>
            <w:hideMark/>
          </w:tcPr>
          <w:p w14:paraId="7C79862D"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Batch</w:t>
            </w:r>
          </w:p>
        </w:tc>
        <w:tc>
          <w:tcPr>
            <w:tcW w:w="190" w:type="dxa"/>
            <w:tcBorders>
              <w:top w:val="single" w:sz="18" w:space="0" w:color="000000"/>
            </w:tcBorders>
            <w:tcMar>
              <w:top w:w="0" w:type="dxa"/>
              <w:left w:w="85" w:type="dxa"/>
              <w:bottom w:w="0" w:type="dxa"/>
              <w:right w:w="85" w:type="dxa"/>
            </w:tcMar>
            <w:hideMark/>
          </w:tcPr>
          <w:p w14:paraId="5D1D6AD3" w14:textId="77777777" w:rsidR="00235E64" w:rsidRPr="000114E3" w:rsidRDefault="00235E64" w:rsidP="0084351D">
            <w:pPr>
              <w:spacing w:before="40" w:line="240" w:lineRule="atLeast"/>
              <w:rPr>
                <w:rFonts w:ascii="Calibri" w:eastAsia="Times New Roman" w:hAnsi="Calibri" w:cs="Calibri"/>
                <w:sz w:val="20"/>
                <w:szCs w:val="20"/>
                <w:lang w:eastAsia="en-AU"/>
              </w:rPr>
            </w:pPr>
          </w:p>
        </w:tc>
      </w:tr>
      <w:tr w:rsidR="00235E64" w:rsidRPr="000114E3" w14:paraId="054FA1C7" w14:textId="77777777" w:rsidTr="006C443E">
        <w:trPr>
          <w:trHeight w:val="48"/>
          <w:jc w:val="center"/>
        </w:trPr>
        <w:tc>
          <w:tcPr>
            <w:tcW w:w="4669" w:type="dxa"/>
            <w:vMerge/>
            <w:tcBorders>
              <w:top w:val="single" w:sz="18" w:space="0" w:color="000000"/>
            </w:tcBorders>
            <w:vAlign w:val="center"/>
            <w:hideMark/>
          </w:tcPr>
          <w:p w14:paraId="00F25D1A" w14:textId="77777777" w:rsidR="00235E64" w:rsidRPr="000114E3" w:rsidRDefault="00235E64" w:rsidP="0084351D">
            <w:pPr>
              <w:spacing w:line="240" w:lineRule="auto"/>
              <w:rPr>
                <w:rFonts w:ascii="Calibri" w:eastAsia="Times New Roman" w:hAnsi="Calibri" w:cs="Calibri"/>
                <w:sz w:val="20"/>
                <w:szCs w:val="20"/>
                <w:lang w:eastAsia="en-AU"/>
              </w:rPr>
            </w:pPr>
          </w:p>
        </w:tc>
        <w:tc>
          <w:tcPr>
            <w:tcW w:w="1286" w:type="dxa"/>
            <w:tcMar>
              <w:top w:w="0" w:type="dxa"/>
              <w:left w:w="85" w:type="dxa"/>
              <w:bottom w:w="0" w:type="dxa"/>
              <w:right w:w="85" w:type="dxa"/>
            </w:tcMar>
            <w:hideMark/>
          </w:tcPr>
          <w:p w14:paraId="6CEA4DB0"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2</w:t>
            </w:r>
          </w:p>
        </w:tc>
        <w:tc>
          <w:tcPr>
            <w:tcW w:w="1286" w:type="dxa"/>
            <w:tcMar>
              <w:top w:w="0" w:type="dxa"/>
              <w:left w:w="85" w:type="dxa"/>
              <w:bottom w:w="0" w:type="dxa"/>
              <w:right w:w="85" w:type="dxa"/>
            </w:tcMar>
            <w:hideMark/>
          </w:tcPr>
          <w:p w14:paraId="73B34F53"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Air</w:t>
            </w:r>
          </w:p>
        </w:tc>
        <w:tc>
          <w:tcPr>
            <w:tcW w:w="1286" w:type="dxa"/>
            <w:tcMar>
              <w:top w:w="0" w:type="dxa"/>
              <w:left w:w="85" w:type="dxa"/>
              <w:bottom w:w="0" w:type="dxa"/>
              <w:right w:w="85" w:type="dxa"/>
            </w:tcMar>
            <w:hideMark/>
          </w:tcPr>
          <w:p w14:paraId="40F7083B"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Continuous</w:t>
            </w:r>
          </w:p>
        </w:tc>
        <w:tc>
          <w:tcPr>
            <w:tcW w:w="190" w:type="dxa"/>
            <w:tcMar>
              <w:top w:w="0" w:type="dxa"/>
              <w:left w:w="85" w:type="dxa"/>
              <w:bottom w:w="0" w:type="dxa"/>
              <w:right w:w="85" w:type="dxa"/>
            </w:tcMar>
            <w:hideMark/>
          </w:tcPr>
          <w:p w14:paraId="60039A9F" w14:textId="77777777" w:rsidR="00235E64" w:rsidRPr="000114E3" w:rsidRDefault="00235E64" w:rsidP="0084351D">
            <w:pPr>
              <w:spacing w:before="40" w:line="240" w:lineRule="atLeast"/>
              <w:rPr>
                <w:rFonts w:ascii="Calibri" w:eastAsia="Times New Roman" w:hAnsi="Calibri" w:cs="Calibri"/>
                <w:sz w:val="20"/>
                <w:szCs w:val="20"/>
                <w:lang w:eastAsia="en-AU"/>
              </w:rPr>
            </w:pPr>
          </w:p>
        </w:tc>
      </w:tr>
      <w:tr w:rsidR="00235E64" w:rsidRPr="000114E3" w14:paraId="76A282D6" w14:textId="77777777" w:rsidTr="006C443E">
        <w:trPr>
          <w:trHeight w:val="48"/>
          <w:jc w:val="center"/>
        </w:trPr>
        <w:tc>
          <w:tcPr>
            <w:tcW w:w="4669" w:type="dxa"/>
            <w:vMerge/>
            <w:tcBorders>
              <w:top w:val="single" w:sz="18" w:space="0" w:color="000000"/>
            </w:tcBorders>
            <w:vAlign w:val="center"/>
            <w:hideMark/>
          </w:tcPr>
          <w:p w14:paraId="5AFE04DE" w14:textId="77777777" w:rsidR="00235E64" w:rsidRPr="000114E3" w:rsidRDefault="00235E64" w:rsidP="0084351D">
            <w:pPr>
              <w:spacing w:line="240" w:lineRule="auto"/>
              <w:rPr>
                <w:rFonts w:ascii="Calibri" w:eastAsia="Times New Roman" w:hAnsi="Calibri" w:cs="Calibri"/>
                <w:sz w:val="20"/>
                <w:szCs w:val="20"/>
                <w:lang w:eastAsia="en-AU"/>
              </w:rPr>
            </w:pPr>
          </w:p>
        </w:tc>
        <w:tc>
          <w:tcPr>
            <w:tcW w:w="1286" w:type="dxa"/>
            <w:tcMar>
              <w:top w:w="0" w:type="dxa"/>
              <w:left w:w="85" w:type="dxa"/>
              <w:bottom w:w="0" w:type="dxa"/>
              <w:right w:w="85" w:type="dxa"/>
            </w:tcMar>
            <w:hideMark/>
          </w:tcPr>
          <w:p w14:paraId="5E0D8D9E"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3</w:t>
            </w:r>
          </w:p>
        </w:tc>
        <w:tc>
          <w:tcPr>
            <w:tcW w:w="1286" w:type="dxa"/>
            <w:tcMar>
              <w:top w:w="0" w:type="dxa"/>
              <w:left w:w="85" w:type="dxa"/>
              <w:bottom w:w="0" w:type="dxa"/>
              <w:right w:w="85" w:type="dxa"/>
            </w:tcMar>
            <w:hideMark/>
          </w:tcPr>
          <w:p w14:paraId="48FEBF7D"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Water</w:t>
            </w:r>
          </w:p>
        </w:tc>
        <w:tc>
          <w:tcPr>
            <w:tcW w:w="1286" w:type="dxa"/>
            <w:tcMar>
              <w:top w:w="0" w:type="dxa"/>
              <w:left w:w="85" w:type="dxa"/>
              <w:bottom w:w="0" w:type="dxa"/>
              <w:right w:w="85" w:type="dxa"/>
            </w:tcMar>
            <w:hideMark/>
          </w:tcPr>
          <w:p w14:paraId="7004F71F"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Batch</w:t>
            </w:r>
          </w:p>
        </w:tc>
        <w:tc>
          <w:tcPr>
            <w:tcW w:w="190" w:type="dxa"/>
            <w:tcMar>
              <w:top w:w="0" w:type="dxa"/>
              <w:left w:w="85" w:type="dxa"/>
              <w:bottom w:w="0" w:type="dxa"/>
              <w:right w:w="85" w:type="dxa"/>
            </w:tcMar>
            <w:hideMark/>
          </w:tcPr>
          <w:p w14:paraId="098962DE" w14:textId="77777777" w:rsidR="00235E64" w:rsidRPr="000114E3" w:rsidRDefault="00235E64" w:rsidP="0084351D">
            <w:pPr>
              <w:spacing w:before="40" w:line="240" w:lineRule="atLeast"/>
              <w:rPr>
                <w:rFonts w:ascii="Calibri" w:eastAsia="Times New Roman" w:hAnsi="Calibri" w:cs="Calibri"/>
                <w:sz w:val="20"/>
                <w:szCs w:val="20"/>
                <w:lang w:eastAsia="en-AU"/>
              </w:rPr>
            </w:pPr>
          </w:p>
        </w:tc>
      </w:tr>
      <w:tr w:rsidR="00235E64" w:rsidRPr="000114E3" w14:paraId="3BC8BC78" w14:textId="77777777" w:rsidTr="006C443E">
        <w:trPr>
          <w:trHeight w:val="48"/>
          <w:jc w:val="center"/>
        </w:trPr>
        <w:tc>
          <w:tcPr>
            <w:tcW w:w="4669" w:type="dxa"/>
            <w:vMerge/>
            <w:tcBorders>
              <w:top w:val="single" w:sz="18" w:space="0" w:color="000000"/>
            </w:tcBorders>
            <w:vAlign w:val="center"/>
            <w:hideMark/>
          </w:tcPr>
          <w:p w14:paraId="538241AE" w14:textId="77777777" w:rsidR="00235E64" w:rsidRPr="000114E3" w:rsidRDefault="00235E64" w:rsidP="0084351D">
            <w:pPr>
              <w:spacing w:line="240" w:lineRule="auto"/>
              <w:rPr>
                <w:rFonts w:ascii="Calibri" w:eastAsia="Times New Roman" w:hAnsi="Calibri" w:cs="Calibri"/>
                <w:sz w:val="20"/>
                <w:szCs w:val="20"/>
                <w:lang w:eastAsia="en-AU"/>
              </w:rPr>
            </w:pPr>
          </w:p>
        </w:tc>
        <w:tc>
          <w:tcPr>
            <w:tcW w:w="1286" w:type="dxa"/>
            <w:tcMar>
              <w:top w:w="0" w:type="dxa"/>
              <w:left w:w="85" w:type="dxa"/>
              <w:bottom w:w="0" w:type="dxa"/>
              <w:right w:w="85" w:type="dxa"/>
            </w:tcMar>
            <w:hideMark/>
          </w:tcPr>
          <w:p w14:paraId="471E8674"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4</w:t>
            </w:r>
          </w:p>
        </w:tc>
        <w:tc>
          <w:tcPr>
            <w:tcW w:w="1286" w:type="dxa"/>
            <w:tcMar>
              <w:top w:w="0" w:type="dxa"/>
              <w:left w:w="85" w:type="dxa"/>
              <w:bottom w:w="0" w:type="dxa"/>
              <w:right w:w="85" w:type="dxa"/>
            </w:tcMar>
            <w:hideMark/>
          </w:tcPr>
          <w:p w14:paraId="7918EC99"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Water</w:t>
            </w:r>
          </w:p>
        </w:tc>
        <w:tc>
          <w:tcPr>
            <w:tcW w:w="1286" w:type="dxa"/>
            <w:tcMar>
              <w:top w:w="0" w:type="dxa"/>
              <w:left w:w="85" w:type="dxa"/>
              <w:bottom w:w="0" w:type="dxa"/>
              <w:right w:w="85" w:type="dxa"/>
            </w:tcMar>
            <w:hideMark/>
          </w:tcPr>
          <w:p w14:paraId="4C39AF54"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Continuous</w:t>
            </w:r>
          </w:p>
        </w:tc>
        <w:tc>
          <w:tcPr>
            <w:tcW w:w="190" w:type="dxa"/>
            <w:tcMar>
              <w:top w:w="0" w:type="dxa"/>
              <w:left w:w="85" w:type="dxa"/>
              <w:bottom w:w="0" w:type="dxa"/>
              <w:right w:w="85" w:type="dxa"/>
            </w:tcMar>
            <w:hideMark/>
          </w:tcPr>
          <w:p w14:paraId="5C080C32" w14:textId="77777777" w:rsidR="00235E64" w:rsidRPr="000114E3" w:rsidRDefault="00235E64" w:rsidP="0084351D">
            <w:pPr>
              <w:spacing w:before="40" w:line="240" w:lineRule="atLeast"/>
              <w:rPr>
                <w:rFonts w:ascii="Calibri" w:eastAsia="Times New Roman" w:hAnsi="Calibri" w:cs="Calibri"/>
                <w:sz w:val="20"/>
                <w:szCs w:val="20"/>
                <w:lang w:eastAsia="en-AU"/>
              </w:rPr>
            </w:pPr>
          </w:p>
        </w:tc>
      </w:tr>
      <w:tr w:rsidR="00235E64" w:rsidRPr="000114E3" w14:paraId="7FAAE4FF" w14:textId="77777777" w:rsidTr="006C443E">
        <w:trPr>
          <w:gridAfter w:val="1"/>
          <w:wAfter w:w="190" w:type="dxa"/>
          <w:trHeight w:val="140"/>
          <w:jc w:val="center"/>
        </w:trPr>
        <w:tc>
          <w:tcPr>
            <w:tcW w:w="4669" w:type="dxa"/>
            <w:vMerge w:val="restart"/>
            <w:tcBorders>
              <w:top w:val="single" w:sz="6" w:space="0" w:color="000000"/>
              <w:bottom w:val="single" w:sz="6" w:space="0" w:color="000000"/>
            </w:tcBorders>
            <w:tcMar>
              <w:top w:w="0" w:type="dxa"/>
              <w:left w:w="85" w:type="dxa"/>
              <w:bottom w:w="0" w:type="dxa"/>
              <w:right w:w="85" w:type="dxa"/>
            </w:tcMar>
            <w:vAlign w:val="center"/>
            <w:hideMark/>
          </w:tcPr>
          <w:p w14:paraId="1EF32D6C" w14:textId="01A2B980" w:rsidR="00235E64" w:rsidRPr="000114E3" w:rsidRDefault="00235E64" w:rsidP="0084351D">
            <w:pPr>
              <w:spacing w:before="60" w:line="240" w:lineRule="atLeast"/>
              <w:rPr>
                <w:rFonts w:ascii="Calibri" w:eastAsia="Times New Roman" w:hAnsi="Calibri" w:cs="Calibri"/>
                <w:b/>
                <w:bCs/>
                <w:sz w:val="20"/>
                <w:szCs w:val="20"/>
                <w:lang w:eastAsia="en-AU"/>
              </w:rPr>
            </w:pPr>
            <w:r w:rsidRPr="000114E3">
              <w:rPr>
                <w:rFonts w:ascii="Calibri" w:eastAsia="Times New Roman" w:hAnsi="Calibri" w:cs="Calibri"/>
                <w:b/>
                <w:bCs/>
                <w:sz w:val="20"/>
                <w:szCs w:val="20"/>
                <w:lang w:eastAsia="en-AU"/>
              </w:rPr>
              <w:t>Self-contained</w:t>
            </w:r>
            <w:r w:rsidR="006C443E" w:rsidRPr="000114E3">
              <w:rPr>
                <w:rFonts w:ascii="Calibri" w:eastAsia="Times New Roman" w:hAnsi="Calibri" w:cs="Calibri"/>
                <w:b/>
                <w:bCs/>
                <w:sz w:val="20"/>
                <w:szCs w:val="20"/>
                <w:lang w:eastAsia="en-AU"/>
              </w:rPr>
              <w:t xml:space="preserve"> (SCU)</w:t>
            </w:r>
          </w:p>
          <w:p w14:paraId="72225C4D" w14:textId="77777777" w:rsidR="00235E64" w:rsidRPr="000114E3" w:rsidRDefault="00235E64" w:rsidP="0084351D">
            <w:pPr>
              <w:spacing w:before="40" w:line="240" w:lineRule="atLeast"/>
              <w:rPr>
                <w:rFonts w:ascii="Calibri" w:eastAsia="Times New Roman" w:hAnsi="Calibri" w:cs="Calibri"/>
                <w:sz w:val="20"/>
                <w:szCs w:val="20"/>
                <w:lang w:eastAsia="en-AU"/>
              </w:rPr>
            </w:pPr>
          </w:p>
          <w:p w14:paraId="2B3BEE89" w14:textId="77777777" w:rsidR="00235E64" w:rsidRPr="000114E3" w:rsidRDefault="00235E64" w:rsidP="0084351D">
            <w:pPr>
              <w:spacing w:before="60" w:line="240" w:lineRule="auto"/>
              <w:ind w:left="284" w:hanging="284"/>
              <w:rPr>
                <w:rFonts w:ascii="Calibri" w:eastAsia="Times New Roman" w:hAnsi="Calibri" w:cs="Calibri"/>
                <w:sz w:val="20"/>
                <w:szCs w:val="20"/>
                <w:lang w:eastAsia="en-AU"/>
              </w:rPr>
            </w:pPr>
          </w:p>
        </w:tc>
        <w:tc>
          <w:tcPr>
            <w:tcW w:w="1286" w:type="dxa"/>
            <w:tcBorders>
              <w:top w:val="single" w:sz="6" w:space="0" w:color="000000"/>
            </w:tcBorders>
            <w:tcMar>
              <w:top w:w="0" w:type="dxa"/>
              <w:left w:w="85" w:type="dxa"/>
              <w:bottom w:w="0" w:type="dxa"/>
              <w:right w:w="85" w:type="dxa"/>
            </w:tcMar>
            <w:hideMark/>
          </w:tcPr>
          <w:p w14:paraId="353ABB49"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5</w:t>
            </w:r>
          </w:p>
        </w:tc>
        <w:tc>
          <w:tcPr>
            <w:tcW w:w="1286" w:type="dxa"/>
            <w:tcBorders>
              <w:top w:val="single" w:sz="6" w:space="0" w:color="000000"/>
            </w:tcBorders>
            <w:tcMar>
              <w:top w:w="0" w:type="dxa"/>
              <w:left w:w="85" w:type="dxa"/>
              <w:bottom w:w="0" w:type="dxa"/>
              <w:right w:w="85" w:type="dxa"/>
            </w:tcMar>
            <w:hideMark/>
          </w:tcPr>
          <w:p w14:paraId="292FBE3B"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Air</w:t>
            </w:r>
          </w:p>
        </w:tc>
        <w:tc>
          <w:tcPr>
            <w:tcW w:w="1286" w:type="dxa"/>
            <w:tcBorders>
              <w:top w:val="single" w:sz="6" w:space="0" w:color="000000"/>
            </w:tcBorders>
            <w:tcMar>
              <w:top w:w="0" w:type="dxa"/>
              <w:left w:w="85" w:type="dxa"/>
              <w:bottom w:w="0" w:type="dxa"/>
              <w:right w:w="85" w:type="dxa"/>
            </w:tcMar>
            <w:hideMark/>
          </w:tcPr>
          <w:p w14:paraId="27A1A7B0"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Batch</w:t>
            </w:r>
          </w:p>
        </w:tc>
      </w:tr>
      <w:tr w:rsidR="00235E64" w:rsidRPr="000114E3" w14:paraId="7154FE28" w14:textId="77777777" w:rsidTr="006C443E">
        <w:trPr>
          <w:gridAfter w:val="1"/>
          <w:wAfter w:w="190" w:type="dxa"/>
          <w:trHeight w:val="139"/>
          <w:jc w:val="center"/>
        </w:trPr>
        <w:tc>
          <w:tcPr>
            <w:tcW w:w="4669" w:type="dxa"/>
            <w:vMerge/>
            <w:tcBorders>
              <w:top w:val="single" w:sz="6" w:space="0" w:color="000000"/>
              <w:bottom w:val="single" w:sz="6" w:space="0" w:color="000000"/>
            </w:tcBorders>
            <w:vAlign w:val="center"/>
            <w:hideMark/>
          </w:tcPr>
          <w:p w14:paraId="5A201793" w14:textId="77777777" w:rsidR="00235E64" w:rsidRPr="000114E3" w:rsidRDefault="00235E64" w:rsidP="0084351D">
            <w:pPr>
              <w:spacing w:line="240" w:lineRule="auto"/>
              <w:rPr>
                <w:rFonts w:ascii="Calibri" w:eastAsia="Times New Roman" w:hAnsi="Calibri" w:cs="Calibri"/>
                <w:sz w:val="20"/>
                <w:szCs w:val="20"/>
                <w:lang w:eastAsia="en-AU"/>
              </w:rPr>
            </w:pPr>
          </w:p>
        </w:tc>
        <w:tc>
          <w:tcPr>
            <w:tcW w:w="1286" w:type="dxa"/>
            <w:tcMar>
              <w:top w:w="0" w:type="dxa"/>
              <w:left w:w="85" w:type="dxa"/>
              <w:bottom w:w="0" w:type="dxa"/>
              <w:right w:w="85" w:type="dxa"/>
            </w:tcMar>
            <w:hideMark/>
          </w:tcPr>
          <w:p w14:paraId="1C3555DF"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6</w:t>
            </w:r>
          </w:p>
        </w:tc>
        <w:tc>
          <w:tcPr>
            <w:tcW w:w="1286" w:type="dxa"/>
            <w:tcMar>
              <w:top w:w="0" w:type="dxa"/>
              <w:left w:w="85" w:type="dxa"/>
              <w:bottom w:w="0" w:type="dxa"/>
              <w:right w:w="85" w:type="dxa"/>
            </w:tcMar>
            <w:hideMark/>
          </w:tcPr>
          <w:p w14:paraId="452BFBF7"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Air</w:t>
            </w:r>
          </w:p>
        </w:tc>
        <w:tc>
          <w:tcPr>
            <w:tcW w:w="1286" w:type="dxa"/>
            <w:tcMar>
              <w:top w:w="0" w:type="dxa"/>
              <w:left w:w="85" w:type="dxa"/>
              <w:bottom w:w="0" w:type="dxa"/>
              <w:right w:w="85" w:type="dxa"/>
            </w:tcMar>
            <w:hideMark/>
          </w:tcPr>
          <w:p w14:paraId="436E1629"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Continuous</w:t>
            </w:r>
          </w:p>
        </w:tc>
      </w:tr>
      <w:tr w:rsidR="00235E64" w:rsidRPr="000114E3" w14:paraId="114F90E9" w14:textId="77777777" w:rsidTr="006C443E">
        <w:trPr>
          <w:trHeight w:val="139"/>
          <w:jc w:val="center"/>
        </w:trPr>
        <w:tc>
          <w:tcPr>
            <w:tcW w:w="4669" w:type="dxa"/>
            <w:vMerge/>
            <w:tcBorders>
              <w:top w:val="single" w:sz="6" w:space="0" w:color="000000"/>
              <w:bottom w:val="single" w:sz="6" w:space="0" w:color="000000"/>
            </w:tcBorders>
            <w:vAlign w:val="center"/>
            <w:hideMark/>
          </w:tcPr>
          <w:p w14:paraId="64A72782" w14:textId="77777777" w:rsidR="00235E64" w:rsidRPr="000114E3" w:rsidRDefault="00235E64" w:rsidP="0084351D">
            <w:pPr>
              <w:spacing w:line="240" w:lineRule="auto"/>
              <w:rPr>
                <w:rFonts w:ascii="Calibri" w:eastAsia="Times New Roman" w:hAnsi="Calibri" w:cs="Calibri"/>
                <w:sz w:val="20"/>
                <w:szCs w:val="20"/>
                <w:lang w:eastAsia="en-AU"/>
              </w:rPr>
            </w:pPr>
          </w:p>
        </w:tc>
        <w:tc>
          <w:tcPr>
            <w:tcW w:w="1286" w:type="dxa"/>
            <w:tcMar>
              <w:top w:w="0" w:type="dxa"/>
              <w:left w:w="85" w:type="dxa"/>
              <w:bottom w:w="0" w:type="dxa"/>
              <w:right w:w="85" w:type="dxa"/>
            </w:tcMar>
            <w:hideMark/>
          </w:tcPr>
          <w:p w14:paraId="7BA3A47A"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7</w:t>
            </w:r>
          </w:p>
        </w:tc>
        <w:tc>
          <w:tcPr>
            <w:tcW w:w="1286" w:type="dxa"/>
            <w:tcMar>
              <w:top w:w="0" w:type="dxa"/>
              <w:left w:w="85" w:type="dxa"/>
              <w:bottom w:w="0" w:type="dxa"/>
              <w:right w:w="85" w:type="dxa"/>
            </w:tcMar>
            <w:hideMark/>
          </w:tcPr>
          <w:p w14:paraId="4FE9DEFF"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Water</w:t>
            </w:r>
          </w:p>
        </w:tc>
        <w:tc>
          <w:tcPr>
            <w:tcW w:w="1286" w:type="dxa"/>
            <w:tcMar>
              <w:top w:w="0" w:type="dxa"/>
              <w:left w:w="85" w:type="dxa"/>
              <w:bottom w:w="0" w:type="dxa"/>
              <w:right w:w="85" w:type="dxa"/>
            </w:tcMar>
            <w:hideMark/>
          </w:tcPr>
          <w:p w14:paraId="5A1CAE15"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Batch</w:t>
            </w:r>
          </w:p>
        </w:tc>
        <w:tc>
          <w:tcPr>
            <w:tcW w:w="190" w:type="dxa"/>
            <w:tcMar>
              <w:top w:w="0" w:type="dxa"/>
              <w:left w:w="85" w:type="dxa"/>
              <w:bottom w:w="0" w:type="dxa"/>
              <w:right w:w="85" w:type="dxa"/>
            </w:tcMar>
            <w:hideMark/>
          </w:tcPr>
          <w:p w14:paraId="194F467B" w14:textId="77777777" w:rsidR="00235E64" w:rsidRPr="000114E3" w:rsidRDefault="00235E64" w:rsidP="0084351D">
            <w:pPr>
              <w:spacing w:before="40" w:line="240" w:lineRule="atLeast"/>
              <w:rPr>
                <w:rFonts w:ascii="Calibri" w:eastAsia="Times New Roman" w:hAnsi="Calibri" w:cs="Calibri"/>
                <w:sz w:val="20"/>
                <w:szCs w:val="20"/>
                <w:lang w:eastAsia="en-AU"/>
              </w:rPr>
            </w:pPr>
          </w:p>
        </w:tc>
      </w:tr>
      <w:tr w:rsidR="00235E64" w:rsidRPr="000114E3" w14:paraId="0ABF2408" w14:textId="77777777" w:rsidTr="006C443E">
        <w:trPr>
          <w:gridAfter w:val="1"/>
          <w:wAfter w:w="190" w:type="dxa"/>
          <w:trHeight w:val="139"/>
          <w:jc w:val="center"/>
        </w:trPr>
        <w:tc>
          <w:tcPr>
            <w:tcW w:w="4669" w:type="dxa"/>
            <w:vMerge/>
            <w:tcBorders>
              <w:top w:val="single" w:sz="6" w:space="0" w:color="000000"/>
              <w:bottom w:val="single" w:sz="6" w:space="0" w:color="000000"/>
            </w:tcBorders>
            <w:vAlign w:val="center"/>
            <w:hideMark/>
          </w:tcPr>
          <w:p w14:paraId="34770546" w14:textId="77777777" w:rsidR="00235E64" w:rsidRPr="000114E3" w:rsidRDefault="00235E64" w:rsidP="0084351D">
            <w:pPr>
              <w:spacing w:line="240" w:lineRule="auto"/>
              <w:rPr>
                <w:rFonts w:ascii="Calibri" w:eastAsia="Times New Roman" w:hAnsi="Calibri" w:cs="Calibri"/>
                <w:sz w:val="20"/>
                <w:szCs w:val="20"/>
                <w:lang w:eastAsia="en-AU"/>
              </w:rPr>
            </w:pPr>
          </w:p>
        </w:tc>
        <w:tc>
          <w:tcPr>
            <w:tcW w:w="1286" w:type="dxa"/>
            <w:tcBorders>
              <w:bottom w:val="single" w:sz="6" w:space="0" w:color="000000"/>
            </w:tcBorders>
            <w:tcMar>
              <w:top w:w="0" w:type="dxa"/>
              <w:left w:w="85" w:type="dxa"/>
              <w:bottom w:w="0" w:type="dxa"/>
              <w:right w:w="85" w:type="dxa"/>
            </w:tcMar>
            <w:hideMark/>
          </w:tcPr>
          <w:p w14:paraId="551224F9"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8</w:t>
            </w:r>
          </w:p>
        </w:tc>
        <w:tc>
          <w:tcPr>
            <w:tcW w:w="1286" w:type="dxa"/>
            <w:tcBorders>
              <w:bottom w:val="single" w:sz="6" w:space="0" w:color="000000"/>
            </w:tcBorders>
            <w:tcMar>
              <w:top w:w="0" w:type="dxa"/>
              <w:left w:w="85" w:type="dxa"/>
              <w:bottom w:w="0" w:type="dxa"/>
              <w:right w:w="85" w:type="dxa"/>
            </w:tcMar>
            <w:hideMark/>
          </w:tcPr>
          <w:p w14:paraId="3421366E"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Water</w:t>
            </w:r>
          </w:p>
        </w:tc>
        <w:tc>
          <w:tcPr>
            <w:tcW w:w="1286" w:type="dxa"/>
            <w:tcBorders>
              <w:bottom w:val="single" w:sz="6" w:space="0" w:color="000000"/>
            </w:tcBorders>
            <w:tcMar>
              <w:top w:w="0" w:type="dxa"/>
              <w:left w:w="85" w:type="dxa"/>
              <w:bottom w:w="0" w:type="dxa"/>
              <w:right w:w="85" w:type="dxa"/>
            </w:tcMar>
            <w:hideMark/>
          </w:tcPr>
          <w:p w14:paraId="7931E8DB"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Continuous</w:t>
            </w:r>
          </w:p>
        </w:tc>
      </w:tr>
      <w:tr w:rsidR="00235E64" w:rsidRPr="000114E3" w14:paraId="6B75D0B6" w14:textId="77777777" w:rsidTr="006C443E">
        <w:trPr>
          <w:gridAfter w:val="1"/>
          <w:wAfter w:w="190" w:type="dxa"/>
          <w:trHeight w:val="279"/>
          <w:jc w:val="center"/>
        </w:trPr>
        <w:tc>
          <w:tcPr>
            <w:tcW w:w="4669" w:type="dxa"/>
            <w:vMerge w:val="restart"/>
            <w:tcBorders>
              <w:top w:val="single" w:sz="6" w:space="0" w:color="000000"/>
              <w:bottom w:val="single" w:sz="6" w:space="0" w:color="000000"/>
            </w:tcBorders>
            <w:tcMar>
              <w:top w:w="0" w:type="dxa"/>
              <w:left w:w="85" w:type="dxa"/>
              <w:bottom w:w="0" w:type="dxa"/>
              <w:right w:w="85" w:type="dxa"/>
            </w:tcMar>
            <w:vAlign w:val="center"/>
            <w:hideMark/>
          </w:tcPr>
          <w:p w14:paraId="61D5EDCB" w14:textId="77777777" w:rsidR="00235E64" w:rsidRPr="000114E3" w:rsidRDefault="00235E64" w:rsidP="0084351D">
            <w:pPr>
              <w:spacing w:before="60" w:line="240" w:lineRule="atLeast"/>
              <w:rPr>
                <w:rFonts w:ascii="Calibri" w:eastAsia="Times New Roman" w:hAnsi="Calibri" w:cs="Calibri"/>
                <w:b/>
                <w:bCs/>
                <w:sz w:val="20"/>
                <w:szCs w:val="20"/>
                <w:lang w:eastAsia="en-AU"/>
              </w:rPr>
            </w:pPr>
            <w:r w:rsidRPr="000114E3">
              <w:rPr>
                <w:rFonts w:ascii="Calibri" w:eastAsia="Times New Roman" w:hAnsi="Calibri" w:cs="Calibri"/>
                <w:b/>
                <w:bCs/>
                <w:sz w:val="20"/>
                <w:szCs w:val="20"/>
                <w:lang w:eastAsia="en-AU"/>
              </w:rPr>
              <w:t>Split system (remote, condensing, no remote compressor)</w:t>
            </w:r>
          </w:p>
        </w:tc>
        <w:tc>
          <w:tcPr>
            <w:tcW w:w="1286" w:type="dxa"/>
            <w:tcBorders>
              <w:top w:val="single" w:sz="6" w:space="0" w:color="000000"/>
            </w:tcBorders>
            <w:tcMar>
              <w:top w:w="0" w:type="dxa"/>
              <w:left w:w="85" w:type="dxa"/>
              <w:bottom w:w="0" w:type="dxa"/>
              <w:right w:w="85" w:type="dxa"/>
            </w:tcMar>
            <w:hideMark/>
          </w:tcPr>
          <w:p w14:paraId="67106900"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9</w:t>
            </w:r>
          </w:p>
        </w:tc>
        <w:tc>
          <w:tcPr>
            <w:tcW w:w="1286" w:type="dxa"/>
            <w:tcBorders>
              <w:top w:val="single" w:sz="6" w:space="0" w:color="000000"/>
            </w:tcBorders>
            <w:tcMar>
              <w:top w:w="0" w:type="dxa"/>
              <w:left w:w="85" w:type="dxa"/>
              <w:bottom w:w="0" w:type="dxa"/>
              <w:right w:w="85" w:type="dxa"/>
            </w:tcMar>
            <w:hideMark/>
          </w:tcPr>
          <w:p w14:paraId="7B99002F"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Air</w:t>
            </w:r>
          </w:p>
        </w:tc>
        <w:tc>
          <w:tcPr>
            <w:tcW w:w="1286" w:type="dxa"/>
            <w:tcBorders>
              <w:top w:val="single" w:sz="6" w:space="0" w:color="000000"/>
            </w:tcBorders>
            <w:tcMar>
              <w:top w:w="0" w:type="dxa"/>
              <w:left w:w="85" w:type="dxa"/>
              <w:bottom w:w="0" w:type="dxa"/>
              <w:right w:w="85" w:type="dxa"/>
            </w:tcMar>
            <w:hideMark/>
          </w:tcPr>
          <w:p w14:paraId="37A90D73"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Batch</w:t>
            </w:r>
          </w:p>
        </w:tc>
      </w:tr>
      <w:tr w:rsidR="00235E64" w:rsidRPr="000114E3" w14:paraId="025E1C86" w14:textId="77777777" w:rsidTr="006C443E">
        <w:trPr>
          <w:trHeight w:val="278"/>
          <w:jc w:val="center"/>
        </w:trPr>
        <w:tc>
          <w:tcPr>
            <w:tcW w:w="4669" w:type="dxa"/>
            <w:vMerge/>
            <w:tcBorders>
              <w:top w:val="single" w:sz="6" w:space="0" w:color="000000"/>
              <w:bottom w:val="single" w:sz="6" w:space="0" w:color="000000"/>
            </w:tcBorders>
            <w:vAlign w:val="center"/>
            <w:hideMark/>
          </w:tcPr>
          <w:p w14:paraId="21D4D174" w14:textId="77777777" w:rsidR="00235E64" w:rsidRPr="000114E3" w:rsidRDefault="00235E64" w:rsidP="0084351D">
            <w:pPr>
              <w:spacing w:line="240" w:lineRule="auto"/>
              <w:rPr>
                <w:rFonts w:ascii="Calibri" w:eastAsia="Times New Roman" w:hAnsi="Calibri" w:cs="Calibri"/>
                <w:sz w:val="20"/>
                <w:szCs w:val="20"/>
                <w:lang w:eastAsia="en-AU"/>
              </w:rPr>
            </w:pPr>
          </w:p>
        </w:tc>
        <w:tc>
          <w:tcPr>
            <w:tcW w:w="1286" w:type="dxa"/>
            <w:tcBorders>
              <w:bottom w:val="single" w:sz="4" w:space="0" w:color="auto"/>
            </w:tcBorders>
            <w:tcMar>
              <w:top w:w="0" w:type="dxa"/>
              <w:left w:w="85" w:type="dxa"/>
              <w:bottom w:w="0" w:type="dxa"/>
              <w:right w:w="85" w:type="dxa"/>
            </w:tcMar>
            <w:hideMark/>
          </w:tcPr>
          <w:p w14:paraId="7C740203"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10</w:t>
            </w:r>
          </w:p>
        </w:tc>
        <w:tc>
          <w:tcPr>
            <w:tcW w:w="1286" w:type="dxa"/>
            <w:tcBorders>
              <w:bottom w:val="single" w:sz="4" w:space="0" w:color="auto"/>
            </w:tcBorders>
            <w:tcMar>
              <w:top w:w="0" w:type="dxa"/>
              <w:left w:w="85" w:type="dxa"/>
              <w:bottom w:w="0" w:type="dxa"/>
              <w:right w:w="85" w:type="dxa"/>
            </w:tcMar>
            <w:hideMark/>
          </w:tcPr>
          <w:p w14:paraId="097E3A1C"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Air</w:t>
            </w:r>
          </w:p>
        </w:tc>
        <w:tc>
          <w:tcPr>
            <w:tcW w:w="1286" w:type="dxa"/>
            <w:tcBorders>
              <w:bottom w:val="single" w:sz="4" w:space="0" w:color="auto"/>
            </w:tcBorders>
            <w:tcMar>
              <w:top w:w="0" w:type="dxa"/>
              <w:left w:w="85" w:type="dxa"/>
              <w:bottom w:w="0" w:type="dxa"/>
              <w:right w:w="85" w:type="dxa"/>
            </w:tcMar>
            <w:hideMark/>
          </w:tcPr>
          <w:p w14:paraId="4A87F1F4" w14:textId="77777777" w:rsidR="00235E64" w:rsidRPr="000114E3" w:rsidRDefault="00235E64"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Continuous</w:t>
            </w:r>
          </w:p>
        </w:tc>
        <w:tc>
          <w:tcPr>
            <w:tcW w:w="190" w:type="dxa"/>
            <w:tcMar>
              <w:top w:w="0" w:type="dxa"/>
              <w:left w:w="85" w:type="dxa"/>
              <w:bottom w:w="0" w:type="dxa"/>
              <w:right w:w="85" w:type="dxa"/>
            </w:tcMar>
            <w:hideMark/>
          </w:tcPr>
          <w:p w14:paraId="5C59F6CE" w14:textId="77777777" w:rsidR="00235E64" w:rsidRPr="000114E3" w:rsidRDefault="00235E64" w:rsidP="0084351D">
            <w:pPr>
              <w:spacing w:before="40" w:line="240" w:lineRule="atLeast"/>
              <w:rPr>
                <w:rFonts w:ascii="Calibri" w:eastAsia="Times New Roman" w:hAnsi="Calibri" w:cs="Calibri"/>
                <w:sz w:val="20"/>
                <w:szCs w:val="20"/>
                <w:lang w:eastAsia="en-AU"/>
              </w:rPr>
            </w:pPr>
          </w:p>
        </w:tc>
      </w:tr>
      <w:tr w:rsidR="006C443E" w:rsidRPr="000114E3" w14:paraId="7227896F" w14:textId="77777777" w:rsidTr="006C443E">
        <w:trPr>
          <w:trHeight w:val="326"/>
          <w:jc w:val="center"/>
        </w:trPr>
        <w:tc>
          <w:tcPr>
            <w:tcW w:w="4669" w:type="dxa"/>
            <w:vMerge w:val="restart"/>
            <w:tcBorders>
              <w:top w:val="single" w:sz="6" w:space="0" w:color="000000"/>
            </w:tcBorders>
            <w:tcMar>
              <w:top w:w="0" w:type="dxa"/>
              <w:left w:w="85" w:type="dxa"/>
              <w:bottom w:w="0" w:type="dxa"/>
              <w:right w:w="85" w:type="dxa"/>
            </w:tcMar>
            <w:vAlign w:val="center"/>
            <w:hideMark/>
          </w:tcPr>
          <w:p w14:paraId="6F78F26E" w14:textId="77777777" w:rsidR="006C443E" w:rsidRPr="000114E3" w:rsidRDefault="006C443E"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b/>
                <w:bCs/>
                <w:sz w:val="20"/>
                <w:szCs w:val="20"/>
                <w:lang w:eastAsia="en-AU"/>
              </w:rPr>
              <w:t>Split system (remote, condensing, remote compressor)</w:t>
            </w:r>
          </w:p>
        </w:tc>
        <w:tc>
          <w:tcPr>
            <w:tcW w:w="1286" w:type="dxa"/>
            <w:tcBorders>
              <w:top w:val="single" w:sz="4" w:space="0" w:color="auto"/>
            </w:tcBorders>
            <w:tcMar>
              <w:top w:w="0" w:type="dxa"/>
              <w:left w:w="85" w:type="dxa"/>
              <w:bottom w:w="0" w:type="dxa"/>
              <w:right w:w="85" w:type="dxa"/>
            </w:tcMar>
            <w:hideMark/>
          </w:tcPr>
          <w:p w14:paraId="0DF9572F" w14:textId="77777777" w:rsidR="006C443E" w:rsidRPr="000114E3" w:rsidRDefault="006C443E"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11</w:t>
            </w:r>
          </w:p>
        </w:tc>
        <w:tc>
          <w:tcPr>
            <w:tcW w:w="1286" w:type="dxa"/>
            <w:tcBorders>
              <w:top w:val="single" w:sz="4" w:space="0" w:color="auto"/>
            </w:tcBorders>
            <w:tcMar>
              <w:top w:w="0" w:type="dxa"/>
              <w:left w:w="85" w:type="dxa"/>
              <w:bottom w:w="0" w:type="dxa"/>
              <w:right w:w="85" w:type="dxa"/>
            </w:tcMar>
            <w:hideMark/>
          </w:tcPr>
          <w:p w14:paraId="31925BCD" w14:textId="77777777" w:rsidR="006C443E" w:rsidRPr="000114E3" w:rsidRDefault="006C443E"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Air</w:t>
            </w:r>
          </w:p>
        </w:tc>
        <w:tc>
          <w:tcPr>
            <w:tcW w:w="1286" w:type="dxa"/>
            <w:tcBorders>
              <w:top w:val="single" w:sz="4" w:space="0" w:color="auto"/>
            </w:tcBorders>
            <w:tcMar>
              <w:top w:w="0" w:type="dxa"/>
              <w:left w:w="85" w:type="dxa"/>
              <w:bottom w:w="0" w:type="dxa"/>
              <w:right w:w="85" w:type="dxa"/>
            </w:tcMar>
            <w:hideMark/>
          </w:tcPr>
          <w:p w14:paraId="258AAF37" w14:textId="77777777" w:rsidR="006C443E" w:rsidRPr="000114E3" w:rsidRDefault="006C443E"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Batch</w:t>
            </w:r>
          </w:p>
          <w:p w14:paraId="56D88403" w14:textId="5AB32476" w:rsidR="006C443E" w:rsidRPr="000114E3" w:rsidRDefault="006C443E" w:rsidP="0084351D">
            <w:pPr>
              <w:spacing w:before="40" w:line="240" w:lineRule="atLeast"/>
              <w:rPr>
                <w:rFonts w:ascii="Calibri" w:eastAsia="Times New Roman" w:hAnsi="Calibri" w:cs="Calibri"/>
                <w:sz w:val="20"/>
                <w:szCs w:val="20"/>
                <w:lang w:eastAsia="en-AU"/>
              </w:rPr>
            </w:pPr>
          </w:p>
        </w:tc>
        <w:tc>
          <w:tcPr>
            <w:tcW w:w="190" w:type="dxa"/>
            <w:tcMar>
              <w:top w:w="0" w:type="dxa"/>
              <w:left w:w="85" w:type="dxa"/>
              <w:bottom w:w="0" w:type="dxa"/>
              <w:right w:w="85" w:type="dxa"/>
            </w:tcMar>
            <w:hideMark/>
          </w:tcPr>
          <w:p w14:paraId="4B4D5E4D" w14:textId="77777777" w:rsidR="006C443E" w:rsidRPr="000114E3" w:rsidRDefault="006C443E" w:rsidP="0084351D">
            <w:pPr>
              <w:spacing w:before="40" w:line="240" w:lineRule="atLeast"/>
              <w:rPr>
                <w:rFonts w:ascii="Calibri" w:eastAsia="Times New Roman" w:hAnsi="Calibri" w:cs="Calibri"/>
                <w:sz w:val="20"/>
                <w:szCs w:val="20"/>
                <w:lang w:eastAsia="en-AU"/>
              </w:rPr>
            </w:pPr>
          </w:p>
        </w:tc>
      </w:tr>
      <w:tr w:rsidR="006C443E" w:rsidRPr="000114E3" w14:paraId="34F862A1" w14:textId="77777777" w:rsidTr="006C443E">
        <w:trPr>
          <w:trHeight w:val="326"/>
          <w:jc w:val="center"/>
        </w:trPr>
        <w:tc>
          <w:tcPr>
            <w:tcW w:w="4669" w:type="dxa"/>
            <w:vMerge/>
            <w:tcBorders>
              <w:bottom w:val="single" w:sz="4" w:space="0" w:color="auto"/>
            </w:tcBorders>
            <w:tcMar>
              <w:top w:w="0" w:type="dxa"/>
              <w:left w:w="85" w:type="dxa"/>
              <w:bottom w:w="0" w:type="dxa"/>
              <w:right w:w="85" w:type="dxa"/>
            </w:tcMar>
            <w:vAlign w:val="center"/>
          </w:tcPr>
          <w:p w14:paraId="682BB603" w14:textId="77777777" w:rsidR="006C443E" w:rsidRPr="000114E3" w:rsidRDefault="006C443E" w:rsidP="0084351D">
            <w:pPr>
              <w:spacing w:before="40" w:line="240" w:lineRule="atLeast"/>
              <w:rPr>
                <w:rFonts w:ascii="Calibri" w:eastAsia="Times New Roman" w:hAnsi="Calibri" w:cs="Calibri"/>
                <w:b/>
                <w:bCs/>
                <w:sz w:val="20"/>
                <w:szCs w:val="20"/>
                <w:lang w:eastAsia="en-AU"/>
              </w:rPr>
            </w:pPr>
          </w:p>
        </w:tc>
        <w:tc>
          <w:tcPr>
            <w:tcW w:w="1286" w:type="dxa"/>
            <w:tcBorders>
              <w:bottom w:val="single" w:sz="4" w:space="0" w:color="auto"/>
            </w:tcBorders>
            <w:tcMar>
              <w:top w:w="0" w:type="dxa"/>
              <w:left w:w="85" w:type="dxa"/>
              <w:bottom w:w="0" w:type="dxa"/>
              <w:right w:w="85" w:type="dxa"/>
            </w:tcMar>
          </w:tcPr>
          <w:p w14:paraId="6FF27F9B" w14:textId="64CF4C70" w:rsidR="006C443E" w:rsidRPr="000114E3" w:rsidRDefault="006C443E"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12</w:t>
            </w:r>
          </w:p>
        </w:tc>
        <w:tc>
          <w:tcPr>
            <w:tcW w:w="1286" w:type="dxa"/>
            <w:tcBorders>
              <w:bottom w:val="single" w:sz="4" w:space="0" w:color="auto"/>
            </w:tcBorders>
            <w:tcMar>
              <w:top w:w="0" w:type="dxa"/>
              <w:left w:w="85" w:type="dxa"/>
              <w:bottom w:w="0" w:type="dxa"/>
              <w:right w:w="85" w:type="dxa"/>
            </w:tcMar>
          </w:tcPr>
          <w:p w14:paraId="45165A70" w14:textId="38F788EF" w:rsidR="006C443E" w:rsidRPr="000114E3" w:rsidRDefault="006C443E"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Air</w:t>
            </w:r>
          </w:p>
        </w:tc>
        <w:tc>
          <w:tcPr>
            <w:tcW w:w="1286" w:type="dxa"/>
            <w:tcBorders>
              <w:bottom w:val="single" w:sz="4" w:space="0" w:color="auto"/>
            </w:tcBorders>
            <w:tcMar>
              <w:top w:w="0" w:type="dxa"/>
              <w:left w:w="85" w:type="dxa"/>
              <w:bottom w:w="0" w:type="dxa"/>
              <w:right w:w="85" w:type="dxa"/>
            </w:tcMar>
          </w:tcPr>
          <w:p w14:paraId="059861B8" w14:textId="5019B5DD" w:rsidR="006C443E" w:rsidRPr="000114E3" w:rsidRDefault="006C443E" w:rsidP="0084351D">
            <w:pPr>
              <w:spacing w:before="40" w:line="240" w:lineRule="atLeast"/>
              <w:rPr>
                <w:rFonts w:ascii="Calibri" w:eastAsia="Times New Roman" w:hAnsi="Calibri" w:cs="Calibri"/>
                <w:sz w:val="20"/>
                <w:szCs w:val="20"/>
                <w:lang w:eastAsia="en-AU"/>
              </w:rPr>
            </w:pPr>
            <w:r w:rsidRPr="000114E3">
              <w:rPr>
                <w:rFonts w:ascii="Calibri" w:eastAsia="Times New Roman" w:hAnsi="Calibri" w:cs="Calibri"/>
                <w:sz w:val="20"/>
                <w:szCs w:val="20"/>
                <w:lang w:eastAsia="en-AU"/>
              </w:rPr>
              <w:t>Continuous</w:t>
            </w:r>
          </w:p>
        </w:tc>
        <w:tc>
          <w:tcPr>
            <w:tcW w:w="190" w:type="dxa"/>
            <w:tcBorders>
              <w:bottom w:val="single" w:sz="4" w:space="0" w:color="auto"/>
            </w:tcBorders>
            <w:tcMar>
              <w:top w:w="0" w:type="dxa"/>
              <w:left w:w="85" w:type="dxa"/>
              <w:bottom w:w="0" w:type="dxa"/>
              <w:right w:w="85" w:type="dxa"/>
            </w:tcMar>
          </w:tcPr>
          <w:p w14:paraId="41E979F4" w14:textId="77777777" w:rsidR="006C443E" w:rsidRPr="000114E3" w:rsidRDefault="006C443E" w:rsidP="0084351D">
            <w:pPr>
              <w:spacing w:before="40" w:line="240" w:lineRule="atLeast"/>
              <w:rPr>
                <w:rFonts w:ascii="Calibri" w:eastAsia="Times New Roman" w:hAnsi="Calibri" w:cs="Calibri"/>
                <w:sz w:val="20"/>
                <w:szCs w:val="20"/>
                <w:lang w:eastAsia="en-AU"/>
              </w:rPr>
            </w:pPr>
          </w:p>
        </w:tc>
      </w:tr>
    </w:tbl>
    <w:p w14:paraId="6416FC0A" w14:textId="4350C145" w:rsidR="00235E64" w:rsidRPr="006C443E" w:rsidRDefault="006C443E" w:rsidP="006C443E">
      <w:pPr>
        <w:spacing w:after="200" w:line="288" w:lineRule="auto"/>
        <w:jc w:val="center"/>
        <w:rPr>
          <w:sz w:val="18"/>
          <w:szCs w:val="18"/>
        </w:rPr>
      </w:pPr>
      <w:r w:rsidRPr="006C443E">
        <w:rPr>
          <w:sz w:val="18"/>
          <w:szCs w:val="18"/>
        </w:rPr>
        <w:t>Source: Greenhouse and Energy Minimum Standards (Commercial Ice-makers) Determination 2025</w:t>
      </w:r>
    </w:p>
    <w:p w14:paraId="67FA9B0C" w14:textId="10CC5A5A" w:rsidR="0038019A" w:rsidRPr="00574A07" w:rsidRDefault="0038019A" w:rsidP="0038019A">
      <w:r w:rsidRPr="00574A07">
        <w:t>Flaked or granular ice is shapeless and contains some entrapped water and air. It is ideal for preserving and displaying perishable foods such as fish or vegetables, since it accommodates irregular shapes and the water content means it does not bruise or dry the produce. However, it melts faster than cube ice. Flaked ice is made by a continuous process in which water is sprayed on to or inside a rotating cylindrical evaporator and removed as it forms by a scraper or augur. The manufacture of flaked ice is less energy-intensive and quieter than for cubed ice and there is very little potable water wastage</w:t>
      </w:r>
      <w:r>
        <w:t>.</w:t>
      </w:r>
    </w:p>
    <w:p w14:paraId="2E265F3C" w14:textId="54A732EE" w:rsidR="00A27733" w:rsidRDefault="0038019A" w:rsidP="0038019A">
      <w:r w:rsidRPr="00574A07">
        <w:t>Nugget or tubular ice is generally made by a continuous process, and the ice is then shaped or compressed by a secondary operation. Nugget ice is often used in lower-value soft drinks, in quick service restaurants and in hospitals, where it is easier for patients to chew.</w:t>
      </w:r>
    </w:p>
    <w:p w14:paraId="2D59B233" w14:textId="77777777" w:rsidR="00A27733" w:rsidRDefault="00A27733">
      <w:pPr>
        <w:spacing w:after="200" w:line="288" w:lineRule="auto"/>
        <w:jc w:val="left"/>
      </w:pPr>
      <w:r>
        <w:br w:type="page"/>
      </w:r>
    </w:p>
    <w:p w14:paraId="58BD5876" w14:textId="30BA244F" w:rsidR="00943E31" w:rsidRDefault="00943E31" w:rsidP="00943E31">
      <w:pPr>
        <w:pStyle w:val="E3Heading2"/>
      </w:pPr>
      <w:bookmarkStart w:id="21" w:name="_Toc196745404"/>
      <w:r>
        <w:lastRenderedPageBreak/>
        <w:t xml:space="preserve">The </w:t>
      </w:r>
      <w:r w:rsidR="002F4C85">
        <w:t>i</w:t>
      </w:r>
      <w:r>
        <w:t>ndustry</w:t>
      </w:r>
      <w:bookmarkEnd w:id="21"/>
    </w:p>
    <w:p w14:paraId="6E67D6A7" w14:textId="2CCE4DB0" w:rsidR="00943E31" w:rsidRPr="00574A07" w:rsidRDefault="00FC2904" w:rsidP="00943E31">
      <w:r w:rsidRPr="00574A07">
        <w:t>Most</w:t>
      </w:r>
      <w:r w:rsidR="00943E31" w:rsidRPr="00574A07">
        <w:t xml:space="preserve"> ice makers sold in Australia are imported. The one company still manufacturing </w:t>
      </w:r>
      <w:r w:rsidR="00451AD2">
        <w:t xml:space="preserve">CIMs </w:t>
      </w:r>
      <w:r w:rsidR="00943E31" w:rsidRPr="00574A07">
        <w:t xml:space="preserve">in Australia </w:t>
      </w:r>
      <w:r w:rsidR="00943E31">
        <w:t>and New Zealand</w:t>
      </w:r>
      <w:r w:rsidR="00943E31" w:rsidRPr="00574A07">
        <w:t xml:space="preserve"> also imports a number of models to supplement its locally made range.</w:t>
      </w:r>
    </w:p>
    <w:p w14:paraId="4F4EF06C" w14:textId="1F66F43B" w:rsidR="00451AD2" w:rsidRDefault="00943E31" w:rsidP="00943E31">
      <w:r w:rsidRPr="00574A07">
        <w:t>The ice maker industry is dominated by global brands including Scotsman and Manitowoc (</w:t>
      </w:r>
      <w:r>
        <w:t xml:space="preserve">originally </w:t>
      </w:r>
      <w:r w:rsidRPr="00574A07">
        <w:t>based in the USA), Hoshizaki (Japan), Brema, Simag, Icematic and Ice-o-matic (Italy) and ITV (Spain). These companies have expanded their manufacturing to Mexico, Britain and China.</w:t>
      </w:r>
    </w:p>
    <w:p w14:paraId="20A2BDD4" w14:textId="24ECDBBB" w:rsidR="00943E31" w:rsidRPr="00574A07" w:rsidRDefault="00943E31" w:rsidP="00943E31">
      <w:r w:rsidRPr="00574A07">
        <w:t xml:space="preserve">Some </w:t>
      </w:r>
      <w:r w:rsidR="00451AD2">
        <w:t xml:space="preserve">global brands </w:t>
      </w:r>
      <w:r w:rsidRPr="00574A07">
        <w:t>supply models for rebadging by local importers</w:t>
      </w:r>
      <w:r>
        <w:t xml:space="preserve"> (e.g. Skope)</w:t>
      </w:r>
      <w:r w:rsidRPr="00574A07">
        <w:t xml:space="preserve"> while also selling under their own brands. In some cases, variants of the same model may be made in different company</w:t>
      </w:r>
      <w:r w:rsidR="00FC2904">
        <w:t xml:space="preserve"> </w:t>
      </w:r>
      <w:r w:rsidRPr="00574A07">
        <w:t>owned factories, depending on the market for which they are intended.</w:t>
      </w:r>
      <w:r w:rsidRPr="00574A07">
        <w:rPr>
          <w:rStyle w:val="FootnoteReference"/>
        </w:rPr>
        <w:footnoteReference w:id="3"/>
      </w:r>
      <w:r w:rsidRPr="00574A07">
        <w:t xml:space="preserve"> </w:t>
      </w:r>
      <w:r w:rsidR="00451AD2">
        <w:t>Chinese companies have also started to supply the Australian market under their own brands (e.g. Blizzard).</w:t>
      </w:r>
    </w:p>
    <w:p w14:paraId="75C2DBD2" w14:textId="519FBFF1" w:rsidR="00943E31" w:rsidRDefault="00943E31" w:rsidP="00943E31">
      <w:r w:rsidRPr="00574A07">
        <w:t>At a higher level of aggregation, the Italian A</w:t>
      </w:r>
      <w:r>
        <w:t>l</w:t>
      </w:r>
      <w:r w:rsidRPr="00574A07">
        <w:t>i Group owns a large number of global commercial cooking equipment and refrigeration brands, including the ice maker brands Scotsman, Icematic, Ice-o-matic</w:t>
      </w:r>
      <w:r>
        <w:t xml:space="preserve">, </w:t>
      </w:r>
      <w:r w:rsidRPr="00574A07">
        <w:t>Simag</w:t>
      </w:r>
      <w:r>
        <w:t xml:space="preserve"> and Kold-Draft</w:t>
      </w:r>
      <w:r w:rsidRPr="00574A07">
        <w:t>, which together account for about a third of the Australia</w:t>
      </w:r>
      <w:r>
        <w:t xml:space="preserve">n </w:t>
      </w:r>
      <w:r w:rsidRPr="00574A07">
        <w:t>market</w:t>
      </w:r>
      <w:r>
        <w:t>.</w:t>
      </w:r>
    </w:p>
    <w:p w14:paraId="645E9CD9" w14:textId="0ECB813A" w:rsidR="00CA5CA7" w:rsidRPr="00574A07" w:rsidRDefault="0038019A" w:rsidP="00CA5CA7">
      <w:pPr>
        <w:pStyle w:val="E3Heading2"/>
      </w:pPr>
      <w:bookmarkStart w:id="22" w:name="_Toc149034350"/>
      <w:bookmarkStart w:id="23" w:name="_Toc196745405"/>
      <w:r>
        <w:t xml:space="preserve">Users of </w:t>
      </w:r>
      <w:r w:rsidR="00CA5CA7" w:rsidRPr="00574A07">
        <w:t>ice</w:t>
      </w:r>
      <w:bookmarkEnd w:id="22"/>
      <w:bookmarkEnd w:id="23"/>
    </w:p>
    <w:p w14:paraId="1CB41A1C" w14:textId="0EB6B8F9" w:rsidR="00CA5CA7" w:rsidRPr="00574A07" w:rsidRDefault="00CA5CA7" w:rsidP="00CA5CA7">
      <w:r w:rsidRPr="00574A07">
        <w:t xml:space="preserve">The primary market for </w:t>
      </w:r>
      <w:r w:rsidR="00AE4A14">
        <w:t xml:space="preserve">ice and </w:t>
      </w:r>
      <w:r w:rsidR="00FD11D5">
        <w:t>CIM</w:t>
      </w:r>
      <w:r w:rsidRPr="00574A07">
        <w:t>s is the hospitality and food services industry: hotels, bars, restaurants and cafes. Quick service restaurants and juice bars consume large volumes of lower-quality ice (e.g. nuggets), whereas bars, hotels and restaurants mainly use cubed or shaped ice. Some venues prefer smaller cubes that can be more easily crushed and blended into drinks. Institutional facilities such as hospitals and aged care also use ice.</w:t>
      </w:r>
    </w:p>
    <w:p w14:paraId="5AC9BD9E" w14:textId="4899CE53" w:rsidR="00AE4A14" w:rsidRPr="00AE4A14" w:rsidRDefault="00AE4A14" w:rsidP="00AE4A14">
      <w:r w:rsidRPr="00AE4A14">
        <w:t>In recent year</w:t>
      </w:r>
      <w:r w:rsidR="0038735E">
        <w:t>s,</w:t>
      </w:r>
      <w:r w:rsidRPr="00AE4A14">
        <w:t xml:space="preserve"> the mining and construction industries have emerged as major markets for </w:t>
      </w:r>
      <w:r w:rsidR="005E573B">
        <w:t>CIMs.</w:t>
      </w:r>
      <w:r w:rsidRPr="00AE4A14">
        <w:t xml:space="preserve"> Workers typically fill their personal drink and food coolers with ice from dispensing bins at the beginning of their shift, so ice production capacity must be adequate to supply two or three shift starts each day.</w:t>
      </w:r>
    </w:p>
    <w:p w14:paraId="445A5F84" w14:textId="5A1431E9" w:rsidR="00CA5CA7" w:rsidRPr="00574A07" w:rsidRDefault="00CA5CA7" w:rsidP="00CA5CA7">
      <w:r w:rsidRPr="00574A07">
        <w:t>As with all perishable products</w:t>
      </w:r>
      <w:r w:rsidR="0038735E">
        <w:t>,</w:t>
      </w:r>
      <w:r w:rsidRPr="00574A07">
        <w:t xml:space="preserve"> ice is subject to problems of peak demand, storage and distribution. Ice makers are usually left on continuously. The bin is generally full when a shift or trading session starts and ice making resumes as ice is drawn off steadily over the session. Over a </w:t>
      </w:r>
      <w:r w:rsidR="00FC2904" w:rsidRPr="00574A07">
        <w:t>24</w:t>
      </w:r>
      <w:r w:rsidR="00FC2904">
        <w:t>-hour</w:t>
      </w:r>
      <w:r w:rsidRPr="00574A07">
        <w:t xml:space="preserve"> period, an ice maker will typically make 70</w:t>
      </w:r>
      <w:r>
        <w:t xml:space="preserve"> to</w:t>
      </w:r>
      <w:r w:rsidRPr="00574A07">
        <w:t>75% of its rated 24</w:t>
      </w:r>
      <w:r w:rsidR="0038735E">
        <w:t xml:space="preserve"> hour</w:t>
      </w:r>
      <w:r w:rsidRPr="00574A07">
        <w:t xml:space="preserve"> production capacity.</w:t>
      </w:r>
    </w:p>
    <w:p w14:paraId="5A0F1F65" w14:textId="0628363E" w:rsidR="00CA5CA7" w:rsidRPr="00574A07" w:rsidRDefault="00CA5CA7" w:rsidP="00CA5CA7">
      <w:r w:rsidRPr="00574A07">
        <w:t>Some facilities will have ice demand that peaks weekly or irregularly – for example, event venues or convention centres. In such cases</w:t>
      </w:r>
      <w:r w:rsidR="0038735E">
        <w:t>,</w:t>
      </w:r>
      <w:r w:rsidRPr="00574A07">
        <w:t xml:space="preserve"> the ice makers may be run for several days to build up ice stocks, which are then stored in freezers, either bagged or in bins.</w:t>
      </w:r>
    </w:p>
    <w:p w14:paraId="5711FCF7" w14:textId="51416A24" w:rsidR="00CA5CA7" w:rsidRPr="00574A07" w:rsidRDefault="00CA5CA7" w:rsidP="00CA5CA7">
      <w:r w:rsidRPr="00574A07">
        <w:t xml:space="preserve">Flake ice is produced and used at all stages in the food production, processing and delivery chain. Fishing boats have on-board ice makers or go to sea with ice on board. Perishables may be packed </w:t>
      </w:r>
      <w:r w:rsidRPr="00574A07">
        <w:lastRenderedPageBreak/>
        <w:t>in ice for transport, if suitable chilled-space transport is not available. Many supermarkets and food retailers have flaked ice makers for daily fish, meat, and vegetable display.</w:t>
      </w:r>
      <w:r w:rsidR="0070001E">
        <w:t xml:space="preserve"> </w:t>
      </w:r>
      <w:r w:rsidRPr="00574A07">
        <w:t>There is also extensive non-food use of ice in healthcare, scientific and pathology applications, to preserve tissue and samples and to control temperatures for chemical reactions.</w:t>
      </w:r>
    </w:p>
    <w:p w14:paraId="682272DC" w14:textId="218F10AD" w:rsidR="00CA5CA7" w:rsidRDefault="00CA5CA7" w:rsidP="00CA5CA7">
      <w:r w:rsidRPr="00574A07">
        <w:t xml:space="preserve">The daily ice needs of households have traditionally been met by domestic refrigerators – ice trays in the freezer or, more recently, through-the-door ice dispensers. The occasional demand for larger quantities is generally supplied by bagged ice, available from supermarkets, bottle shops and service stations. With rising incomes, and falling product prices, there is now a significant market for home ice makers, which are manually filled and emptied. These </w:t>
      </w:r>
      <w:r>
        <w:t>non-</w:t>
      </w:r>
      <w:r w:rsidR="00FD11D5">
        <w:t>CIMs</w:t>
      </w:r>
      <w:r>
        <w:t xml:space="preserve"> </w:t>
      </w:r>
      <w:r w:rsidRPr="00574A07">
        <w:t xml:space="preserve">have relatively low production capacity and tend to be used irregularly, so limiting their total energy and water consumption. However, the industry reports a </w:t>
      </w:r>
      <w:r w:rsidR="005A4F51">
        <w:t xml:space="preserve">growing </w:t>
      </w:r>
      <w:r w:rsidRPr="00574A07">
        <w:t xml:space="preserve">market for small </w:t>
      </w:r>
      <w:r w:rsidR="00FD11D5">
        <w:t xml:space="preserve">CIMs </w:t>
      </w:r>
      <w:r w:rsidRPr="00574A07">
        <w:t>for installation in larger, more expensive homes</w:t>
      </w:r>
      <w:r>
        <w:t xml:space="preserve"> </w:t>
      </w:r>
      <w:r w:rsidR="005A4F51">
        <w:t xml:space="preserve">and for </w:t>
      </w:r>
      <w:r>
        <w:t>home treatment of exercise and sports injuries</w:t>
      </w:r>
      <w:r w:rsidRPr="00574A07">
        <w:t>.</w:t>
      </w:r>
    </w:p>
    <w:p w14:paraId="5FFB40B3" w14:textId="4C953897" w:rsidR="005A4F51" w:rsidRDefault="005A4F51" w:rsidP="005A4F51">
      <w:pPr>
        <w:pStyle w:val="E3Heading2"/>
      </w:pPr>
      <w:bookmarkStart w:id="24" w:name="_Toc196745406"/>
      <w:r>
        <w:t>Operating costs</w:t>
      </w:r>
      <w:bookmarkEnd w:id="24"/>
    </w:p>
    <w:p w14:paraId="76FA93AB" w14:textId="06976F30" w:rsidR="005A4F51" w:rsidRDefault="005A4F51" w:rsidP="005A4F51">
      <w:r>
        <w:t>The typical operating life of a CIM is 8 to 9 years. The cost to the purchaser comprises:</w:t>
      </w:r>
    </w:p>
    <w:p w14:paraId="4BED0708" w14:textId="7E58C9F3" w:rsidR="005A4F51" w:rsidRPr="00DC5884" w:rsidRDefault="005A4F51" w:rsidP="00763C0D">
      <w:pPr>
        <w:numPr>
          <w:ilvl w:val="0"/>
          <w:numId w:val="79"/>
        </w:numPr>
        <w:spacing w:before="120" w:after="120" w:line="300" w:lineRule="exact"/>
        <w:jc w:val="left"/>
        <w:rPr>
          <w:rFonts w:eastAsia="Calibri" w:cs="Times New Roman"/>
          <w:szCs w:val="22"/>
        </w:rPr>
      </w:pPr>
      <w:r w:rsidRPr="00DC5884">
        <w:rPr>
          <w:rFonts w:eastAsia="Calibri" w:cs="Times New Roman"/>
          <w:szCs w:val="22"/>
        </w:rPr>
        <w:t>The initial capital cost (including installation</w:t>
      </w:r>
      <w:r w:rsidR="00495336" w:rsidRPr="00DC5884">
        <w:rPr>
          <w:rFonts w:eastAsia="Calibri" w:cs="Times New Roman"/>
          <w:szCs w:val="22"/>
        </w:rPr>
        <w:t>, which is costlier for water-cooled models</w:t>
      </w:r>
      <w:r w:rsidRPr="00DC5884">
        <w:rPr>
          <w:rFonts w:eastAsia="Calibri" w:cs="Times New Roman"/>
          <w:szCs w:val="22"/>
        </w:rPr>
        <w:t>)</w:t>
      </w:r>
      <w:r w:rsidR="00763C0D">
        <w:rPr>
          <w:rFonts w:eastAsia="Calibri" w:cs="Times New Roman"/>
          <w:szCs w:val="22"/>
        </w:rPr>
        <w:t>.</w:t>
      </w:r>
    </w:p>
    <w:p w14:paraId="6D0409D5" w14:textId="76FD4FC7" w:rsidR="005A4F51" w:rsidRPr="00DC5884" w:rsidRDefault="005A4F51" w:rsidP="00763C0D">
      <w:pPr>
        <w:numPr>
          <w:ilvl w:val="0"/>
          <w:numId w:val="79"/>
        </w:numPr>
        <w:spacing w:before="120" w:after="120" w:line="300" w:lineRule="exact"/>
        <w:jc w:val="left"/>
        <w:rPr>
          <w:rFonts w:eastAsia="Calibri" w:cs="Times New Roman"/>
          <w:szCs w:val="22"/>
        </w:rPr>
      </w:pPr>
      <w:r w:rsidRPr="00DC5884">
        <w:rPr>
          <w:rFonts w:eastAsia="Calibri" w:cs="Times New Roman"/>
          <w:szCs w:val="22"/>
        </w:rPr>
        <w:t>The present value (PV) of the projected lifetime energy costs</w:t>
      </w:r>
      <w:r w:rsidR="00AE4A14" w:rsidRPr="00DC5884">
        <w:rPr>
          <w:rFonts w:eastAsia="Calibri" w:cs="Times New Roman"/>
          <w:szCs w:val="22"/>
        </w:rPr>
        <w:t xml:space="preserve"> (with future costs appropriately time-discounted. e.g. $100 to be spent next year has a lower PV than $100 spent this year)</w:t>
      </w:r>
      <w:r w:rsidR="00763C0D">
        <w:rPr>
          <w:rFonts w:eastAsia="Calibri" w:cs="Times New Roman"/>
          <w:szCs w:val="22"/>
        </w:rPr>
        <w:t>.</w:t>
      </w:r>
    </w:p>
    <w:p w14:paraId="2FBE4D77" w14:textId="4252B991" w:rsidR="005A4F51" w:rsidRPr="00DC5884" w:rsidRDefault="005A4F51" w:rsidP="00763C0D">
      <w:pPr>
        <w:numPr>
          <w:ilvl w:val="0"/>
          <w:numId w:val="79"/>
        </w:numPr>
        <w:spacing w:before="120" w:after="120" w:line="300" w:lineRule="exact"/>
        <w:jc w:val="left"/>
        <w:rPr>
          <w:rFonts w:eastAsia="Calibri" w:cs="Times New Roman"/>
          <w:szCs w:val="22"/>
        </w:rPr>
      </w:pPr>
      <w:r w:rsidRPr="00DC5884">
        <w:rPr>
          <w:rFonts w:eastAsia="Calibri" w:cs="Times New Roman"/>
          <w:szCs w:val="22"/>
        </w:rPr>
        <w:t>The PV of the projected lifetime potable water costs</w:t>
      </w:r>
      <w:r w:rsidR="00763C0D">
        <w:rPr>
          <w:rFonts w:eastAsia="Calibri" w:cs="Times New Roman"/>
          <w:szCs w:val="22"/>
        </w:rPr>
        <w:t>.</w:t>
      </w:r>
    </w:p>
    <w:p w14:paraId="50F79CF3" w14:textId="73E730F8" w:rsidR="005A4F51" w:rsidRPr="00DC5884" w:rsidRDefault="005A4F51" w:rsidP="00763C0D">
      <w:pPr>
        <w:numPr>
          <w:ilvl w:val="0"/>
          <w:numId w:val="79"/>
        </w:numPr>
        <w:spacing w:before="120" w:after="120" w:line="300" w:lineRule="exact"/>
        <w:jc w:val="left"/>
        <w:rPr>
          <w:rFonts w:eastAsia="Calibri" w:cs="Times New Roman"/>
          <w:szCs w:val="22"/>
        </w:rPr>
      </w:pPr>
      <w:r w:rsidRPr="00DC5884">
        <w:rPr>
          <w:rFonts w:eastAsia="Calibri" w:cs="Times New Roman"/>
          <w:szCs w:val="22"/>
        </w:rPr>
        <w:t xml:space="preserve">For water-cooled CIMs, the PV of the projected lifetime cooling </w:t>
      </w:r>
      <w:r w:rsidR="00F30DA3" w:rsidRPr="00DC5884">
        <w:rPr>
          <w:rFonts w:eastAsia="Calibri" w:cs="Times New Roman"/>
          <w:szCs w:val="22"/>
        </w:rPr>
        <w:t xml:space="preserve">water </w:t>
      </w:r>
      <w:r w:rsidRPr="00DC5884">
        <w:rPr>
          <w:rFonts w:eastAsia="Calibri" w:cs="Times New Roman"/>
          <w:szCs w:val="22"/>
        </w:rPr>
        <w:t>costs</w:t>
      </w:r>
      <w:r w:rsidR="00763C0D">
        <w:rPr>
          <w:rFonts w:eastAsia="Calibri" w:cs="Times New Roman"/>
          <w:szCs w:val="22"/>
        </w:rPr>
        <w:t>.</w:t>
      </w:r>
    </w:p>
    <w:p w14:paraId="1037457D" w14:textId="3DCB9752" w:rsidR="005A4F51" w:rsidRPr="00DC5884" w:rsidRDefault="005A4F51" w:rsidP="00763C0D">
      <w:pPr>
        <w:numPr>
          <w:ilvl w:val="0"/>
          <w:numId w:val="79"/>
        </w:numPr>
        <w:spacing w:before="120" w:after="120" w:line="300" w:lineRule="exact"/>
        <w:jc w:val="left"/>
        <w:rPr>
          <w:rFonts w:eastAsia="Calibri" w:cs="Times New Roman"/>
          <w:szCs w:val="22"/>
        </w:rPr>
      </w:pPr>
      <w:r w:rsidRPr="00DC5884">
        <w:rPr>
          <w:rFonts w:eastAsia="Calibri" w:cs="Times New Roman"/>
          <w:szCs w:val="22"/>
        </w:rPr>
        <w:t>The PV of servicing</w:t>
      </w:r>
      <w:r w:rsidR="005E573B" w:rsidRPr="00DC5884">
        <w:rPr>
          <w:rFonts w:eastAsia="Calibri" w:cs="Times New Roman"/>
          <w:szCs w:val="22"/>
        </w:rPr>
        <w:t>, cleaning</w:t>
      </w:r>
      <w:r w:rsidRPr="00DC5884">
        <w:rPr>
          <w:rFonts w:eastAsia="Calibri" w:cs="Times New Roman"/>
          <w:szCs w:val="22"/>
        </w:rPr>
        <w:t xml:space="preserve"> and </w:t>
      </w:r>
      <w:r w:rsidR="005E573B" w:rsidRPr="00DC5884">
        <w:rPr>
          <w:rFonts w:eastAsia="Calibri" w:cs="Times New Roman"/>
          <w:szCs w:val="22"/>
        </w:rPr>
        <w:t xml:space="preserve">consumables </w:t>
      </w:r>
      <w:r w:rsidRPr="00DC5884">
        <w:rPr>
          <w:rFonts w:eastAsia="Calibri" w:cs="Times New Roman"/>
          <w:szCs w:val="22"/>
        </w:rPr>
        <w:t>such as water filters over the operating life.</w:t>
      </w:r>
    </w:p>
    <w:p w14:paraId="3B7955E0" w14:textId="46790273" w:rsidR="0038019A" w:rsidRDefault="005A4F51" w:rsidP="006D224E">
      <w:r>
        <w:t>In theory, the NPV of any expected resale price could be deducted from the capital cost, but industry sources advise that the second</w:t>
      </w:r>
      <w:r w:rsidR="00C71FF2">
        <w:t>-hand</w:t>
      </w:r>
      <w:r>
        <w:t xml:space="preserve"> market for CIMs is negligible. </w:t>
      </w:r>
      <w:r w:rsidR="007C3184">
        <w:t xml:space="preserve">The assumptions used to calculate cost components (a) to (d) are detailed in </w:t>
      </w:r>
      <w:r w:rsidR="007C3184" w:rsidRPr="006D224E">
        <w:t xml:space="preserve">Appendix </w:t>
      </w:r>
      <w:r w:rsidR="00EF62F3">
        <w:t>B</w:t>
      </w:r>
      <w:r w:rsidR="007C3184">
        <w:t xml:space="preserve">. </w:t>
      </w:r>
      <w:r w:rsidR="00C47126">
        <w:t xml:space="preserve">It is assumed that component (e) is independent of energy and water </w:t>
      </w:r>
      <w:r w:rsidR="004923E4">
        <w:t>consumption and</w:t>
      </w:r>
      <w:r w:rsidR="00C47126">
        <w:t xml:space="preserve"> so is excluded from further consideration.</w:t>
      </w:r>
    </w:p>
    <w:p w14:paraId="25979AC8" w14:textId="32C64C75" w:rsidR="006D224E" w:rsidRDefault="0038019A" w:rsidP="006D224E">
      <w:r>
        <w:fldChar w:fldCharType="begin"/>
      </w:r>
      <w:r>
        <w:instrText xml:space="preserve"> REF _Ref188863065 \h </w:instrText>
      </w:r>
      <w:r w:rsidR="006D224E">
        <w:instrText xml:space="preserve"> \* MERGEFORMAT </w:instrText>
      </w:r>
      <w:r>
        <w:fldChar w:fldCharType="separate"/>
      </w:r>
      <w:r w:rsidR="002271EC">
        <w:t>Figure 3</w:t>
      </w:r>
      <w:r>
        <w:fldChar w:fldCharType="end"/>
      </w:r>
      <w:r>
        <w:t xml:space="preserve"> illustrates the </w:t>
      </w:r>
      <w:r w:rsidR="0084351D">
        <w:t xml:space="preserve">estimated average lifetime operating cost components for each of the 12 </w:t>
      </w:r>
      <w:r w:rsidR="005E573B">
        <w:t xml:space="preserve">CIM </w:t>
      </w:r>
      <w:r w:rsidR="0084351D">
        <w:t>classes de</w:t>
      </w:r>
      <w:r w:rsidR="006D224E">
        <w:t xml:space="preserve">scribed </w:t>
      </w:r>
      <w:r w:rsidR="0084351D">
        <w:t xml:space="preserve">in </w:t>
      </w:r>
      <w:r w:rsidR="0084351D">
        <w:fldChar w:fldCharType="begin"/>
      </w:r>
      <w:r w:rsidR="0084351D">
        <w:instrText xml:space="preserve"> REF _Ref188862870 \h </w:instrText>
      </w:r>
      <w:r w:rsidR="006D224E">
        <w:instrText xml:space="preserve"> \* MERGEFORMAT </w:instrText>
      </w:r>
      <w:r w:rsidR="0084351D">
        <w:fldChar w:fldCharType="separate"/>
      </w:r>
      <w:r w:rsidR="002271EC">
        <w:t>Table 1</w:t>
      </w:r>
      <w:r w:rsidR="0084351D">
        <w:fldChar w:fldCharType="end"/>
      </w:r>
      <w:r w:rsidR="0084351D">
        <w:t xml:space="preserve">. </w:t>
      </w:r>
      <w:r w:rsidR="006D224E">
        <w:t xml:space="preserve">These are based on the average size, retail price and </w:t>
      </w:r>
      <w:r w:rsidR="00F30DA3">
        <w:t xml:space="preserve">daily </w:t>
      </w:r>
      <w:r w:rsidR="006D224E">
        <w:t>ice production of CIMs purchased in each category, and the Australian average prices for:</w:t>
      </w:r>
    </w:p>
    <w:p w14:paraId="181F493F" w14:textId="5DED7717" w:rsidR="006D224E" w:rsidRPr="00DC5884" w:rsidRDefault="006D224E"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Electricity </w:t>
      </w:r>
      <w:r w:rsidR="00F30DA3" w:rsidRPr="00DC5884">
        <w:rPr>
          <w:rFonts w:eastAsia="Calibri" w:cs="Times New Roman"/>
          <w:szCs w:val="22"/>
        </w:rPr>
        <w:t xml:space="preserve">supplied </w:t>
      </w:r>
      <w:r w:rsidRPr="00DC5884">
        <w:rPr>
          <w:rFonts w:eastAsia="Calibri" w:cs="Times New Roman"/>
          <w:szCs w:val="22"/>
        </w:rPr>
        <w:t>to non-residential consumers (35c/kWh in 2025)</w:t>
      </w:r>
      <w:r w:rsidR="00763C0D">
        <w:rPr>
          <w:rFonts w:eastAsia="Calibri" w:cs="Times New Roman"/>
          <w:szCs w:val="22"/>
        </w:rPr>
        <w:t>.</w:t>
      </w:r>
    </w:p>
    <w:p w14:paraId="0DE48229" w14:textId="38FAB6AB" w:rsidR="0038019A" w:rsidRPr="00DC5884" w:rsidRDefault="00F30DA3"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P</w:t>
      </w:r>
      <w:r w:rsidR="006D224E" w:rsidRPr="00DC5884">
        <w:rPr>
          <w:rFonts w:eastAsia="Calibri" w:cs="Times New Roman"/>
          <w:szCs w:val="22"/>
        </w:rPr>
        <w:t xml:space="preserve">otable water </w:t>
      </w:r>
      <w:r w:rsidR="00EA2DBA" w:rsidRPr="00DC5884">
        <w:rPr>
          <w:rFonts w:eastAsia="Calibri" w:cs="Times New Roman"/>
          <w:szCs w:val="22"/>
        </w:rPr>
        <w:t>suppl</w:t>
      </w:r>
      <w:r w:rsidRPr="00DC5884">
        <w:rPr>
          <w:rFonts w:eastAsia="Calibri" w:cs="Times New Roman"/>
          <w:szCs w:val="22"/>
        </w:rPr>
        <w:t xml:space="preserve">ied </w:t>
      </w:r>
      <w:r w:rsidR="006D224E" w:rsidRPr="00DC5884">
        <w:rPr>
          <w:rFonts w:eastAsia="Calibri" w:cs="Times New Roman"/>
          <w:szCs w:val="22"/>
        </w:rPr>
        <w:t>to non-residential consumers ($3.03 per kilolitre in 2025)</w:t>
      </w:r>
      <w:r w:rsidR="00763C0D">
        <w:rPr>
          <w:rFonts w:eastAsia="Calibri" w:cs="Times New Roman"/>
          <w:szCs w:val="22"/>
        </w:rPr>
        <w:t>.</w:t>
      </w:r>
    </w:p>
    <w:p w14:paraId="3A657E23" w14:textId="3CC399B2" w:rsidR="00EA2DBA" w:rsidRPr="00DC5884" w:rsidRDefault="00EA2DBA"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Volumetric w</w:t>
      </w:r>
      <w:r w:rsidR="006D224E" w:rsidRPr="00DC5884">
        <w:rPr>
          <w:rFonts w:eastAsia="Calibri" w:cs="Times New Roman"/>
          <w:szCs w:val="22"/>
        </w:rPr>
        <w:t xml:space="preserve">astewater </w:t>
      </w:r>
      <w:r w:rsidRPr="00DC5884">
        <w:rPr>
          <w:rFonts w:eastAsia="Calibri" w:cs="Times New Roman"/>
          <w:szCs w:val="22"/>
        </w:rPr>
        <w:t xml:space="preserve">discharge prices </w:t>
      </w:r>
      <w:r w:rsidR="006D224E" w:rsidRPr="00DC5884">
        <w:rPr>
          <w:rFonts w:eastAsia="Calibri" w:cs="Times New Roman"/>
          <w:szCs w:val="22"/>
        </w:rPr>
        <w:t>to non-residential customers (</w:t>
      </w:r>
      <w:r w:rsidRPr="00DC5884">
        <w:rPr>
          <w:rFonts w:eastAsia="Calibri" w:cs="Times New Roman"/>
          <w:szCs w:val="22"/>
        </w:rPr>
        <w:t xml:space="preserve">$1.24 per kilolitre in 2025). Not all water authorities charge for wastewater on a volumetric basis, and those that do generally apply a discharge factor </w:t>
      </w:r>
      <w:r w:rsidR="005E573B" w:rsidRPr="00DC5884">
        <w:rPr>
          <w:rFonts w:eastAsia="Calibri" w:cs="Times New Roman"/>
          <w:szCs w:val="22"/>
        </w:rPr>
        <w:t xml:space="preserve">to </w:t>
      </w:r>
      <w:r w:rsidRPr="00DC5884">
        <w:rPr>
          <w:rFonts w:eastAsia="Calibri" w:cs="Times New Roman"/>
          <w:szCs w:val="22"/>
        </w:rPr>
        <w:t xml:space="preserve">allow for the fact that some of the potable water </w:t>
      </w:r>
      <w:r w:rsidR="005E573B" w:rsidRPr="00DC5884">
        <w:rPr>
          <w:rFonts w:eastAsia="Calibri" w:cs="Times New Roman"/>
          <w:szCs w:val="22"/>
        </w:rPr>
        <w:t xml:space="preserve">supplied </w:t>
      </w:r>
      <w:r w:rsidRPr="00DC5884">
        <w:rPr>
          <w:rFonts w:eastAsia="Calibri" w:cs="Times New Roman"/>
          <w:szCs w:val="22"/>
        </w:rPr>
        <w:t xml:space="preserve">may not end up in the sewer (e.g. it may be used on a garden). For businesses </w:t>
      </w:r>
      <w:r w:rsidRPr="00DC5884">
        <w:rPr>
          <w:rFonts w:eastAsia="Calibri" w:cs="Times New Roman"/>
          <w:szCs w:val="22"/>
        </w:rPr>
        <w:lastRenderedPageBreak/>
        <w:t xml:space="preserve">such as hotels and restaurants, </w:t>
      </w:r>
      <w:r w:rsidR="00495336" w:rsidRPr="00DC5884">
        <w:rPr>
          <w:rFonts w:eastAsia="Calibri" w:cs="Times New Roman"/>
          <w:szCs w:val="22"/>
        </w:rPr>
        <w:t xml:space="preserve">supply authorities assume that up to 95% of the supplied water will be sent to the </w:t>
      </w:r>
      <w:r w:rsidR="005E573B" w:rsidRPr="00DC5884">
        <w:rPr>
          <w:rFonts w:eastAsia="Calibri" w:cs="Times New Roman"/>
          <w:szCs w:val="22"/>
        </w:rPr>
        <w:t>sewer</w:t>
      </w:r>
      <w:r w:rsidR="00495336" w:rsidRPr="00DC5884">
        <w:rPr>
          <w:rFonts w:eastAsia="Calibri" w:cs="Times New Roman"/>
          <w:szCs w:val="22"/>
        </w:rPr>
        <w:t>.</w:t>
      </w:r>
      <w:r w:rsidRPr="00DC5884">
        <w:rPr>
          <w:rFonts w:eastAsia="Calibri" w:cs="Times New Roman"/>
          <w:szCs w:val="22"/>
        </w:rPr>
        <w:t xml:space="preserve"> An average </w:t>
      </w:r>
      <w:r w:rsidR="005E573B" w:rsidRPr="00DC5884">
        <w:rPr>
          <w:rFonts w:eastAsia="Calibri" w:cs="Times New Roman"/>
          <w:szCs w:val="22"/>
        </w:rPr>
        <w:t xml:space="preserve">discharge factor of </w:t>
      </w:r>
      <w:r w:rsidRPr="00DC5884">
        <w:rPr>
          <w:rFonts w:eastAsia="Calibri" w:cs="Times New Roman"/>
          <w:szCs w:val="22"/>
        </w:rPr>
        <w:t>90% has been assumed</w:t>
      </w:r>
      <w:r w:rsidR="005E573B" w:rsidRPr="00DC5884">
        <w:rPr>
          <w:rFonts w:eastAsia="Calibri" w:cs="Times New Roman"/>
          <w:szCs w:val="22"/>
        </w:rPr>
        <w:t>.</w:t>
      </w:r>
    </w:p>
    <w:p w14:paraId="68C72D18" w14:textId="0756FA68" w:rsidR="00846C24" w:rsidRDefault="00F75427" w:rsidP="00F30DA3">
      <w:r>
        <w:t>For air-cooled CIMs, the major cost component is electricity, accounting for 65-78% of lifetime costs. The balance is divided between the capital cost and the potable water cost. These are averages, and models producing the same quantity and type of ice may vary considerably with regard to both energy and water use.</w:t>
      </w:r>
    </w:p>
    <w:p w14:paraId="3C61CFE5" w14:textId="77777777" w:rsidR="0080067B" w:rsidRDefault="0080067B" w:rsidP="00F30DA3"/>
    <w:p w14:paraId="50D4B6B5" w14:textId="55ABFDC8" w:rsidR="005A4F51" w:rsidRDefault="007C3184" w:rsidP="00EA2DBA">
      <w:pPr>
        <w:pStyle w:val="Caption"/>
        <w:jc w:val="center"/>
      </w:pPr>
      <w:bookmarkStart w:id="25" w:name="_Ref188863065"/>
      <w:bookmarkStart w:id="26" w:name="_Toc196745465"/>
      <w:r>
        <w:t xml:space="preserve">Figure </w:t>
      </w:r>
      <w:r w:rsidR="0042496D">
        <w:fldChar w:fldCharType="begin"/>
      </w:r>
      <w:r w:rsidR="0042496D">
        <w:instrText xml:space="preserve"> SEQ Figure \* ARABIC </w:instrText>
      </w:r>
      <w:r w:rsidR="0042496D">
        <w:fldChar w:fldCharType="separate"/>
      </w:r>
      <w:r w:rsidR="002271EC">
        <w:rPr>
          <w:noProof/>
        </w:rPr>
        <w:t>3</w:t>
      </w:r>
      <w:r w:rsidR="0042496D">
        <w:rPr>
          <w:noProof/>
        </w:rPr>
        <w:fldChar w:fldCharType="end"/>
      </w:r>
      <w:bookmarkEnd w:id="25"/>
      <w:r>
        <w:t xml:space="preserve"> </w:t>
      </w:r>
      <w:r w:rsidR="0038019A">
        <w:t xml:space="preserve">NPV of </w:t>
      </w:r>
      <w:r>
        <w:t>Lifetime ope</w:t>
      </w:r>
      <w:r w:rsidR="0038019A">
        <w:t>r</w:t>
      </w:r>
      <w:r>
        <w:t xml:space="preserve">ating costs </w:t>
      </w:r>
      <w:r w:rsidR="0038019A">
        <w:t>by class of CIM (7% discount rate)</w:t>
      </w:r>
      <w:bookmarkEnd w:id="26"/>
    </w:p>
    <w:p w14:paraId="059FF9DF" w14:textId="2DB463B7" w:rsidR="007C3184" w:rsidRPr="007C3184" w:rsidRDefault="007D3CD9" w:rsidP="0038019A">
      <w:pPr>
        <w:jc w:val="center"/>
      </w:pPr>
      <w:r>
        <w:rPr>
          <w:noProof/>
        </w:rPr>
        <w:drawing>
          <wp:inline distT="0" distB="0" distL="0" distR="0" wp14:anchorId="68A92520" wp14:editId="3D2E8856">
            <wp:extent cx="5095875" cy="3702086"/>
            <wp:effectExtent l="19050" t="19050" r="9525" b="12700"/>
            <wp:docPr id="5" name="Picture 5" descr="Bar chart showing life-time energy and water costs for 12 different classes of commercial ice m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 showing life-time energy and water costs for 12 different classes of commercial ice make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8662" cy="3725905"/>
                    </a:xfrm>
                    <a:prstGeom prst="rect">
                      <a:avLst/>
                    </a:prstGeom>
                    <a:noFill/>
                    <a:ln>
                      <a:solidFill>
                        <a:schemeClr val="accent1"/>
                      </a:solidFill>
                    </a:ln>
                  </pic:spPr>
                </pic:pic>
              </a:graphicData>
            </a:graphic>
          </wp:inline>
        </w:drawing>
      </w:r>
    </w:p>
    <w:p w14:paraId="3566BBC0" w14:textId="6AC84020" w:rsidR="007C3184" w:rsidRDefault="0038019A" w:rsidP="0038019A">
      <w:pPr>
        <w:jc w:val="center"/>
        <w:rPr>
          <w:sz w:val="18"/>
          <w:szCs w:val="18"/>
        </w:rPr>
      </w:pPr>
      <w:r w:rsidRPr="00831E3D">
        <w:rPr>
          <w:sz w:val="18"/>
          <w:szCs w:val="18"/>
        </w:rPr>
        <w:t xml:space="preserve">Source: </w:t>
      </w:r>
      <w:r w:rsidRPr="00846C24">
        <w:rPr>
          <w:sz w:val="18"/>
          <w:szCs w:val="18"/>
        </w:rPr>
        <w:t xml:space="preserve">Appendix </w:t>
      </w:r>
      <w:r w:rsidR="00EF62F3" w:rsidRPr="00846C24">
        <w:rPr>
          <w:sz w:val="18"/>
          <w:szCs w:val="18"/>
        </w:rPr>
        <w:t>B</w:t>
      </w:r>
      <w:r w:rsidR="00831E3D" w:rsidRPr="00846C24">
        <w:rPr>
          <w:sz w:val="18"/>
          <w:szCs w:val="18"/>
        </w:rPr>
        <w:t xml:space="preserve"> </w:t>
      </w:r>
      <w:r w:rsidR="00831E3D" w:rsidRPr="00831E3D">
        <w:rPr>
          <w:sz w:val="18"/>
          <w:szCs w:val="18"/>
          <w:highlight w:val="yellow"/>
        </w:rPr>
        <w:fldChar w:fldCharType="begin"/>
      </w:r>
      <w:r w:rsidR="00831E3D" w:rsidRPr="00831E3D">
        <w:rPr>
          <w:sz w:val="18"/>
          <w:szCs w:val="18"/>
          <w:highlight w:val="yellow"/>
        </w:rPr>
        <w:instrText xml:space="preserve"> REF _Ref191458270 \h </w:instrText>
      </w:r>
      <w:r w:rsidR="00831E3D">
        <w:rPr>
          <w:sz w:val="18"/>
          <w:szCs w:val="18"/>
          <w:highlight w:val="yellow"/>
        </w:rPr>
        <w:instrText xml:space="preserve"> \* MERGEFORMAT </w:instrText>
      </w:r>
      <w:r w:rsidR="00831E3D" w:rsidRPr="00831E3D">
        <w:rPr>
          <w:sz w:val="18"/>
          <w:szCs w:val="18"/>
          <w:highlight w:val="yellow"/>
        </w:rPr>
      </w:r>
      <w:r w:rsidR="00831E3D" w:rsidRPr="00831E3D">
        <w:rPr>
          <w:sz w:val="18"/>
          <w:szCs w:val="18"/>
          <w:highlight w:val="yellow"/>
        </w:rPr>
        <w:fldChar w:fldCharType="separate"/>
      </w:r>
      <w:r w:rsidR="002271EC" w:rsidRPr="002271EC">
        <w:rPr>
          <w:sz w:val="18"/>
          <w:szCs w:val="18"/>
        </w:rPr>
        <w:t xml:space="preserve">Table </w:t>
      </w:r>
      <w:r w:rsidR="002271EC" w:rsidRPr="002271EC">
        <w:rPr>
          <w:noProof/>
          <w:sz w:val="18"/>
          <w:szCs w:val="18"/>
        </w:rPr>
        <w:t>15</w:t>
      </w:r>
      <w:r w:rsidR="00831E3D" w:rsidRPr="00831E3D">
        <w:rPr>
          <w:sz w:val="18"/>
          <w:szCs w:val="18"/>
          <w:highlight w:val="yellow"/>
        </w:rPr>
        <w:fldChar w:fldCharType="end"/>
      </w:r>
    </w:p>
    <w:p w14:paraId="6CBE200B" w14:textId="77777777" w:rsidR="000F2521" w:rsidRPr="00831E3D" w:rsidRDefault="000F2521" w:rsidP="0038019A">
      <w:pPr>
        <w:jc w:val="center"/>
        <w:rPr>
          <w:sz w:val="18"/>
          <w:szCs w:val="18"/>
        </w:rPr>
      </w:pPr>
    </w:p>
    <w:p w14:paraId="7DD97D01" w14:textId="1D0426D2" w:rsidR="00943E31" w:rsidRDefault="00943E31" w:rsidP="00943E31">
      <w:r>
        <w:t xml:space="preserve">For water-cooled CIMs, the lifetime cost of the cooling water depends on its source and whether it is used once only (single-pass) and then discharged </w:t>
      </w:r>
      <w:r w:rsidR="00763C0D">
        <w:t>as waste</w:t>
      </w:r>
      <w:r>
        <w:t>, or recirculated. The dotted outline at the top of the cost bar for water-cooled products indicates the lifetime cooling water cost if all of the cooling water were potable and discarded after a single-pass. In that case</w:t>
      </w:r>
      <w:r w:rsidR="002E303D">
        <w:t>,</w:t>
      </w:r>
      <w:r>
        <w:t xml:space="preserve"> cooling water would account for 38-55% of the lifetime costs., compared with 33-36% for electricity. However, this is an unlikely scenario. Most large capacity water-cooled CIMs are installed in buildings such as clubs, hotels, convention centres or hospitals where they are connected to a cooling water circuit that discharges heat through the air conditioning cooling towers. The system designers are generally aware that single-pass cooling would be uneconomic</w:t>
      </w:r>
      <w:r w:rsidR="00D02919">
        <w:t>al</w:t>
      </w:r>
      <w:r>
        <w:t xml:space="preserve">. However, smaller self-contained CIMs are </w:t>
      </w:r>
      <w:r>
        <w:lastRenderedPageBreak/>
        <w:t>also offered as air-cooled and water-cooled variants, on the proposition that water-cooling requires less energy</w:t>
      </w:r>
      <w:r w:rsidR="006E3CAD">
        <w:t>, is quieter a</w:t>
      </w:r>
      <w:r>
        <w:t>nd does not discharge heat into the internal space.</w:t>
      </w:r>
    </w:p>
    <w:p w14:paraId="202E30B0" w14:textId="17AEF859" w:rsidR="00846C24" w:rsidRDefault="00943E31" w:rsidP="00943E31">
      <w:r>
        <w:t>For</w:t>
      </w:r>
      <w:r w:rsidR="00D02919">
        <w:t xml:space="preserve"> the</w:t>
      </w:r>
      <w:r>
        <w:t xml:space="preserve"> cost-benefit analysis i</w:t>
      </w:r>
      <w:r w:rsidRPr="008841E3">
        <w:t xml:space="preserve">t is assumed that </w:t>
      </w:r>
      <w:r w:rsidR="00D02919" w:rsidRPr="00D02919">
        <w:t xml:space="preserve">water-cooled CIMS </w:t>
      </w:r>
      <w:r w:rsidR="004923E4" w:rsidRPr="00D02919">
        <w:t>take</w:t>
      </w:r>
      <w:r w:rsidR="00D02919" w:rsidRPr="00D02919">
        <w:t xml:space="preserve"> on average, 25% of their cooling water </w:t>
      </w:r>
      <w:r w:rsidR="00C71FF2">
        <w:t xml:space="preserve">requirement </w:t>
      </w:r>
      <w:r w:rsidR="00D02919" w:rsidRPr="00D02919">
        <w:t>from the potable supply.</w:t>
      </w:r>
      <w:r w:rsidR="00D02919">
        <w:t xml:space="preserve"> The </w:t>
      </w:r>
      <w:r w:rsidRPr="008841E3">
        <w:t xml:space="preserve">other 75% is met either by recirculating </w:t>
      </w:r>
      <w:r>
        <w:t xml:space="preserve">the </w:t>
      </w:r>
      <w:r w:rsidRPr="008841E3">
        <w:t>water after passing it through a cooling tower</w:t>
      </w:r>
      <w:r>
        <w:t xml:space="preserve"> </w:t>
      </w:r>
      <w:r w:rsidRPr="008841E3">
        <w:t xml:space="preserve">or using a free source of non-potable water. </w:t>
      </w:r>
      <w:r>
        <w:t>On this assumption, water costs (ice-making plus cooling) make up 19-32% of the lifetime costs of water-cooled CIMs.</w:t>
      </w:r>
    </w:p>
    <w:p w14:paraId="59963556" w14:textId="4943F7F3" w:rsidR="00C47126" w:rsidRDefault="00C47126" w:rsidP="00C47126">
      <w:pPr>
        <w:pStyle w:val="E3Heading2"/>
      </w:pPr>
      <w:bookmarkStart w:id="27" w:name="_Toc196745407"/>
      <w:r>
        <w:t xml:space="preserve">Availability of </w:t>
      </w:r>
      <w:r w:rsidR="006E3CAD">
        <w:t>i</w:t>
      </w:r>
      <w:r>
        <w:t>nformation</w:t>
      </w:r>
      <w:bookmarkEnd w:id="27"/>
    </w:p>
    <w:p w14:paraId="1395A86F" w14:textId="696CAAB2" w:rsidR="00552D93" w:rsidRDefault="00C47126" w:rsidP="00865757">
      <w:r>
        <w:t xml:space="preserve">Information of the kind illustrated in </w:t>
      </w:r>
      <w:r>
        <w:fldChar w:fldCharType="begin"/>
      </w:r>
      <w:r>
        <w:instrText xml:space="preserve"> REF _Ref188863065 \h </w:instrText>
      </w:r>
      <w:r w:rsidR="00865757">
        <w:instrText xml:space="preserve"> \* MERGEFORMAT </w:instrText>
      </w:r>
      <w:r>
        <w:fldChar w:fldCharType="separate"/>
      </w:r>
      <w:r w:rsidR="002271EC">
        <w:t xml:space="preserve">Figure </w:t>
      </w:r>
      <w:r w:rsidR="002271EC">
        <w:rPr>
          <w:noProof/>
        </w:rPr>
        <w:t>3</w:t>
      </w:r>
      <w:r>
        <w:fldChar w:fldCharType="end"/>
      </w:r>
      <w:r>
        <w:t xml:space="preserve"> can be estimated for </w:t>
      </w:r>
      <w:r w:rsidR="00552D93">
        <w:t>any specific model of CIM if there is reliable data on its energy and water</w:t>
      </w:r>
      <w:r w:rsidR="00C71FF2">
        <w:t xml:space="preserve"> use</w:t>
      </w:r>
      <w:r w:rsidR="00552D93">
        <w:t xml:space="preserve">. The </w:t>
      </w:r>
      <w:r w:rsidR="0053017C">
        <w:t xml:space="preserve">one </w:t>
      </w:r>
      <w:r w:rsidR="00552D93">
        <w:t xml:space="preserve">market in the world where this </w:t>
      </w:r>
      <w:r w:rsidR="0053017C">
        <w:t xml:space="preserve">information is readily </w:t>
      </w:r>
      <w:r w:rsidR="00552D93">
        <w:t>available is the USA, which has Department of Energy (</w:t>
      </w:r>
      <w:r w:rsidR="007D3CD9">
        <w:t>US</w:t>
      </w:r>
      <w:r w:rsidR="00552D93">
        <w:t xml:space="preserve">DOE) mandated </w:t>
      </w:r>
      <w:r w:rsidR="009A3CB6">
        <w:t>M</w:t>
      </w:r>
      <w:r w:rsidR="00552D93">
        <w:t xml:space="preserve">inimum </w:t>
      </w:r>
      <w:r w:rsidR="009A3CB6">
        <w:t>E</w:t>
      </w:r>
      <w:r w:rsidR="00552D93">
        <w:t xml:space="preserve">nergy </w:t>
      </w:r>
      <w:r w:rsidR="009A3CB6">
        <w:t>P</w:t>
      </w:r>
      <w:r w:rsidR="00552D93">
        <w:t xml:space="preserve">erformance </w:t>
      </w:r>
      <w:r w:rsidR="009A3CB6">
        <w:t>S</w:t>
      </w:r>
      <w:r w:rsidR="00552D93">
        <w:t>tandards (MEPS) for all types of CIM</w:t>
      </w:r>
      <w:r w:rsidR="00D02919">
        <w:t>s</w:t>
      </w:r>
      <w:r w:rsidR="00552D93">
        <w:t>, and mandat</w:t>
      </w:r>
      <w:r w:rsidR="00C71FF2">
        <w:t xml:space="preserve">ed </w:t>
      </w:r>
      <w:r w:rsidR="00552D93">
        <w:t xml:space="preserve">cooling water efficiency standards for water-cooled types (but no standards for </w:t>
      </w:r>
      <w:r w:rsidR="007D3CD9">
        <w:t xml:space="preserve">potable </w:t>
      </w:r>
      <w:r w:rsidR="00552D93">
        <w:t>water efficiency).</w:t>
      </w:r>
    </w:p>
    <w:p w14:paraId="0A91C36E" w14:textId="483851D7" w:rsidR="00552D93" w:rsidRDefault="00552D93" w:rsidP="00865757">
      <w:r>
        <w:t>There is also a voluntary Energy Star certification program</w:t>
      </w:r>
      <w:r w:rsidR="00300A7A">
        <w:t>, operated by US Environmental Protection Agency (USEPA)</w:t>
      </w:r>
      <w:r>
        <w:t xml:space="preserve"> for air-cooled CIMs that exceed the MEPS levels by specif</w:t>
      </w:r>
      <w:r w:rsidR="00D02919">
        <w:t xml:space="preserve">ied </w:t>
      </w:r>
      <w:r>
        <w:t>margins and also meet specified level</w:t>
      </w:r>
      <w:r w:rsidR="0053017C">
        <w:t>s</w:t>
      </w:r>
      <w:r>
        <w:t xml:space="preserve"> of potable </w:t>
      </w:r>
      <w:r w:rsidR="00CE59EF">
        <w:t>water efficiency</w:t>
      </w:r>
      <w:r>
        <w:t xml:space="preserve"> (but no criteria for cooling water efficiency).</w:t>
      </w:r>
    </w:p>
    <w:p w14:paraId="72C73414" w14:textId="4BE63771" w:rsidR="00C47126" w:rsidRDefault="00552D93" w:rsidP="00865757">
      <w:r>
        <w:t xml:space="preserve">All of the data published by </w:t>
      </w:r>
      <w:r w:rsidR="00300A7A">
        <w:t>US</w:t>
      </w:r>
      <w:r>
        <w:t xml:space="preserve">DOE and </w:t>
      </w:r>
      <w:r w:rsidR="00C71FF2">
        <w:t xml:space="preserve">the </w:t>
      </w:r>
      <w:r>
        <w:t>E</w:t>
      </w:r>
      <w:r w:rsidR="00C71FF2">
        <w:t xml:space="preserve">nergy Star program </w:t>
      </w:r>
      <w:r>
        <w:t>are based on the same standard test conditions</w:t>
      </w:r>
      <w:r w:rsidR="00102F78">
        <w:t xml:space="preserve">: </w:t>
      </w:r>
      <w:r>
        <w:t xml:space="preserve">an ambient temperature of </w:t>
      </w:r>
      <w:r w:rsidR="00102F78" w:rsidRPr="00102F78">
        <w:t>90°F (32.2°C)</w:t>
      </w:r>
      <w:r w:rsidR="00102F78">
        <w:t xml:space="preserve"> with potable water supplied at </w:t>
      </w:r>
      <w:r w:rsidR="00102F78" w:rsidRPr="00102F78">
        <w:t>70°F (21.1°C)</w:t>
      </w:r>
      <w:r w:rsidR="00102F78">
        <w:t xml:space="preserve">. This contrasts with the information published by Australian suppliers, which offer little information beyond </w:t>
      </w:r>
      <w:r w:rsidR="0053017C">
        <w:t xml:space="preserve">a nominal </w:t>
      </w:r>
      <w:r w:rsidR="00102F78">
        <w:t>capacity (kg of ice produced in 24 hours)</w:t>
      </w:r>
      <w:r w:rsidR="0053017C">
        <w:t>,</w:t>
      </w:r>
      <w:r w:rsidR="00102F78">
        <w:t xml:space="preserve"> </w:t>
      </w:r>
      <w:r w:rsidR="0053017C">
        <w:t xml:space="preserve">usually based on </w:t>
      </w:r>
      <w:r w:rsidR="00A6403D">
        <w:t xml:space="preserve">lower ambient and water temperatures </w:t>
      </w:r>
      <w:r w:rsidR="0053017C">
        <w:t>which exaggerate the production capacity</w:t>
      </w:r>
      <w:r w:rsidR="006E3CAD">
        <w:t>,</w:t>
      </w:r>
      <w:r w:rsidR="0053017C">
        <w:t xml:space="preserve"> </w:t>
      </w:r>
      <w:r w:rsidR="00277C61">
        <w:t>and</w:t>
      </w:r>
      <w:r w:rsidR="006E3CAD">
        <w:t xml:space="preserve"> </w:t>
      </w:r>
      <w:r w:rsidR="00102F78">
        <w:t xml:space="preserve">without reference to a </w:t>
      </w:r>
      <w:r w:rsidR="0053017C">
        <w:t xml:space="preserve">test </w:t>
      </w:r>
      <w:r w:rsidR="00102F78">
        <w:t>standard</w:t>
      </w:r>
      <w:r w:rsidR="0053017C">
        <w:t>.</w:t>
      </w:r>
    </w:p>
    <w:p w14:paraId="5AA0720A" w14:textId="2C38A09E" w:rsidR="00C47126" w:rsidRDefault="00A21BCD" w:rsidP="00865757">
      <w:r>
        <w:t xml:space="preserve">The US data indicate that even for products that meet the stringent </w:t>
      </w:r>
      <w:r w:rsidR="00A6403D">
        <w:t>US</w:t>
      </w:r>
      <w:r>
        <w:t>DOE or E</w:t>
      </w:r>
      <w:r w:rsidR="00C71FF2">
        <w:t xml:space="preserve">nergy Star </w:t>
      </w:r>
      <w:r>
        <w:t xml:space="preserve">requirements, the quantity of </w:t>
      </w:r>
      <w:r w:rsidR="00CD0E38">
        <w:t xml:space="preserve">energy and </w:t>
      </w:r>
      <w:r>
        <w:t>water needed per k</w:t>
      </w:r>
      <w:r w:rsidR="002E303D">
        <w:t>ilo</w:t>
      </w:r>
      <w:r>
        <w:t>g</w:t>
      </w:r>
      <w:r w:rsidR="002E303D">
        <w:t>ram</w:t>
      </w:r>
      <w:r>
        <w:t xml:space="preserve"> of ice made can vary from model to model by a factor of 2:1 or more (see </w:t>
      </w:r>
      <w:r w:rsidRPr="006E3CAD">
        <w:t xml:space="preserve">Appendix </w:t>
      </w:r>
      <w:r w:rsidR="00EF62F3">
        <w:t>C</w:t>
      </w:r>
      <w:r>
        <w:t xml:space="preserve">). </w:t>
      </w:r>
      <w:r w:rsidR="00A6403D">
        <w:t xml:space="preserve">As there will be many models on the Australian market which fall short of </w:t>
      </w:r>
      <w:r w:rsidR="00C71FF2">
        <w:t xml:space="preserve">the US </w:t>
      </w:r>
      <w:r w:rsidR="00A6403D">
        <w:t>standards</w:t>
      </w:r>
      <w:r w:rsidR="006E3CAD">
        <w:t>,</w:t>
      </w:r>
      <w:r w:rsidR="00A6403D">
        <w:t xml:space="preserve"> the range in </w:t>
      </w:r>
      <w:r w:rsidR="00CE59EF">
        <w:t>water efficiency</w:t>
      </w:r>
      <w:r w:rsidR="00A6403D">
        <w:t xml:space="preserve"> could be even wider. The correlation between energy</w:t>
      </w:r>
      <w:r w:rsidR="00A17AE2">
        <w:t xml:space="preserve"> </w:t>
      </w:r>
      <w:r w:rsidR="00D104B0">
        <w:t>efficient</w:t>
      </w:r>
      <w:r w:rsidR="00A6403D">
        <w:t xml:space="preserve"> and water</w:t>
      </w:r>
      <w:r w:rsidR="00A17AE2">
        <w:t xml:space="preserve"> </w:t>
      </w:r>
      <w:r w:rsidR="00A6403D">
        <w:t xml:space="preserve">efficient </w:t>
      </w:r>
      <w:r w:rsidR="00D104B0">
        <w:t xml:space="preserve">CIMs </w:t>
      </w:r>
      <w:r w:rsidR="00A6403D">
        <w:t>is very weak, so purchasers would need to consider both aspects separately. They cannot rely on an energy</w:t>
      </w:r>
      <w:r w:rsidR="00A17AE2">
        <w:t xml:space="preserve"> </w:t>
      </w:r>
      <w:r w:rsidR="00A6403D">
        <w:t>efficient CIM to be water</w:t>
      </w:r>
      <w:r w:rsidR="00A17AE2">
        <w:t xml:space="preserve"> </w:t>
      </w:r>
      <w:r w:rsidR="00A6403D">
        <w:t>efficient</w:t>
      </w:r>
      <w:r w:rsidR="006E3CAD">
        <w:t xml:space="preserve"> or vice versa</w:t>
      </w:r>
      <w:r w:rsidR="00A6403D">
        <w:t>.</w:t>
      </w:r>
    </w:p>
    <w:p w14:paraId="02158EA4" w14:textId="70F1C727" w:rsidR="00102F78" w:rsidRDefault="00CD0E38" w:rsidP="00865757">
      <w:r>
        <w:t>CIM purchasers usually have firm requirements regarding the type of ice they need, the capacity and the physical configuration (IMH, SCU or split), but i</w:t>
      </w:r>
      <w:r w:rsidR="00A21BCD">
        <w:t xml:space="preserve">f comprehensive and reliable </w:t>
      </w:r>
      <w:r w:rsidR="00D104B0">
        <w:t xml:space="preserve">efficiency </w:t>
      </w:r>
      <w:r w:rsidR="00A21BCD">
        <w:t>information were available to Australian CIM purchasers, they would be able to:</w:t>
      </w:r>
    </w:p>
    <w:p w14:paraId="617D34BC" w14:textId="03EAE6BB" w:rsidR="00EA2DBA" w:rsidRPr="00DC5884" w:rsidRDefault="00277C61" w:rsidP="00DC5884">
      <w:pPr>
        <w:numPr>
          <w:ilvl w:val="0"/>
          <w:numId w:val="53"/>
        </w:numPr>
        <w:spacing w:before="120" w:after="120" w:line="300" w:lineRule="exact"/>
        <w:jc w:val="left"/>
        <w:rPr>
          <w:rFonts w:eastAsia="Calibri" w:cs="Times New Roman"/>
          <w:szCs w:val="22"/>
        </w:rPr>
      </w:pPr>
      <w:r>
        <w:rPr>
          <w:rFonts w:eastAsia="Calibri" w:cs="Times New Roman"/>
          <w:szCs w:val="22"/>
        </w:rPr>
        <w:t>m</w:t>
      </w:r>
      <w:r w:rsidR="0053017C" w:rsidRPr="00DC5884">
        <w:rPr>
          <w:rFonts w:eastAsia="Calibri" w:cs="Times New Roman"/>
          <w:szCs w:val="22"/>
        </w:rPr>
        <w:t xml:space="preserve">ake a more informed choice </w:t>
      </w:r>
      <w:r w:rsidR="00EA2DBA" w:rsidRPr="00DC5884">
        <w:rPr>
          <w:rFonts w:eastAsia="Calibri" w:cs="Times New Roman"/>
          <w:szCs w:val="22"/>
        </w:rPr>
        <w:t xml:space="preserve">between air-cooled and water-cooled </w:t>
      </w:r>
      <w:r>
        <w:rPr>
          <w:rFonts w:eastAsia="Calibri" w:cs="Times New Roman"/>
          <w:szCs w:val="22"/>
        </w:rPr>
        <w:t>models</w:t>
      </w:r>
    </w:p>
    <w:p w14:paraId="1B5CFE25" w14:textId="46244B28" w:rsidR="00EA2DBA" w:rsidRPr="00DC5884" w:rsidRDefault="00277C61" w:rsidP="00DC5884">
      <w:pPr>
        <w:numPr>
          <w:ilvl w:val="0"/>
          <w:numId w:val="53"/>
        </w:numPr>
        <w:spacing w:before="120" w:after="120" w:line="300" w:lineRule="exact"/>
        <w:jc w:val="left"/>
        <w:rPr>
          <w:rFonts w:eastAsia="Calibri" w:cs="Times New Roman"/>
          <w:szCs w:val="22"/>
        </w:rPr>
      </w:pPr>
      <w:r>
        <w:rPr>
          <w:rFonts w:eastAsia="Calibri" w:cs="Times New Roman"/>
          <w:szCs w:val="22"/>
        </w:rPr>
        <w:t>s</w:t>
      </w:r>
      <w:r w:rsidR="00EA2DBA" w:rsidRPr="00DC5884">
        <w:rPr>
          <w:rFonts w:eastAsia="Calibri" w:cs="Times New Roman"/>
          <w:szCs w:val="22"/>
        </w:rPr>
        <w:t>elect the more water</w:t>
      </w:r>
      <w:r w:rsidR="00A17AE2" w:rsidRPr="00DC5884">
        <w:rPr>
          <w:rFonts w:eastAsia="Calibri" w:cs="Times New Roman"/>
          <w:szCs w:val="22"/>
        </w:rPr>
        <w:t xml:space="preserve"> </w:t>
      </w:r>
      <w:r w:rsidR="00EA2DBA" w:rsidRPr="00DC5884">
        <w:rPr>
          <w:rFonts w:eastAsia="Calibri" w:cs="Times New Roman"/>
          <w:szCs w:val="22"/>
        </w:rPr>
        <w:t xml:space="preserve">efficient of the models on offer in </w:t>
      </w:r>
      <w:r w:rsidR="00CD0E38" w:rsidRPr="00DC5884">
        <w:rPr>
          <w:rFonts w:eastAsia="Calibri" w:cs="Times New Roman"/>
          <w:szCs w:val="22"/>
        </w:rPr>
        <w:t xml:space="preserve">their </w:t>
      </w:r>
      <w:r w:rsidR="00EA2DBA" w:rsidRPr="00DC5884">
        <w:rPr>
          <w:rFonts w:eastAsia="Calibri" w:cs="Times New Roman"/>
          <w:szCs w:val="22"/>
        </w:rPr>
        <w:t>category</w:t>
      </w:r>
    </w:p>
    <w:p w14:paraId="598E8FDB" w14:textId="23F363ED" w:rsidR="00EA2DBA" w:rsidRPr="00DC5884" w:rsidRDefault="00EA2DBA"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lastRenderedPageBreak/>
        <w:t xml:space="preserve">make a judgement about </w:t>
      </w:r>
      <w:r w:rsidR="00CF134B" w:rsidRPr="00DC5884">
        <w:rPr>
          <w:rFonts w:eastAsia="Calibri" w:cs="Times New Roman"/>
          <w:szCs w:val="22"/>
        </w:rPr>
        <w:t xml:space="preserve">whether to adopt single-pass cooling, use alternative water supplies or </w:t>
      </w:r>
      <w:r w:rsidRPr="00DC5884">
        <w:rPr>
          <w:rFonts w:eastAsia="Calibri" w:cs="Times New Roman"/>
          <w:szCs w:val="22"/>
        </w:rPr>
        <w:t>recirculat</w:t>
      </w:r>
      <w:r w:rsidR="00CF134B" w:rsidRPr="00DC5884">
        <w:rPr>
          <w:rFonts w:eastAsia="Calibri" w:cs="Times New Roman"/>
          <w:szCs w:val="22"/>
        </w:rPr>
        <w:t>e</w:t>
      </w:r>
      <w:r w:rsidRPr="00DC5884">
        <w:rPr>
          <w:rFonts w:eastAsia="Calibri" w:cs="Times New Roman"/>
          <w:szCs w:val="22"/>
        </w:rPr>
        <w:t xml:space="preserve"> cooling water</w:t>
      </w:r>
      <w:r w:rsidR="00277C61">
        <w:rPr>
          <w:rFonts w:eastAsia="Calibri" w:cs="Times New Roman"/>
          <w:szCs w:val="22"/>
        </w:rPr>
        <w:t>, i</w:t>
      </w:r>
      <w:r w:rsidR="00277C61" w:rsidRPr="00DC5884">
        <w:rPr>
          <w:rFonts w:eastAsia="Calibri" w:cs="Times New Roman"/>
          <w:szCs w:val="22"/>
        </w:rPr>
        <w:t>n the case of water-cooled models</w:t>
      </w:r>
    </w:p>
    <w:p w14:paraId="7E9438D4" w14:textId="5331AB1D" w:rsidR="00846C24" w:rsidRPr="00DC5884" w:rsidRDefault="00277C61" w:rsidP="00DC5884">
      <w:pPr>
        <w:numPr>
          <w:ilvl w:val="0"/>
          <w:numId w:val="53"/>
        </w:numPr>
        <w:spacing w:before="120" w:after="120" w:line="300" w:lineRule="exact"/>
        <w:jc w:val="left"/>
        <w:rPr>
          <w:rFonts w:eastAsia="Calibri" w:cs="Times New Roman"/>
          <w:szCs w:val="22"/>
        </w:rPr>
      </w:pPr>
      <w:r>
        <w:rPr>
          <w:rFonts w:eastAsia="Calibri" w:cs="Times New Roman"/>
          <w:szCs w:val="22"/>
        </w:rPr>
        <w:t>s</w:t>
      </w:r>
      <w:r w:rsidR="00846C24" w:rsidRPr="00DC5884">
        <w:rPr>
          <w:rFonts w:eastAsia="Calibri" w:cs="Times New Roman"/>
          <w:szCs w:val="22"/>
        </w:rPr>
        <w:t>elect the more energy</w:t>
      </w:r>
      <w:r w:rsidR="00A17AE2" w:rsidRPr="00DC5884">
        <w:rPr>
          <w:rFonts w:eastAsia="Calibri" w:cs="Times New Roman"/>
          <w:szCs w:val="22"/>
        </w:rPr>
        <w:t xml:space="preserve"> </w:t>
      </w:r>
      <w:r w:rsidR="00846C24" w:rsidRPr="00DC5884">
        <w:rPr>
          <w:rFonts w:eastAsia="Calibri" w:cs="Times New Roman"/>
          <w:szCs w:val="22"/>
        </w:rPr>
        <w:t>efficient of the models on offer in their category.</w:t>
      </w:r>
    </w:p>
    <w:p w14:paraId="4D31AA29" w14:textId="4FFB9437" w:rsidR="00EA2DBA" w:rsidRDefault="00CD0E38" w:rsidP="003A0B07">
      <w:r>
        <w:t>As the next section shows, reliable information on energy use should become available under current regulatory settings, but the availability of information about water use remains uncertain.</w:t>
      </w:r>
    </w:p>
    <w:p w14:paraId="089C8C07" w14:textId="3C78CA0D" w:rsidR="00CA5CA7" w:rsidRDefault="00CA5CA7" w:rsidP="00CA5CA7">
      <w:pPr>
        <w:pStyle w:val="Heading2"/>
      </w:pPr>
      <w:bookmarkStart w:id="28" w:name="_Toc196745408"/>
      <w:r>
        <w:t xml:space="preserve">Current </w:t>
      </w:r>
      <w:r w:rsidR="006E3CAD">
        <w:t>r</w:t>
      </w:r>
      <w:r>
        <w:t>egulations</w:t>
      </w:r>
      <w:bookmarkEnd w:id="28"/>
    </w:p>
    <w:p w14:paraId="46A35A18" w14:textId="19EA8709" w:rsidR="008D71C3" w:rsidRDefault="00865757" w:rsidP="003A0B07">
      <w:r>
        <w:t xml:space="preserve">In Australia, </w:t>
      </w:r>
      <w:r w:rsidR="00CF134B">
        <w:t>CIM</w:t>
      </w:r>
      <w:r w:rsidR="00605BBF">
        <w:t>s</w:t>
      </w:r>
      <w:r w:rsidR="00CF134B">
        <w:t xml:space="preserve"> have </w:t>
      </w:r>
      <w:r>
        <w:t xml:space="preserve">in the past only </w:t>
      </w:r>
      <w:r w:rsidR="00CF134B">
        <w:t xml:space="preserve">been subject </w:t>
      </w:r>
      <w:r>
        <w:t>to general</w:t>
      </w:r>
      <w:r w:rsidR="00CF134B">
        <w:t xml:space="preserve"> </w:t>
      </w:r>
      <w:r>
        <w:t xml:space="preserve">electrical safety requirements and the WaterMark </w:t>
      </w:r>
      <w:r w:rsidR="00605BBF">
        <w:t>Certification S</w:t>
      </w:r>
      <w:r>
        <w:t xml:space="preserve">cheme applicable to all water-using products. In 2021 the </w:t>
      </w:r>
      <w:r w:rsidR="006E3CAD">
        <w:t xml:space="preserve">Equipment Energy Efficiency (E3) program of the </w:t>
      </w:r>
      <w:r>
        <w:t>Commonwealth</w:t>
      </w:r>
      <w:r w:rsidR="006E3CAD">
        <w:t>, s</w:t>
      </w:r>
      <w:r>
        <w:t>tate</w:t>
      </w:r>
      <w:r w:rsidR="006E3CAD">
        <w:t xml:space="preserve">, territory and New Zealand governments began </w:t>
      </w:r>
      <w:r>
        <w:t>investigating the costs and benefits of adopting MEPS</w:t>
      </w:r>
      <w:r w:rsidR="006E3CAD">
        <w:t xml:space="preserve"> </w:t>
      </w:r>
      <w:r>
        <w:t xml:space="preserve">for CIMs. Following the usual process of </w:t>
      </w:r>
      <w:hyperlink r:id="rId21" w:history="1">
        <w:r w:rsidR="00F720E7">
          <w:rPr>
            <w:rStyle w:val="Hyperlink"/>
          </w:rPr>
          <w:t xml:space="preserve">Regulatory Impact Analysis </w:t>
        </w:r>
      </w:hyperlink>
      <w:r>
        <w:t xml:space="preserve">and stakeholder consultation, </w:t>
      </w:r>
      <w:r w:rsidR="00605BBF">
        <w:t>E</w:t>
      </w:r>
      <w:r>
        <w:t xml:space="preserve">nergy </w:t>
      </w:r>
      <w:r w:rsidR="00605BBF">
        <w:t>M</w:t>
      </w:r>
      <w:r>
        <w:t xml:space="preserve">inisters decided to adopt the recommended MEPS levels and DCCEEW was tasked with developing a Determination under the </w:t>
      </w:r>
      <w:r w:rsidRPr="00D260B9">
        <w:t>GEMS Act 2012</w:t>
      </w:r>
      <w:r>
        <w:t xml:space="preserve"> to give them effect (</w:t>
      </w:r>
      <w:r w:rsidR="00605BBF">
        <w:t>e</w:t>
      </w:r>
      <w:r>
        <w:t>qu</w:t>
      </w:r>
      <w:r w:rsidR="008D71C3">
        <w:t>i</w:t>
      </w:r>
      <w:r>
        <w:t>v</w:t>
      </w:r>
      <w:r w:rsidR="008D71C3">
        <w:t xml:space="preserve">alent </w:t>
      </w:r>
      <w:r w:rsidR="00605BBF">
        <w:t xml:space="preserve">New Zealand </w:t>
      </w:r>
      <w:r w:rsidR="008D71C3">
        <w:t xml:space="preserve">regulations will also be implemented under the </w:t>
      </w:r>
      <w:r w:rsidR="008D71C3" w:rsidRPr="00F720E7">
        <w:t>Energy Efficiency Regulations</w:t>
      </w:r>
      <w:r w:rsidR="008D71C3">
        <w:t xml:space="preserve">). A </w:t>
      </w:r>
      <w:r w:rsidR="00C71FF2">
        <w:t xml:space="preserve">final </w:t>
      </w:r>
      <w:hyperlink r:id="rId22" w:history="1">
        <w:r w:rsidR="001F5DA4">
          <w:rPr>
            <w:rStyle w:val="Hyperlink"/>
          </w:rPr>
          <w:t>GEMS Determination</w:t>
        </w:r>
      </w:hyperlink>
      <w:r w:rsidR="001F5DA4">
        <w:t xml:space="preserve"> </w:t>
      </w:r>
      <w:r w:rsidR="008D71C3">
        <w:t xml:space="preserve">for CIMs was </w:t>
      </w:r>
      <w:r w:rsidR="001F5DA4">
        <w:t>gazetted on 3</w:t>
      </w:r>
      <w:r w:rsidR="00F720E7">
        <w:t> </w:t>
      </w:r>
      <w:r w:rsidR="001F5DA4">
        <w:t xml:space="preserve">March 2025, </w:t>
      </w:r>
      <w:r w:rsidR="00605BBF">
        <w:t>with</w:t>
      </w:r>
      <w:r w:rsidR="008D71C3">
        <w:t xml:space="preserve"> compliance </w:t>
      </w:r>
      <w:r w:rsidR="00605BBF">
        <w:t>being</w:t>
      </w:r>
      <w:r w:rsidR="001F5DA4">
        <w:t xml:space="preserve"> </w:t>
      </w:r>
      <w:r w:rsidR="008D71C3">
        <w:t xml:space="preserve">mandatory </w:t>
      </w:r>
      <w:r w:rsidR="001F5DA4">
        <w:t>for all CIM</w:t>
      </w:r>
      <w:r w:rsidR="00605BBF">
        <w:t>s</w:t>
      </w:r>
      <w:r w:rsidR="001F5DA4">
        <w:t xml:space="preserve"> supplied or offered for </w:t>
      </w:r>
      <w:r w:rsidR="003F45D6">
        <w:t xml:space="preserve">supply in both countries </w:t>
      </w:r>
      <w:r w:rsidR="001F5DA4">
        <w:t>from 3 March 2026.</w:t>
      </w:r>
    </w:p>
    <w:p w14:paraId="708E129A" w14:textId="066CEB96" w:rsidR="00CF2C52" w:rsidRDefault="008D71C3" w:rsidP="003A0B07">
      <w:r>
        <w:t xml:space="preserve">The </w:t>
      </w:r>
      <w:r w:rsidR="00605BBF">
        <w:t xml:space="preserve">GEMS </w:t>
      </w:r>
      <w:r>
        <w:t xml:space="preserve">Determination defines </w:t>
      </w:r>
      <w:r w:rsidR="00163416">
        <w:t xml:space="preserve">a </w:t>
      </w:r>
      <w:r>
        <w:t xml:space="preserve">CIM as </w:t>
      </w:r>
      <w:r w:rsidR="00163416">
        <w:t xml:space="preserve">an </w:t>
      </w:r>
      <w:r>
        <w:t>automatic ice maker with pr</w:t>
      </w:r>
      <w:r w:rsidR="00CF2C52">
        <w:t xml:space="preserve">ovisions </w:t>
      </w:r>
      <w:r>
        <w:t>for both water supply and drain connection</w:t>
      </w:r>
      <w:r w:rsidR="00CF2C52">
        <w:t>s</w:t>
      </w:r>
      <w:r>
        <w:t xml:space="preserve">, and </w:t>
      </w:r>
      <w:r w:rsidR="00CF2C52">
        <w:t xml:space="preserve">with a production capacity of up to 1,000kg per 24hr when tested under the conditions specified in </w:t>
      </w:r>
      <w:bookmarkStart w:id="29" w:name="_Hlk188875598"/>
      <w:r w:rsidR="00CF2C52" w:rsidRPr="001F5DA4">
        <w:rPr>
          <w:i/>
          <w:iCs/>
        </w:rPr>
        <w:t>AS/NZS 4865.1:2008: Performance</w:t>
      </w:r>
      <w:r w:rsidR="00CF2C52" w:rsidRPr="00CF2C52">
        <w:rPr>
          <w:i/>
          <w:iCs/>
        </w:rPr>
        <w:t xml:space="preserve"> of commercial ice makers and ice storage bins, Part 1: Test methods for ice makers—Environmental performance</w:t>
      </w:r>
      <w:r w:rsidR="00CF2C52">
        <w:t xml:space="preserve"> or </w:t>
      </w:r>
      <w:r w:rsidR="00163416">
        <w:t xml:space="preserve">the </w:t>
      </w:r>
      <w:r w:rsidR="00CF2C52">
        <w:t xml:space="preserve">equivalent </w:t>
      </w:r>
      <w:bookmarkEnd w:id="29"/>
      <w:r w:rsidR="00CF2C52">
        <w:t xml:space="preserve">US and ISO standards. All </w:t>
      </w:r>
      <w:r w:rsidR="00163416">
        <w:t xml:space="preserve">three </w:t>
      </w:r>
      <w:r w:rsidR="00CF2C52">
        <w:t>approved standards use near identical test conditions and methods</w:t>
      </w:r>
      <w:r w:rsidR="00163416">
        <w:t xml:space="preserve"> in which production capacity</w:t>
      </w:r>
      <w:r w:rsidR="003F45D6">
        <w:t>,</w:t>
      </w:r>
      <w:r w:rsidR="00163416">
        <w:t xml:space="preserve"> </w:t>
      </w:r>
      <w:r w:rsidR="00CF2C52">
        <w:t xml:space="preserve">energy and water consumption </w:t>
      </w:r>
      <w:r w:rsidR="003939BA">
        <w:t xml:space="preserve">(potable and for cooling if applicable) </w:t>
      </w:r>
      <w:r w:rsidR="00163416">
        <w:t xml:space="preserve">are all </w:t>
      </w:r>
      <w:r w:rsidR="00CF2C52">
        <w:t xml:space="preserve">measured </w:t>
      </w:r>
      <w:r w:rsidR="00163416">
        <w:t xml:space="preserve">during </w:t>
      </w:r>
      <w:r w:rsidR="00CF2C52">
        <w:t xml:space="preserve">the </w:t>
      </w:r>
      <w:r w:rsidR="00163416">
        <w:t xml:space="preserve">one </w:t>
      </w:r>
      <w:r w:rsidR="00CF2C52">
        <w:t>test.</w:t>
      </w:r>
    </w:p>
    <w:p w14:paraId="45C33E38" w14:textId="378FED92" w:rsidR="00CF2C52" w:rsidRDefault="00CF2C52" w:rsidP="003A0B07">
      <w:r>
        <w:t xml:space="preserve">The </w:t>
      </w:r>
      <w:r w:rsidR="00605BBF">
        <w:t xml:space="preserve">GEMS </w:t>
      </w:r>
      <w:r>
        <w:t>Determination</w:t>
      </w:r>
      <w:r w:rsidR="008D71C3">
        <w:t xml:space="preserve"> will require all models of CIM</w:t>
      </w:r>
      <w:r w:rsidR="00605BBF">
        <w:t>s</w:t>
      </w:r>
      <w:r w:rsidR="008D71C3">
        <w:t xml:space="preserve"> offered for supply in Australia</w:t>
      </w:r>
      <w:r>
        <w:t>:</w:t>
      </w:r>
    </w:p>
    <w:p w14:paraId="3E3A8821" w14:textId="13EE8548" w:rsidR="00CF2C52" w:rsidRPr="00DC5884" w:rsidRDefault="00CF2C52"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To be tested in accordance with one of the approved standards</w:t>
      </w:r>
      <w:r w:rsidR="00F720E7">
        <w:rPr>
          <w:rFonts w:eastAsia="Calibri" w:cs="Times New Roman"/>
          <w:szCs w:val="22"/>
        </w:rPr>
        <w:t>.</w:t>
      </w:r>
    </w:p>
    <w:p w14:paraId="201F17AA" w14:textId="2A53F356" w:rsidR="00961418" w:rsidRPr="00DC5884" w:rsidRDefault="00CF2C52"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To be registered</w:t>
      </w:r>
      <w:r w:rsidR="008D71C3" w:rsidRPr="00DC5884">
        <w:rPr>
          <w:rFonts w:eastAsia="Calibri" w:cs="Times New Roman"/>
          <w:szCs w:val="22"/>
        </w:rPr>
        <w:t xml:space="preserve"> </w:t>
      </w:r>
      <w:r w:rsidRPr="00DC5884">
        <w:rPr>
          <w:rFonts w:eastAsia="Calibri" w:cs="Times New Roman"/>
          <w:szCs w:val="22"/>
        </w:rPr>
        <w:t xml:space="preserve">with the GEMS </w:t>
      </w:r>
      <w:r w:rsidR="003939BA" w:rsidRPr="00DC5884">
        <w:rPr>
          <w:rFonts w:eastAsia="Calibri" w:cs="Times New Roman"/>
          <w:szCs w:val="22"/>
        </w:rPr>
        <w:t>R</w:t>
      </w:r>
      <w:r w:rsidRPr="00DC5884">
        <w:rPr>
          <w:rFonts w:eastAsia="Calibri" w:cs="Times New Roman"/>
          <w:szCs w:val="22"/>
        </w:rPr>
        <w:t>egulator</w:t>
      </w:r>
      <w:r w:rsidR="00F720E7">
        <w:rPr>
          <w:rFonts w:eastAsia="Calibri" w:cs="Times New Roman"/>
          <w:szCs w:val="22"/>
        </w:rPr>
        <w:t>.</w:t>
      </w:r>
    </w:p>
    <w:p w14:paraId="63C1FEC3" w14:textId="41A883A3" w:rsidR="00961418" w:rsidRPr="00DC5884" w:rsidRDefault="0096141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To </w:t>
      </w:r>
      <w:r w:rsidR="004D237B" w:rsidRPr="00DC5884">
        <w:rPr>
          <w:rFonts w:eastAsia="Calibri" w:cs="Times New Roman"/>
          <w:szCs w:val="22"/>
        </w:rPr>
        <w:t>declare</w:t>
      </w:r>
      <w:r w:rsidRPr="00DC5884">
        <w:rPr>
          <w:rFonts w:eastAsia="Calibri" w:cs="Times New Roman"/>
          <w:szCs w:val="22"/>
        </w:rPr>
        <w:t>, at the time of registration, the production capacity (kg/24hr) and the energy efficiency (kWh/kg ice)</w:t>
      </w:r>
      <w:r w:rsidR="00F720E7">
        <w:rPr>
          <w:rFonts w:eastAsia="Calibri" w:cs="Times New Roman"/>
          <w:szCs w:val="22"/>
        </w:rPr>
        <w:t>.</w:t>
      </w:r>
    </w:p>
    <w:p w14:paraId="0B6E21E0" w14:textId="674AB98C" w:rsidR="009B7D18" w:rsidRPr="00DC5884" w:rsidRDefault="00CF2C52"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To meet the MEPS formula required for its class and production capacity (derived from </w:t>
      </w:r>
      <w:r w:rsidRPr="00F720E7">
        <w:rPr>
          <w:rFonts w:eastAsia="Calibri" w:cs="Times New Roman"/>
          <w:i/>
          <w:iCs/>
          <w:szCs w:val="22"/>
        </w:rPr>
        <w:t>AS/NZS 4865.3:2008: Performance of commercial ice makers and ice storage bins, Part 3</w:t>
      </w:r>
      <w:r w:rsidRPr="00DC5884">
        <w:rPr>
          <w:rFonts w:eastAsia="Calibri" w:cs="Times New Roman"/>
          <w:szCs w:val="22"/>
        </w:rPr>
        <w:t xml:space="preserve">: </w:t>
      </w:r>
      <w:r w:rsidRPr="00F720E7">
        <w:rPr>
          <w:rFonts w:eastAsia="Calibri" w:cs="Times New Roman"/>
          <w:i/>
          <w:iCs/>
          <w:szCs w:val="22"/>
        </w:rPr>
        <w:t>M</w:t>
      </w:r>
      <w:r w:rsidR="00961418" w:rsidRPr="00F720E7">
        <w:rPr>
          <w:rFonts w:eastAsia="Calibri" w:cs="Times New Roman"/>
          <w:i/>
          <w:iCs/>
          <w:szCs w:val="22"/>
        </w:rPr>
        <w:t>inimum e</w:t>
      </w:r>
      <w:r w:rsidRPr="00F720E7">
        <w:rPr>
          <w:rFonts w:eastAsia="Calibri" w:cs="Times New Roman"/>
          <w:i/>
          <w:iCs/>
          <w:szCs w:val="22"/>
        </w:rPr>
        <w:t>nergy performance standard (MEPS) re</w:t>
      </w:r>
      <w:r w:rsidR="00961418" w:rsidRPr="00F720E7">
        <w:rPr>
          <w:rFonts w:eastAsia="Calibri" w:cs="Times New Roman"/>
          <w:i/>
          <w:iCs/>
          <w:szCs w:val="22"/>
        </w:rPr>
        <w:t>quirements</w:t>
      </w:r>
      <w:r w:rsidRPr="00DC5884">
        <w:rPr>
          <w:rFonts w:eastAsia="Calibri" w:cs="Times New Roman"/>
          <w:szCs w:val="22"/>
        </w:rPr>
        <w:t>)</w:t>
      </w:r>
      <w:r w:rsidR="00F720E7">
        <w:rPr>
          <w:rFonts w:eastAsia="Calibri" w:cs="Times New Roman"/>
          <w:szCs w:val="22"/>
        </w:rPr>
        <w:t>.</w:t>
      </w:r>
    </w:p>
    <w:p w14:paraId="3964A934" w14:textId="76AFB10E" w:rsidR="00961418" w:rsidRPr="00DC5884" w:rsidRDefault="009B7D1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To display the current GEMS registration number whenever a product covered by the </w:t>
      </w:r>
      <w:r w:rsidR="00605BBF" w:rsidRPr="00DC5884">
        <w:rPr>
          <w:rFonts w:eastAsia="Calibri" w:cs="Times New Roman"/>
          <w:szCs w:val="22"/>
        </w:rPr>
        <w:t xml:space="preserve">GEMS </w:t>
      </w:r>
      <w:r w:rsidRPr="00DC5884">
        <w:rPr>
          <w:rFonts w:eastAsia="Calibri" w:cs="Times New Roman"/>
          <w:szCs w:val="22"/>
        </w:rPr>
        <w:t xml:space="preserve">Determination is advertised for sale or supply, whether in print, in store or online. This is to </w:t>
      </w:r>
      <w:r w:rsidR="003F45D6" w:rsidRPr="00DC5884">
        <w:rPr>
          <w:rFonts w:eastAsia="Calibri" w:cs="Times New Roman"/>
          <w:szCs w:val="22"/>
        </w:rPr>
        <w:t xml:space="preserve">direct </w:t>
      </w:r>
      <w:r w:rsidRPr="00DC5884">
        <w:rPr>
          <w:rFonts w:eastAsia="Calibri" w:cs="Times New Roman"/>
          <w:szCs w:val="22"/>
        </w:rPr>
        <w:t xml:space="preserve">purchasers </w:t>
      </w:r>
      <w:r w:rsidR="003F45D6" w:rsidRPr="00DC5884">
        <w:rPr>
          <w:rFonts w:eastAsia="Calibri" w:cs="Times New Roman"/>
          <w:szCs w:val="22"/>
        </w:rPr>
        <w:t xml:space="preserve">to a website where they can </w:t>
      </w:r>
      <w:r w:rsidR="00163416" w:rsidRPr="00DC5884">
        <w:rPr>
          <w:rFonts w:eastAsia="Calibri" w:cs="Times New Roman"/>
          <w:szCs w:val="22"/>
        </w:rPr>
        <w:t>compare the performance of models</w:t>
      </w:r>
      <w:r w:rsidR="003F45D6" w:rsidRPr="00DC5884">
        <w:rPr>
          <w:rFonts w:eastAsia="Calibri" w:cs="Times New Roman"/>
          <w:szCs w:val="22"/>
        </w:rPr>
        <w:t xml:space="preserve">, and </w:t>
      </w:r>
      <w:r w:rsidRPr="00DC5884">
        <w:rPr>
          <w:rFonts w:eastAsia="Calibri" w:cs="Times New Roman"/>
          <w:szCs w:val="22"/>
        </w:rPr>
        <w:t xml:space="preserve">to assist </w:t>
      </w:r>
      <w:r w:rsidR="00163416" w:rsidRPr="00DC5884">
        <w:rPr>
          <w:rFonts w:eastAsia="Calibri" w:cs="Times New Roman"/>
          <w:szCs w:val="22"/>
        </w:rPr>
        <w:t xml:space="preserve">regulators with </w:t>
      </w:r>
      <w:r w:rsidR="003F45D6" w:rsidRPr="00DC5884">
        <w:rPr>
          <w:rFonts w:eastAsia="Calibri" w:cs="Times New Roman"/>
          <w:szCs w:val="22"/>
        </w:rPr>
        <w:t xml:space="preserve">market monitoring and </w:t>
      </w:r>
      <w:r w:rsidRPr="00DC5884">
        <w:rPr>
          <w:rFonts w:eastAsia="Calibri" w:cs="Times New Roman"/>
          <w:szCs w:val="22"/>
        </w:rPr>
        <w:t>compliance checks.</w:t>
      </w:r>
    </w:p>
    <w:p w14:paraId="4E71254F" w14:textId="4F2730DD" w:rsidR="001F5DA4" w:rsidRDefault="001F5DA4" w:rsidP="003939BA">
      <w:r w:rsidRPr="001F5DA4">
        <w:lastRenderedPageBreak/>
        <w:t xml:space="preserve">Given that </w:t>
      </w:r>
      <w:r>
        <w:t xml:space="preserve">GEMS </w:t>
      </w:r>
      <w:r w:rsidRPr="001F5DA4">
        <w:t>mandate</w:t>
      </w:r>
      <w:r>
        <w:t>s</w:t>
      </w:r>
      <w:r w:rsidRPr="001F5DA4">
        <w:t xml:space="preserve"> </w:t>
      </w:r>
      <w:r>
        <w:t xml:space="preserve">MEPS </w:t>
      </w:r>
      <w:r w:rsidRPr="001F5DA4">
        <w:t xml:space="preserve">for all </w:t>
      </w:r>
      <w:r>
        <w:t xml:space="preserve">CIM models </w:t>
      </w:r>
      <w:r w:rsidRPr="001F5DA4">
        <w:t xml:space="preserve">offered to </w:t>
      </w:r>
      <w:r w:rsidR="00057852">
        <w:rPr>
          <w:rFonts w:ascii="Calibri" w:eastAsia="Calibri" w:hAnsi="Calibri" w:cs="Times New Roman"/>
          <w:szCs w:val="22"/>
        </w:rPr>
        <w:t>purchasers</w:t>
      </w:r>
      <w:r w:rsidRPr="001F5DA4">
        <w:t xml:space="preserve">, </w:t>
      </w:r>
      <w:r>
        <w:t xml:space="preserve">even buyers who do not want to or do not </w:t>
      </w:r>
      <w:r w:rsidR="00885D64">
        <w:t xml:space="preserve">place value on </w:t>
      </w:r>
      <w:r>
        <w:t>energy</w:t>
      </w:r>
      <w:r w:rsidR="00885D64">
        <w:t xml:space="preserve"> consumption</w:t>
      </w:r>
      <w:r w:rsidR="00605BBF">
        <w:t>,</w:t>
      </w:r>
      <w:r>
        <w:t xml:space="preserve"> will </w:t>
      </w:r>
      <w:r w:rsidR="00885D64">
        <w:t xml:space="preserve">receive a </w:t>
      </w:r>
      <w:r w:rsidRPr="001F5DA4">
        <w:t>product</w:t>
      </w:r>
      <w:r w:rsidR="00885D64">
        <w:t xml:space="preserve"> that </w:t>
      </w:r>
      <w:r w:rsidRPr="001F5DA4">
        <w:t>meet</w:t>
      </w:r>
      <w:r w:rsidR="00885D64">
        <w:t>s</w:t>
      </w:r>
      <w:r w:rsidRPr="001F5DA4">
        <w:t xml:space="preserve"> a minimum </w:t>
      </w:r>
      <w:r>
        <w:t xml:space="preserve">level of </w:t>
      </w:r>
      <w:r w:rsidRPr="001F5DA4">
        <w:t>energy efficiency.</w:t>
      </w:r>
    </w:p>
    <w:p w14:paraId="15094727" w14:textId="5C2424A6" w:rsidR="008D71C3" w:rsidRDefault="00961418" w:rsidP="003939BA">
      <w:r>
        <w:t xml:space="preserve">In addition, </w:t>
      </w:r>
      <w:r w:rsidR="003F45D6">
        <w:t xml:space="preserve">CIM </w:t>
      </w:r>
      <w:r>
        <w:t>registrant</w:t>
      </w:r>
      <w:r w:rsidR="003F45D6">
        <w:t>s</w:t>
      </w:r>
      <w:r>
        <w:t xml:space="preserve"> may choose to </w:t>
      </w:r>
      <w:r w:rsidRPr="00D260B9">
        <w:t>voluntarily</w:t>
      </w:r>
      <w:r w:rsidRPr="00961418">
        <w:rPr>
          <w:i/>
          <w:iCs/>
        </w:rPr>
        <w:t xml:space="preserve"> </w:t>
      </w:r>
      <w:r w:rsidR="004D237B">
        <w:t>declare</w:t>
      </w:r>
      <w:r>
        <w:t xml:space="preserve"> the potable water</w:t>
      </w:r>
      <w:r w:rsidR="00F34D1E">
        <w:t xml:space="preserve"> use rate </w:t>
      </w:r>
      <w:r>
        <w:t>(</w:t>
      </w:r>
      <w:r w:rsidR="003F45D6">
        <w:t>L</w:t>
      </w:r>
      <w:r>
        <w:t>/kg ice) and, for water</w:t>
      </w:r>
      <w:r w:rsidR="00885D64">
        <w:t>-</w:t>
      </w:r>
      <w:r>
        <w:t>cooled products, the cooling water</w:t>
      </w:r>
      <w:r w:rsidR="00F34D1E">
        <w:t xml:space="preserve"> use </w:t>
      </w:r>
      <w:r>
        <w:t>(</w:t>
      </w:r>
      <w:r w:rsidR="003F45D6">
        <w:t>L</w:t>
      </w:r>
      <w:r>
        <w:t>/kg ice)</w:t>
      </w:r>
      <w:r w:rsidR="00163416">
        <w:t xml:space="preserve"> as </w:t>
      </w:r>
      <w:r>
        <w:t xml:space="preserve">measured on the standard tests. The GEMS Act does not empower the </w:t>
      </w:r>
      <w:r w:rsidR="00605BBF">
        <w:t>M</w:t>
      </w:r>
      <w:r w:rsidR="00163416">
        <w:t xml:space="preserve">inister </w:t>
      </w:r>
      <w:r>
        <w:t>to set requirements for matters not directly related to energy performance, although if water</w:t>
      </w:r>
      <w:r w:rsidR="00885D64">
        <w:t xml:space="preserve"> </w:t>
      </w:r>
      <w:r>
        <w:t>related performance is</w:t>
      </w:r>
      <w:r w:rsidR="003939BA">
        <w:t xml:space="preserve"> </w:t>
      </w:r>
      <w:r>
        <w:t>declared</w:t>
      </w:r>
      <w:r w:rsidR="003939BA">
        <w:t xml:space="preserve"> </w:t>
      </w:r>
      <w:r w:rsidR="00D457FD">
        <w:t xml:space="preserve">to the GEMS Regulator </w:t>
      </w:r>
      <w:r>
        <w:t>it must be in accordance with the specified standards.</w:t>
      </w:r>
      <w:r w:rsidR="003F45D6" w:rsidRPr="003F45D6">
        <w:t xml:space="preserve"> </w:t>
      </w:r>
      <w:r w:rsidR="003F45D6">
        <w:t xml:space="preserve">The proportion of suppliers who will choose to </w:t>
      </w:r>
      <w:r w:rsidR="00605BBF">
        <w:t xml:space="preserve">voluntarily declare </w:t>
      </w:r>
      <w:r w:rsidR="003F45D6">
        <w:t>data on water use is currently unknown.</w:t>
      </w:r>
    </w:p>
    <w:p w14:paraId="51330E0F" w14:textId="122488D8" w:rsidR="003F45D6" w:rsidRDefault="00961418" w:rsidP="003F45D6">
      <w:r>
        <w:t xml:space="preserve">The GEMS Regulator will publish the registered information </w:t>
      </w:r>
      <w:r w:rsidR="003A0B07">
        <w:t xml:space="preserve">on </w:t>
      </w:r>
      <w:r w:rsidR="00885D64">
        <w:t>the Energy Rating website (</w:t>
      </w:r>
      <w:hyperlink r:id="rId23" w:history="1">
        <w:r w:rsidR="00885D64" w:rsidRPr="001C165D">
          <w:rPr>
            <w:rStyle w:val="Hyperlink"/>
          </w:rPr>
          <w:t>www.energyrating.gov.au</w:t>
        </w:r>
      </w:hyperlink>
      <w:r w:rsidR="00885D64">
        <w:t>)</w:t>
      </w:r>
      <w:r w:rsidR="00605BBF">
        <w:t>. T</w:t>
      </w:r>
      <w:r w:rsidR="003A0B07">
        <w:t xml:space="preserve">he website </w:t>
      </w:r>
      <w:r w:rsidR="003F45D6">
        <w:t xml:space="preserve">lists </w:t>
      </w:r>
      <w:r w:rsidR="003A0B07">
        <w:t xml:space="preserve">all </w:t>
      </w:r>
      <w:r w:rsidR="003F45D6">
        <w:t xml:space="preserve">models of </w:t>
      </w:r>
      <w:r w:rsidR="003A0B07">
        <w:t xml:space="preserve">product types regulated under GEMS. If registrants choose to </w:t>
      </w:r>
      <w:r w:rsidR="00605BBF">
        <w:t xml:space="preserve">declare </w:t>
      </w:r>
      <w:r w:rsidR="003F45D6">
        <w:t xml:space="preserve">a </w:t>
      </w:r>
      <w:r w:rsidR="003A0B07">
        <w:t xml:space="preserve">water </w:t>
      </w:r>
      <w:r w:rsidR="00F34D1E">
        <w:t>use rate</w:t>
      </w:r>
      <w:r w:rsidR="00605BBF">
        <w:t>,</w:t>
      </w:r>
      <w:r w:rsidR="00F34D1E">
        <w:t xml:space="preserve"> </w:t>
      </w:r>
      <w:r w:rsidR="003A0B07">
        <w:t xml:space="preserve">that </w:t>
      </w:r>
      <w:r w:rsidR="00605BBF">
        <w:t xml:space="preserve">information </w:t>
      </w:r>
      <w:r w:rsidR="003A0B07">
        <w:t xml:space="preserve">will be listed </w:t>
      </w:r>
      <w:r w:rsidR="00605BBF">
        <w:t>against</w:t>
      </w:r>
      <w:r w:rsidR="003A0B07">
        <w:t xml:space="preserve"> the entry for that model.</w:t>
      </w:r>
    </w:p>
    <w:p w14:paraId="096B5BC7" w14:textId="35EEBC72" w:rsidR="008D71C3" w:rsidRDefault="003A0B07" w:rsidP="003A0B07">
      <w:r>
        <w:t xml:space="preserve">At time of writing, </w:t>
      </w:r>
      <w:r w:rsidR="00FC249D">
        <w:t>registration</w:t>
      </w:r>
      <w:r w:rsidR="00163416">
        <w:t xml:space="preserve"> was </w:t>
      </w:r>
      <w:r w:rsidR="00FC249D">
        <w:t xml:space="preserve">due to be made available </w:t>
      </w:r>
      <w:r w:rsidR="00F34D1E">
        <w:t xml:space="preserve">during March </w:t>
      </w:r>
      <w:r w:rsidR="00FC249D">
        <w:t xml:space="preserve">2025, to give a year for suppliers to register products before the </w:t>
      </w:r>
      <w:r w:rsidR="00605BBF">
        <w:t xml:space="preserve">GEMS </w:t>
      </w:r>
      <w:r w:rsidR="00FC249D">
        <w:t xml:space="preserve">Determination takes effect. </w:t>
      </w:r>
      <w:r w:rsidR="00163416">
        <w:t>I</w:t>
      </w:r>
      <w:r w:rsidR="00FC249D">
        <w:t xml:space="preserve">t was not clear whether registrants would have to enter all the model characteristics at the one time, or whether they could </w:t>
      </w:r>
      <w:r w:rsidR="00605BBF">
        <w:t>declare</w:t>
      </w:r>
      <w:r w:rsidR="00FC249D">
        <w:t xml:space="preserve"> the voluntary water</w:t>
      </w:r>
      <w:r w:rsidR="00605BBF">
        <w:t xml:space="preserve"> use</w:t>
      </w:r>
      <w:r w:rsidR="00FC249D">
        <w:t xml:space="preserve"> data later. This will depend on the design of the online registration process </w:t>
      </w:r>
      <w:r w:rsidR="00001BA1">
        <w:t>and ability to make later registration modifications</w:t>
      </w:r>
      <w:r w:rsidR="00FC249D">
        <w:t>.</w:t>
      </w:r>
      <w:r w:rsidR="00F91C32">
        <w:rPr>
          <w:rStyle w:val="FootnoteReference"/>
        </w:rPr>
        <w:footnoteReference w:id="4"/>
      </w:r>
    </w:p>
    <w:p w14:paraId="31647175" w14:textId="7C358541" w:rsidR="0084351D" w:rsidRDefault="0084351D" w:rsidP="0084351D">
      <w:pPr>
        <w:pStyle w:val="Heading2"/>
      </w:pPr>
      <w:bookmarkStart w:id="30" w:name="_Toc196745409"/>
      <w:r>
        <w:t>The problem</w:t>
      </w:r>
      <w:bookmarkEnd w:id="30"/>
    </w:p>
    <w:p w14:paraId="5AF23266" w14:textId="2321040E" w:rsidR="00786DF3" w:rsidRDefault="00786DF3" w:rsidP="00F91C32">
      <w:r>
        <w:t>The Australian Government Guide to Policy Impact Analysis discusses a number of market characteristics and failures which may warrant government intervention. The one most relevant to the CIM market is information asymmetry, leading in turn to irrational behaviour:</w:t>
      </w:r>
    </w:p>
    <w:p w14:paraId="71F87F55" w14:textId="7C7B7137" w:rsidR="00786DF3" w:rsidRPr="00786DF3" w:rsidRDefault="00786DF3" w:rsidP="00DC5884">
      <w:pPr>
        <w:ind w:left="426"/>
      </w:pPr>
      <w:r w:rsidRPr="00DC5884">
        <w:rPr>
          <w:i/>
          <w:iCs/>
        </w:rPr>
        <w:t xml:space="preserve">Markets may not allocate resources efficiently if one party in a transaction has significantly more information than another…Intervention may be an option to impose the obligation to </w:t>
      </w:r>
      <w:r w:rsidR="004D237B" w:rsidRPr="00DC5884">
        <w:rPr>
          <w:i/>
          <w:iCs/>
        </w:rPr>
        <w:t>declare</w:t>
      </w:r>
      <w:r w:rsidRPr="00DC5884">
        <w:rPr>
          <w:i/>
          <w:iCs/>
        </w:rPr>
        <w:t xml:space="preserve"> or certify relevant information</w:t>
      </w:r>
      <w:r>
        <w:t xml:space="preserve"> (OIA 2013,18)</w:t>
      </w:r>
    </w:p>
    <w:p w14:paraId="2C4606CD" w14:textId="257D6F03" w:rsidR="00FC249D" w:rsidRPr="00FC249D" w:rsidRDefault="009B7D18" w:rsidP="00F91C32">
      <w:r>
        <w:t>A</w:t>
      </w:r>
      <w:r w:rsidRPr="009B7D18">
        <w:t xml:space="preserve">t present, </w:t>
      </w:r>
      <w:r>
        <w:t xml:space="preserve">CIM suppliers </w:t>
      </w:r>
      <w:r w:rsidRPr="009B7D18">
        <w:t xml:space="preserve">make very little information available </w:t>
      </w:r>
      <w:r w:rsidR="007A22C4">
        <w:t xml:space="preserve">to </w:t>
      </w:r>
      <w:r w:rsidR="00057852">
        <w:rPr>
          <w:rFonts w:ascii="Calibri" w:eastAsia="Calibri" w:hAnsi="Calibri" w:cs="Times New Roman"/>
          <w:szCs w:val="22"/>
        </w:rPr>
        <w:t>purchasers</w:t>
      </w:r>
      <w:r w:rsidR="007A22C4">
        <w:t xml:space="preserve"> </w:t>
      </w:r>
      <w:r w:rsidRPr="009B7D18">
        <w:t xml:space="preserve">about the energy performance of the products they offer in Australia and even less about the water performance. </w:t>
      </w:r>
      <w:r>
        <w:t xml:space="preserve">The GEMS </w:t>
      </w:r>
      <w:r w:rsidR="00BE64DE">
        <w:t xml:space="preserve">Determination </w:t>
      </w:r>
      <w:r>
        <w:t xml:space="preserve">will ensure that CIMs supplied from </w:t>
      </w:r>
      <w:r w:rsidR="007A22C4">
        <w:t xml:space="preserve">March </w:t>
      </w:r>
      <w:r>
        <w:t xml:space="preserve">2026 will meet minimum levels of energy efficiency and that their energy performance will be </w:t>
      </w:r>
      <w:r w:rsidR="004D237B">
        <w:t>declare</w:t>
      </w:r>
      <w:r>
        <w:t>d, but do</w:t>
      </w:r>
      <w:r w:rsidR="00236A26">
        <w:t>es</w:t>
      </w:r>
      <w:r>
        <w:t xml:space="preserve"> not ensure the same for water </w:t>
      </w:r>
      <w:r w:rsidR="007A22C4">
        <w:t xml:space="preserve">use or water </w:t>
      </w:r>
      <w:r>
        <w:t>efficiency.</w:t>
      </w:r>
    </w:p>
    <w:p w14:paraId="2595ED16" w14:textId="588178C9" w:rsidR="005E1311" w:rsidRDefault="009B7D18" w:rsidP="00F91C32">
      <w:pPr>
        <w:spacing w:after="200" w:line="288" w:lineRule="auto"/>
      </w:pPr>
      <w:r>
        <w:lastRenderedPageBreak/>
        <w:t xml:space="preserve">As indicated in </w:t>
      </w:r>
      <w:r>
        <w:fldChar w:fldCharType="begin"/>
      </w:r>
      <w:r>
        <w:instrText xml:space="preserve"> REF _Ref188863065 \h </w:instrText>
      </w:r>
      <w:r w:rsidR="00F91C32">
        <w:instrText xml:space="preserve"> \* MERGEFORMAT </w:instrText>
      </w:r>
      <w:r>
        <w:fldChar w:fldCharType="separate"/>
      </w:r>
      <w:r w:rsidR="002271EC">
        <w:t xml:space="preserve">Figure </w:t>
      </w:r>
      <w:r w:rsidR="002271EC">
        <w:rPr>
          <w:noProof/>
        </w:rPr>
        <w:t>3</w:t>
      </w:r>
      <w:r>
        <w:fldChar w:fldCharType="end"/>
      </w:r>
      <w:r>
        <w:t xml:space="preserve">, this means that </w:t>
      </w:r>
      <w:r w:rsidR="00BE64DE">
        <w:t>water-use rates</w:t>
      </w:r>
      <w:r>
        <w:t xml:space="preserve"> which account for </w:t>
      </w:r>
      <w:r w:rsidR="005E1311">
        <w:t xml:space="preserve">a </w:t>
      </w:r>
      <w:r>
        <w:t xml:space="preserve">significant share of lifetime operating costs </w:t>
      </w:r>
      <w:r w:rsidR="005E1311">
        <w:t>in all CIMs, and potentially the majority of costs in water-cooled models, could remain invisible to purchasers.</w:t>
      </w:r>
    </w:p>
    <w:p w14:paraId="73D1C178" w14:textId="728BA83F" w:rsidR="005E1311" w:rsidRDefault="005E1311" w:rsidP="00F91C32">
      <w:pPr>
        <w:spacing w:after="200" w:line="288" w:lineRule="auto"/>
      </w:pPr>
      <w:r>
        <w:t xml:space="preserve">While suppliers will have the option of </w:t>
      </w:r>
      <w:r w:rsidR="00514C9D">
        <w:t xml:space="preserve">declaring </w:t>
      </w:r>
      <w:r w:rsidR="00236A26">
        <w:t xml:space="preserve">water use </w:t>
      </w:r>
      <w:r>
        <w:t xml:space="preserve">information </w:t>
      </w:r>
      <w:r w:rsidR="004415A3">
        <w:t>to the GEMS Regulator</w:t>
      </w:r>
      <w:r>
        <w:t xml:space="preserve"> they may </w:t>
      </w:r>
      <w:r w:rsidR="00C657C8">
        <w:t xml:space="preserve">choose </w:t>
      </w:r>
      <w:r>
        <w:t xml:space="preserve">not </w:t>
      </w:r>
      <w:r w:rsidR="007A22C4">
        <w:t xml:space="preserve">to </w:t>
      </w:r>
      <w:r>
        <w:t xml:space="preserve">do so, even though they </w:t>
      </w:r>
      <w:r w:rsidR="00C657C8">
        <w:t>w</w:t>
      </w:r>
      <w:r>
        <w:t xml:space="preserve">ould have the data from the energy tests and so incur no further testing costs. The reasons </w:t>
      </w:r>
      <w:r w:rsidR="00BE64DE">
        <w:t xml:space="preserve">for a lack of declaration </w:t>
      </w:r>
      <w:r w:rsidR="00B80846">
        <w:t xml:space="preserve">may </w:t>
      </w:r>
      <w:r w:rsidR="00C657C8">
        <w:t>include</w:t>
      </w:r>
      <w:r w:rsidR="007A22C4">
        <w:t xml:space="preserve"> that</w:t>
      </w:r>
      <w:r w:rsidR="00B80846">
        <w:t xml:space="preserve"> suppliers</w:t>
      </w:r>
      <w:r>
        <w:t>:</w:t>
      </w:r>
    </w:p>
    <w:p w14:paraId="2BBA31CC" w14:textId="72C27890" w:rsidR="005E1311" w:rsidRPr="00DC5884" w:rsidRDefault="00B80846"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do</w:t>
      </w:r>
      <w:r w:rsidR="005E1311" w:rsidRPr="00DC5884">
        <w:rPr>
          <w:rFonts w:eastAsia="Calibri" w:cs="Times New Roman"/>
          <w:szCs w:val="22"/>
        </w:rPr>
        <w:t xml:space="preserve"> not see a commercial advantage in </w:t>
      </w:r>
      <w:r w:rsidR="007A22C4" w:rsidRPr="00DC5884">
        <w:rPr>
          <w:rFonts w:eastAsia="Calibri" w:cs="Times New Roman"/>
          <w:szCs w:val="22"/>
        </w:rPr>
        <w:t>declaring</w:t>
      </w:r>
      <w:r w:rsidR="005E1311" w:rsidRPr="00DC5884">
        <w:rPr>
          <w:rFonts w:eastAsia="Calibri" w:cs="Times New Roman"/>
          <w:szCs w:val="22"/>
        </w:rPr>
        <w:t xml:space="preserve"> the information, especially </w:t>
      </w:r>
      <w:r w:rsidR="007A22C4" w:rsidRPr="00DC5884">
        <w:rPr>
          <w:rFonts w:eastAsia="Calibri" w:cs="Times New Roman"/>
          <w:szCs w:val="22"/>
        </w:rPr>
        <w:t xml:space="preserve">for models with poor </w:t>
      </w:r>
      <w:r w:rsidR="005E1311" w:rsidRPr="00DC5884">
        <w:rPr>
          <w:rFonts w:eastAsia="Calibri" w:cs="Times New Roman"/>
          <w:szCs w:val="22"/>
        </w:rPr>
        <w:t>water performance</w:t>
      </w:r>
    </w:p>
    <w:p w14:paraId="6471ED44" w14:textId="299819EF" w:rsidR="005E1311" w:rsidRPr="00DC5884" w:rsidRDefault="00B80846"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do</w:t>
      </w:r>
      <w:r w:rsidR="005E1311" w:rsidRPr="00DC5884">
        <w:rPr>
          <w:rFonts w:eastAsia="Calibri" w:cs="Times New Roman"/>
          <w:szCs w:val="22"/>
        </w:rPr>
        <w:t xml:space="preserve"> not wish to draw attention to the high water use of water-cooled variants</w:t>
      </w:r>
    </w:p>
    <w:p w14:paraId="57953F82" w14:textId="14484D0D" w:rsidR="00C657C8" w:rsidRPr="00DC5884" w:rsidRDefault="00B80846"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do</w:t>
      </w:r>
      <w:r w:rsidR="005E1311" w:rsidRPr="00DC5884">
        <w:rPr>
          <w:rFonts w:eastAsia="Calibri" w:cs="Times New Roman"/>
          <w:szCs w:val="22"/>
        </w:rPr>
        <w:t xml:space="preserve"> not wish to increase their liability should the water</w:t>
      </w:r>
      <w:r w:rsidR="00236A26">
        <w:rPr>
          <w:rFonts w:eastAsia="Calibri" w:cs="Times New Roman"/>
          <w:szCs w:val="22"/>
        </w:rPr>
        <w:t xml:space="preserve"> use</w:t>
      </w:r>
      <w:r w:rsidR="005E1311" w:rsidRPr="00DC5884">
        <w:rPr>
          <w:rFonts w:eastAsia="Calibri" w:cs="Times New Roman"/>
          <w:szCs w:val="22"/>
        </w:rPr>
        <w:t xml:space="preserve"> values be found to be incorrect</w:t>
      </w:r>
      <w:r w:rsidR="00217994" w:rsidRPr="00DC5884">
        <w:rPr>
          <w:rFonts w:eastAsia="Calibri" w:cs="Times New Roman"/>
          <w:szCs w:val="22"/>
        </w:rPr>
        <w:t xml:space="preserve"> in subsequent regulatory check testing</w:t>
      </w:r>
    </w:p>
    <w:p w14:paraId="5EDECBBC" w14:textId="02E0F736" w:rsidR="005E1311" w:rsidRPr="00DC5884" w:rsidRDefault="00C657C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may wish to continue to publish more favourable water values based on non-standard operating conditions</w:t>
      </w:r>
    </w:p>
    <w:p w14:paraId="771E19CD" w14:textId="3D400A30" w:rsidR="005E1311" w:rsidRPr="00DC5884" w:rsidRDefault="007A22C4"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as </w:t>
      </w:r>
      <w:r w:rsidR="00C657C8" w:rsidRPr="00DC5884">
        <w:rPr>
          <w:rFonts w:eastAsia="Calibri" w:cs="Times New Roman"/>
          <w:szCs w:val="22"/>
        </w:rPr>
        <w:t xml:space="preserve">an industry, </w:t>
      </w:r>
      <w:r w:rsidR="005E1311" w:rsidRPr="00DC5884">
        <w:rPr>
          <w:rFonts w:eastAsia="Calibri" w:cs="Times New Roman"/>
          <w:szCs w:val="22"/>
        </w:rPr>
        <w:t>m</w:t>
      </w:r>
      <w:r w:rsidR="00C657C8" w:rsidRPr="00DC5884">
        <w:rPr>
          <w:rFonts w:eastAsia="Calibri" w:cs="Times New Roman"/>
          <w:szCs w:val="22"/>
        </w:rPr>
        <w:t>a</w:t>
      </w:r>
      <w:r w:rsidR="005E1311" w:rsidRPr="00DC5884">
        <w:rPr>
          <w:rFonts w:eastAsia="Calibri" w:cs="Times New Roman"/>
          <w:szCs w:val="22"/>
        </w:rPr>
        <w:t xml:space="preserve">y not wish to </w:t>
      </w:r>
      <w:r w:rsidR="00C657C8" w:rsidRPr="00DC5884">
        <w:rPr>
          <w:rFonts w:eastAsia="Calibri" w:cs="Times New Roman"/>
          <w:szCs w:val="22"/>
        </w:rPr>
        <w:t xml:space="preserve">provide Australian regulators with information that </w:t>
      </w:r>
      <w:r w:rsidR="004415A3" w:rsidRPr="00DC5884">
        <w:rPr>
          <w:rFonts w:eastAsia="Calibri" w:cs="Times New Roman"/>
          <w:szCs w:val="22"/>
        </w:rPr>
        <w:t xml:space="preserve">might </w:t>
      </w:r>
      <w:r w:rsidR="00C657C8" w:rsidRPr="00DC5884">
        <w:rPr>
          <w:rFonts w:eastAsia="Calibri" w:cs="Times New Roman"/>
          <w:szCs w:val="22"/>
        </w:rPr>
        <w:t xml:space="preserve">enable the setting of </w:t>
      </w:r>
      <w:r w:rsidR="00A774F0" w:rsidRPr="00DC5884">
        <w:rPr>
          <w:rFonts w:eastAsia="Calibri" w:cs="Times New Roman"/>
          <w:szCs w:val="22"/>
        </w:rPr>
        <w:t>M</w:t>
      </w:r>
      <w:r w:rsidR="00C657C8" w:rsidRPr="00DC5884">
        <w:rPr>
          <w:rFonts w:eastAsia="Calibri" w:cs="Times New Roman"/>
          <w:szCs w:val="22"/>
        </w:rPr>
        <w:t xml:space="preserve">inimum </w:t>
      </w:r>
      <w:r w:rsidR="00A774F0" w:rsidRPr="00DC5884">
        <w:rPr>
          <w:rFonts w:eastAsia="Calibri" w:cs="Times New Roman"/>
          <w:szCs w:val="22"/>
        </w:rPr>
        <w:t>W</w:t>
      </w:r>
      <w:r w:rsidR="00C657C8" w:rsidRPr="00DC5884">
        <w:rPr>
          <w:rFonts w:eastAsia="Calibri" w:cs="Times New Roman"/>
          <w:szCs w:val="22"/>
        </w:rPr>
        <w:t xml:space="preserve">ater </w:t>
      </w:r>
      <w:r w:rsidR="00A774F0" w:rsidRPr="00DC5884">
        <w:rPr>
          <w:rFonts w:eastAsia="Calibri" w:cs="Times New Roman"/>
          <w:szCs w:val="22"/>
        </w:rPr>
        <w:t>E</w:t>
      </w:r>
      <w:r w:rsidR="00C657C8" w:rsidRPr="00DC5884">
        <w:rPr>
          <w:rFonts w:eastAsia="Calibri" w:cs="Times New Roman"/>
          <w:szCs w:val="22"/>
        </w:rPr>
        <w:t xml:space="preserve">fficiency </w:t>
      </w:r>
      <w:r w:rsidR="00A774F0" w:rsidRPr="00DC5884">
        <w:rPr>
          <w:rFonts w:eastAsia="Calibri" w:cs="Times New Roman"/>
          <w:szCs w:val="22"/>
        </w:rPr>
        <w:t>S</w:t>
      </w:r>
      <w:r w:rsidR="00C657C8" w:rsidRPr="00DC5884">
        <w:rPr>
          <w:rFonts w:eastAsia="Calibri" w:cs="Times New Roman"/>
          <w:szCs w:val="22"/>
        </w:rPr>
        <w:t>tandards</w:t>
      </w:r>
      <w:r w:rsidRPr="00DC5884">
        <w:rPr>
          <w:rFonts w:eastAsia="Calibri" w:cs="Times New Roman"/>
          <w:szCs w:val="22"/>
        </w:rPr>
        <w:t xml:space="preserve"> because it may lead to additional costs associated with redesign or sourcing of products to meet the standards, or reduce the range of products that can be offered to the market.</w:t>
      </w:r>
    </w:p>
    <w:p w14:paraId="2669B282" w14:textId="1F0BC41C" w:rsidR="00AB0AFD" w:rsidRDefault="00AB0AFD" w:rsidP="00F91C32">
      <w:pPr>
        <w:spacing w:after="200" w:line="288" w:lineRule="auto"/>
      </w:pPr>
      <w:r w:rsidRPr="00AB0AFD">
        <w:t xml:space="preserve">Even if water use is made public on the GEMS </w:t>
      </w:r>
      <w:r w:rsidR="00D1605E">
        <w:t>energy rating database</w:t>
      </w:r>
      <w:r w:rsidRPr="00AB0AFD">
        <w:t xml:space="preserve">, </w:t>
      </w:r>
      <w:r w:rsidR="00057852">
        <w:rPr>
          <w:rFonts w:ascii="Calibri" w:eastAsia="Calibri" w:hAnsi="Calibri" w:cs="Times New Roman"/>
          <w:szCs w:val="22"/>
        </w:rPr>
        <w:t>purchasers</w:t>
      </w:r>
      <w:r w:rsidRPr="00AB0AFD">
        <w:t xml:space="preserve"> </w:t>
      </w:r>
      <w:r w:rsidR="00514C9D">
        <w:t>may be un</w:t>
      </w:r>
      <w:r w:rsidRPr="00AB0AFD">
        <w:t xml:space="preserve">aware of its availability at the time of their purchasing decision, as there are no requirements to provide the information </w:t>
      </w:r>
      <w:r w:rsidR="00D1605E">
        <w:t xml:space="preserve">at point of sale, or </w:t>
      </w:r>
      <w:r w:rsidR="006E6D39">
        <w:t xml:space="preserve">in </w:t>
      </w:r>
      <w:r w:rsidRPr="00AB0AFD">
        <w:t xml:space="preserve">advertising or </w:t>
      </w:r>
      <w:r w:rsidR="00D1605E">
        <w:t xml:space="preserve">product </w:t>
      </w:r>
      <w:r w:rsidRPr="00AB0AFD">
        <w:t xml:space="preserve">display. Furthermore, if </w:t>
      </w:r>
      <w:r w:rsidR="00057852">
        <w:rPr>
          <w:rFonts w:ascii="Calibri" w:eastAsia="Calibri" w:hAnsi="Calibri" w:cs="Times New Roman"/>
          <w:szCs w:val="22"/>
        </w:rPr>
        <w:t>purchasers</w:t>
      </w:r>
      <w:r w:rsidRPr="00AB0AFD">
        <w:t xml:space="preserve"> were aware that the water use information was available on the GEMS </w:t>
      </w:r>
      <w:r w:rsidR="00D1605E">
        <w:t>energy rating database</w:t>
      </w:r>
      <w:r w:rsidRPr="00AB0AFD">
        <w:t xml:space="preserve"> at a time that could inform their purchasing decision, they may have difficulty </w:t>
      </w:r>
      <w:r w:rsidR="006E6D39">
        <w:t xml:space="preserve">in </w:t>
      </w:r>
      <w:r w:rsidRPr="00AB0AFD">
        <w:t xml:space="preserve">interpreting </w:t>
      </w:r>
      <w:r w:rsidR="006E6D39">
        <w:t>it.</w:t>
      </w:r>
      <w:r w:rsidR="006E6D39">
        <w:rPr>
          <w:rStyle w:val="FootnoteReference"/>
        </w:rPr>
        <w:footnoteReference w:id="5"/>
      </w:r>
    </w:p>
    <w:p w14:paraId="46576C06" w14:textId="6A570B95" w:rsidR="00C657C8" w:rsidRDefault="00C657C8" w:rsidP="00F91C32">
      <w:pPr>
        <w:spacing w:after="200" w:line="288" w:lineRule="auto"/>
      </w:pPr>
      <w:r>
        <w:t xml:space="preserve">The problem is therefore the possible continuation of market failure with regard to the provision of </w:t>
      </w:r>
      <w:r w:rsidR="00217994">
        <w:t xml:space="preserve">trusted, </w:t>
      </w:r>
      <w:r>
        <w:t xml:space="preserve">reliable, consistent, comprehensive and readily accessible information regarding the </w:t>
      </w:r>
      <w:r w:rsidR="004415A3">
        <w:t xml:space="preserve">complete </w:t>
      </w:r>
      <w:r>
        <w:t>operating cost</w:t>
      </w:r>
      <w:r w:rsidR="00514C9D">
        <w:t>s</w:t>
      </w:r>
      <w:r>
        <w:t xml:space="preserve"> of </w:t>
      </w:r>
      <w:r w:rsidR="00A774F0">
        <w:t>CIMs</w:t>
      </w:r>
      <w:r w:rsidR="004415A3">
        <w:t>.</w:t>
      </w:r>
      <w:r>
        <w:t xml:space="preserve"> </w:t>
      </w:r>
      <w:r w:rsidR="004415A3">
        <w:t xml:space="preserve">Consequently, the total water consumption of </w:t>
      </w:r>
      <w:r w:rsidR="00217994">
        <w:t xml:space="preserve">CIMs </w:t>
      </w:r>
      <w:r w:rsidR="004415A3">
        <w:t>would be significantly higher than if purchasers had the information to make the most cost-effective decisions.</w:t>
      </w:r>
    </w:p>
    <w:p w14:paraId="561A95C6" w14:textId="53E6E366" w:rsidR="005E1311" w:rsidRDefault="00C657C8" w:rsidP="00F91C32">
      <w:pPr>
        <w:spacing w:after="200" w:line="288" w:lineRule="auto"/>
      </w:pPr>
      <w:r>
        <w:t xml:space="preserve">The </w:t>
      </w:r>
      <w:r w:rsidR="004415A3">
        <w:t xml:space="preserve">need for such information is </w:t>
      </w:r>
      <w:r>
        <w:t xml:space="preserve">especially acute </w:t>
      </w:r>
      <w:r w:rsidR="004415A3">
        <w:t xml:space="preserve">without the protection of </w:t>
      </w:r>
      <w:r w:rsidR="00D1605E">
        <w:t>M</w:t>
      </w:r>
      <w:r>
        <w:t xml:space="preserve">inimum </w:t>
      </w:r>
      <w:r w:rsidR="00D1605E">
        <w:t>W</w:t>
      </w:r>
      <w:r w:rsidR="004415A3">
        <w:t xml:space="preserve">ater </w:t>
      </w:r>
      <w:r w:rsidR="00D1605E">
        <w:t>E</w:t>
      </w:r>
      <w:r w:rsidR="004415A3">
        <w:t xml:space="preserve">fficiency </w:t>
      </w:r>
      <w:r w:rsidR="00D1605E">
        <w:t>S</w:t>
      </w:r>
      <w:r>
        <w:t>tandards</w:t>
      </w:r>
      <w:r w:rsidR="004415A3">
        <w:t xml:space="preserve">, unlike the </w:t>
      </w:r>
      <w:r w:rsidR="00057852" w:rsidRPr="00236A26">
        <w:t>purchaser</w:t>
      </w:r>
      <w:r w:rsidR="004415A3">
        <w:t xml:space="preserve"> protection </w:t>
      </w:r>
      <w:r w:rsidR="00D1605E">
        <w:t xml:space="preserve">offered </w:t>
      </w:r>
      <w:r w:rsidR="004415A3">
        <w:t>by MEPS, which will exclude the least energy</w:t>
      </w:r>
      <w:r w:rsidR="00A17AE2">
        <w:t xml:space="preserve"> </w:t>
      </w:r>
      <w:r w:rsidR="004415A3">
        <w:t>efficient models from the market.</w:t>
      </w:r>
    </w:p>
    <w:p w14:paraId="6F41D39D" w14:textId="14CD303D" w:rsidR="003507C5" w:rsidRDefault="0002030F">
      <w:pPr>
        <w:spacing w:after="200" w:line="288" w:lineRule="auto"/>
      </w:pPr>
      <w:r>
        <w:lastRenderedPageBreak/>
        <w:t xml:space="preserve">Another common form of market failure is the externalisation of environmental costs. If water consumption is higher than necessary to </w:t>
      </w:r>
      <w:r w:rsidR="003507C5">
        <w:t xml:space="preserve">achieve an objective (in this case the </w:t>
      </w:r>
      <w:r w:rsidR="00236A26">
        <w:t>production</w:t>
      </w:r>
      <w:r w:rsidR="003507C5">
        <w:t xml:space="preserve"> of ice) then the externalities not included in the price of potable water are also higher. </w:t>
      </w:r>
      <w:r w:rsidR="00CC6529">
        <w:t xml:space="preserve">In the absence of an explicit carbon price, the </w:t>
      </w:r>
      <w:r w:rsidR="003507C5">
        <w:t xml:space="preserve">costs of damage due to climate change are external </w:t>
      </w:r>
      <w:r w:rsidR="00CC6529">
        <w:t xml:space="preserve">to </w:t>
      </w:r>
      <w:r w:rsidR="003507C5">
        <w:t>the pricing of energy</w:t>
      </w:r>
      <w:r w:rsidR="00CC6529">
        <w:t xml:space="preserve">. The inclusion of a </w:t>
      </w:r>
      <w:r w:rsidR="003507C5">
        <w:t>shadow pric</w:t>
      </w:r>
      <w:r w:rsidR="00CC6529">
        <w:t xml:space="preserve">e for </w:t>
      </w:r>
      <w:r w:rsidR="003507C5">
        <w:t>CO</w:t>
      </w:r>
      <w:r w:rsidR="003507C5" w:rsidRPr="00E80B63">
        <w:rPr>
          <w:vertAlign w:val="subscript"/>
        </w:rPr>
        <w:t>2</w:t>
      </w:r>
      <w:r w:rsidR="003507C5">
        <w:t xml:space="preserve"> emissions from electricity supply </w:t>
      </w:r>
      <w:r w:rsidR="00CC6529">
        <w:t xml:space="preserve">increased the value of projected energy saving from CIM MEPS by about </w:t>
      </w:r>
      <w:r w:rsidR="003507C5">
        <w:t>6.5% (E3 2023, p10).</w:t>
      </w:r>
    </w:p>
    <w:p w14:paraId="42BB38D7" w14:textId="79C45CCC" w:rsidR="003507C5" w:rsidRDefault="00126473">
      <w:pPr>
        <w:spacing w:after="200" w:line="288" w:lineRule="auto"/>
      </w:pPr>
      <w:r>
        <w:t xml:space="preserve">Electricity is </w:t>
      </w:r>
      <w:r w:rsidR="00C77883">
        <w:t xml:space="preserve">also used in the pumping and treatment of water and wastewater. While water and wastewater prices include the </w:t>
      </w:r>
      <w:r w:rsidR="00CC6529">
        <w:t xml:space="preserve">financial </w:t>
      </w:r>
      <w:r w:rsidR="00C77883">
        <w:t>cost</w:t>
      </w:r>
      <w:r>
        <w:t>s</w:t>
      </w:r>
      <w:r w:rsidR="00C77883">
        <w:t xml:space="preserve"> of that energy, the value of the associated emissions need</w:t>
      </w:r>
      <w:r>
        <w:t>s</w:t>
      </w:r>
      <w:r w:rsidR="00C77883">
        <w:t xml:space="preserve"> to be internalised. </w:t>
      </w:r>
      <w:r>
        <w:t>However, the calculated price impact is less than 1.5% (see Section 4.3).</w:t>
      </w:r>
    </w:p>
    <w:p w14:paraId="54B1ED77" w14:textId="024A93B4" w:rsidR="00E80B63" w:rsidRDefault="004A57B8">
      <w:pPr>
        <w:spacing w:after="200" w:line="288" w:lineRule="auto"/>
      </w:pPr>
      <w:r>
        <w:t xml:space="preserve">It is uncertain whether </w:t>
      </w:r>
      <w:r w:rsidR="00CC6529">
        <w:t xml:space="preserve">the long run marginal cost of supplied water </w:t>
      </w:r>
      <w:r>
        <w:t>includes the environmental costs of addition</w:t>
      </w:r>
      <w:r w:rsidR="00126473">
        <w:t>s</w:t>
      </w:r>
      <w:r>
        <w:t xml:space="preserve"> to supply infrastructure. In its 2018 evaluation of the WELS scheme, </w:t>
      </w:r>
      <w:r w:rsidR="00A774F0">
        <w:t xml:space="preserve">the </w:t>
      </w:r>
      <w:r>
        <w:t>I</w:t>
      </w:r>
      <w:r w:rsidR="00A774F0">
        <w:t xml:space="preserve">nstitute of </w:t>
      </w:r>
      <w:r>
        <w:t>S</w:t>
      </w:r>
      <w:r w:rsidR="00A774F0">
        <w:t xml:space="preserve">ustainable </w:t>
      </w:r>
      <w:r>
        <w:t>F</w:t>
      </w:r>
      <w:r w:rsidR="00A774F0">
        <w:t>utures</w:t>
      </w:r>
      <w:r>
        <w:t xml:space="preserve"> estimated the present value of deferring a $1.5 billion supply increment (whether dam or desalination plant). In south-east Queensland the present value of a 10 year deferment was equivale</w:t>
      </w:r>
      <w:r w:rsidR="00777C60">
        <w:t xml:space="preserve">nt to 5% of the water supply price and for </w:t>
      </w:r>
      <w:r>
        <w:t>Sydney</w:t>
      </w:r>
      <w:r w:rsidR="00777C60">
        <w:t xml:space="preserve"> the value of a 16 year deferment was 25% of the supply price</w:t>
      </w:r>
      <w:r>
        <w:t xml:space="preserve"> (ISF 2019, p74). </w:t>
      </w:r>
      <w:r w:rsidR="00777C60">
        <w:t xml:space="preserve">However, all mainland state capital cities </w:t>
      </w:r>
      <w:r w:rsidR="00D17AF3">
        <w:t xml:space="preserve">are served by </w:t>
      </w:r>
      <w:r w:rsidR="00777C60">
        <w:t>desalination plant</w:t>
      </w:r>
      <w:r w:rsidR="00A774F0">
        <w:t>s</w:t>
      </w:r>
      <w:r w:rsidR="00777C60">
        <w:t xml:space="preserve"> </w:t>
      </w:r>
      <w:r w:rsidR="00D17AF3">
        <w:t xml:space="preserve">commissioned </w:t>
      </w:r>
      <w:r w:rsidR="00777C60">
        <w:t>between 2006 and 2012</w:t>
      </w:r>
      <w:r w:rsidR="00A774F0">
        <w:t>.</w:t>
      </w:r>
      <w:r w:rsidR="00777C60">
        <w:t xml:space="preserve"> As these are all operating below capacity, the need for </w:t>
      </w:r>
      <w:r w:rsidR="00126473">
        <w:t xml:space="preserve">further </w:t>
      </w:r>
      <w:r w:rsidR="00777C60">
        <w:t>supply increments is likely to be pushed out beyond the cost-benefit analysis horizon of CIM water efficiency measures.</w:t>
      </w:r>
    </w:p>
    <w:p w14:paraId="3AA2B48B" w14:textId="755AC2BF" w:rsidR="00F40CFA" w:rsidRDefault="00777C60">
      <w:pPr>
        <w:spacing w:after="200" w:line="288" w:lineRule="auto"/>
      </w:pPr>
      <w:r>
        <w:t xml:space="preserve">The direct costs of </w:t>
      </w:r>
      <w:r w:rsidR="00B90575">
        <w:t xml:space="preserve">CIM </w:t>
      </w:r>
      <w:r>
        <w:t xml:space="preserve">water </w:t>
      </w:r>
      <w:r w:rsidR="00B90575">
        <w:t>use and wastewater disposal are incurred in the first instance by CIM owner</w:t>
      </w:r>
      <w:r w:rsidR="00126473">
        <w:t>s</w:t>
      </w:r>
      <w:r w:rsidR="00B90575">
        <w:t xml:space="preserve"> and operators. </w:t>
      </w:r>
      <w:r w:rsidR="00CC785E">
        <w:t>A</w:t>
      </w:r>
      <w:r w:rsidR="00B90575">
        <w:t xml:space="preserve"> café, bar or restaurant must cover a</w:t>
      </w:r>
      <w:r w:rsidR="00CC785E">
        <w:t>l</w:t>
      </w:r>
      <w:r w:rsidR="00B90575">
        <w:t xml:space="preserve">l </w:t>
      </w:r>
      <w:r w:rsidR="00CC785E">
        <w:t xml:space="preserve">its </w:t>
      </w:r>
      <w:r w:rsidR="00B90575">
        <w:t xml:space="preserve">operating costs, so the costs of food and drink to customers will reflect both the capital and the running costs of equipment. To the extent that the sum of these is lower due to greater </w:t>
      </w:r>
      <w:r w:rsidR="00CE59EF">
        <w:t>water efficiency</w:t>
      </w:r>
      <w:r w:rsidR="00B90575">
        <w:t xml:space="preserve">, the price of the food and drink supplied can be less. </w:t>
      </w:r>
      <w:r w:rsidR="001E2925">
        <w:t>Therefore,</w:t>
      </w:r>
      <w:r w:rsidR="00B90575">
        <w:t xml:space="preserve"> greater </w:t>
      </w:r>
      <w:r w:rsidR="00CE59EF">
        <w:t>water efficiency</w:t>
      </w:r>
      <w:r w:rsidR="00B90575">
        <w:t xml:space="preserve"> is anti-inflationary.</w:t>
      </w:r>
    </w:p>
    <w:p w14:paraId="24A4A575" w14:textId="4AE420F8" w:rsidR="00235E64" w:rsidRDefault="00B90575">
      <w:pPr>
        <w:spacing w:after="200" w:line="288" w:lineRule="auto"/>
      </w:pPr>
      <w:r>
        <w:t xml:space="preserve">The same </w:t>
      </w:r>
      <w:r w:rsidR="001E2925">
        <w:t xml:space="preserve">applies on a </w:t>
      </w:r>
      <w:r>
        <w:t xml:space="preserve">larger scale for institutions such as hospitals or aged care facilities. Savings on equipment operation can be passed on as a reduction in costs of </w:t>
      </w:r>
      <w:r w:rsidR="001C4729">
        <w:t xml:space="preserve">treatment, </w:t>
      </w:r>
      <w:r>
        <w:t xml:space="preserve">accommodation and services to </w:t>
      </w:r>
      <w:r w:rsidR="001E2925">
        <w:t xml:space="preserve">patients and </w:t>
      </w:r>
      <w:r>
        <w:t>residents. Ultimately, all Australians purchase raw food or consume prepared food and drink where ice has been used in the production</w:t>
      </w:r>
      <w:r w:rsidR="001C4729">
        <w:t xml:space="preserve">, </w:t>
      </w:r>
      <w:r w:rsidR="00DA31FB">
        <w:t xml:space="preserve">transport, </w:t>
      </w:r>
      <w:r w:rsidR="001C4729">
        <w:t>retail</w:t>
      </w:r>
      <w:r>
        <w:t xml:space="preserve"> </w:t>
      </w:r>
      <w:r w:rsidR="001C4729">
        <w:t xml:space="preserve">and service </w:t>
      </w:r>
      <w:r>
        <w:t xml:space="preserve">chain. </w:t>
      </w:r>
      <w:r w:rsidR="001E2925">
        <w:t>Therefore,</w:t>
      </w:r>
      <w:r>
        <w:t xml:space="preserve"> the </w:t>
      </w:r>
      <w:r w:rsidR="001C4729">
        <w:t>problems of higher than necessary water use, and the benefits of reducing it are distributed throughout the entire population and economy.</w:t>
      </w:r>
    </w:p>
    <w:p w14:paraId="0EF51184" w14:textId="0E2029AB" w:rsidR="00F40CFA" w:rsidRDefault="00830C07" w:rsidP="00FC08CF">
      <w:pPr>
        <w:pStyle w:val="Heading1"/>
        <w:pageBreakBefore/>
        <w:numPr>
          <w:ilvl w:val="0"/>
          <w:numId w:val="12"/>
        </w:numPr>
        <w:ind w:left="714" w:hanging="357"/>
      </w:pPr>
      <w:bookmarkStart w:id="31" w:name="_Toc196745410"/>
      <w:bookmarkStart w:id="32" w:name="_Toc96326922"/>
      <w:r>
        <w:lastRenderedPageBreak/>
        <w:t>O</w:t>
      </w:r>
      <w:r w:rsidR="00F40CFA">
        <w:t>bjectives</w:t>
      </w:r>
      <w:r>
        <w:t xml:space="preserve"> of </w:t>
      </w:r>
      <w:r w:rsidR="00F40CFA">
        <w:t>government intervention</w:t>
      </w:r>
      <w:bookmarkEnd w:id="31"/>
    </w:p>
    <w:p w14:paraId="10263775" w14:textId="6F54492E" w:rsidR="00D51058" w:rsidRPr="00D51058" w:rsidRDefault="004B138F" w:rsidP="00D61596">
      <w:pPr>
        <w:spacing w:after="200" w:line="288" w:lineRule="auto"/>
      </w:pPr>
      <w:r>
        <w:t>CIMs</w:t>
      </w:r>
      <w:r w:rsidR="00D51058" w:rsidRPr="00D51058">
        <w:t xml:space="preserve"> consume significant quantities of </w:t>
      </w:r>
      <w:r w:rsidR="00DA31FB">
        <w:t xml:space="preserve">both </w:t>
      </w:r>
      <w:r>
        <w:t xml:space="preserve">water and </w:t>
      </w:r>
      <w:r w:rsidR="00DA31FB">
        <w:t xml:space="preserve">energy. Both </w:t>
      </w:r>
      <w:r w:rsidR="00CE59EF">
        <w:t>water efficiency</w:t>
      </w:r>
      <w:r w:rsidRPr="00D51058">
        <w:t xml:space="preserve"> </w:t>
      </w:r>
      <w:r>
        <w:t xml:space="preserve">and </w:t>
      </w:r>
      <w:r w:rsidR="00F61895">
        <w:t>energy efficiency</w:t>
      </w:r>
      <w:r w:rsidR="00DA31FB">
        <w:t xml:space="preserve"> </w:t>
      </w:r>
      <w:r w:rsidR="00D51058" w:rsidRPr="00D51058">
        <w:t>var</w:t>
      </w:r>
      <w:r w:rsidR="00DA31FB">
        <w:t>y</w:t>
      </w:r>
      <w:r w:rsidR="00D51058" w:rsidRPr="00D51058">
        <w:t xml:space="preserve"> widely </w:t>
      </w:r>
      <w:r w:rsidR="00AF0211">
        <w:t>across product types (e.g. air v</w:t>
      </w:r>
      <w:r w:rsidR="00AD71F4">
        <w:t>er</w:t>
      </w:r>
      <w:r w:rsidR="00AF0211">
        <w:t>s</w:t>
      </w:r>
      <w:r w:rsidR="00AD71F4">
        <w:t>us</w:t>
      </w:r>
      <w:r w:rsidR="00AF0211">
        <w:t xml:space="preserve"> water</w:t>
      </w:r>
      <w:r w:rsidR="00885D64">
        <w:t>-</w:t>
      </w:r>
      <w:r w:rsidR="00AF0211">
        <w:t>cool</w:t>
      </w:r>
      <w:r>
        <w:t>ed</w:t>
      </w:r>
      <w:r w:rsidR="00AF0211">
        <w:t>) and within types. P</w:t>
      </w:r>
      <w:r w:rsidR="00D51058" w:rsidRPr="00D51058">
        <w:t>urchasers could make substantial lifetime savings if they compared the</w:t>
      </w:r>
      <w:r w:rsidR="00AF0211">
        <w:t xml:space="preserve"> water use </w:t>
      </w:r>
      <w:r w:rsidR="00D51058" w:rsidRPr="00D51058">
        <w:t xml:space="preserve">of alternative models and selected the more efficient models. However, they </w:t>
      </w:r>
      <w:r>
        <w:t>are unable to</w:t>
      </w:r>
      <w:r w:rsidR="00D51058" w:rsidRPr="00D51058">
        <w:t>, because:</w:t>
      </w:r>
    </w:p>
    <w:p w14:paraId="252A47B1" w14:textId="7EDE2D21" w:rsidR="00D51058" w:rsidRPr="00DC5884" w:rsidRDefault="00AF0211"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Consistent and reliable </w:t>
      </w:r>
      <w:r w:rsidR="00D51058" w:rsidRPr="00DC5884">
        <w:rPr>
          <w:rFonts w:eastAsia="Calibri" w:cs="Times New Roman"/>
          <w:szCs w:val="22"/>
        </w:rPr>
        <w:t xml:space="preserve">Information about </w:t>
      </w:r>
      <w:r w:rsidR="004B138F" w:rsidRPr="00DC5884">
        <w:rPr>
          <w:rFonts w:eastAsia="Calibri" w:cs="Times New Roman"/>
          <w:szCs w:val="22"/>
        </w:rPr>
        <w:t xml:space="preserve">water and </w:t>
      </w:r>
      <w:r w:rsidR="00DA31FB" w:rsidRPr="00DC5884">
        <w:rPr>
          <w:rFonts w:eastAsia="Calibri" w:cs="Times New Roman"/>
          <w:szCs w:val="22"/>
        </w:rPr>
        <w:t xml:space="preserve">energy </w:t>
      </w:r>
      <w:r w:rsidRPr="00DC5884">
        <w:rPr>
          <w:rFonts w:eastAsia="Calibri" w:cs="Times New Roman"/>
          <w:szCs w:val="22"/>
        </w:rPr>
        <w:t xml:space="preserve">consumption and efficiency </w:t>
      </w:r>
      <w:r w:rsidR="00D51058" w:rsidRPr="00DC5884">
        <w:rPr>
          <w:rFonts w:eastAsia="Calibri" w:cs="Times New Roman"/>
          <w:szCs w:val="22"/>
        </w:rPr>
        <w:t xml:space="preserve">is </w:t>
      </w:r>
      <w:r w:rsidRPr="00DC5884">
        <w:rPr>
          <w:rFonts w:eastAsia="Calibri" w:cs="Times New Roman"/>
          <w:szCs w:val="22"/>
        </w:rPr>
        <w:t>almost impossible to access in Australia</w:t>
      </w:r>
      <w:r w:rsidR="00C1424F">
        <w:rPr>
          <w:rFonts w:eastAsia="Calibri" w:cs="Times New Roman"/>
          <w:szCs w:val="22"/>
        </w:rPr>
        <w:t>.</w:t>
      </w:r>
    </w:p>
    <w:p w14:paraId="3C93BE5D" w14:textId="4FC818CA" w:rsidR="00AE43D3" w:rsidRPr="00DC5884" w:rsidRDefault="00D5105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Where information is </w:t>
      </w:r>
      <w:r w:rsidR="00AE43D3" w:rsidRPr="00DC5884">
        <w:rPr>
          <w:rFonts w:eastAsia="Calibri" w:cs="Times New Roman"/>
          <w:szCs w:val="22"/>
        </w:rPr>
        <w:t>made available</w:t>
      </w:r>
      <w:r w:rsidRPr="00DC5884">
        <w:rPr>
          <w:rFonts w:eastAsia="Calibri" w:cs="Times New Roman"/>
          <w:szCs w:val="22"/>
        </w:rPr>
        <w:t xml:space="preserve"> it is in a form that makes comparisons across models difficult</w:t>
      </w:r>
      <w:r w:rsidR="00C1424F">
        <w:rPr>
          <w:rFonts w:eastAsia="Calibri" w:cs="Times New Roman"/>
          <w:szCs w:val="22"/>
        </w:rPr>
        <w:t>.</w:t>
      </w:r>
    </w:p>
    <w:p w14:paraId="620D1004" w14:textId="41DA8859" w:rsidR="00D51058" w:rsidRPr="00DC5884" w:rsidRDefault="00AE43D3"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The information is not provided to the purchaser directly through the product advertising or at point of sale</w:t>
      </w:r>
      <w:r w:rsidR="00C1424F">
        <w:rPr>
          <w:rFonts w:eastAsia="Calibri" w:cs="Times New Roman"/>
          <w:szCs w:val="22"/>
        </w:rPr>
        <w:t>.</w:t>
      </w:r>
    </w:p>
    <w:p w14:paraId="2A2C4491" w14:textId="6B1A8FAE" w:rsidR="00D51058" w:rsidRPr="00DC5884" w:rsidRDefault="00D5105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As a group, purchasers are relatively uninterested in operating costs, even though these make up at least two thirds of time-discounted lifetime ownership costs (</w:t>
      </w:r>
      <w:r w:rsidR="00AF0211" w:rsidRPr="00DC5884">
        <w:rPr>
          <w:rFonts w:eastAsia="Calibri" w:cs="Times New Roman"/>
          <w:szCs w:val="22"/>
        </w:rPr>
        <w:fldChar w:fldCharType="begin"/>
      </w:r>
      <w:r w:rsidR="00AF0211" w:rsidRPr="00DC5884">
        <w:rPr>
          <w:rFonts w:eastAsia="Calibri" w:cs="Times New Roman"/>
          <w:szCs w:val="22"/>
        </w:rPr>
        <w:instrText xml:space="preserve"> REF _Ref188863065 \h </w:instrText>
      </w:r>
      <w:r w:rsidR="00DC5884">
        <w:rPr>
          <w:rFonts w:eastAsia="Calibri" w:cs="Times New Roman"/>
          <w:szCs w:val="22"/>
        </w:rPr>
        <w:instrText xml:space="preserve"> \* MERGEFORMAT </w:instrText>
      </w:r>
      <w:r w:rsidR="00AF0211" w:rsidRPr="00DC5884">
        <w:rPr>
          <w:rFonts w:eastAsia="Calibri" w:cs="Times New Roman"/>
          <w:szCs w:val="22"/>
        </w:rPr>
      </w:r>
      <w:r w:rsidR="00AF0211" w:rsidRPr="00DC5884">
        <w:rPr>
          <w:rFonts w:eastAsia="Calibri" w:cs="Times New Roman"/>
          <w:szCs w:val="22"/>
        </w:rPr>
        <w:fldChar w:fldCharType="separate"/>
      </w:r>
      <w:r w:rsidR="002271EC" w:rsidRPr="002271EC">
        <w:rPr>
          <w:rFonts w:eastAsia="Calibri" w:cs="Times New Roman"/>
          <w:szCs w:val="22"/>
        </w:rPr>
        <w:t>Figure 3</w:t>
      </w:r>
      <w:r w:rsidR="00AF0211" w:rsidRPr="00DC5884">
        <w:rPr>
          <w:rFonts w:eastAsia="Calibri" w:cs="Times New Roman"/>
          <w:szCs w:val="22"/>
        </w:rPr>
        <w:fldChar w:fldCharType="end"/>
      </w:r>
      <w:r w:rsidRPr="00DC5884">
        <w:rPr>
          <w:rFonts w:eastAsia="Calibri" w:cs="Times New Roman"/>
          <w:szCs w:val="22"/>
        </w:rPr>
        <w:t>).</w:t>
      </w:r>
    </w:p>
    <w:p w14:paraId="7F4F43B7" w14:textId="1A763413" w:rsidR="00D51058" w:rsidRPr="00D51058" w:rsidRDefault="00D51058" w:rsidP="00D51058">
      <w:pPr>
        <w:spacing w:after="200" w:line="288" w:lineRule="auto"/>
      </w:pPr>
      <w:r w:rsidRPr="00D51058">
        <w:t xml:space="preserve">There is evidence of </w:t>
      </w:r>
      <w:r w:rsidR="00593906">
        <w:t xml:space="preserve">the following </w:t>
      </w:r>
      <w:r w:rsidRPr="00D51058">
        <w:t>market failure</w:t>
      </w:r>
      <w:r w:rsidR="00593906">
        <w:t>s</w:t>
      </w:r>
      <w:r w:rsidRPr="00D51058">
        <w:t>:</w:t>
      </w:r>
    </w:p>
    <w:p w14:paraId="2A77F1AA" w14:textId="57C817C5" w:rsidR="00FD0674" w:rsidRPr="00DC5884" w:rsidRDefault="00D5105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Information asymmetry</w:t>
      </w:r>
      <w:r w:rsidR="00C1424F">
        <w:rPr>
          <w:rFonts w:eastAsia="Calibri" w:cs="Times New Roman"/>
          <w:szCs w:val="22"/>
        </w:rPr>
        <w:t>.</w:t>
      </w:r>
    </w:p>
    <w:p w14:paraId="4006AA2A" w14:textId="0410FE13" w:rsidR="007D350D" w:rsidRPr="00DC5884" w:rsidRDefault="007D350D"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Split incentives: some </w:t>
      </w:r>
      <w:r w:rsidR="00FD11D5" w:rsidRPr="00DC5884">
        <w:rPr>
          <w:rFonts w:eastAsia="Calibri" w:cs="Times New Roman"/>
          <w:szCs w:val="22"/>
        </w:rPr>
        <w:t xml:space="preserve">CIMs </w:t>
      </w:r>
      <w:r w:rsidRPr="00DC5884">
        <w:rPr>
          <w:rFonts w:eastAsia="Calibri" w:cs="Times New Roman"/>
          <w:szCs w:val="22"/>
        </w:rPr>
        <w:t>are purchased by intermediaries who may be unconcerned with operating costs</w:t>
      </w:r>
      <w:r w:rsidR="00A07D2F" w:rsidRPr="00DC5884">
        <w:rPr>
          <w:rFonts w:eastAsia="Calibri" w:cs="Times New Roman"/>
          <w:szCs w:val="22"/>
        </w:rPr>
        <w:t xml:space="preserve"> because they </w:t>
      </w:r>
      <w:r w:rsidRPr="00DC5884">
        <w:rPr>
          <w:rFonts w:eastAsia="Calibri" w:cs="Times New Roman"/>
          <w:szCs w:val="22"/>
        </w:rPr>
        <w:t>will be borne by the end user</w:t>
      </w:r>
      <w:r w:rsidR="00C1424F">
        <w:rPr>
          <w:rFonts w:eastAsia="Calibri" w:cs="Times New Roman"/>
          <w:szCs w:val="22"/>
        </w:rPr>
        <w:t>.</w:t>
      </w:r>
    </w:p>
    <w:p w14:paraId="651E78F1" w14:textId="1764D9D7" w:rsidR="00D51058" w:rsidRPr="00D51058" w:rsidRDefault="00D51058" w:rsidP="00DC5884">
      <w:pPr>
        <w:numPr>
          <w:ilvl w:val="0"/>
          <w:numId w:val="53"/>
        </w:numPr>
        <w:spacing w:before="120" w:after="120" w:line="300" w:lineRule="exact"/>
        <w:jc w:val="left"/>
      </w:pPr>
      <w:r w:rsidRPr="00DC5884">
        <w:rPr>
          <w:rFonts w:eastAsia="Calibri" w:cs="Times New Roman"/>
          <w:szCs w:val="22"/>
        </w:rPr>
        <w:t>Irrational market behaviour, or ‘bounded rationality’</w:t>
      </w:r>
      <w:r w:rsidR="002E0CA3" w:rsidRPr="00DC5884">
        <w:rPr>
          <w:rFonts w:eastAsia="Calibri" w:cs="Times New Roman"/>
          <w:szCs w:val="22"/>
        </w:rPr>
        <w:t>:</w:t>
      </w:r>
      <w:r w:rsidR="00593906" w:rsidRPr="00DC5884">
        <w:rPr>
          <w:rFonts w:eastAsia="Calibri" w:cs="Times New Roman"/>
          <w:szCs w:val="22"/>
        </w:rPr>
        <w:t xml:space="preserve"> </w:t>
      </w:r>
      <w:r w:rsidR="00C1424F" w:rsidRPr="00DC5884">
        <w:rPr>
          <w:rFonts w:eastAsia="Calibri" w:cs="Times New Roman"/>
          <w:szCs w:val="22"/>
        </w:rPr>
        <w:t>according to industry sources</w:t>
      </w:r>
      <w:r w:rsidR="00C1424F" w:rsidRPr="00D51058">
        <w:rPr>
          <w:vertAlign w:val="superscript"/>
        </w:rPr>
        <w:footnoteReference w:id="6"/>
      </w:r>
      <w:r w:rsidR="00C1424F">
        <w:rPr>
          <w:rFonts w:eastAsia="Calibri" w:cs="Times New Roman"/>
          <w:szCs w:val="22"/>
        </w:rPr>
        <w:t>,</w:t>
      </w:r>
      <w:r w:rsidR="00C1424F">
        <w:t xml:space="preserve"> </w:t>
      </w:r>
      <w:r w:rsidR="00593906" w:rsidRPr="00DC5884">
        <w:rPr>
          <w:rFonts w:eastAsia="Calibri" w:cs="Times New Roman"/>
          <w:szCs w:val="22"/>
        </w:rPr>
        <w:t xml:space="preserve">CIM purchasers are relatively indifferent to both </w:t>
      </w:r>
      <w:r w:rsidR="002E0CA3" w:rsidRPr="00DC5884">
        <w:rPr>
          <w:rFonts w:eastAsia="Calibri" w:cs="Times New Roman"/>
          <w:szCs w:val="22"/>
        </w:rPr>
        <w:t xml:space="preserve">water and </w:t>
      </w:r>
      <w:r w:rsidR="00593906" w:rsidRPr="00DC5884">
        <w:rPr>
          <w:rFonts w:eastAsia="Calibri" w:cs="Times New Roman"/>
          <w:szCs w:val="22"/>
        </w:rPr>
        <w:t>energy running costs</w:t>
      </w:r>
      <w:r w:rsidR="00C1424F">
        <w:rPr>
          <w:rFonts w:eastAsia="Calibri" w:cs="Times New Roman"/>
          <w:szCs w:val="22"/>
        </w:rPr>
        <w:t>.</w:t>
      </w:r>
    </w:p>
    <w:p w14:paraId="5D129AC7" w14:textId="693E9D2B" w:rsidR="00D51058" w:rsidRDefault="00D51058" w:rsidP="00D51058">
      <w:pPr>
        <w:spacing w:after="200" w:line="288" w:lineRule="auto"/>
      </w:pPr>
      <w:r w:rsidRPr="00D51058">
        <w:t xml:space="preserve">As a consequence, the users of </w:t>
      </w:r>
      <w:r w:rsidR="00AD71F4">
        <w:t>CIMs</w:t>
      </w:r>
      <w:r w:rsidRPr="00D51058">
        <w:t xml:space="preserve"> are significantly worse off financially than if they had been aware and responded to information about </w:t>
      </w:r>
      <w:r w:rsidR="00AF0211">
        <w:t xml:space="preserve">water </w:t>
      </w:r>
      <w:r w:rsidR="002E0CA3">
        <w:t xml:space="preserve">and energy </w:t>
      </w:r>
      <w:r w:rsidR="00AF0211">
        <w:t xml:space="preserve">use and </w:t>
      </w:r>
      <w:r w:rsidRPr="00D51058">
        <w:t>efficiency. At the level of the economy, this also results in an inefficient allocation of resources and higher negative externalities</w:t>
      </w:r>
      <w:r w:rsidR="00AF0211">
        <w:t>.</w:t>
      </w:r>
    </w:p>
    <w:p w14:paraId="6863DD5F" w14:textId="1305D2A4" w:rsidR="000449C7" w:rsidRDefault="000449C7" w:rsidP="00D51058">
      <w:pPr>
        <w:spacing w:after="200" w:line="288" w:lineRule="auto"/>
      </w:pPr>
      <w:r>
        <w:t xml:space="preserve">After considering the issues and conducting a </w:t>
      </w:r>
      <w:hyperlink r:id="rId24" w:history="1">
        <w:r w:rsidR="00057852">
          <w:rPr>
            <w:rStyle w:val="Hyperlink"/>
          </w:rPr>
          <w:t>Regulatory Impact Analysis</w:t>
        </w:r>
        <w:r w:rsidR="00C1424F" w:rsidRPr="00C1424F">
          <w:rPr>
            <w:rStyle w:val="Hyperlink"/>
            <w:u w:val="none"/>
          </w:rPr>
          <w:t>,</w:t>
        </w:r>
        <w:r w:rsidR="00057852" w:rsidRPr="00C1424F">
          <w:rPr>
            <w:rStyle w:val="Hyperlink"/>
            <w:u w:val="none"/>
          </w:rPr>
          <w:t xml:space="preserve"> </w:t>
        </w:r>
      </w:hyperlink>
      <w:r>
        <w:t xml:space="preserve">the Commonwealth, </w:t>
      </w:r>
      <w:r w:rsidR="00AD71F4">
        <w:t>s</w:t>
      </w:r>
      <w:r>
        <w:t xml:space="preserve">tate, </w:t>
      </w:r>
      <w:r w:rsidR="00AD71F4">
        <w:t>t</w:t>
      </w:r>
      <w:r>
        <w:t xml:space="preserve">erritory and New Zealand governments decided to implement MEPS through the GEMS Act, to take effect </w:t>
      </w:r>
      <w:r w:rsidR="00AE43D3">
        <w:t>on 3 March 2026</w:t>
      </w:r>
      <w:r>
        <w:t xml:space="preserve">. </w:t>
      </w:r>
      <w:r w:rsidR="00B51FC2">
        <w:t>T</w:t>
      </w:r>
      <w:r>
        <w:t>he analysis and the regulations were restricted to energy, which makes up the majority of CIM operating costs. Water efficiency is outside the scope of the GEMS Act</w:t>
      </w:r>
      <w:r w:rsidR="00FC4FD3">
        <w:t>.</w:t>
      </w:r>
    </w:p>
    <w:p w14:paraId="0BF907D2" w14:textId="65F06181" w:rsidR="00FC4FD3" w:rsidRPr="00FC4FD3" w:rsidRDefault="00FC4FD3" w:rsidP="00FC4FD3">
      <w:pPr>
        <w:spacing w:after="200" w:line="288" w:lineRule="auto"/>
      </w:pPr>
      <w:r w:rsidRPr="00FC4FD3">
        <w:t xml:space="preserve">The same market failures are evident </w:t>
      </w:r>
      <w:r w:rsidR="00C1424F" w:rsidRPr="00FC4FD3">
        <w:t>regarding</w:t>
      </w:r>
      <w:r w:rsidRPr="00FC4FD3">
        <w:t xml:space="preserve"> CIM</w:t>
      </w:r>
      <w:r w:rsidR="00C1424F">
        <w:t xml:space="preserve"> water use</w:t>
      </w:r>
      <w:r>
        <w:t>, which is substantial</w:t>
      </w:r>
      <w:r w:rsidRPr="00FC4FD3">
        <w:t xml:space="preserve">. </w:t>
      </w:r>
      <w:r>
        <w:t xml:space="preserve">CIMs use </w:t>
      </w:r>
      <w:r w:rsidRPr="00FC4FD3">
        <w:t>over 6.1 Gigalitres (litres x 10</w:t>
      </w:r>
      <w:r w:rsidRPr="00FC4FD3">
        <w:rPr>
          <w:vertAlign w:val="superscript"/>
        </w:rPr>
        <w:t>9</w:t>
      </w:r>
      <w:r w:rsidRPr="00FC4FD3">
        <w:t xml:space="preserve">) per annum in Australia, equivalent to the water </w:t>
      </w:r>
      <w:r>
        <w:t xml:space="preserve">consumption </w:t>
      </w:r>
      <w:r w:rsidRPr="00FC4FD3">
        <w:t>of about 35,000 households.</w:t>
      </w:r>
      <w:r w:rsidRPr="00FC4FD3">
        <w:rPr>
          <w:vertAlign w:val="superscript"/>
        </w:rPr>
        <w:footnoteReference w:id="7"/>
      </w:r>
      <w:r w:rsidRPr="00FC4FD3">
        <w:t xml:space="preserve"> </w:t>
      </w:r>
      <w:r w:rsidR="009A3CB6">
        <w:t>T</w:t>
      </w:r>
      <w:r w:rsidRPr="00FC4FD3">
        <w:t xml:space="preserve">he GEMS Determination provides for voluntary declaration of water use rates </w:t>
      </w:r>
      <w:r w:rsidRPr="00FC4FD3">
        <w:lastRenderedPageBreak/>
        <w:t>and sets parameters for the source, quality and format of such declaration</w:t>
      </w:r>
      <w:r w:rsidR="009A3CB6">
        <w:t>s</w:t>
      </w:r>
      <w:r w:rsidRPr="00FC4FD3">
        <w:t xml:space="preserve">. However, declared water use rates alone would not indicate the likely magnitude of </w:t>
      </w:r>
      <w:r w:rsidR="001A4BF2">
        <w:t xml:space="preserve">product </w:t>
      </w:r>
      <w:r w:rsidRPr="00FC4FD3">
        <w:t>annual water use and operating cost, which may have more impact on purchasers.</w:t>
      </w:r>
    </w:p>
    <w:p w14:paraId="062612AA" w14:textId="3115974D" w:rsidR="00FC4FD3" w:rsidRPr="00FC4FD3" w:rsidRDefault="00FC4FD3" w:rsidP="00FC4FD3">
      <w:pPr>
        <w:spacing w:after="200" w:line="288" w:lineRule="auto"/>
      </w:pPr>
      <w:r w:rsidRPr="00FC4FD3">
        <w:t xml:space="preserve">If </w:t>
      </w:r>
      <w:r w:rsidR="001A4BF2">
        <w:t xml:space="preserve">water and </w:t>
      </w:r>
      <w:r w:rsidRPr="00FC4FD3">
        <w:t>energy use were closely linked</w:t>
      </w:r>
      <w:r w:rsidR="007D350D">
        <w:t xml:space="preserve">, </w:t>
      </w:r>
      <w:r w:rsidRPr="00FC4FD3">
        <w:t xml:space="preserve">the imposition of MEPS by the GEMS Regulator would also lead to significant water savings, and there would be limited scope for </w:t>
      </w:r>
      <w:r w:rsidR="00836DAC">
        <w:t xml:space="preserve">government intervention </w:t>
      </w:r>
      <w:r w:rsidRPr="00FC4FD3">
        <w:t>to increase water saving</w:t>
      </w:r>
      <w:r w:rsidR="00836DAC">
        <w:t>s</w:t>
      </w:r>
      <w:r w:rsidRPr="00FC4FD3">
        <w:t xml:space="preserve">. However, </w:t>
      </w:r>
      <w:r w:rsidR="00836DAC">
        <w:t xml:space="preserve">analysis of the available data indicate that </w:t>
      </w:r>
      <w:r w:rsidRPr="00FC4FD3">
        <w:t xml:space="preserve">the </w:t>
      </w:r>
      <w:r w:rsidR="001A4BF2">
        <w:t>water/</w:t>
      </w:r>
      <w:r w:rsidRPr="00FC4FD3">
        <w:t xml:space="preserve">energy </w:t>
      </w:r>
      <w:r w:rsidR="001A4BF2">
        <w:t>use relationship</w:t>
      </w:r>
      <w:r w:rsidRPr="00FC4FD3">
        <w:t xml:space="preserve"> is weak</w:t>
      </w:r>
      <w:r w:rsidR="007D350D">
        <w:t xml:space="preserve"> (Appendix C)</w:t>
      </w:r>
      <w:r w:rsidR="00836DAC">
        <w:t xml:space="preserve">. </w:t>
      </w:r>
      <w:r w:rsidR="001A4BF2">
        <w:t>Water</w:t>
      </w:r>
      <w:r w:rsidR="00E80B63">
        <w:t xml:space="preserve"> </w:t>
      </w:r>
      <w:r w:rsidR="00836DAC">
        <w:t xml:space="preserve">efficient products are not necessarily </w:t>
      </w:r>
      <w:r w:rsidR="001A4BF2">
        <w:t>energy</w:t>
      </w:r>
      <w:r w:rsidR="00E80B63">
        <w:t xml:space="preserve"> </w:t>
      </w:r>
      <w:r w:rsidR="00836DAC">
        <w:t>efficient and vice versa.</w:t>
      </w:r>
    </w:p>
    <w:p w14:paraId="7B5DB245" w14:textId="0888A277" w:rsidR="00FC4FD3" w:rsidRDefault="00836DAC" w:rsidP="00D51058">
      <w:pPr>
        <w:spacing w:after="200" w:line="288" w:lineRule="auto"/>
      </w:pPr>
      <w:r>
        <w:t xml:space="preserve">The market does not provide consistent, reliable or accessible information on either </w:t>
      </w:r>
      <w:r w:rsidR="001A4BF2">
        <w:t xml:space="preserve">water or </w:t>
      </w:r>
      <w:r>
        <w:t xml:space="preserve">energy use. Some suppliers provide no information apart from the maximum </w:t>
      </w:r>
      <w:r w:rsidR="001A4BF2">
        <w:t xml:space="preserve">litres per 24 hrs and maximum </w:t>
      </w:r>
      <w:r>
        <w:t xml:space="preserve">kW electricity </w:t>
      </w:r>
      <w:r w:rsidR="007D350D">
        <w:t>demand</w:t>
      </w:r>
      <w:r>
        <w:t xml:space="preserve">, which </w:t>
      </w:r>
      <w:r w:rsidR="00E00E6D">
        <w:t xml:space="preserve">are </w:t>
      </w:r>
      <w:r>
        <w:t xml:space="preserve">useful for sizing electrical and plumbing </w:t>
      </w:r>
      <w:r w:rsidR="00E00E6D">
        <w:t xml:space="preserve">connections but convey no information about </w:t>
      </w:r>
      <w:r w:rsidR="001A4BF2">
        <w:t xml:space="preserve">water or </w:t>
      </w:r>
      <w:r w:rsidR="00E00E6D">
        <w:t xml:space="preserve">energy </w:t>
      </w:r>
      <w:r w:rsidR="00E00E6D" w:rsidRPr="00C1424F">
        <w:t>efficiency</w:t>
      </w:r>
      <w:r w:rsidR="00E00E6D" w:rsidRPr="00E80B63">
        <w:rPr>
          <w:i/>
          <w:iCs/>
        </w:rPr>
        <w:t xml:space="preserve"> </w:t>
      </w:r>
      <w:r w:rsidR="00E00E6D">
        <w:t xml:space="preserve">(expressed in </w:t>
      </w:r>
      <w:r w:rsidR="001A4BF2">
        <w:t xml:space="preserve">litres per kg of ice and </w:t>
      </w:r>
      <w:r w:rsidR="00E00E6D">
        <w:t>kWh per kg of ice).</w:t>
      </w:r>
    </w:p>
    <w:p w14:paraId="1EFBA451" w14:textId="2DAEA066" w:rsidR="00E00E6D" w:rsidRDefault="00E00E6D" w:rsidP="00D51058">
      <w:pPr>
        <w:spacing w:after="200" w:line="288" w:lineRule="auto"/>
      </w:pPr>
      <w:r>
        <w:t xml:space="preserve">Where suppliers do publish information about </w:t>
      </w:r>
      <w:r w:rsidR="001A4BF2">
        <w:t xml:space="preserve">water </w:t>
      </w:r>
      <w:r>
        <w:t xml:space="preserve">and </w:t>
      </w:r>
      <w:r w:rsidR="001A4BF2">
        <w:t>energy</w:t>
      </w:r>
      <w:r w:rsidR="00F61895">
        <w:t xml:space="preserve"> </w:t>
      </w:r>
      <w:r>
        <w:t>efficiency, it is generally at</w:t>
      </w:r>
      <w:r w:rsidRPr="00E00E6D">
        <w:t xml:space="preserve"> </w:t>
      </w:r>
      <w:r>
        <w:t>an arbitrary rating</w:t>
      </w:r>
      <w:r w:rsidRPr="00E00E6D">
        <w:t xml:space="preserve"> point</w:t>
      </w:r>
      <w:r>
        <w:t xml:space="preserve"> (combination of air and water temperatures) </w:t>
      </w:r>
      <w:r w:rsidRPr="00E00E6D">
        <w:t>that show</w:t>
      </w:r>
      <w:r>
        <w:t>s</w:t>
      </w:r>
      <w:r w:rsidRPr="00E00E6D">
        <w:t xml:space="preserve"> their own models in the best light</w:t>
      </w:r>
      <w:r>
        <w:t xml:space="preserve">. </w:t>
      </w:r>
      <w:r w:rsidR="00F16823">
        <w:t xml:space="preserve">Often </w:t>
      </w:r>
      <w:r w:rsidR="00F31E65">
        <w:t xml:space="preserve">the rating point is not disclosed. </w:t>
      </w:r>
      <w:r>
        <w:t xml:space="preserve">This makes it </w:t>
      </w:r>
      <w:r w:rsidR="00B0274A">
        <w:t>very difficult</w:t>
      </w:r>
      <w:r>
        <w:t xml:space="preserve"> for even motivated purchasers to accurately compare the performance of different models.</w:t>
      </w:r>
    </w:p>
    <w:p w14:paraId="040B4262" w14:textId="5BEA408E" w:rsidR="002424A6" w:rsidRDefault="00F31E65" w:rsidP="00D51058">
      <w:pPr>
        <w:spacing w:after="200" w:line="288" w:lineRule="auto"/>
      </w:pPr>
      <w:r>
        <w:t xml:space="preserve">The CIM industry has not attempted to introduce a label or </w:t>
      </w:r>
      <w:r w:rsidR="00F16823">
        <w:t xml:space="preserve">to </w:t>
      </w:r>
      <w:r>
        <w:t>standardis</w:t>
      </w:r>
      <w:r w:rsidR="00F16823">
        <w:t>e</w:t>
      </w:r>
      <w:r>
        <w:t xml:space="preserve"> information on </w:t>
      </w:r>
      <w:r w:rsidR="001A4BF2">
        <w:t xml:space="preserve">water and </w:t>
      </w:r>
      <w:r>
        <w:t xml:space="preserve">energy use. </w:t>
      </w:r>
      <w:r w:rsidR="001D2CB7" w:rsidRPr="001D2CB7">
        <w:t xml:space="preserve">Voluntary water and energy labelling programs have had limited impact without either a strong industry association to </w:t>
      </w:r>
      <w:r w:rsidR="00B0274A">
        <w:t xml:space="preserve">establish and </w:t>
      </w:r>
      <w:r w:rsidR="001D2CB7" w:rsidRPr="001D2CB7">
        <w:t xml:space="preserve">enforce them, </w:t>
      </w:r>
      <w:r w:rsidR="001A4BF2">
        <w:t xml:space="preserve">or </w:t>
      </w:r>
      <w:r w:rsidR="001D2CB7" w:rsidRPr="001D2CB7">
        <w:t>the expectation of government intervention (so incentivising early movers</w:t>
      </w:r>
      <w:r w:rsidR="001A4BF2">
        <w:t xml:space="preserve"> and</w:t>
      </w:r>
      <w:r w:rsidR="001D2CB7" w:rsidRPr="001D2CB7">
        <w:t xml:space="preserve"> the hope of avoiding such intervention</w:t>
      </w:r>
      <w:r w:rsidR="001A4BF2">
        <w:t>)</w:t>
      </w:r>
      <w:r w:rsidR="001D2CB7" w:rsidRPr="001D2CB7">
        <w:t xml:space="preserve">. </w:t>
      </w:r>
      <w:r>
        <w:t xml:space="preserve">This is partly due to industry fragmentation. </w:t>
      </w:r>
      <w:r w:rsidRPr="00F31E65">
        <w:t xml:space="preserve">There is no single association representing the CIM industry, although </w:t>
      </w:r>
      <w:r w:rsidR="00F16823">
        <w:t xml:space="preserve">some </w:t>
      </w:r>
      <w:r>
        <w:t>supplier</w:t>
      </w:r>
      <w:r w:rsidR="00F16823">
        <w:t>s</w:t>
      </w:r>
      <w:r>
        <w:t xml:space="preserve"> </w:t>
      </w:r>
      <w:r w:rsidRPr="00F31E65">
        <w:t>are members of the National Association of Food Equipment Suppliers (NAFES).</w:t>
      </w:r>
    </w:p>
    <w:p w14:paraId="5BE9E820" w14:textId="61F5D0DF" w:rsidR="00F31E65" w:rsidRDefault="002424A6" w:rsidP="00D51058">
      <w:pPr>
        <w:spacing w:after="200" w:line="288" w:lineRule="auto"/>
      </w:pPr>
      <w:r>
        <w:t xml:space="preserve">Where voluntary labelling programs have been introduced, whether </w:t>
      </w:r>
      <w:r w:rsidR="005F6A54">
        <w:t xml:space="preserve">by an unusually powerful industry association or by </w:t>
      </w:r>
      <w:r>
        <w:t>government</w:t>
      </w:r>
      <w:r w:rsidR="005F6A54">
        <w:t>, suppliers</w:t>
      </w:r>
      <w:r w:rsidR="00F16823">
        <w:t xml:space="preserve"> have</w:t>
      </w:r>
      <w:r w:rsidR="005F6A54">
        <w:t xml:space="preserve"> tend</w:t>
      </w:r>
      <w:r w:rsidR="00F16823">
        <w:t>ed</w:t>
      </w:r>
      <w:r w:rsidR="005F6A54">
        <w:t xml:space="preserve"> to label only their better performing products, so purchasers are unable to identify and avoid the least efficient ones.</w:t>
      </w:r>
    </w:p>
    <w:p w14:paraId="0A7DC69A" w14:textId="2E5AEA0F" w:rsidR="00E65350" w:rsidRDefault="00F31E65" w:rsidP="00D51058">
      <w:pPr>
        <w:spacing w:after="200" w:line="288" w:lineRule="auto"/>
      </w:pPr>
      <w:r>
        <w:t xml:space="preserve">Suppliers consulted during </w:t>
      </w:r>
      <w:r w:rsidR="001D2CB7">
        <w:t xml:space="preserve">the </w:t>
      </w:r>
      <w:r>
        <w:t xml:space="preserve">development of MEPS indicated that they believed only a few purchasers were interested in </w:t>
      </w:r>
      <w:r w:rsidR="001D2CB7">
        <w:t xml:space="preserve">energy use and even fewer </w:t>
      </w:r>
      <w:r w:rsidR="005F6A54">
        <w:t xml:space="preserve">in </w:t>
      </w:r>
      <w:r w:rsidR="001D2CB7">
        <w:t>water use</w:t>
      </w:r>
      <w:r>
        <w:t xml:space="preserve">. In effect, information failures and bounded rationality reinforce each other. If purchasers </w:t>
      </w:r>
      <w:r w:rsidR="00E65350">
        <w:t xml:space="preserve">are not made aware of the magnitude of </w:t>
      </w:r>
      <w:r w:rsidR="001A4BF2">
        <w:t xml:space="preserve">water and </w:t>
      </w:r>
      <w:r w:rsidR="00E65350">
        <w:t xml:space="preserve">energy use and </w:t>
      </w:r>
      <w:r w:rsidR="005F6A54">
        <w:t xml:space="preserve">running </w:t>
      </w:r>
      <w:r w:rsidR="00E65350">
        <w:t>costs</w:t>
      </w:r>
      <w:r w:rsidR="001A4BF2">
        <w:t>,</w:t>
      </w:r>
      <w:r w:rsidR="00E65350">
        <w:t xml:space="preserve"> they cannot take them into account in purchas</w:t>
      </w:r>
      <w:r w:rsidR="001A4BF2">
        <w:t>ing</w:t>
      </w:r>
      <w:r w:rsidR="00E65350">
        <w:t xml:space="preserve"> decisions.</w:t>
      </w:r>
    </w:p>
    <w:p w14:paraId="661A3646" w14:textId="28213794" w:rsidR="001D2CB7" w:rsidRDefault="00F16823" w:rsidP="00D51058">
      <w:pPr>
        <w:spacing w:after="200" w:line="288" w:lineRule="auto"/>
      </w:pPr>
      <w:r>
        <w:t xml:space="preserve">Consumer surveys conducted </w:t>
      </w:r>
      <w:r w:rsidR="005F6A54">
        <w:t xml:space="preserve">after </w:t>
      </w:r>
      <w:r w:rsidR="00E65350">
        <w:t>the implementation of mandatory energy labelling in Aust</w:t>
      </w:r>
      <w:r w:rsidR="001D2CB7">
        <w:t>ra</w:t>
      </w:r>
      <w:r w:rsidR="00E65350">
        <w:t>lia in the 1980s and 1990s</w:t>
      </w:r>
      <w:r>
        <w:t xml:space="preserve"> </w:t>
      </w:r>
      <w:r w:rsidR="00E65350">
        <w:t xml:space="preserve">showed that purchaser awareness of the high energy use of </w:t>
      </w:r>
      <w:r w:rsidR="005F6A54">
        <w:t>appliances</w:t>
      </w:r>
      <w:r>
        <w:t>,</w:t>
      </w:r>
      <w:r w:rsidR="00E65350">
        <w:t xml:space="preserve"> and </w:t>
      </w:r>
      <w:r w:rsidR="00E65350">
        <w:lastRenderedPageBreak/>
        <w:t>preference for more energy</w:t>
      </w:r>
      <w:r w:rsidR="00A17AE2">
        <w:t xml:space="preserve"> </w:t>
      </w:r>
      <w:r w:rsidR="00E65350">
        <w:t>efficient models</w:t>
      </w:r>
      <w:r>
        <w:t>,</w:t>
      </w:r>
      <w:r w:rsidR="001D2CB7">
        <w:t xml:space="preserve"> </w:t>
      </w:r>
      <w:r>
        <w:t xml:space="preserve">increased only </w:t>
      </w:r>
      <w:r w:rsidR="001D2CB7">
        <w:t>after the introduction of government-enforced labelling (GWA 1993).</w:t>
      </w:r>
    </w:p>
    <w:p w14:paraId="7B84CAE6" w14:textId="2FADB921" w:rsidR="00E94359" w:rsidRDefault="00E94359" w:rsidP="00D51058">
      <w:pPr>
        <w:spacing w:after="200" w:line="288" w:lineRule="auto"/>
      </w:pPr>
      <w:r>
        <w:t xml:space="preserve">Evaluation of the WELS </w:t>
      </w:r>
      <w:r w:rsidR="000C56F0">
        <w:t>scheme</w:t>
      </w:r>
      <w:r>
        <w:t xml:space="preserve">, </w:t>
      </w:r>
      <w:r w:rsidR="000C56F0">
        <w:t>established</w:t>
      </w:r>
      <w:r>
        <w:t xml:space="preserve"> in 2005, also found that consumer awareness of the WELS label and use of it increased over time</w:t>
      </w:r>
      <w:r w:rsidR="00F16823">
        <w:t xml:space="preserve">, reaching </w:t>
      </w:r>
      <w:r>
        <w:t xml:space="preserve">53% in 2008 and </w:t>
      </w:r>
      <w:r w:rsidR="00381262">
        <w:t xml:space="preserve">stabilising at </w:t>
      </w:r>
      <w:r>
        <w:t>87% in 2014 (Quantum 2014)</w:t>
      </w:r>
      <w:r w:rsidR="00381262">
        <w:t xml:space="preserve"> and 86% in 2023 (Water Night Survey 2023)</w:t>
      </w:r>
      <w:r>
        <w:t xml:space="preserve">. </w:t>
      </w:r>
      <w:r w:rsidR="00F16823">
        <w:t>The fact that the label was administered by G</w:t>
      </w:r>
      <w:r>
        <w:t xml:space="preserve">overnment </w:t>
      </w:r>
      <w:r w:rsidR="00F16823">
        <w:t xml:space="preserve">rather than industry </w:t>
      </w:r>
      <w:r>
        <w:t xml:space="preserve">contributed to </w:t>
      </w:r>
      <w:r w:rsidR="00F16823">
        <w:t xml:space="preserve">its </w:t>
      </w:r>
      <w:r>
        <w:t>credibility</w:t>
      </w:r>
      <w:r w:rsidR="00F16823">
        <w:t>:</w:t>
      </w:r>
    </w:p>
    <w:p w14:paraId="2C60E3D8" w14:textId="1810C26E" w:rsidR="00F31E65" w:rsidRPr="00815FAF" w:rsidRDefault="00E94359" w:rsidP="00DC5884">
      <w:pPr>
        <w:spacing w:after="200" w:line="288" w:lineRule="auto"/>
        <w:ind w:left="426"/>
        <w:rPr>
          <w:i/>
          <w:iCs/>
        </w:rPr>
      </w:pPr>
      <w:r w:rsidRPr="00815FAF">
        <w:rPr>
          <w:i/>
          <w:iCs/>
        </w:rPr>
        <w:t>The credibility of water rating labels remains very high amongst consumers in Australia, with 83% believing the scheme to be either ‘very’ or ‘quite’ credible. Consumers understand that WELS is a government funded initiative that is properly regulated and meets a set of Australian standards, which gives consumers confidence to trust the information they see on water rating labels (</w:t>
      </w:r>
      <w:r w:rsidRPr="00DC5884">
        <w:t>Quantum 2014).</w:t>
      </w:r>
    </w:p>
    <w:p w14:paraId="1E2D15F1" w14:textId="2A2B5098" w:rsidR="00AF0211" w:rsidRPr="00D51058" w:rsidRDefault="00C00FC9" w:rsidP="00D51058">
      <w:pPr>
        <w:spacing w:after="200" w:line="288" w:lineRule="auto"/>
      </w:pPr>
      <w:r w:rsidRPr="009B4045">
        <w:t xml:space="preserve">The objective of </w:t>
      </w:r>
      <w:r w:rsidR="002515CF" w:rsidRPr="009B4045">
        <w:t xml:space="preserve">the proposed </w:t>
      </w:r>
      <w:r w:rsidRPr="009B4045">
        <w:t xml:space="preserve">government intervention is to address market failures </w:t>
      </w:r>
      <w:r w:rsidR="000C56F0">
        <w:t xml:space="preserve">using </w:t>
      </w:r>
      <w:r w:rsidR="00FD0674" w:rsidRPr="009B4045">
        <w:t xml:space="preserve">proportionate and proven policy instruments. </w:t>
      </w:r>
      <w:r w:rsidR="00DF0BAC">
        <w:t>I</w:t>
      </w:r>
      <w:r w:rsidR="000449C7">
        <w:t xml:space="preserve">nformation </w:t>
      </w:r>
      <w:r w:rsidR="004D237B">
        <w:t>declaration</w:t>
      </w:r>
      <w:r w:rsidR="000449C7">
        <w:t xml:space="preserve"> and minimum performance standards have </w:t>
      </w:r>
      <w:r w:rsidR="00FD0674">
        <w:t xml:space="preserve">demonstrated their </w:t>
      </w:r>
      <w:r w:rsidR="000449C7">
        <w:t>effective</w:t>
      </w:r>
      <w:r w:rsidR="00FD0674">
        <w:t>ness</w:t>
      </w:r>
      <w:r w:rsidR="000449C7">
        <w:t xml:space="preserve"> in overcoming market and information failures </w:t>
      </w:r>
      <w:r w:rsidR="00DF0BAC">
        <w:t xml:space="preserve">in a wide </w:t>
      </w:r>
      <w:r w:rsidR="00B23042">
        <w:t xml:space="preserve">range </w:t>
      </w:r>
      <w:r w:rsidR="00DF0BAC">
        <w:t>of appliance and equipment markets, as the WELS and E3</w:t>
      </w:r>
      <w:r w:rsidR="00FD0674">
        <w:t>/GEMS</w:t>
      </w:r>
      <w:r w:rsidR="00DF0BAC">
        <w:t xml:space="preserve"> programs have demonstrated.</w:t>
      </w:r>
      <w:r w:rsidR="00DF0BAC">
        <w:rPr>
          <w:rStyle w:val="FootnoteReference"/>
        </w:rPr>
        <w:footnoteReference w:id="8"/>
      </w:r>
    </w:p>
    <w:p w14:paraId="064B620F" w14:textId="5D3DE3CE" w:rsidR="00037A40" w:rsidRDefault="00037A40">
      <w:pPr>
        <w:spacing w:after="200" w:line="288" w:lineRule="auto"/>
      </w:pPr>
      <w:r>
        <w:t>The introduction of GEMS requirements for CIMs offers a</w:t>
      </w:r>
      <w:r w:rsidR="00F16823">
        <w:t>n</w:t>
      </w:r>
      <w:r>
        <w:t xml:space="preserve"> opportunity to leverage measures to increase CIM </w:t>
      </w:r>
      <w:r w:rsidR="00CE59EF">
        <w:t>water efficiency</w:t>
      </w:r>
      <w:r>
        <w:t xml:space="preserve"> at relatively low cost. The </w:t>
      </w:r>
      <w:r w:rsidR="005D5E85">
        <w:t>s</w:t>
      </w:r>
      <w:r>
        <w:t xml:space="preserve">tatus </w:t>
      </w:r>
      <w:r w:rsidR="005D5E85">
        <w:t>q</w:t>
      </w:r>
      <w:r>
        <w:t xml:space="preserve">uo will mean that CIM suppliers will need to have products tested for energy </w:t>
      </w:r>
      <w:r w:rsidRPr="00405895">
        <w:t xml:space="preserve">and water </w:t>
      </w:r>
      <w:r>
        <w:t>use</w:t>
      </w:r>
      <w:r w:rsidR="00C15B8A">
        <w:t>,</w:t>
      </w:r>
      <w:r>
        <w:t xml:space="preserve"> and register their energy efficiency with the GEMS Regulator. However, registration of water efficiency with the GEMS Regulator and </w:t>
      </w:r>
      <w:r w:rsidR="008D5F5B">
        <w:t xml:space="preserve">inclusion of that information in product data or on products themselves </w:t>
      </w:r>
      <w:r>
        <w:t xml:space="preserve">remain optional under the </w:t>
      </w:r>
      <w:r w:rsidR="005D5E85">
        <w:t>s</w:t>
      </w:r>
      <w:r>
        <w:t xml:space="preserve">tatus </w:t>
      </w:r>
      <w:r w:rsidR="005D5E85">
        <w:t>q</w:t>
      </w:r>
      <w:r>
        <w:t>uo.</w:t>
      </w:r>
    </w:p>
    <w:p w14:paraId="10BAA206" w14:textId="3F4CF477" w:rsidR="002515CF" w:rsidRDefault="002515CF">
      <w:pPr>
        <w:spacing w:after="200" w:line="288" w:lineRule="auto"/>
      </w:pPr>
      <w:r>
        <w:t xml:space="preserve">As information on CIM water use is not currently available, it </w:t>
      </w:r>
      <w:r w:rsidR="00AE43D3">
        <w:t xml:space="preserve">is </w:t>
      </w:r>
      <w:r>
        <w:t>difficult to predict how CIM suppliers and purchasers will respond</w:t>
      </w:r>
      <w:r w:rsidR="00B23FC6">
        <w:t>.</w:t>
      </w:r>
      <w:r w:rsidR="00AE43D3" w:rsidRPr="00AE43D3">
        <w:t xml:space="preserve"> </w:t>
      </w:r>
      <w:r w:rsidR="00AE43D3">
        <w:t>For example, it raises the following questions:</w:t>
      </w:r>
    </w:p>
    <w:p w14:paraId="51FDB2E7" w14:textId="39DA5E81" w:rsidR="002515CF" w:rsidRPr="00DC5884" w:rsidRDefault="002515CF"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How many CIM suppliers </w:t>
      </w:r>
      <w:r w:rsidR="00AE43D3" w:rsidRPr="00DC5884">
        <w:rPr>
          <w:rFonts w:eastAsia="Calibri" w:cs="Times New Roman"/>
          <w:szCs w:val="22"/>
        </w:rPr>
        <w:t xml:space="preserve">will </w:t>
      </w:r>
      <w:r w:rsidRPr="00DC5884">
        <w:rPr>
          <w:rFonts w:eastAsia="Calibri" w:cs="Times New Roman"/>
          <w:szCs w:val="22"/>
        </w:rPr>
        <w:t xml:space="preserve">take up the option to </w:t>
      </w:r>
      <w:r w:rsidR="004D237B" w:rsidRPr="00DC5884">
        <w:rPr>
          <w:rFonts w:eastAsia="Calibri" w:cs="Times New Roman"/>
          <w:szCs w:val="22"/>
        </w:rPr>
        <w:t>declare</w:t>
      </w:r>
      <w:r w:rsidRPr="00DC5884">
        <w:rPr>
          <w:rFonts w:eastAsia="Calibri" w:cs="Times New Roman"/>
          <w:szCs w:val="22"/>
        </w:rPr>
        <w:t xml:space="preserve"> water use when registering products under the GEMS </w:t>
      </w:r>
      <w:r w:rsidR="00AD71F4" w:rsidRPr="00DC5884">
        <w:rPr>
          <w:rFonts w:eastAsia="Calibri" w:cs="Times New Roman"/>
          <w:szCs w:val="22"/>
        </w:rPr>
        <w:t>Determination</w:t>
      </w:r>
      <w:r w:rsidRPr="00DC5884">
        <w:rPr>
          <w:rFonts w:eastAsia="Calibri" w:cs="Times New Roman"/>
          <w:szCs w:val="22"/>
        </w:rPr>
        <w:t>?</w:t>
      </w:r>
    </w:p>
    <w:p w14:paraId="2155485A" w14:textId="09F26938" w:rsidR="002515CF" w:rsidRPr="00DC5884" w:rsidRDefault="002515CF"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Will </w:t>
      </w:r>
      <w:r w:rsidR="00AD71F4" w:rsidRPr="00DC5884">
        <w:rPr>
          <w:rFonts w:eastAsia="Calibri" w:cs="Times New Roman"/>
          <w:szCs w:val="22"/>
        </w:rPr>
        <w:t>CIM suppliers</w:t>
      </w:r>
      <w:r w:rsidRPr="00DC5884">
        <w:rPr>
          <w:rFonts w:eastAsia="Calibri" w:cs="Times New Roman"/>
          <w:szCs w:val="22"/>
        </w:rPr>
        <w:t xml:space="preserve"> </w:t>
      </w:r>
      <w:r w:rsidR="004D237B" w:rsidRPr="00DC5884">
        <w:rPr>
          <w:rFonts w:eastAsia="Calibri" w:cs="Times New Roman"/>
          <w:szCs w:val="22"/>
        </w:rPr>
        <w:t>declare</w:t>
      </w:r>
      <w:r w:rsidRPr="00DC5884">
        <w:rPr>
          <w:rFonts w:eastAsia="Calibri" w:cs="Times New Roman"/>
          <w:szCs w:val="22"/>
        </w:rPr>
        <w:t xml:space="preserve"> </w:t>
      </w:r>
      <w:r w:rsidR="00381262" w:rsidRPr="00DC5884">
        <w:rPr>
          <w:rFonts w:eastAsia="Calibri" w:cs="Times New Roman"/>
          <w:szCs w:val="22"/>
        </w:rPr>
        <w:t>water use</w:t>
      </w:r>
      <w:r w:rsidRPr="00DC5884">
        <w:rPr>
          <w:rFonts w:eastAsia="Calibri" w:cs="Times New Roman"/>
          <w:szCs w:val="22"/>
        </w:rPr>
        <w:t xml:space="preserve"> information for </w:t>
      </w:r>
      <w:r w:rsidR="00381262" w:rsidRPr="00DC5884">
        <w:rPr>
          <w:rFonts w:eastAsia="Calibri" w:cs="Times New Roman"/>
          <w:szCs w:val="22"/>
        </w:rPr>
        <w:t xml:space="preserve">only </w:t>
      </w:r>
      <w:r w:rsidRPr="00DC5884">
        <w:rPr>
          <w:rFonts w:eastAsia="Calibri" w:cs="Times New Roman"/>
          <w:szCs w:val="22"/>
        </w:rPr>
        <w:t>their more water</w:t>
      </w:r>
      <w:r w:rsidR="00A17AE2" w:rsidRPr="00DC5884">
        <w:rPr>
          <w:rFonts w:eastAsia="Calibri" w:cs="Times New Roman"/>
          <w:szCs w:val="22"/>
        </w:rPr>
        <w:t xml:space="preserve"> </w:t>
      </w:r>
      <w:r w:rsidRPr="00DC5884">
        <w:rPr>
          <w:rFonts w:eastAsia="Calibri" w:cs="Times New Roman"/>
          <w:szCs w:val="22"/>
        </w:rPr>
        <w:t>efficient products or for their entire range?</w:t>
      </w:r>
    </w:p>
    <w:p w14:paraId="3CE37153" w14:textId="3FF757A7" w:rsidR="006B16EF" w:rsidRDefault="002515CF" w:rsidP="00DC5884">
      <w:pPr>
        <w:pStyle w:val="ListParagraph"/>
        <w:numPr>
          <w:ilvl w:val="0"/>
          <w:numId w:val="25"/>
        </w:numPr>
        <w:spacing w:after="200" w:line="240" w:lineRule="auto"/>
      </w:pPr>
      <w:r>
        <w:t xml:space="preserve">How widely will the information be disseminated: only on </w:t>
      </w:r>
      <w:r w:rsidR="00381262">
        <w:t>the GEMS energy rating database (</w:t>
      </w:r>
      <w:hyperlink r:id="rId25" w:history="1">
        <w:r w:rsidR="00381262" w:rsidRPr="00381262">
          <w:rPr>
            <w:rStyle w:val="Hyperlink"/>
          </w:rPr>
          <w:t>www.energyrating.gov.au</w:t>
        </w:r>
      </w:hyperlink>
      <w:r w:rsidR="00381262">
        <w:t>)</w:t>
      </w:r>
      <w:r w:rsidR="006B16EF">
        <w:t>, on product information and advertising</w:t>
      </w:r>
      <w:r w:rsidR="00381262">
        <w:t>,</w:t>
      </w:r>
      <w:r w:rsidR="006B16EF">
        <w:t xml:space="preserve"> or on physical products themselves?</w:t>
      </w:r>
    </w:p>
    <w:p w14:paraId="11FA98B7" w14:textId="6DD7B362" w:rsidR="006B16EF" w:rsidRPr="00DC5884" w:rsidRDefault="006B16EF"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lastRenderedPageBreak/>
        <w:t xml:space="preserve">Will CIM purchasers become aware of the water </w:t>
      </w:r>
      <w:r w:rsidR="00381262" w:rsidRPr="00DC5884">
        <w:rPr>
          <w:rFonts w:eastAsia="Calibri" w:cs="Times New Roman"/>
          <w:szCs w:val="22"/>
        </w:rPr>
        <w:t xml:space="preserve">use </w:t>
      </w:r>
      <w:r w:rsidRPr="00DC5884">
        <w:rPr>
          <w:rFonts w:eastAsia="Calibri" w:cs="Times New Roman"/>
          <w:szCs w:val="22"/>
        </w:rPr>
        <w:t>information</w:t>
      </w:r>
      <w:r w:rsidR="00723DEE" w:rsidRPr="00DC5884">
        <w:rPr>
          <w:rFonts w:eastAsia="Calibri" w:cs="Times New Roman"/>
          <w:szCs w:val="22"/>
        </w:rPr>
        <w:t xml:space="preserve"> </w:t>
      </w:r>
      <w:r w:rsidRPr="00DC5884">
        <w:rPr>
          <w:rFonts w:eastAsia="Calibri" w:cs="Times New Roman"/>
          <w:szCs w:val="22"/>
        </w:rPr>
        <w:t xml:space="preserve">and if </w:t>
      </w:r>
      <w:r w:rsidR="004923E4" w:rsidRPr="00DC5884">
        <w:rPr>
          <w:rFonts w:eastAsia="Calibri" w:cs="Times New Roman"/>
          <w:szCs w:val="22"/>
        </w:rPr>
        <w:t>so,</w:t>
      </w:r>
      <w:r w:rsidRPr="00DC5884">
        <w:rPr>
          <w:rFonts w:eastAsia="Calibri" w:cs="Times New Roman"/>
          <w:szCs w:val="22"/>
        </w:rPr>
        <w:t xml:space="preserve"> will they change </w:t>
      </w:r>
      <w:r w:rsidR="00AD71F4" w:rsidRPr="00DC5884">
        <w:rPr>
          <w:rFonts w:eastAsia="Calibri" w:cs="Times New Roman"/>
          <w:szCs w:val="22"/>
        </w:rPr>
        <w:t xml:space="preserve">purchasing decisions </w:t>
      </w:r>
      <w:r w:rsidRPr="00DC5884">
        <w:rPr>
          <w:rFonts w:eastAsia="Calibri" w:cs="Times New Roman"/>
          <w:szCs w:val="22"/>
        </w:rPr>
        <w:t>as a result?</w:t>
      </w:r>
    </w:p>
    <w:p w14:paraId="5C52A7A3" w14:textId="1B0FEAA7" w:rsidR="006B16EF" w:rsidRPr="00DC5884" w:rsidRDefault="006B16EF"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If information alone cannot address market failures </w:t>
      </w:r>
      <w:r w:rsidR="000C56F0" w:rsidRPr="00DC5884">
        <w:rPr>
          <w:rFonts w:eastAsia="Calibri" w:cs="Times New Roman"/>
          <w:szCs w:val="22"/>
        </w:rPr>
        <w:t>regarding</w:t>
      </w:r>
      <w:r w:rsidRPr="00DC5884">
        <w:rPr>
          <w:rFonts w:eastAsia="Calibri" w:cs="Times New Roman"/>
          <w:szCs w:val="22"/>
        </w:rPr>
        <w:t xml:space="preserve"> water use </w:t>
      </w:r>
      <w:r w:rsidR="00723DEE" w:rsidRPr="00DC5884">
        <w:rPr>
          <w:rFonts w:eastAsia="Calibri" w:cs="Times New Roman"/>
          <w:szCs w:val="22"/>
        </w:rPr>
        <w:t xml:space="preserve">rates or water </w:t>
      </w:r>
      <w:r w:rsidRPr="00DC5884">
        <w:rPr>
          <w:rFonts w:eastAsia="Calibri" w:cs="Times New Roman"/>
          <w:szCs w:val="22"/>
        </w:rPr>
        <w:t xml:space="preserve">efficiency, is it </w:t>
      </w:r>
      <w:r w:rsidR="00B51FC2" w:rsidRPr="00DC5884">
        <w:rPr>
          <w:rFonts w:eastAsia="Calibri" w:cs="Times New Roman"/>
          <w:szCs w:val="22"/>
        </w:rPr>
        <w:t xml:space="preserve">more </w:t>
      </w:r>
      <w:r w:rsidRPr="00DC5884">
        <w:rPr>
          <w:rFonts w:eastAsia="Calibri" w:cs="Times New Roman"/>
          <w:szCs w:val="22"/>
        </w:rPr>
        <w:t xml:space="preserve">effective to proceed to </w:t>
      </w:r>
      <w:r w:rsidR="00AD71F4" w:rsidRPr="00DC5884">
        <w:rPr>
          <w:rFonts w:eastAsia="Calibri" w:cs="Times New Roman"/>
          <w:szCs w:val="22"/>
        </w:rPr>
        <w:t>M</w:t>
      </w:r>
      <w:r w:rsidRPr="00DC5884">
        <w:rPr>
          <w:rFonts w:eastAsia="Calibri" w:cs="Times New Roman"/>
          <w:szCs w:val="22"/>
        </w:rPr>
        <w:t xml:space="preserve">inimum </w:t>
      </w:r>
      <w:r w:rsidR="00AD71F4" w:rsidRPr="00DC5884">
        <w:rPr>
          <w:rFonts w:eastAsia="Calibri" w:cs="Times New Roman"/>
          <w:szCs w:val="22"/>
        </w:rPr>
        <w:t>W</w:t>
      </w:r>
      <w:r w:rsidR="00B51FC2" w:rsidRPr="00DC5884">
        <w:rPr>
          <w:rFonts w:eastAsia="Calibri" w:cs="Times New Roman"/>
          <w:szCs w:val="22"/>
        </w:rPr>
        <w:t xml:space="preserve">ater </w:t>
      </w:r>
      <w:r w:rsidR="00AD71F4" w:rsidRPr="00DC5884">
        <w:rPr>
          <w:rFonts w:eastAsia="Calibri" w:cs="Times New Roman"/>
          <w:szCs w:val="22"/>
        </w:rPr>
        <w:t>E</w:t>
      </w:r>
      <w:r w:rsidR="00B51FC2" w:rsidRPr="00DC5884">
        <w:rPr>
          <w:rFonts w:eastAsia="Calibri" w:cs="Times New Roman"/>
          <w:szCs w:val="22"/>
        </w:rPr>
        <w:t xml:space="preserve">fficiency </w:t>
      </w:r>
      <w:r w:rsidR="00AD71F4" w:rsidRPr="00DC5884">
        <w:rPr>
          <w:rFonts w:eastAsia="Calibri" w:cs="Times New Roman"/>
          <w:szCs w:val="22"/>
        </w:rPr>
        <w:t>S</w:t>
      </w:r>
      <w:r w:rsidRPr="00DC5884">
        <w:rPr>
          <w:rFonts w:eastAsia="Calibri" w:cs="Times New Roman"/>
          <w:szCs w:val="22"/>
        </w:rPr>
        <w:t xml:space="preserve">tandards (as is the case with </w:t>
      </w:r>
      <w:r w:rsidR="00AD71F4" w:rsidRPr="00DC5884">
        <w:rPr>
          <w:rFonts w:eastAsia="Calibri" w:cs="Times New Roman"/>
          <w:szCs w:val="22"/>
        </w:rPr>
        <w:t xml:space="preserve">the </w:t>
      </w:r>
      <w:r w:rsidRPr="00DC5884">
        <w:rPr>
          <w:rFonts w:eastAsia="Calibri" w:cs="Times New Roman"/>
          <w:szCs w:val="22"/>
        </w:rPr>
        <w:t>GEMS</w:t>
      </w:r>
      <w:r w:rsidR="00AD71F4" w:rsidRPr="00DC5884">
        <w:rPr>
          <w:rFonts w:eastAsia="Calibri" w:cs="Times New Roman"/>
          <w:szCs w:val="22"/>
        </w:rPr>
        <w:t xml:space="preserve"> Determination</w:t>
      </w:r>
      <w:r w:rsidRPr="00DC5884">
        <w:rPr>
          <w:rFonts w:eastAsia="Calibri" w:cs="Times New Roman"/>
          <w:szCs w:val="22"/>
        </w:rPr>
        <w:t>)?</w:t>
      </w:r>
    </w:p>
    <w:p w14:paraId="1826DC7A" w14:textId="4CA9BCF8" w:rsidR="008D5F5B" w:rsidRDefault="006B16EF">
      <w:pPr>
        <w:spacing w:after="200" w:line="288" w:lineRule="auto"/>
      </w:pPr>
      <w:r>
        <w:t xml:space="preserve">There are </w:t>
      </w:r>
      <w:r w:rsidR="008D5F5B">
        <w:t xml:space="preserve">opportunities </w:t>
      </w:r>
      <w:r>
        <w:t xml:space="preserve">for </w:t>
      </w:r>
      <w:r w:rsidR="00D61596">
        <w:t xml:space="preserve">a </w:t>
      </w:r>
      <w:r>
        <w:t xml:space="preserve">graduated </w:t>
      </w:r>
      <w:r w:rsidR="00D61596">
        <w:t xml:space="preserve">WELS </w:t>
      </w:r>
      <w:r>
        <w:t xml:space="preserve">response, starting with non-regulatory measures, proceeding to mandatory </w:t>
      </w:r>
      <w:r w:rsidR="00D61596">
        <w:t xml:space="preserve">information </w:t>
      </w:r>
      <w:r w:rsidR="004D237B">
        <w:t>declaration</w:t>
      </w:r>
      <w:r w:rsidR="00723DEE">
        <w:t xml:space="preserve">, labels and ratings </w:t>
      </w:r>
      <w:r>
        <w:t>(which do not oblige suppliers to change their product offerings)</w:t>
      </w:r>
      <w:r w:rsidR="00AD71F4">
        <w:t xml:space="preserve">, </w:t>
      </w:r>
      <w:r w:rsidR="00723DEE">
        <w:t xml:space="preserve">through </w:t>
      </w:r>
      <w:r>
        <w:t xml:space="preserve">to mandatory </w:t>
      </w:r>
      <w:r w:rsidR="00AD71F4">
        <w:t>M</w:t>
      </w:r>
      <w:r w:rsidR="00723DEE">
        <w:t xml:space="preserve">inimum </w:t>
      </w:r>
      <w:r w:rsidR="00AD71F4">
        <w:t>W</w:t>
      </w:r>
      <w:r w:rsidR="00723DEE">
        <w:t xml:space="preserve">ater </w:t>
      </w:r>
      <w:r w:rsidR="00AD71F4">
        <w:t>E</w:t>
      </w:r>
      <w:r w:rsidR="00723DEE">
        <w:t xml:space="preserve">fficiency </w:t>
      </w:r>
      <w:r w:rsidR="00AD71F4">
        <w:t>S</w:t>
      </w:r>
      <w:r>
        <w:t xml:space="preserve">tandards (which </w:t>
      </w:r>
      <w:r w:rsidR="00AD71F4">
        <w:t>are likely to limit CIM product offerings</w:t>
      </w:r>
      <w:r>
        <w:t>).</w:t>
      </w:r>
    </w:p>
    <w:p w14:paraId="13996ECF" w14:textId="7553E394" w:rsidR="00D10318" w:rsidRDefault="008D5F5B">
      <w:pPr>
        <w:spacing w:after="200" w:line="288" w:lineRule="auto"/>
      </w:pPr>
      <w:r>
        <w:t>There is no reason</w:t>
      </w:r>
      <w:r w:rsidR="006A78A4">
        <w:t xml:space="preserve"> </w:t>
      </w:r>
      <w:r>
        <w:t>to believe that CIM suppliers will do anything beyond the minimum required to meet their GEMS obligations</w:t>
      </w:r>
      <w:r w:rsidR="006A78A4">
        <w:t xml:space="preserve">. That is, </w:t>
      </w:r>
      <w:r w:rsidR="00405895">
        <w:t xml:space="preserve">to </w:t>
      </w:r>
      <w:r>
        <w:t xml:space="preserve">ensure that </w:t>
      </w:r>
      <w:r w:rsidR="00DE79F3">
        <w:t xml:space="preserve">the </w:t>
      </w:r>
      <w:r>
        <w:t xml:space="preserve">models they offer for supply after 3 March 2026 comply with MEPS and </w:t>
      </w:r>
      <w:r w:rsidR="00405895">
        <w:t xml:space="preserve">to </w:t>
      </w:r>
      <w:r>
        <w:t>register the production capacity and energy efficiency of those models</w:t>
      </w:r>
      <w:r w:rsidR="00DE79F3">
        <w:t xml:space="preserve"> as determined under standard tests</w:t>
      </w:r>
      <w:r>
        <w:t>.</w:t>
      </w:r>
    </w:p>
    <w:p w14:paraId="1CCB32FD" w14:textId="3BD2C479" w:rsidR="00DE79F3" w:rsidRDefault="00935A1E">
      <w:pPr>
        <w:spacing w:after="200" w:line="288" w:lineRule="auto"/>
      </w:pPr>
      <w:r>
        <w:t>Historically t</w:t>
      </w:r>
      <w:r w:rsidR="008D5F5B">
        <w:t xml:space="preserve">he </w:t>
      </w:r>
      <w:r w:rsidR="00DE79F3">
        <w:t xml:space="preserve">industry has not chosen to publicise the standardised </w:t>
      </w:r>
      <w:r w:rsidR="006A78A4">
        <w:t xml:space="preserve">water or </w:t>
      </w:r>
      <w:r w:rsidR="00DE79F3">
        <w:t>energy efficiency of products and is not likely to do so without intervention.</w:t>
      </w:r>
      <w:r w:rsidR="00D10318">
        <w:t xml:space="preserve"> While the GEMS Determination requires the GEMS registration number to be included in product advertisements and at the point of sale, this will </w:t>
      </w:r>
      <w:r w:rsidR="00405895">
        <w:t xml:space="preserve">only </w:t>
      </w:r>
      <w:r w:rsidR="00D10318">
        <w:t>provide a</w:t>
      </w:r>
      <w:r>
        <w:t xml:space="preserve">n identifier </w:t>
      </w:r>
      <w:r w:rsidR="00D10318">
        <w:t xml:space="preserve">by which motivated purchasers can check the </w:t>
      </w:r>
      <w:r w:rsidR="00B62351">
        <w:t xml:space="preserve">standardised </w:t>
      </w:r>
      <w:r w:rsidR="00D10318">
        <w:t>energy</w:t>
      </w:r>
      <w:r w:rsidR="00F61895">
        <w:t xml:space="preserve"> </w:t>
      </w:r>
      <w:r w:rsidR="00B62351">
        <w:t>efficiency</w:t>
      </w:r>
      <w:r w:rsidR="00D10318">
        <w:t xml:space="preserve"> </w:t>
      </w:r>
      <w:r w:rsidR="00B62351">
        <w:t>of the product</w:t>
      </w:r>
      <w:r>
        <w:t xml:space="preserve"> (and if declared, the water use)</w:t>
      </w:r>
      <w:r w:rsidR="00B62351">
        <w:t>. Suppliers can continue to withhold the standardised data and, confusingly for purchasers, continue to provide non-standardised data that shows their product in a better light.</w:t>
      </w:r>
      <w:r w:rsidR="00D10318">
        <w:t xml:space="preserve"> </w:t>
      </w:r>
      <w:r w:rsidR="00B62351">
        <w:t xml:space="preserve">Purchasers are protected to some extent </w:t>
      </w:r>
      <w:r>
        <w:t>regarding</w:t>
      </w:r>
      <w:r w:rsidR="00B62351">
        <w:t xml:space="preserve"> CIM energy use because </w:t>
      </w:r>
      <w:r w:rsidR="006A78A4">
        <w:t>of the application of</w:t>
      </w:r>
      <w:r w:rsidR="00B62351">
        <w:t xml:space="preserve"> MEPS, but there is no such protection with regard to CIM water use</w:t>
      </w:r>
      <w:r w:rsidR="00E80B63">
        <w:t>.</w:t>
      </w:r>
    </w:p>
    <w:p w14:paraId="20F53E21" w14:textId="6868A103" w:rsidR="008D5F5B" w:rsidRDefault="005F6A54">
      <w:pPr>
        <w:spacing w:after="200" w:line="288" w:lineRule="auto"/>
      </w:pPr>
      <w:r>
        <w:t xml:space="preserve">Government </w:t>
      </w:r>
      <w:r w:rsidR="006A78A4">
        <w:t>in</w:t>
      </w:r>
      <w:r w:rsidR="00E80B63">
        <w:t>t</w:t>
      </w:r>
      <w:r w:rsidR="006A78A4">
        <w:t>ervention</w:t>
      </w:r>
      <w:r>
        <w:t xml:space="preserve"> </w:t>
      </w:r>
      <w:r w:rsidR="00405895">
        <w:t>appears</w:t>
      </w:r>
      <w:r>
        <w:t xml:space="preserve"> necessary to ensure supplier </w:t>
      </w:r>
      <w:r w:rsidR="00E80B63">
        <w:t>participation</w:t>
      </w:r>
      <w:r>
        <w:t xml:space="preserve">, credibility and purchaser awareness of both </w:t>
      </w:r>
      <w:r w:rsidR="006A78A4">
        <w:t xml:space="preserve">water and </w:t>
      </w:r>
      <w:r>
        <w:t>energy</w:t>
      </w:r>
      <w:r w:rsidR="00CE59EF">
        <w:t xml:space="preserve"> </w:t>
      </w:r>
      <w:r>
        <w:t>efficiency information. However, i</w:t>
      </w:r>
      <w:r w:rsidR="00DE79F3">
        <w:t xml:space="preserve">f </w:t>
      </w:r>
      <w:r w:rsidR="006A78A4">
        <w:t>the G</w:t>
      </w:r>
      <w:r w:rsidR="00DE79F3">
        <w:t>overnment decide</w:t>
      </w:r>
      <w:r w:rsidR="00B62351">
        <w:t>s</w:t>
      </w:r>
      <w:r w:rsidR="00DE79F3">
        <w:t xml:space="preserve"> to intervene in order to address market failures </w:t>
      </w:r>
      <w:r w:rsidR="00935A1E">
        <w:t xml:space="preserve">regarding </w:t>
      </w:r>
      <w:r w:rsidR="00B62351">
        <w:t xml:space="preserve">CIM </w:t>
      </w:r>
      <w:r w:rsidR="006A78A4">
        <w:t xml:space="preserve">information asymmetry </w:t>
      </w:r>
      <w:r w:rsidR="00DE79F3">
        <w:t xml:space="preserve">and bounded rationality, it does not necessarily need regulation beyond the </w:t>
      </w:r>
      <w:r w:rsidR="005D5E85">
        <w:t>s</w:t>
      </w:r>
      <w:r w:rsidR="00DE79F3">
        <w:t xml:space="preserve">tatus </w:t>
      </w:r>
      <w:r w:rsidR="005D5E85">
        <w:t>q</w:t>
      </w:r>
      <w:r w:rsidR="00DE79F3">
        <w:t>uo to do so.</w:t>
      </w:r>
    </w:p>
    <w:p w14:paraId="60A58DF7" w14:textId="04D62E90" w:rsidR="005F6A54" w:rsidRDefault="00D10318">
      <w:pPr>
        <w:spacing w:after="200" w:line="288" w:lineRule="auto"/>
      </w:pPr>
      <w:r>
        <w:t>One ‘</w:t>
      </w:r>
      <w:r w:rsidR="00DE79F3">
        <w:t>no</w:t>
      </w:r>
      <w:r w:rsidR="00935A1E">
        <w:t xml:space="preserve"> </w:t>
      </w:r>
      <w:r>
        <w:t>new</w:t>
      </w:r>
      <w:r w:rsidR="00935A1E">
        <w:t xml:space="preserve"> </w:t>
      </w:r>
      <w:r>
        <w:t>r</w:t>
      </w:r>
      <w:r w:rsidR="00DE79F3">
        <w:t>egulation</w:t>
      </w:r>
      <w:r>
        <w:t>’</w:t>
      </w:r>
      <w:r w:rsidR="00DE79F3">
        <w:t xml:space="preserve"> </w:t>
      </w:r>
      <w:r>
        <w:t>measure would involve using existing programs and policy levers</w:t>
      </w:r>
      <w:r w:rsidR="00B62351">
        <w:t xml:space="preserve">. The WELS </w:t>
      </w:r>
      <w:r w:rsidR="00935A1E">
        <w:t>scheme</w:t>
      </w:r>
      <w:r w:rsidR="00B62351">
        <w:t xml:space="preserve"> is well established, well regarded and has been found to be effective in reaching </w:t>
      </w:r>
      <w:r w:rsidR="00057852">
        <w:rPr>
          <w:rFonts w:ascii="Calibri" w:eastAsia="Calibri" w:hAnsi="Calibri" w:cs="Times New Roman"/>
          <w:szCs w:val="22"/>
        </w:rPr>
        <w:t>purchasers</w:t>
      </w:r>
      <w:r w:rsidR="00B62351">
        <w:t xml:space="preserve"> and promoting greater </w:t>
      </w:r>
      <w:r w:rsidR="00CE59EF">
        <w:t>water efficiency</w:t>
      </w:r>
      <w:r w:rsidR="00B62351">
        <w:t xml:space="preserve"> in the products it </w:t>
      </w:r>
      <w:r w:rsidR="006A78A4">
        <w:t>regulates</w:t>
      </w:r>
      <w:r w:rsidR="00B62351">
        <w:t xml:space="preserve">. </w:t>
      </w:r>
      <w:r w:rsidR="002424A6">
        <w:t xml:space="preserve">Existing WELS processes and resources could be used to encourage CIM suppliers to declare product </w:t>
      </w:r>
      <w:r w:rsidR="00CE59EF">
        <w:t xml:space="preserve">water </w:t>
      </w:r>
      <w:r w:rsidR="00935A1E">
        <w:t xml:space="preserve">use rates </w:t>
      </w:r>
      <w:r w:rsidR="002424A6">
        <w:t xml:space="preserve">to the GEMS Regulator and </w:t>
      </w:r>
      <w:r w:rsidR="00405895">
        <w:t xml:space="preserve">for WELS and GEMS to jointly use this information </w:t>
      </w:r>
      <w:r w:rsidR="002424A6">
        <w:t xml:space="preserve">to promote awareness of </w:t>
      </w:r>
      <w:r w:rsidR="00CE59EF">
        <w:t>water efficiency</w:t>
      </w:r>
      <w:r w:rsidR="002424A6">
        <w:t xml:space="preserve"> among CIM purchasers. This would require relatively modest government resources and avoid the need for new regulation. </w:t>
      </w:r>
      <w:r w:rsidR="00D61596">
        <w:t xml:space="preserve">Information </w:t>
      </w:r>
      <w:r w:rsidR="00AD71F4">
        <w:t xml:space="preserve">declaration </w:t>
      </w:r>
      <w:r w:rsidR="00723DEE">
        <w:t xml:space="preserve">responses </w:t>
      </w:r>
      <w:r w:rsidR="00D61596">
        <w:t>can be sequenced to make use of data as it accumulates</w:t>
      </w:r>
      <w:r w:rsidR="00FD12F2">
        <w:t>.</w:t>
      </w:r>
      <w:r w:rsidR="00D61596">
        <w:t xml:space="preserve"> </w:t>
      </w:r>
      <w:r w:rsidR="00AD71F4">
        <w:t>For example, i</w:t>
      </w:r>
      <w:r w:rsidR="00D61596">
        <w:t xml:space="preserve">f a high proportion of suppliers voluntarily </w:t>
      </w:r>
      <w:r w:rsidR="004D237B">
        <w:t>declare</w:t>
      </w:r>
      <w:r w:rsidR="00D61596">
        <w:t xml:space="preserve"> product </w:t>
      </w:r>
      <w:r w:rsidR="00D61596">
        <w:lastRenderedPageBreak/>
        <w:t xml:space="preserve">water </w:t>
      </w:r>
      <w:r w:rsidR="00AD71F4">
        <w:t>use rates</w:t>
      </w:r>
      <w:r w:rsidR="00D61596">
        <w:t xml:space="preserve"> to the GEMS </w:t>
      </w:r>
      <w:r w:rsidR="00EB5E18">
        <w:t>R</w:t>
      </w:r>
      <w:r w:rsidR="00D61596">
        <w:t>egulator</w:t>
      </w:r>
      <w:r w:rsidR="00AD71F4">
        <w:t>,</w:t>
      </w:r>
      <w:r w:rsidR="00D61596">
        <w:t xml:space="preserve"> then the </w:t>
      </w:r>
      <w:r w:rsidR="009B4045">
        <w:t xml:space="preserve">additional benefits </w:t>
      </w:r>
      <w:r w:rsidR="00D61596">
        <w:t xml:space="preserve">of mandating </w:t>
      </w:r>
      <w:r w:rsidR="00723DEE">
        <w:t xml:space="preserve">product registration and labelling </w:t>
      </w:r>
      <w:r w:rsidR="00D61596">
        <w:t xml:space="preserve">through the WELS Act </w:t>
      </w:r>
      <w:r w:rsidR="00405895">
        <w:t xml:space="preserve">would </w:t>
      </w:r>
      <w:r w:rsidR="00D61596">
        <w:t>be reduced.</w:t>
      </w:r>
    </w:p>
    <w:p w14:paraId="509CCC42" w14:textId="746B25A3" w:rsidR="008D5F5B" w:rsidRDefault="005F6A54">
      <w:pPr>
        <w:spacing w:after="200" w:line="288" w:lineRule="auto"/>
      </w:pPr>
      <w:r>
        <w:t xml:space="preserve">The success of </w:t>
      </w:r>
      <w:r w:rsidR="00405895">
        <w:t>interventions</w:t>
      </w:r>
      <w:r>
        <w:t>, whether regulated or not, can be measured through</w:t>
      </w:r>
      <w:r w:rsidRPr="005F6A54">
        <w:t xml:space="preserve"> specific, measurable, achievable, relevant, and time-bound (SMART) targets</w:t>
      </w:r>
      <w:r w:rsidR="00405895">
        <w:t xml:space="preserve">. </w:t>
      </w:r>
      <w:r w:rsidR="00411D13">
        <w:t xml:space="preserve">For example, </w:t>
      </w:r>
      <w:r w:rsidR="009B4045">
        <w:t>reasonable success criteri</w:t>
      </w:r>
      <w:r w:rsidR="00411D13">
        <w:t xml:space="preserve">a for voluntary declaration </w:t>
      </w:r>
      <w:r w:rsidR="009B4045">
        <w:t>might b</w:t>
      </w:r>
      <w:r w:rsidR="00FD12F2">
        <w:t>e</w:t>
      </w:r>
      <w:r w:rsidR="009B4045">
        <w:t xml:space="preserve"> </w:t>
      </w:r>
      <w:r w:rsidR="00AD71F4">
        <w:t xml:space="preserve">that </w:t>
      </w:r>
      <w:r w:rsidR="009B4045">
        <w:t>at least 80% of suppliers voluntarily register water use</w:t>
      </w:r>
      <w:r w:rsidR="00411D13">
        <w:t xml:space="preserve"> by the time the GEMS </w:t>
      </w:r>
      <w:r w:rsidR="00B8177F">
        <w:t>D</w:t>
      </w:r>
      <w:r w:rsidR="00411D13">
        <w:t>etermination takes effect (3 March 2026)</w:t>
      </w:r>
      <w:r w:rsidR="00B51FC2">
        <w:t xml:space="preserve">, </w:t>
      </w:r>
      <w:r w:rsidR="00405895">
        <w:t xml:space="preserve">and that </w:t>
      </w:r>
      <w:r w:rsidR="009B4045">
        <w:t>at least 80% of models</w:t>
      </w:r>
      <w:r w:rsidR="00405895">
        <w:t xml:space="preserve"> are covered</w:t>
      </w:r>
      <w:r w:rsidR="00935A1E">
        <w:t xml:space="preserve"> (o</w:t>
      </w:r>
      <w:r w:rsidR="009B4045">
        <w:t>therwise</w:t>
      </w:r>
      <w:r w:rsidR="00935A1E">
        <w:t>,</w:t>
      </w:r>
      <w:r w:rsidR="009B4045">
        <w:t xml:space="preserve"> </w:t>
      </w:r>
      <w:r w:rsidR="004D237B">
        <w:t>declaration</w:t>
      </w:r>
      <w:r w:rsidR="009B4045">
        <w:t xml:space="preserve"> might be limited to </w:t>
      </w:r>
      <w:r w:rsidR="00B51FC2">
        <w:t xml:space="preserve">the </w:t>
      </w:r>
      <w:r w:rsidR="00405895">
        <w:t>most water</w:t>
      </w:r>
      <w:r w:rsidR="00A17AE2">
        <w:t xml:space="preserve"> </w:t>
      </w:r>
      <w:r w:rsidR="00405895">
        <w:t xml:space="preserve">efficient </w:t>
      </w:r>
      <w:r w:rsidR="008262B8">
        <w:t>models</w:t>
      </w:r>
      <w:r w:rsidR="00935A1E">
        <w:t>)</w:t>
      </w:r>
      <w:r w:rsidR="009B4045">
        <w:t>.</w:t>
      </w:r>
    </w:p>
    <w:p w14:paraId="5B141F04" w14:textId="4D8FE66F" w:rsidR="00FD12F2" w:rsidRDefault="00B51FC2">
      <w:pPr>
        <w:spacing w:after="200" w:line="288" w:lineRule="auto"/>
      </w:pPr>
      <w:r>
        <w:t xml:space="preserve">The achievement of these participation targets could be measured though the GEMS </w:t>
      </w:r>
      <w:r w:rsidR="002942BC">
        <w:t>energy rating database</w:t>
      </w:r>
      <w:r>
        <w:t xml:space="preserve">. </w:t>
      </w:r>
      <w:r w:rsidR="008262B8">
        <w:t xml:space="preserve">The </w:t>
      </w:r>
      <w:r w:rsidR="009B4045">
        <w:t xml:space="preserve">impact of </w:t>
      </w:r>
      <w:r>
        <w:t xml:space="preserve">water use </w:t>
      </w:r>
      <w:r w:rsidR="009B4045">
        <w:t>information on purchasers would need to be monitored through survey</w:t>
      </w:r>
      <w:r w:rsidR="008262B8">
        <w:t>s</w:t>
      </w:r>
      <w:r w:rsidR="009B4045">
        <w:t xml:space="preserve"> </w:t>
      </w:r>
      <w:r>
        <w:t xml:space="preserve">and </w:t>
      </w:r>
      <w:r w:rsidR="009B4045">
        <w:t xml:space="preserve">by tracking changes </w:t>
      </w:r>
      <w:r>
        <w:t xml:space="preserve">in the average declared water use of models </w:t>
      </w:r>
      <w:r w:rsidR="009B4045">
        <w:t>over time.</w:t>
      </w:r>
    </w:p>
    <w:p w14:paraId="57DB9991" w14:textId="587F420E" w:rsidR="00411D13" w:rsidRDefault="00411D13">
      <w:pPr>
        <w:spacing w:after="200" w:line="288" w:lineRule="auto"/>
      </w:pPr>
      <w:r>
        <w:t xml:space="preserve">Another objective of </w:t>
      </w:r>
      <w:r w:rsidR="00B8177F">
        <w:t>G</w:t>
      </w:r>
      <w:r>
        <w:t xml:space="preserve">overnment intervention is flexibility. In a graduated strategy, options that are more onerous for stakeholders, including </w:t>
      </w:r>
      <w:r w:rsidR="00B8177F">
        <w:t>G</w:t>
      </w:r>
      <w:r>
        <w:t xml:space="preserve">overnment itself, should only </w:t>
      </w:r>
      <w:r w:rsidR="00773833">
        <w:t xml:space="preserve">be </w:t>
      </w:r>
      <w:r>
        <w:t xml:space="preserve">implemented if </w:t>
      </w:r>
      <w:r w:rsidR="00773833">
        <w:t xml:space="preserve">simpler and </w:t>
      </w:r>
      <w:r>
        <w:t xml:space="preserve">cheaper </w:t>
      </w:r>
      <w:r w:rsidR="00773833">
        <w:t xml:space="preserve">options </w:t>
      </w:r>
      <w:r>
        <w:t xml:space="preserve">prove inadequate. </w:t>
      </w:r>
      <w:r w:rsidR="00C812A4">
        <w:t xml:space="preserve">If a </w:t>
      </w:r>
      <w:r w:rsidR="00B8177F">
        <w:t>G</w:t>
      </w:r>
      <w:r w:rsidR="00C812A4">
        <w:t>overnment</w:t>
      </w:r>
      <w:r w:rsidR="00DF0A7B">
        <w:t xml:space="preserve"> </w:t>
      </w:r>
      <w:r w:rsidR="00C812A4">
        <w:t xml:space="preserve">led voluntary information program for CIMs is successful, it should not be necessary to proceed to regulation. If information alone addresses the market identified failures, it should not be necessary to proceed to </w:t>
      </w:r>
      <w:r w:rsidR="00A07D2F">
        <w:t>Minimum W</w:t>
      </w:r>
      <w:r w:rsidR="00C812A4">
        <w:t>ater</w:t>
      </w:r>
      <w:r w:rsidR="00CE59EF">
        <w:t xml:space="preserve"> </w:t>
      </w:r>
      <w:r w:rsidR="00A07D2F">
        <w:t>Efficiency Standards</w:t>
      </w:r>
      <w:r w:rsidR="00C812A4">
        <w:t xml:space="preserve">. </w:t>
      </w:r>
      <w:r w:rsidR="00405895">
        <w:t xml:space="preserve">If it emerges that market factors such as split incentives are severely limiting the impact of information measures, </w:t>
      </w:r>
      <w:r w:rsidR="00A07D2F">
        <w:t xml:space="preserve">there would be a case for proceeding to </w:t>
      </w:r>
      <w:r w:rsidR="00B8177F">
        <w:t>M</w:t>
      </w:r>
      <w:r w:rsidR="00A07D2F">
        <w:t xml:space="preserve">inimum </w:t>
      </w:r>
      <w:r w:rsidR="00B8177F">
        <w:t>Water Efficiency S</w:t>
      </w:r>
      <w:r w:rsidR="00A07D2F">
        <w:t>tandards</w:t>
      </w:r>
      <w:r w:rsidR="00DF0A7B">
        <w:t>.</w:t>
      </w:r>
    </w:p>
    <w:p w14:paraId="2C32484B" w14:textId="13482FEE" w:rsidR="009B4045" w:rsidRDefault="009B4045">
      <w:pPr>
        <w:spacing w:after="200" w:line="288" w:lineRule="auto"/>
      </w:pPr>
      <w:r>
        <w:t xml:space="preserve">The next section presents a range of options </w:t>
      </w:r>
      <w:r w:rsidR="00935A1E">
        <w:t>regarding</w:t>
      </w:r>
      <w:r>
        <w:t xml:space="preserve"> the combination and sequencing of both non-regulatory and regulatory measures.</w:t>
      </w:r>
    </w:p>
    <w:p w14:paraId="4D6A9F0B" w14:textId="05D62655" w:rsidR="00405232" w:rsidRDefault="00FD12F2" w:rsidP="008262B8">
      <w:pPr>
        <w:pStyle w:val="Heading1"/>
        <w:pageBreakBefore/>
        <w:numPr>
          <w:ilvl w:val="0"/>
          <w:numId w:val="12"/>
        </w:numPr>
        <w:ind w:left="714" w:hanging="357"/>
      </w:pPr>
      <w:bookmarkStart w:id="33" w:name="_Toc196745411"/>
      <w:bookmarkStart w:id="34" w:name="_Toc96326924"/>
      <w:bookmarkEnd w:id="32"/>
      <w:r>
        <w:lastRenderedPageBreak/>
        <w:t>P</w:t>
      </w:r>
      <w:r w:rsidR="00405232">
        <w:t>olicy options</w:t>
      </w:r>
      <w:bookmarkEnd w:id="33"/>
    </w:p>
    <w:p w14:paraId="018B293B" w14:textId="21A3E228" w:rsidR="0030216C" w:rsidRPr="00DF0A7B" w:rsidRDefault="0030216C" w:rsidP="00405232">
      <w:pPr>
        <w:pStyle w:val="Heading2"/>
        <w:rPr>
          <w:rFonts w:asciiTheme="minorHAnsi" w:eastAsiaTheme="minorEastAsia" w:hAnsiTheme="minorHAnsi" w:cstheme="minorBidi"/>
          <w:color w:val="auto"/>
          <w:sz w:val="22"/>
          <w:szCs w:val="21"/>
        </w:rPr>
      </w:pPr>
      <w:bookmarkStart w:id="35" w:name="_Toc196745412"/>
      <w:r w:rsidRPr="00DF0A7B">
        <w:rPr>
          <w:rFonts w:asciiTheme="minorHAnsi" w:eastAsiaTheme="minorEastAsia" w:hAnsiTheme="minorHAnsi" w:cstheme="minorBidi"/>
          <w:color w:val="auto"/>
          <w:sz w:val="22"/>
          <w:szCs w:val="21"/>
        </w:rPr>
        <w:t xml:space="preserve">The following </w:t>
      </w:r>
      <w:r>
        <w:rPr>
          <w:rFonts w:asciiTheme="minorHAnsi" w:eastAsiaTheme="minorEastAsia" w:hAnsiTheme="minorHAnsi" w:cstheme="minorBidi"/>
          <w:color w:val="auto"/>
          <w:sz w:val="22"/>
          <w:szCs w:val="21"/>
        </w:rPr>
        <w:t xml:space="preserve">list of policy </w:t>
      </w:r>
      <w:r w:rsidRPr="00DF0A7B">
        <w:rPr>
          <w:rFonts w:asciiTheme="minorHAnsi" w:eastAsiaTheme="minorEastAsia" w:hAnsiTheme="minorHAnsi" w:cstheme="minorBidi"/>
          <w:color w:val="auto"/>
          <w:sz w:val="22"/>
          <w:szCs w:val="21"/>
        </w:rPr>
        <w:t xml:space="preserve">options </w:t>
      </w:r>
      <w:r>
        <w:rPr>
          <w:rFonts w:asciiTheme="minorHAnsi" w:eastAsiaTheme="minorEastAsia" w:hAnsiTheme="minorHAnsi" w:cstheme="minorBidi"/>
          <w:color w:val="auto"/>
          <w:sz w:val="22"/>
          <w:szCs w:val="21"/>
        </w:rPr>
        <w:t xml:space="preserve">is subject to </w:t>
      </w:r>
      <w:r w:rsidR="00EE4B4D">
        <w:rPr>
          <w:rFonts w:asciiTheme="minorHAnsi" w:eastAsiaTheme="minorEastAsia" w:hAnsiTheme="minorHAnsi" w:cstheme="minorBidi"/>
          <w:color w:val="auto"/>
          <w:sz w:val="22"/>
          <w:szCs w:val="21"/>
        </w:rPr>
        <w:t xml:space="preserve">revision </w:t>
      </w:r>
      <w:r>
        <w:rPr>
          <w:rFonts w:asciiTheme="minorHAnsi" w:eastAsiaTheme="minorEastAsia" w:hAnsiTheme="minorHAnsi" w:cstheme="minorBidi"/>
          <w:color w:val="auto"/>
          <w:sz w:val="22"/>
          <w:szCs w:val="21"/>
        </w:rPr>
        <w:t>following consultation wi</w:t>
      </w:r>
      <w:r w:rsidR="00EE4B4D">
        <w:rPr>
          <w:rFonts w:asciiTheme="minorHAnsi" w:eastAsiaTheme="minorEastAsia" w:hAnsiTheme="minorHAnsi" w:cstheme="minorBidi"/>
          <w:color w:val="auto"/>
          <w:sz w:val="22"/>
          <w:szCs w:val="21"/>
        </w:rPr>
        <w:t>t</w:t>
      </w:r>
      <w:r>
        <w:rPr>
          <w:rFonts w:asciiTheme="minorHAnsi" w:eastAsiaTheme="minorEastAsia" w:hAnsiTheme="minorHAnsi" w:cstheme="minorBidi"/>
          <w:color w:val="auto"/>
          <w:sz w:val="22"/>
          <w:szCs w:val="21"/>
        </w:rPr>
        <w:t>h stakeholders.</w:t>
      </w:r>
      <w:bookmarkEnd w:id="35"/>
    </w:p>
    <w:p w14:paraId="3719E3B7" w14:textId="53807166" w:rsidR="00405232" w:rsidRDefault="00405232" w:rsidP="00405232">
      <w:pPr>
        <w:pStyle w:val="Heading2"/>
      </w:pPr>
      <w:bookmarkStart w:id="36" w:name="_Toc196745413"/>
      <w:r w:rsidRPr="00405232">
        <w:t>3.1 Option 1</w:t>
      </w:r>
      <w:r w:rsidR="00AD011D">
        <w:t xml:space="preserve">. </w:t>
      </w:r>
      <w:r w:rsidRPr="00405232">
        <w:t xml:space="preserve">Status </w:t>
      </w:r>
      <w:r w:rsidR="00B51FC2">
        <w:t>q</w:t>
      </w:r>
      <w:r w:rsidRPr="00405232">
        <w:t>uo</w:t>
      </w:r>
      <w:bookmarkEnd w:id="36"/>
    </w:p>
    <w:p w14:paraId="41974415" w14:textId="402491AE" w:rsidR="00AC0FC8" w:rsidRPr="00AC0FC8" w:rsidRDefault="00AC0FC8" w:rsidP="00AC0FC8">
      <w:r w:rsidRPr="00AC0FC8">
        <w:t xml:space="preserve">The status quo </w:t>
      </w:r>
      <w:r>
        <w:t xml:space="preserve">is </w:t>
      </w:r>
      <w:r w:rsidRPr="00AC0FC8">
        <w:t xml:space="preserve">the </w:t>
      </w:r>
      <w:r w:rsidR="00B662D1">
        <w:t xml:space="preserve">requirement to register CIMs with the GEMS Regulator and the implementation of </w:t>
      </w:r>
      <w:r w:rsidR="002942BC">
        <w:t>MEPS</w:t>
      </w:r>
      <w:r w:rsidR="00B13304">
        <w:t xml:space="preserve"> </w:t>
      </w:r>
      <w:r w:rsidR="002942BC">
        <w:t xml:space="preserve">from 3 March </w:t>
      </w:r>
      <w:r w:rsidR="002942BC" w:rsidRPr="00AC0FC8">
        <w:t>2026</w:t>
      </w:r>
      <w:r w:rsidRPr="00AC0FC8">
        <w:t xml:space="preserve">. </w:t>
      </w:r>
      <w:r w:rsidR="007566C0" w:rsidRPr="007566C0">
        <w:t xml:space="preserve">MEPS works by requiring a minimum energy efficiency for all products that can be offered to </w:t>
      </w:r>
      <w:r w:rsidR="00E2762C">
        <w:t>purchasers</w:t>
      </w:r>
      <w:r w:rsidR="009B7536">
        <w:t xml:space="preserve">. As </w:t>
      </w:r>
      <w:r w:rsidR="007566C0" w:rsidRPr="007566C0">
        <w:t xml:space="preserve">such, </w:t>
      </w:r>
      <w:r w:rsidR="00E2762C">
        <w:t xml:space="preserve">purchasers </w:t>
      </w:r>
      <w:r w:rsidR="007566C0" w:rsidRPr="007566C0">
        <w:t>do not need to be aware of or make an active choice about energy efficiency</w:t>
      </w:r>
      <w:r w:rsidR="009B7536">
        <w:t xml:space="preserve">, as all </w:t>
      </w:r>
      <w:r w:rsidR="007566C0" w:rsidRPr="007566C0">
        <w:t>product</w:t>
      </w:r>
      <w:r w:rsidR="009B7536">
        <w:t>s</w:t>
      </w:r>
      <w:r w:rsidR="007566C0" w:rsidRPr="007566C0">
        <w:t xml:space="preserve"> </w:t>
      </w:r>
      <w:r w:rsidR="00A07D2F">
        <w:t xml:space="preserve">should </w:t>
      </w:r>
      <w:r w:rsidR="007566C0" w:rsidRPr="007566C0">
        <w:t xml:space="preserve">meet the minimum </w:t>
      </w:r>
      <w:r w:rsidR="00E2762C">
        <w:t>standard</w:t>
      </w:r>
      <w:r w:rsidR="007566C0" w:rsidRPr="007566C0">
        <w:t xml:space="preserve">. It does not </w:t>
      </w:r>
      <w:r w:rsidR="009B7536">
        <w:t xml:space="preserve">rely on </w:t>
      </w:r>
      <w:r w:rsidR="00057852" w:rsidRPr="005D5E85">
        <w:t>purchaser</w:t>
      </w:r>
      <w:r w:rsidR="007566C0" w:rsidRPr="007566C0">
        <w:t xml:space="preserve"> choice or the need for government to encourage </w:t>
      </w:r>
      <w:r w:rsidR="00E2762C">
        <w:t xml:space="preserve">purchasers </w:t>
      </w:r>
      <w:r w:rsidR="007566C0" w:rsidRPr="007566C0">
        <w:t xml:space="preserve">to </w:t>
      </w:r>
      <w:r w:rsidR="009B7536">
        <w:t xml:space="preserve">prefer </w:t>
      </w:r>
      <w:r w:rsidR="007566C0" w:rsidRPr="007566C0">
        <w:t>the more energy efficient models</w:t>
      </w:r>
      <w:r w:rsidR="009B7536">
        <w:t>, although it enables those strategies.</w:t>
      </w:r>
    </w:p>
    <w:p w14:paraId="631BBB42" w14:textId="3AC61EAA" w:rsidR="00AC0FC8" w:rsidRPr="00AC0FC8" w:rsidRDefault="00AC0FC8" w:rsidP="00AC0FC8">
      <w:r w:rsidRPr="00AC0FC8">
        <w:t xml:space="preserve">The </w:t>
      </w:r>
      <w:r w:rsidR="009B7536">
        <w:t xml:space="preserve">GEMS </w:t>
      </w:r>
      <w:r w:rsidRPr="00AC0FC8">
        <w:t xml:space="preserve">registration process, which </w:t>
      </w:r>
      <w:r w:rsidR="00A07D2F">
        <w:t xml:space="preserve">is now </w:t>
      </w:r>
      <w:r w:rsidRPr="00AC0FC8">
        <w:t>open</w:t>
      </w:r>
      <w:r w:rsidR="00A07D2F">
        <w:t>,</w:t>
      </w:r>
      <w:r w:rsidRPr="00AC0FC8">
        <w:t xml:space="preserve"> offer</w:t>
      </w:r>
      <w:r w:rsidR="00A07D2F">
        <w:t>s</w:t>
      </w:r>
      <w:r w:rsidRPr="00AC0FC8">
        <w:t xml:space="preserve"> suppliers </w:t>
      </w:r>
      <w:r w:rsidR="00A07D2F">
        <w:t xml:space="preserve">the </w:t>
      </w:r>
      <w:r w:rsidRPr="00AC0FC8">
        <w:t xml:space="preserve">option to voluntarily </w:t>
      </w:r>
      <w:r w:rsidR="004D237B">
        <w:t>declare</w:t>
      </w:r>
      <w:r w:rsidRPr="00AC0FC8">
        <w:t xml:space="preserve"> the potable water</w:t>
      </w:r>
      <w:r w:rsidR="007566C0">
        <w:t xml:space="preserve"> use </w:t>
      </w:r>
      <w:r w:rsidRPr="00AC0FC8">
        <w:t>(</w:t>
      </w:r>
      <w:r w:rsidR="00EB5E18">
        <w:t>L</w:t>
      </w:r>
      <w:r w:rsidRPr="00AC0FC8">
        <w:t>/kg of ice produced) for all CIMs and condenser water use for water-cooled CIMs.</w:t>
      </w:r>
    </w:p>
    <w:p w14:paraId="39EBC6D1" w14:textId="7031E874" w:rsidR="00AC0FC8" w:rsidRPr="00AC0FC8" w:rsidRDefault="00AC0FC8" w:rsidP="00AC0FC8">
      <w:r w:rsidRPr="00AC0FC8">
        <w:t xml:space="preserve">Total CIM water consumption under the </w:t>
      </w:r>
      <w:r w:rsidR="005D5E85">
        <w:t>s</w:t>
      </w:r>
      <w:r w:rsidRPr="00AC0FC8">
        <w:t xml:space="preserve">tatus </w:t>
      </w:r>
      <w:r w:rsidR="005D5E85">
        <w:t>q</w:t>
      </w:r>
      <w:r w:rsidRPr="00AC0FC8">
        <w:t>uo should be somewhat lower than if there were no GEMS Determination, because:</w:t>
      </w:r>
    </w:p>
    <w:p w14:paraId="253712B9" w14:textId="5252390C" w:rsidR="00AC0FC8" w:rsidRPr="00DC5884" w:rsidRDefault="00AC0FC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some suppliers may take the opportunity to change their model range to more water</w:t>
      </w:r>
      <w:r w:rsidR="00A17AE2" w:rsidRPr="00DC5884">
        <w:rPr>
          <w:rFonts w:eastAsia="Calibri" w:cs="Times New Roman"/>
          <w:szCs w:val="22"/>
        </w:rPr>
        <w:t xml:space="preserve"> </w:t>
      </w:r>
      <w:r w:rsidRPr="00DC5884">
        <w:rPr>
          <w:rFonts w:eastAsia="Calibri" w:cs="Times New Roman"/>
          <w:szCs w:val="22"/>
        </w:rPr>
        <w:t>efficient models as well as more energy</w:t>
      </w:r>
      <w:r w:rsidR="00A17AE2" w:rsidRPr="00DC5884">
        <w:rPr>
          <w:rFonts w:eastAsia="Calibri" w:cs="Times New Roman"/>
          <w:szCs w:val="22"/>
        </w:rPr>
        <w:t xml:space="preserve"> </w:t>
      </w:r>
      <w:r w:rsidRPr="00DC5884">
        <w:rPr>
          <w:rFonts w:eastAsia="Calibri" w:cs="Times New Roman"/>
          <w:szCs w:val="22"/>
        </w:rPr>
        <w:t xml:space="preserve">efficient models, in the expectation that both factors will </w:t>
      </w:r>
      <w:r w:rsidR="00B662D1" w:rsidRPr="00DC5884">
        <w:rPr>
          <w:rFonts w:eastAsia="Calibri" w:cs="Times New Roman"/>
          <w:szCs w:val="22"/>
        </w:rPr>
        <w:t xml:space="preserve">deliver </w:t>
      </w:r>
      <w:r w:rsidRPr="00DC5884">
        <w:rPr>
          <w:rFonts w:eastAsia="Calibri" w:cs="Times New Roman"/>
          <w:szCs w:val="22"/>
        </w:rPr>
        <w:t>a commercial advantage; and</w:t>
      </w:r>
    </w:p>
    <w:p w14:paraId="4CD61208" w14:textId="49C82BAA" w:rsidR="00AC0FC8" w:rsidRPr="00DC5884" w:rsidRDefault="00AC0FC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better informed </w:t>
      </w:r>
      <w:r w:rsidR="00E2762C" w:rsidRPr="00DC5884">
        <w:rPr>
          <w:rFonts w:eastAsia="Calibri" w:cs="Times New Roman"/>
          <w:szCs w:val="22"/>
        </w:rPr>
        <w:t xml:space="preserve">purchasers </w:t>
      </w:r>
      <w:r w:rsidRPr="00DC5884">
        <w:rPr>
          <w:rFonts w:eastAsia="Calibri" w:cs="Times New Roman"/>
          <w:szCs w:val="22"/>
        </w:rPr>
        <w:t xml:space="preserve">should show greater preference for models where water efficiency has been </w:t>
      </w:r>
      <w:r w:rsidR="004D237B" w:rsidRPr="00DC5884">
        <w:rPr>
          <w:rFonts w:eastAsia="Calibri" w:cs="Times New Roman"/>
          <w:szCs w:val="22"/>
        </w:rPr>
        <w:t>declare</w:t>
      </w:r>
      <w:r w:rsidRPr="00DC5884">
        <w:rPr>
          <w:rFonts w:eastAsia="Calibri" w:cs="Times New Roman"/>
          <w:szCs w:val="22"/>
        </w:rPr>
        <w:t>d, all else being equal.</w:t>
      </w:r>
    </w:p>
    <w:p w14:paraId="4B7E9A0B" w14:textId="2D0190AA" w:rsidR="00AC0FC8" w:rsidRPr="00AC0FC8" w:rsidRDefault="00AC0FC8" w:rsidP="00AC0FC8">
      <w:r w:rsidRPr="00AC0FC8">
        <w:t xml:space="preserve">The extent to which </w:t>
      </w:r>
      <w:r w:rsidR="00523D41">
        <w:t xml:space="preserve">purchasers </w:t>
      </w:r>
      <w:r w:rsidRPr="00AC0FC8">
        <w:t xml:space="preserve">can exercise </w:t>
      </w:r>
      <w:r w:rsidR="007566C0">
        <w:t xml:space="preserve">a preference for CIMs with lower </w:t>
      </w:r>
      <w:r w:rsidRPr="00AC0FC8">
        <w:t>water</w:t>
      </w:r>
      <w:r w:rsidR="007566C0">
        <w:t xml:space="preserve"> use rates</w:t>
      </w:r>
      <w:r w:rsidRPr="00AC0FC8">
        <w:t xml:space="preserve"> using the data in the GEMS </w:t>
      </w:r>
      <w:r w:rsidR="00B662D1">
        <w:t>energy rating database</w:t>
      </w:r>
      <w:r w:rsidRPr="00AC0FC8">
        <w:t xml:space="preserve"> will depend on the proportion of models where water</w:t>
      </w:r>
      <w:r w:rsidR="00FD0A13">
        <w:t xml:space="preserve"> use </w:t>
      </w:r>
      <w:r w:rsidRPr="00AC0FC8">
        <w:t xml:space="preserve">has been </w:t>
      </w:r>
      <w:r w:rsidR="004D237B">
        <w:t>declare</w:t>
      </w:r>
      <w:r w:rsidRPr="00AC0FC8">
        <w:t>d</w:t>
      </w:r>
      <w:r w:rsidR="00FD0A13">
        <w:t xml:space="preserve"> </w:t>
      </w:r>
      <w:r w:rsidR="00FD0A13" w:rsidRPr="00FD0A13">
        <w:t>and if the information is brought to their attention prior to their purchasing decision.</w:t>
      </w:r>
      <w:r w:rsidR="00A07D2F">
        <w:t xml:space="preserve"> </w:t>
      </w:r>
      <w:r w:rsidR="00D367A9" w:rsidRPr="00D367A9">
        <w:t xml:space="preserve">While the GEMS Determination requires the GEMS registration number to be included in product advertisements and at the point of sale, </w:t>
      </w:r>
      <w:r w:rsidR="00D367A9">
        <w:t>s</w:t>
      </w:r>
      <w:r w:rsidR="00D367A9" w:rsidRPr="00D367A9">
        <w:t xml:space="preserve">uppliers </w:t>
      </w:r>
      <w:r w:rsidR="00D367A9">
        <w:t xml:space="preserve">are not obliged to publicise the registered data or prevented from </w:t>
      </w:r>
      <w:r w:rsidR="00D367A9" w:rsidRPr="00D367A9">
        <w:t>provid</w:t>
      </w:r>
      <w:r w:rsidR="00D367A9">
        <w:t xml:space="preserve">ing </w:t>
      </w:r>
      <w:r w:rsidR="00D367A9" w:rsidRPr="00D367A9">
        <w:t>non-standardised data that shows their product in a better light.</w:t>
      </w:r>
    </w:p>
    <w:p w14:paraId="52E8695E" w14:textId="024D33A5" w:rsidR="00AC0FC8" w:rsidRDefault="00AC0FC8" w:rsidP="00AC0FC8">
      <w:r w:rsidRPr="00AC0FC8">
        <w:t xml:space="preserve">During consultations for this </w:t>
      </w:r>
      <w:r w:rsidR="00B662D1">
        <w:t>Impact Analysis</w:t>
      </w:r>
      <w:r w:rsidRPr="00AC0FC8">
        <w:t xml:space="preserve">, CIM suppliers </w:t>
      </w:r>
      <w:r>
        <w:t xml:space="preserve">will </w:t>
      </w:r>
      <w:r w:rsidRPr="00AC0FC8">
        <w:t xml:space="preserve">be asked whether they intend to register </w:t>
      </w:r>
      <w:r w:rsidR="00523D41">
        <w:t xml:space="preserve">water </w:t>
      </w:r>
      <w:r w:rsidR="00FD0A13">
        <w:t xml:space="preserve">use rates </w:t>
      </w:r>
      <w:r w:rsidRPr="00AC0FC8">
        <w:t xml:space="preserve">with the GEMS </w:t>
      </w:r>
      <w:r w:rsidR="00BB2049">
        <w:t>R</w:t>
      </w:r>
      <w:r w:rsidRPr="00AC0FC8">
        <w:t xml:space="preserve">egulator and why. The responses will give early indication of the likely </w:t>
      </w:r>
      <w:r w:rsidR="003B5902">
        <w:t xml:space="preserve">effects of Option 1 and the potential </w:t>
      </w:r>
      <w:r w:rsidR="00523D41">
        <w:t xml:space="preserve">scope for </w:t>
      </w:r>
      <w:r w:rsidRPr="00AC0FC8">
        <w:t>Option 2.</w:t>
      </w:r>
    </w:p>
    <w:p w14:paraId="7D891671" w14:textId="476BDFA7" w:rsidR="00FD0A13" w:rsidRPr="00AC0FC8" w:rsidRDefault="00FD0A13" w:rsidP="00AC0FC8">
      <w:r w:rsidRPr="00FD0A13">
        <w:t xml:space="preserve">The voluntary </w:t>
      </w:r>
      <w:r w:rsidR="00D367A9">
        <w:t xml:space="preserve">declaration </w:t>
      </w:r>
      <w:r w:rsidRPr="00FD0A13">
        <w:t xml:space="preserve">of water use rates may be encouraged </w:t>
      </w:r>
      <w:r w:rsidR="00D367A9">
        <w:t xml:space="preserve">but not </w:t>
      </w:r>
      <w:r w:rsidR="00E2762C">
        <w:t xml:space="preserve">mandated or </w:t>
      </w:r>
      <w:r w:rsidR="00D367A9">
        <w:t xml:space="preserve">enforced </w:t>
      </w:r>
      <w:r w:rsidRPr="00FD0A13">
        <w:t>by the GEMS Regulator.</w:t>
      </w:r>
      <w:r>
        <w:t xml:space="preserve"> </w:t>
      </w:r>
      <w:r w:rsidRPr="00FD0A13">
        <w:t xml:space="preserve">The role for the WELS Regulator under </w:t>
      </w:r>
      <w:r w:rsidR="00D367A9">
        <w:t xml:space="preserve">status quo </w:t>
      </w:r>
      <w:r w:rsidRPr="00FD0A13">
        <w:t xml:space="preserve">is </w:t>
      </w:r>
      <w:r w:rsidR="00D367A9">
        <w:t xml:space="preserve">restricted to </w:t>
      </w:r>
      <w:r w:rsidRPr="00FD0A13">
        <w:t xml:space="preserve">observation and </w:t>
      </w:r>
      <w:r>
        <w:t xml:space="preserve">collection </w:t>
      </w:r>
      <w:r w:rsidRPr="00FD0A13">
        <w:t xml:space="preserve">of </w:t>
      </w:r>
      <w:r w:rsidR="00E2762C">
        <w:t xml:space="preserve">declared </w:t>
      </w:r>
      <w:r w:rsidRPr="00FD0A13">
        <w:t>water</w:t>
      </w:r>
      <w:r w:rsidR="00E2762C">
        <w:t xml:space="preserve"> </w:t>
      </w:r>
      <w:r>
        <w:t xml:space="preserve">related </w:t>
      </w:r>
      <w:r w:rsidRPr="00FD0A13">
        <w:t>data</w:t>
      </w:r>
      <w:r w:rsidR="00E2762C">
        <w:t xml:space="preserve"> published on the GEM energy rating database</w:t>
      </w:r>
      <w:r w:rsidRPr="00FD0A13">
        <w:t>.</w:t>
      </w:r>
      <w:r w:rsidR="00FE4518">
        <w:t xml:space="preserve"> The risk is that suppliers will choose not to declare standardised water </w:t>
      </w:r>
      <w:r w:rsidR="00E2762C">
        <w:t>use rates</w:t>
      </w:r>
      <w:r w:rsidR="00DF0A7B">
        <w:t xml:space="preserve"> </w:t>
      </w:r>
      <w:r w:rsidR="00FE4518">
        <w:t>to the GEMS Regulator and/or continue to present alternative water-related information (or none) to purchasers</w:t>
      </w:r>
      <w:r w:rsidR="00A27733">
        <w:t>.</w:t>
      </w:r>
    </w:p>
    <w:p w14:paraId="2F08EFF9" w14:textId="24D67C3B" w:rsidR="00405232" w:rsidRDefault="00405232" w:rsidP="00405232">
      <w:pPr>
        <w:pStyle w:val="Heading2"/>
      </w:pPr>
      <w:bookmarkStart w:id="37" w:name="_Toc196745414"/>
      <w:r w:rsidRPr="00AC0FC8">
        <w:lastRenderedPageBreak/>
        <w:t>3.2 Option 2</w:t>
      </w:r>
      <w:r w:rsidR="00AD011D">
        <w:t>.</w:t>
      </w:r>
      <w:r w:rsidRPr="00AC0FC8">
        <w:t xml:space="preserve"> </w:t>
      </w:r>
      <w:r w:rsidR="00AC0FC8" w:rsidRPr="00AC0FC8">
        <w:t xml:space="preserve">Voluntary </w:t>
      </w:r>
      <w:r w:rsidR="004D237B">
        <w:t>declaration</w:t>
      </w:r>
      <w:r w:rsidR="00AC0FC8" w:rsidRPr="00AC0FC8">
        <w:t xml:space="preserve"> with WELS support</w:t>
      </w:r>
      <w:r w:rsidR="008C5F1B">
        <w:t xml:space="preserve"> (Non-regulatory)</w:t>
      </w:r>
      <w:bookmarkEnd w:id="37"/>
    </w:p>
    <w:p w14:paraId="03D25407" w14:textId="0D79B98E" w:rsidR="00A85CC0" w:rsidRPr="00A85CC0" w:rsidRDefault="00A85CC0" w:rsidP="00A85CC0">
      <w:r w:rsidRPr="00A85CC0">
        <w:t xml:space="preserve">This option involves the WELS </w:t>
      </w:r>
      <w:r w:rsidR="00FE4518">
        <w:t xml:space="preserve">scheme </w:t>
      </w:r>
      <w:r w:rsidRPr="00A85CC0">
        <w:t xml:space="preserve">offering support to and enhancement of the </w:t>
      </w:r>
      <w:r w:rsidR="005D5E85">
        <w:t>s</w:t>
      </w:r>
      <w:r w:rsidRPr="00A85CC0">
        <w:t xml:space="preserve">tatus </w:t>
      </w:r>
      <w:r w:rsidR="005D5E85">
        <w:t>q</w:t>
      </w:r>
      <w:r w:rsidRPr="00A85CC0">
        <w:t xml:space="preserve">uo, to increase the probability that suppliers will choose to register </w:t>
      </w:r>
      <w:r w:rsidR="00D97DFC">
        <w:t xml:space="preserve">CIM </w:t>
      </w:r>
      <w:r w:rsidRPr="00A85CC0">
        <w:t>wate</w:t>
      </w:r>
      <w:r w:rsidR="00D97DFC">
        <w:t xml:space="preserve">r use </w:t>
      </w:r>
      <w:r w:rsidRPr="00A85CC0">
        <w:t xml:space="preserve">with the GEMS Regulator and to </w:t>
      </w:r>
      <w:r w:rsidR="00D97DFC">
        <w:t xml:space="preserve">encourage purchaser </w:t>
      </w:r>
      <w:r w:rsidRPr="00A85CC0">
        <w:t>preference for water</w:t>
      </w:r>
      <w:r w:rsidR="00A17AE2">
        <w:t xml:space="preserve"> </w:t>
      </w:r>
      <w:r w:rsidRPr="00A85CC0">
        <w:t xml:space="preserve">efficient CIMs. </w:t>
      </w:r>
      <w:r w:rsidR="00D97DFC">
        <w:t>B</w:t>
      </w:r>
      <w:r w:rsidR="00900F11">
        <w:t xml:space="preserve">oth the WELS and GEMS </w:t>
      </w:r>
      <w:r w:rsidR="00EB5E18">
        <w:t>R</w:t>
      </w:r>
      <w:r w:rsidR="00900F11">
        <w:t xml:space="preserve">egulators are part of the same department (DCCEEW), </w:t>
      </w:r>
      <w:r w:rsidR="00D97DFC">
        <w:t xml:space="preserve">which would assist in </w:t>
      </w:r>
      <w:r w:rsidR="00900F11">
        <w:t xml:space="preserve">facilitating co-ordination </w:t>
      </w:r>
      <w:r w:rsidR="00D97DFC">
        <w:t>and information sharing.</w:t>
      </w:r>
      <w:r w:rsidR="00900F11">
        <w:t xml:space="preserve"> </w:t>
      </w:r>
      <w:r w:rsidR="00523D41">
        <w:t>No new regulation is required.</w:t>
      </w:r>
    </w:p>
    <w:p w14:paraId="36EE5374" w14:textId="5E6CD276" w:rsidR="00A85CC0" w:rsidRPr="00A85CC0" w:rsidRDefault="00A85CC0" w:rsidP="00A85CC0">
      <w:r w:rsidRPr="00A85CC0">
        <w:t>The measures which WELS might employ include:</w:t>
      </w:r>
    </w:p>
    <w:p w14:paraId="336E968E" w14:textId="44623777" w:rsidR="00EB5E18" w:rsidRPr="00DC5884" w:rsidRDefault="00EB5E1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Encouraging suppliers to make voluntary water use declarations when registering their CIMs with the GEMS Regulator</w:t>
      </w:r>
      <w:r w:rsidR="00B55EA8">
        <w:rPr>
          <w:rFonts w:eastAsia="Calibri" w:cs="Times New Roman"/>
          <w:szCs w:val="22"/>
        </w:rPr>
        <w:t>.</w:t>
      </w:r>
    </w:p>
    <w:p w14:paraId="29BF2389" w14:textId="3D076752" w:rsidR="00EB5E18" w:rsidRPr="00DC5884" w:rsidRDefault="00EB5E1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Encouraging </w:t>
      </w:r>
      <w:r w:rsidR="000B6067" w:rsidRPr="00DC5884">
        <w:rPr>
          <w:rFonts w:eastAsia="Calibri" w:cs="Times New Roman"/>
          <w:szCs w:val="22"/>
        </w:rPr>
        <w:t xml:space="preserve">manufacturers and </w:t>
      </w:r>
      <w:r w:rsidRPr="00DC5884">
        <w:rPr>
          <w:rFonts w:eastAsia="Calibri" w:cs="Times New Roman"/>
          <w:szCs w:val="22"/>
        </w:rPr>
        <w:t xml:space="preserve">suppliers to include </w:t>
      </w:r>
      <w:r w:rsidR="00EE4B4D" w:rsidRPr="00DC5884">
        <w:rPr>
          <w:rFonts w:eastAsia="Calibri" w:cs="Times New Roman"/>
          <w:szCs w:val="22"/>
        </w:rPr>
        <w:t xml:space="preserve">standardised </w:t>
      </w:r>
      <w:r w:rsidRPr="00DC5884">
        <w:rPr>
          <w:rFonts w:eastAsia="Calibri" w:cs="Times New Roman"/>
          <w:szCs w:val="22"/>
        </w:rPr>
        <w:t>water</w:t>
      </w:r>
      <w:r w:rsidR="00E92E3C" w:rsidRPr="00DC5884">
        <w:rPr>
          <w:rFonts w:eastAsia="Calibri" w:cs="Times New Roman"/>
          <w:szCs w:val="22"/>
        </w:rPr>
        <w:t xml:space="preserve"> </w:t>
      </w:r>
      <w:r w:rsidR="00EE4B4D" w:rsidRPr="00DC5884">
        <w:rPr>
          <w:rFonts w:eastAsia="Calibri" w:cs="Times New Roman"/>
          <w:szCs w:val="22"/>
        </w:rPr>
        <w:t xml:space="preserve">related </w:t>
      </w:r>
      <w:r w:rsidRPr="00DC5884">
        <w:rPr>
          <w:rFonts w:eastAsia="Calibri" w:cs="Times New Roman"/>
          <w:szCs w:val="22"/>
        </w:rPr>
        <w:t xml:space="preserve">information in CIM product data, </w:t>
      </w:r>
      <w:r w:rsidR="000B6067" w:rsidRPr="00DC5884">
        <w:rPr>
          <w:rFonts w:eastAsia="Calibri" w:cs="Times New Roman"/>
          <w:szCs w:val="22"/>
        </w:rPr>
        <w:t xml:space="preserve">manuals, </w:t>
      </w:r>
      <w:r w:rsidRPr="00DC5884">
        <w:rPr>
          <w:rFonts w:eastAsia="Calibri" w:cs="Times New Roman"/>
          <w:szCs w:val="22"/>
        </w:rPr>
        <w:t xml:space="preserve">advertising and </w:t>
      </w:r>
      <w:r w:rsidR="00EE4B4D" w:rsidRPr="00DC5884">
        <w:rPr>
          <w:rFonts w:eastAsia="Calibri" w:cs="Times New Roman"/>
          <w:szCs w:val="22"/>
        </w:rPr>
        <w:t xml:space="preserve">at </w:t>
      </w:r>
      <w:r w:rsidRPr="00DC5884">
        <w:rPr>
          <w:rFonts w:eastAsia="Calibri" w:cs="Times New Roman"/>
          <w:szCs w:val="22"/>
        </w:rPr>
        <w:t>point</w:t>
      </w:r>
      <w:r w:rsidR="00E92E3C" w:rsidRPr="00DC5884">
        <w:rPr>
          <w:rFonts w:eastAsia="Calibri" w:cs="Times New Roman"/>
          <w:szCs w:val="22"/>
        </w:rPr>
        <w:t xml:space="preserve"> </w:t>
      </w:r>
      <w:r w:rsidRPr="00DC5884">
        <w:rPr>
          <w:rFonts w:eastAsia="Calibri" w:cs="Times New Roman"/>
          <w:szCs w:val="22"/>
        </w:rPr>
        <w:t>of</w:t>
      </w:r>
      <w:r w:rsidR="00E92E3C" w:rsidRPr="00DC5884">
        <w:rPr>
          <w:rFonts w:eastAsia="Calibri" w:cs="Times New Roman"/>
          <w:szCs w:val="22"/>
        </w:rPr>
        <w:t xml:space="preserve"> </w:t>
      </w:r>
      <w:r w:rsidRPr="00DC5884">
        <w:rPr>
          <w:rFonts w:eastAsia="Calibri" w:cs="Times New Roman"/>
          <w:szCs w:val="22"/>
        </w:rPr>
        <w:t>sale</w:t>
      </w:r>
      <w:r w:rsidR="00B55EA8">
        <w:rPr>
          <w:rFonts w:eastAsia="Calibri" w:cs="Times New Roman"/>
          <w:szCs w:val="22"/>
        </w:rPr>
        <w:t>.</w:t>
      </w:r>
    </w:p>
    <w:p w14:paraId="70046AD8" w14:textId="66626A0B" w:rsidR="00A85CC0" w:rsidRPr="00DC5884" w:rsidRDefault="00A85CC0"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Adding text about CIMs to the WELS website and linking to the GEMS </w:t>
      </w:r>
      <w:r w:rsidR="00E92E3C" w:rsidRPr="00DC5884">
        <w:rPr>
          <w:rFonts w:eastAsia="Calibri" w:cs="Times New Roman"/>
          <w:szCs w:val="22"/>
        </w:rPr>
        <w:t>energy rating database</w:t>
      </w:r>
      <w:r w:rsidR="00B55EA8">
        <w:rPr>
          <w:rFonts w:eastAsia="Calibri" w:cs="Times New Roman"/>
          <w:szCs w:val="22"/>
        </w:rPr>
        <w:t>.</w:t>
      </w:r>
    </w:p>
    <w:p w14:paraId="7483DB46" w14:textId="3895B79F" w:rsidR="00A85CC0" w:rsidRPr="00DC5884" w:rsidRDefault="00A85CC0"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Reproducing on the WELS </w:t>
      </w:r>
      <w:r w:rsidR="00E92E3C" w:rsidRPr="00DC5884">
        <w:rPr>
          <w:rFonts w:eastAsia="Calibri" w:cs="Times New Roman"/>
          <w:szCs w:val="22"/>
        </w:rPr>
        <w:t xml:space="preserve">Water Rating </w:t>
      </w:r>
      <w:r w:rsidRPr="00DC5884">
        <w:rPr>
          <w:rFonts w:eastAsia="Calibri" w:cs="Times New Roman"/>
          <w:szCs w:val="22"/>
        </w:rPr>
        <w:t xml:space="preserve">website the CIM water </w:t>
      </w:r>
      <w:r w:rsidR="000B6067" w:rsidRPr="00DC5884">
        <w:rPr>
          <w:rFonts w:eastAsia="Calibri" w:cs="Times New Roman"/>
          <w:szCs w:val="22"/>
        </w:rPr>
        <w:t xml:space="preserve">use rates </w:t>
      </w:r>
      <w:r w:rsidRPr="00DC5884">
        <w:rPr>
          <w:rFonts w:eastAsia="Calibri" w:cs="Times New Roman"/>
          <w:szCs w:val="22"/>
        </w:rPr>
        <w:t xml:space="preserve">from the GEMS </w:t>
      </w:r>
      <w:r w:rsidR="00E92E3C" w:rsidRPr="00DC5884">
        <w:rPr>
          <w:rFonts w:eastAsia="Calibri" w:cs="Times New Roman"/>
          <w:szCs w:val="22"/>
        </w:rPr>
        <w:t>energy rating database</w:t>
      </w:r>
      <w:r w:rsidR="00B55EA8">
        <w:rPr>
          <w:rFonts w:eastAsia="Calibri" w:cs="Times New Roman"/>
          <w:szCs w:val="22"/>
        </w:rPr>
        <w:t>.</w:t>
      </w:r>
    </w:p>
    <w:p w14:paraId="26C807BE" w14:textId="65FAC291" w:rsidR="00A85CC0" w:rsidRPr="00DC5884" w:rsidRDefault="00A85CC0"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Making clear to the industry that </w:t>
      </w:r>
      <w:r w:rsidR="000B6067" w:rsidRPr="00DC5884">
        <w:rPr>
          <w:rFonts w:eastAsia="Calibri" w:cs="Times New Roman"/>
          <w:szCs w:val="22"/>
        </w:rPr>
        <w:t xml:space="preserve">failure to declare </w:t>
      </w:r>
      <w:r w:rsidRPr="00DC5884">
        <w:rPr>
          <w:rFonts w:eastAsia="Calibri" w:cs="Times New Roman"/>
          <w:szCs w:val="22"/>
        </w:rPr>
        <w:t>water</w:t>
      </w:r>
      <w:r w:rsidR="000B6067" w:rsidRPr="00DC5884">
        <w:rPr>
          <w:rFonts w:eastAsia="Calibri" w:cs="Times New Roman"/>
          <w:szCs w:val="22"/>
        </w:rPr>
        <w:t xml:space="preserve"> use rates </w:t>
      </w:r>
      <w:r w:rsidRPr="00DC5884">
        <w:rPr>
          <w:rFonts w:eastAsia="Calibri" w:cs="Times New Roman"/>
          <w:szCs w:val="22"/>
        </w:rPr>
        <w:t xml:space="preserve">could result in </w:t>
      </w:r>
      <w:r w:rsidR="000B6067" w:rsidRPr="00DC5884">
        <w:rPr>
          <w:rFonts w:eastAsia="Calibri" w:cs="Times New Roman"/>
          <w:szCs w:val="22"/>
        </w:rPr>
        <w:t xml:space="preserve">mandatory </w:t>
      </w:r>
      <w:r w:rsidRPr="00DC5884">
        <w:rPr>
          <w:rFonts w:eastAsia="Calibri" w:cs="Times New Roman"/>
          <w:szCs w:val="22"/>
        </w:rPr>
        <w:t xml:space="preserve">WELS </w:t>
      </w:r>
      <w:r w:rsidR="000B6067" w:rsidRPr="00DC5884">
        <w:rPr>
          <w:rFonts w:eastAsia="Calibri" w:cs="Times New Roman"/>
          <w:szCs w:val="22"/>
        </w:rPr>
        <w:t xml:space="preserve">measures. </w:t>
      </w:r>
      <w:r w:rsidRPr="00DC5884">
        <w:rPr>
          <w:rFonts w:eastAsia="Calibri" w:cs="Times New Roman"/>
          <w:szCs w:val="22"/>
        </w:rPr>
        <w:t xml:space="preserve">There could be explicit threshold </w:t>
      </w:r>
      <w:r w:rsidR="000B6067" w:rsidRPr="00DC5884">
        <w:rPr>
          <w:rFonts w:eastAsia="Calibri" w:cs="Times New Roman"/>
          <w:szCs w:val="22"/>
        </w:rPr>
        <w:t>targets</w:t>
      </w:r>
      <w:r w:rsidRPr="00DC5884">
        <w:rPr>
          <w:rFonts w:eastAsia="Calibri" w:cs="Times New Roman"/>
          <w:szCs w:val="22"/>
        </w:rPr>
        <w:t>, e.g. at least 80% participation rate by CIM suppliers by a target date, and 80% of models with water</w:t>
      </w:r>
      <w:r w:rsidR="000B6067" w:rsidRPr="00DC5884">
        <w:rPr>
          <w:rFonts w:eastAsia="Calibri" w:cs="Times New Roman"/>
          <w:szCs w:val="22"/>
        </w:rPr>
        <w:t xml:space="preserve"> use rates </w:t>
      </w:r>
      <w:r w:rsidR="004D237B" w:rsidRPr="00DC5884">
        <w:rPr>
          <w:rFonts w:eastAsia="Calibri" w:cs="Times New Roman"/>
          <w:szCs w:val="22"/>
        </w:rPr>
        <w:t>declare</w:t>
      </w:r>
      <w:r w:rsidRPr="00DC5884">
        <w:rPr>
          <w:rFonts w:eastAsia="Calibri" w:cs="Times New Roman"/>
          <w:szCs w:val="22"/>
        </w:rPr>
        <w:t xml:space="preserve">d (to counter the tendency in voluntary programs to limit </w:t>
      </w:r>
      <w:r w:rsidR="004D237B" w:rsidRPr="00DC5884">
        <w:rPr>
          <w:rFonts w:eastAsia="Calibri" w:cs="Times New Roman"/>
          <w:szCs w:val="22"/>
        </w:rPr>
        <w:t>declaration</w:t>
      </w:r>
      <w:r w:rsidRPr="00DC5884">
        <w:rPr>
          <w:rFonts w:eastAsia="Calibri" w:cs="Times New Roman"/>
          <w:szCs w:val="22"/>
        </w:rPr>
        <w:t xml:space="preserve"> to efficient models only)</w:t>
      </w:r>
      <w:r w:rsidR="00B55EA8">
        <w:rPr>
          <w:rFonts w:eastAsia="Calibri" w:cs="Times New Roman"/>
          <w:szCs w:val="22"/>
        </w:rPr>
        <w:t>.</w:t>
      </w:r>
    </w:p>
    <w:p w14:paraId="3A193EF7" w14:textId="1F1ABCB1" w:rsidR="000B6067" w:rsidRPr="00DC5884" w:rsidRDefault="000B6067"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Working with industry to develop voluntary labelling or water use information at point of sale.</w:t>
      </w:r>
    </w:p>
    <w:p w14:paraId="6F3A2225" w14:textId="4704FD05" w:rsidR="00A85CC0" w:rsidRPr="00A85CC0" w:rsidRDefault="00A85CC0" w:rsidP="00A85CC0">
      <w:r w:rsidRPr="00A85CC0">
        <w:t>Logically, these measure</w:t>
      </w:r>
      <w:r w:rsidR="004923E4">
        <w:t>s</w:t>
      </w:r>
      <w:r w:rsidRPr="00A85CC0">
        <w:t xml:space="preserve"> should result in higher levels of </w:t>
      </w:r>
      <w:r w:rsidR="004D237B">
        <w:t>declaration</w:t>
      </w:r>
      <w:r w:rsidR="000B6067">
        <w:t xml:space="preserve">, stronger purchaser preference for </w:t>
      </w:r>
      <w:r w:rsidR="00523D41">
        <w:t>more water</w:t>
      </w:r>
      <w:r w:rsidR="00A17AE2">
        <w:t xml:space="preserve"> </w:t>
      </w:r>
      <w:r w:rsidR="00523D41">
        <w:t xml:space="preserve">efficient </w:t>
      </w:r>
      <w:r w:rsidR="000B6067">
        <w:t xml:space="preserve">products and </w:t>
      </w:r>
      <w:r w:rsidRPr="00A85CC0">
        <w:t xml:space="preserve">lower overall CIM water consumption than under the </w:t>
      </w:r>
      <w:r w:rsidR="005D5E85">
        <w:t>s</w:t>
      </w:r>
      <w:r w:rsidRPr="00A85CC0">
        <w:t xml:space="preserve">tatus </w:t>
      </w:r>
      <w:r w:rsidR="005D5E85">
        <w:t>q</w:t>
      </w:r>
      <w:r w:rsidRPr="00A85CC0">
        <w:t>uo, at relatively small additional cost.</w:t>
      </w:r>
    </w:p>
    <w:p w14:paraId="243CD6BC" w14:textId="0285D1D3" w:rsidR="00A85CC0" w:rsidRPr="00A85CC0" w:rsidRDefault="00A85CC0" w:rsidP="00A85CC0">
      <w:r w:rsidRPr="00A85CC0">
        <w:t xml:space="preserve">This option </w:t>
      </w:r>
      <w:r w:rsidR="00BB2049">
        <w:t>may</w:t>
      </w:r>
      <w:r w:rsidRPr="00A85CC0">
        <w:t xml:space="preserve"> include the development of a CIM water</w:t>
      </w:r>
      <w:r w:rsidR="00E92E3C">
        <w:t xml:space="preserve"> </w:t>
      </w:r>
      <w:r w:rsidRPr="00A85CC0">
        <w:t>efficiency label which suppliers could choose to apply to models for which water</w:t>
      </w:r>
      <w:r w:rsidR="000B6067">
        <w:t xml:space="preserve"> use rates have </w:t>
      </w:r>
      <w:r w:rsidRPr="00A85CC0">
        <w:t>been registered with GEMS. There is no energy label requirement for CIMs, since MEPS has been selected as the best option to drive energy</w:t>
      </w:r>
      <w:r w:rsidR="00F61895">
        <w:t xml:space="preserve"> </w:t>
      </w:r>
      <w:r w:rsidRPr="00A85CC0">
        <w:t>efficiency</w:t>
      </w:r>
      <w:r w:rsidR="00E92E3C">
        <w:t>. However</w:t>
      </w:r>
      <w:r w:rsidRPr="00A85CC0">
        <w:t xml:space="preserve">, there are requirements for models to be identifiable by their GEMS registration number. </w:t>
      </w:r>
      <w:r w:rsidR="00523D41">
        <w:t xml:space="preserve">Apart from the rates of voluntary declaration, the success of Option 2 could be measured by </w:t>
      </w:r>
      <w:r w:rsidR="001E2E58">
        <w:t xml:space="preserve">factors like </w:t>
      </w:r>
      <w:r w:rsidR="00523D41">
        <w:t>the rate of adoption of voluntary labelling and t</w:t>
      </w:r>
      <w:r w:rsidR="00523D41" w:rsidRPr="00A85CC0">
        <w:t xml:space="preserve">he number of </w:t>
      </w:r>
      <w:r w:rsidR="00523D41">
        <w:t xml:space="preserve">website </w:t>
      </w:r>
      <w:r w:rsidR="001E2E58">
        <w:t>visits.</w:t>
      </w:r>
    </w:p>
    <w:p w14:paraId="4D733A50" w14:textId="021114D8" w:rsidR="00BF6596" w:rsidRDefault="00A85CC0" w:rsidP="00A85CC0">
      <w:r w:rsidRPr="00A85CC0">
        <w:t>There is precedent for inclusion of a voluntary</w:t>
      </w:r>
      <w:r w:rsidR="00E92E3C">
        <w:t xml:space="preserve"> </w:t>
      </w:r>
      <w:r w:rsidRPr="00A85CC0">
        <w:t xml:space="preserve">use label in </w:t>
      </w:r>
      <w:r w:rsidR="00E92E3C">
        <w:t xml:space="preserve">WELS </w:t>
      </w:r>
      <w:r w:rsidR="00421E07">
        <w:t>s</w:t>
      </w:r>
      <w:r w:rsidR="00E92E3C">
        <w:t>tandard (</w:t>
      </w:r>
      <w:r w:rsidRPr="00A85CC0">
        <w:t>AS/NZS 6400</w:t>
      </w:r>
      <w:r w:rsidR="00E92E3C">
        <w:t>)</w:t>
      </w:r>
      <w:r w:rsidRPr="00A85CC0">
        <w:t xml:space="preserve">, which </w:t>
      </w:r>
      <w:r w:rsidR="00523D41">
        <w:t xml:space="preserve">currently </w:t>
      </w:r>
      <w:r w:rsidR="00EE4B4D">
        <w:t xml:space="preserve">only </w:t>
      </w:r>
      <w:r w:rsidRPr="00A85CC0">
        <w:t>covers mandatory WELS labels. The E3 Committee operated a voluntary energy labelling scheme for swimming pool pumps from 2010 to 202</w:t>
      </w:r>
      <w:r w:rsidR="00D17AF3">
        <w:t>2</w:t>
      </w:r>
      <w:r w:rsidRPr="00A85CC0">
        <w:t>.</w:t>
      </w:r>
      <w:r w:rsidR="00B2338D">
        <w:t xml:space="preserve"> It permitted and controlled the </w:t>
      </w:r>
      <w:r w:rsidR="00B2338D">
        <w:lastRenderedPageBreak/>
        <w:t>voluntary use of an energy label which was part of a published standard.</w:t>
      </w:r>
      <w:r w:rsidR="00BB2049">
        <w:rPr>
          <w:rStyle w:val="FootnoteReference"/>
        </w:rPr>
        <w:footnoteReference w:id="9"/>
      </w:r>
      <w:r w:rsidRPr="00A85CC0">
        <w:t xml:space="preserve"> </w:t>
      </w:r>
      <w:r w:rsidR="00C335C4">
        <w:t>The voluntary scheme was intended as a transition to a mandatory scheme, which took longer than expected to implement. As expected, suppliers only labelled their most efficient pool pumps until labelling and MEPS became mandatory</w:t>
      </w:r>
      <w:r w:rsidR="00E61D0C">
        <w:t xml:space="preserve"> in October 2022</w:t>
      </w:r>
      <w:r w:rsidR="00C335C4">
        <w:t>.</w:t>
      </w:r>
    </w:p>
    <w:p w14:paraId="758CD51D" w14:textId="436147AA" w:rsidR="00BF6596" w:rsidRDefault="00BF6596" w:rsidP="00A85CC0">
      <w:r>
        <w:t xml:space="preserve">Voluntary water </w:t>
      </w:r>
      <w:r w:rsidR="00C335C4">
        <w:t xml:space="preserve">and </w:t>
      </w:r>
      <w:r>
        <w:t xml:space="preserve">energy labelling programs have </w:t>
      </w:r>
      <w:r w:rsidR="00C335C4">
        <w:t xml:space="preserve">had </w:t>
      </w:r>
      <w:r>
        <w:t xml:space="preserve">limited impact without either a strong industry association to enforce them, </w:t>
      </w:r>
      <w:r w:rsidR="00E92E3C">
        <w:t xml:space="preserve">or </w:t>
      </w:r>
      <w:r>
        <w:t>the expectation of government intervention (so incentivising early movers</w:t>
      </w:r>
      <w:r w:rsidR="00E92E3C">
        <w:t xml:space="preserve"> with</w:t>
      </w:r>
      <w:r w:rsidR="00C335C4">
        <w:t xml:space="preserve"> the hope of avoiding such intervention</w:t>
      </w:r>
      <w:r w:rsidR="00E92E3C">
        <w:t>)</w:t>
      </w:r>
      <w:r w:rsidR="00C335C4">
        <w:t>. There is no single association representing the CIM industry, although some suppliers are members of NAFES</w:t>
      </w:r>
      <w:r w:rsidR="00EA6421">
        <w:t>, which could be approached to assist with WELS</w:t>
      </w:r>
      <w:r w:rsidR="00DF0A7B">
        <w:t xml:space="preserve"> </w:t>
      </w:r>
      <w:r w:rsidR="00EA6421">
        <w:t>led initiative</w:t>
      </w:r>
      <w:r w:rsidR="00E92E3C">
        <w:t>s</w:t>
      </w:r>
      <w:r w:rsidR="00C335C4">
        <w:t>.</w:t>
      </w:r>
      <w:r>
        <w:t xml:space="preserve"> </w:t>
      </w:r>
      <w:r w:rsidR="004923E4">
        <w:t>Therefore,</w:t>
      </w:r>
      <w:r w:rsidR="00C335C4">
        <w:t xml:space="preserve"> the main incentive </w:t>
      </w:r>
      <w:r w:rsidR="001E2E58">
        <w:t xml:space="preserve">for </w:t>
      </w:r>
      <w:r w:rsidR="00C335C4">
        <w:t>voluntary adoption of a water use label under Option 2 would be to forestall regulatory action.</w:t>
      </w:r>
    </w:p>
    <w:p w14:paraId="3A25CD4B" w14:textId="6D0C56DB" w:rsidR="00EA6421" w:rsidRDefault="00EA6421" w:rsidP="00A85CC0">
      <w:r>
        <w:t xml:space="preserve">The main risk for the WELS program is that a significant number of suppliers could still choose not to declare the </w:t>
      </w:r>
      <w:r w:rsidR="00CE59EF">
        <w:t>water efficiency</w:t>
      </w:r>
      <w:r>
        <w:t xml:space="preserve"> of their products or continue to use non-standardised data in their advertising and product information. This could delay effective regulatory action.</w:t>
      </w:r>
    </w:p>
    <w:p w14:paraId="75E9FE09" w14:textId="08DCB4B2" w:rsidR="00A85CC0" w:rsidRDefault="00405232" w:rsidP="00A85CC0">
      <w:pPr>
        <w:pStyle w:val="Heading2"/>
        <w:rPr>
          <w:b/>
          <w:bCs/>
        </w:rPr>
      </w:pPr>
      <w:bookmarkStart w:id="38" w:name="_Toc196745415"/>
      <w:r w:rsidRPr="00405232">
        <w:t>3.3 Option 3</w:t>
      </w:r>
      <w:r w:rsidR="004D237B">
        <w:t>A</w:t>
      </w:r>
      <w:r w:rsidR="00AD011D">
        <w:t>.</w:t>
      </w:r>
      <w:r w:rsidR="00C335C4">
        <w:t xml:space="preserve"> Product registration and </w:t>
      </w:r>
      <w:r w:rsidR="00A85CC0" w:rsidRPr="00A85CC0">
        <w:t xml:space="preserve">information </w:t>
      </w:r>
      <w:r w:rsidR="008C5F1B">
        <w:t xml:space="preserve">declaration </w:t>
      </w:r>
      <w:r w:rsidR="00A85CC0" w:rsidRPr="00A85CC0">
        <w:t>(Regulatory)</w:t>
      </w:r>
      <w:bookmarkEnd w:id="38"/>
    </w:p>
    <w:p w14:paraId="3422E334" w14:textId="63DD0A7F" w:rsidR="00A85CC0" w:rsidRPr="00A85CC0" w:rsidRDefault="00900F11" w:rsidP="00A85CC0">
      <w:r>
        <w:t xml:space="preserve">This </w:t>
      </w:r>
      <w:r w:rsidR="008C5F1B">
        <w:t xml:space="preserve">option </w:t>
      </w:r>
      <w:r>
        <w:t>involves p</w:t>
      </w:r>
      <w:r w:rsidR="00A85CC0" w:rsidRPr="00A85CC0">
        <w:t xml:space="preserve">roduct registration </w:t>
      </w:r>
      <w:r w:rsidR="00B2338D">
        <w:t xml:space="preserve">with the </w:t>
      </w:r>
      <w:r>
        <w:t xml:space="preserve">WELS </w:t>
      </w:r>
      <w:r w:rsidR="00B2338D">
        <w:t xml:space="preserve">Regulator </w:t>
      </w:r>
      <w:r w:rsidR="00A85CC0" w:rsidRPr="00A85CC0">
        <w:t>and application of mandatory product labelling and/or information provision</w:t>
      </w:r>
      <w:r w:rsidR="004D237B">
        <w:t>s</w:t>
      </w:r>
      <w:r w:rsidR="00A85CC0" w:rsidRPr="00A85CC0">
        <w:t>.</w:t>
      </w:r>
      <w:r>
        <w:t xml:space="preserve"> It </w:t>
      </w:r>
      <w:r w:rsidR="00A85CC0" w:rsidRPr="00A85CC0">
        <w:t>would require a</w:t>
      </w:r>
      <w:r w:rsidR="00B2338D">
        <w:t xml:space="preserve">mendment to the existing </w:t>
      </w:r>
      <w:r w:rsidR="00A85CC0" w:rsidRPr="00A85CC0">
        <w:t>WELS Determination</w:t>
      </w:r>
      <w:r w:rsidR="002E7CBE">
        <w:t xml:space="preserve">, revision of the WELS standard </w:t>
      </w:r>
      <w:r w:rsidR="00421E07">
        <w:t>(</w:t>
      </w:r>
      <w:r w:rsidR="002E7CBE">
        <w:t>AS/NZS 6400</w:t>
      </w:r>
      <w:r w:rsidR="00421E07">
        <w:t>)</w:t>
      </w:r>
      <w:r w:rsidR="00A85CC0" w:rsidRPr="00A85CC0">
        <w:t xml:space="preserve"> and the establishment of a registration process for CIMs, with </w:t>
      </w:r>
      <w:r w:rsidR="002E7CBE">
        <w:t xml:space="preserve">applicable registration </w:t>
      </w:r>
      <w:r w:rsidR="00A85CC0" w:rsidRPr="00A85CC0">
        <w:t xml:space="preserve">fees. If there is no parallel New Zealand regulation, mandatory WELS options may also require a ruling under the Trans-Tasman Mutual Recognition Act (TTMRA) under which a product lawfully manufactured in or imported into either Australia or New Zealand can be exported to the other. </w:t>
      </w:r>
      <w:r w:rsidR="001E2E58">
        <w:t>W</w:t>
      </w:r>
      <w:r w:rsidR="00A85CC0" w:rsidRPr="00A85CC0">
        <w:t>ithout such an exemption</w:t>
      </w:r>
      <w:r>
        <w:t xml:space="preserve">, </w:t>
      </w:r>
      <w:r w:rsidR="00421E07">
        <w:t xml:space="preserve">the risk presented is that </w:t>
      </w:r>
      <w:r>
        <w:t>New Zealand</w:t>
      </w:r>
      <w:r w:rsidR="00A85CC0" w:rsidRPr="00A85CC0">
        <w:t xml:space="preserve"> importer</w:t>
      </w:r>
      <w:r>
        <w:t>s</w:t>
      </w:r>
      <w:r w:rsidR="00A85CC0" w:rsidRPr="00A85CC0">
        <w:t xml:space="preserve"> of CIMs would be able to </w:t>
      </w:r>
      <w:r w:rsidR="001E2E58">
        <w:t>re-</w:t>
      </w:r>
      <w:r w:rsidR="00A85CC0" w:rsidRPr="00A85CC0">
        <w:t xml:space="preserve">export them to Australia even if they did not meet WELS </w:t>
      </w:r>
      <w:r w:rsidR="00B2338D">
        <w:t>registration</w:t>
      </w:r>
      <w:r w:rsidR="002E7CBE">
        <w:t xml:space="preserve"> or </w:t>
      </w:r>
      <w:r w:rsidR="00A85CC0" w:rsidRPr="00A85CC0">
        <w:t>labelling requirements.</w:t>
      </w:r>
    </w:p>
    <w:p w14:paraId="72A49C2A" w14:textId="6D61064F" w:rsidR="002E7CBE" w:rsidRPr="002E7CBE" w:rsidRDefault="002E7CBE" w:rsidP="002E7CBE">
      <w:r w:rsidRPr="002E7CBE">
        <w:t xml:space="preserve">The WELS Determination would require </w:t>
      </w:r>
      <w:r w:rsidR="008C5F1B">
        <w:t xml:space="preserve">suppliers </w:t>
      </w:r>
      <w:r w:rsidRPr="002E7CBE">
        <w:t>to register the</w:t>
      </w:r>
      <w:r w:rsidR="00421E07">
        <w:t>ir</w:t>
      </w:r>
      <w:r w:rsidRPr="002E7CBE">
        <w:t xml:space="preserve"> products and include the WELS-registered water efficiency information in their CIM product information and advertising. This </w:t>
      </w:r>
      <w:r w:rsidR="001E2E58">
        <w:t xml:space="preserve">would </w:t>
      </w:r>
      <w:r w:rsidRPr="002E7CBE">
        <w:t xml:space="preserve">need the </w:t>
      </w:r>
      <w:r w:rsidR="006C5C9F">
        <w:t xml:space="preserve">inclusion </w:t>
      </w:r>
      <w:r w:rsidR="00EA6421">
        <w:t xml:space="preserve">of </w:t>
      </w:r>
      <w:r w:rsidRPr="002E7CBE">
        <w:t xml:space="preserve">a CIM </w:t>
      </w:r>
      <w:r w:rsidR="00CE59EF">
        <w:t>water efficiency</w:t>
      </w:r>
      <w:r w:rsidRPr="002E7CBE">
        <w:t xml:space="preserve"> label in </w:t>
      </w:r>
      <w:r w:rsidR="00421E07">
        <w:t>the WELS standard (</w:t>
      </w:r>
      <w:r w:rsidRPr="002E7CBE">
        <w:t>AS/NZS</w:t>
      </w:r>
      <w:r>
        <w:t xml:space="preserve"> </w:t>
      </w:r>
      <w:r w:rsidRPr="002E7CBE">
        <w:t>6400</w:t>
      </w:r>
      <w:r w:rsidR="00421E07">
        <w:t>)</w:t>
      </w:r>
      <w:r w:rsidR="006C5C9F">
        <w:t xml:space="preserve"> to </w:t>
      </w:r>
      <w:r w:rsidRPr="002E7CBE">
        <w:t xml:space="preserve">convey information </w:t>
      </w:r>
      <w:r w:rsidR="006C5C9F">
        <w:t xml:space="preserve">via </w:t>
      </w:r>
      <w:r w:rsidRPr="002E7CBE">
        <w:t>a comparative star rating, a water</w:t>
      </w:r>
      <w:r>
        <w:t xml:space="preserve"> intensity </w:t>
      </w:r>
      <w:r w:rsidRPr="002E7CBE">
        <w:t xml:space="preserve">value (L/kg ice produced), estimated annual water </w:t>
      </w:r>
      <w:r>
        <w:t xml:space="preserve">use </w:t>
      </w:r>
      <w:r w:rsidRPr="002E7CBE">
        <w:t>(kl/yr) or a combination of these.</w:t>
      </w:r>
    </w:p>
    <w:p w14:paraId="75104E42" w14:textId="0F969480" w:rsidR="004D237B" w:rsidRDefault="001E2E58" w:rsidP="00A85CC0">
      <w:r>
        <w:t>Mandatory l</w:t>
      </w:r>
      <w:r w:rsidR="00A85CC0" w:rsidRPr="00A85CC0">
        <w:t>abelling requirements could be restricted to batch-production (shaped ice) CIM product classes</w:t>
      </w:r>
      <w:r>
        <w:t>,</w:t>
      </w:r>
      <w:r w:rsidR="00A85CC0" w:rsidRPr="00A85CC0">
        <w:t xml:space="preserve"> where there is a wide range in water efficiency. Continuous</w:t>
      </w:r>
      <w:r w:rsidR="000F0AE0">
        <w:t xml:space="preserve"> </w:t>
      </w:r>
      <w:r w:rsidR="00A85CC0" w:rsidRPr="00A85CC0">
        <w:t xml:space="preserve">production (flaked ice) CIMs all use </w:t>
      </w:r>
      <w:r w:rsidR="00A6762A">
        <w:t xml:space="preserve">similar </w:t>
      </w:r>
      <w:r w:rsidR="00A85CC0" w:rsidRPr="00A85CC0">
        <w:t>amount</w:t>
      </w:r>
      <w:r w:rsidR="00A6762A">
        <w:t>s</w:t>
      </w:r>
      <w:r w:rsidR="00A85CC0" w:rsidRPr="00A85CC0">
        <w:t xml:space="preserve"> of potable water per kg of ice produced, so labelling would be less </w:t>
      </w:r>
      <w:r w:rsidR="00A6762A">
        <w:t xml:space="preserve">informative, </w:t>
      </w:r>
      <w:r w:rsidR="00A85CC0" w:rsidRPr="00A85CC0">
        <w:t>although it would still alert buyers to take water use into consideration.</w:t>
      </w:r>
    </w:p>
    <w:p w14:paraId="6E01E21C" w14:textId="4E9EA3A1" w:rsidR="006C5C9F" w:rsidRDefault="006C5C9F" w:rsidP="00A85CC0">
      <w:r>
        <w:lastRenderedPageBreak/>
        <w:t xml:space="preserve">This option would be implemented in the event that the </w:t>
      </w:r>
      <w:r w:rsidR="005D5E85">
        <w:t>s</w:t>
      </w:r>
      <w:r>
        <w:t xml:space="preserve">tatus </w:t>
      </w:r>
      <w:r w:rsidR="005D5E85">
        <w:t>q</w:t>
      </w:r>
      <w:r>
        <w:t xml:space="preserve">uo or Option 2 (if implemented) proved ineffective. The main risk is that effective action would therefore be delayed, resulting in higher water use and higher operating costs for possibly tens of thousands of CIM sales. The </w:t>
      </w:r>
      <w:r w:rsidR="001B33DD">
        <w:t xml:space="preserve">significant </w:t>
      </w:r>
      <w:r>
        <w:t xml:space="preserve">lead times to revise </w:t>
      </w:r>
      <w:r w:rsidR="000F0AE0">
        <w:t>the WELS standard (</w:t>
      </w:r>
      <w:r>
        <w:t>AS/NZS 6400</w:t>
      </w:r>
      <w:r w:rsidR="000F0AE0">
        <w:t>)</w:t>
      </w:r>
      <w:r>
        <w:t xml:space="preserve"> and to </w:t>
      </w:r>
      <w:r w:rsidR="000F0AE0">
        <w:t>amend delegated</w:t>
      </w:r>
      <w:r w:rsidR="00DF0A7B">
        <w:t xml:space="preserve"> </w:t>
      </w:r>
      <w:r w:rsidR="000F0AE0">
        <w:t xml:space="preserve">legislation </w:t>
      </w:r>
      <w:r>
        <w:t>add to this risk.</w:t>
      </w:r>
    </w:p>
    <w:p w14:paraId="070E46C5" w14:textId="4432B262" w:rsidR="004D237B" w:rsidRDefault="004D237B" w:rsidP="004D237B">
      <w:pPr>
        <w:pStyle w:val="Heading2"/>
        <w:rPr>
          <w:b/>
          <w:bCs/>
        </w:rPr>
      </w:pPr>
      <w:bookmarkStart w:id="39" w:name="_Toc196745416"/>
      <w:r w:rsidRPr="00405232">
        <w:t>3.</w:t>
      </w:r>
      <w:r>
        <w:t>4</w:t>
      </w:r>
      <w:r w:rsidRPr="00405232">
        <w:t xml:space="preserve"> Option 3</w:t>
      </w:r>
      <w:r>
        <w:t>B</w:t>
      </w:r>
      <w:bookmarkStart w:id="40" w:name="_Hlk192156891"/>
      <w:r w:rsidR="00AD011D">
        <w:t xml:space="preserve">. </w:t>
      </w:r>
      <w:r w:rsidR="00AD011D" w:rsidRPr="00AD011D">
        <w:t xml:space="preserve">Product registration and information </w:t>
      </w:r>
      <w:r w:rsidR="008C5F1B">
        <w:t>declaration</w:t>
      </w:r>
      <w:r w:rsidR="00AD011D" w:rsidRPr="00AD011D">
        <w:t xml:space="preserve"> - accelerated implementation</w:t>
      </w:r>
      <w:bookmarkEnd w:id="40"/>
      <w:r w:rsidR="008C5F1B">
        <w:t xml:space="preserve"> </w:t>
      </w:r>
      <w:r w:rsidR="008C5F1B" w:rsidRPr="00AD011D">
        <w:t>(Regulatory)</w:t>
      </w:r>
      <w:bookmarkEnd w:id="39"/>
    </w:p>
    <w:p w14:paraId="7B300498" w14:textId="3A6C895B" w:rsidR="004D237B" w:rsidRDefault="00A6762A" w:rsidP="00A85CC0">
      <w:bookmarkStart w:id="41" w:name="_Hlk192156931"/>
      <w:r>
        <w:t>Option 3B is similar to Option 3A, except with regard to the timing. While Option 3A could be implemented sequentially after Option 2 in the event that voluntary participation is low, Option 3B would be initiated sooner, as an alternative rather than a potential follow-up to Option 2.</w:t>
      </w:r>
    </w:p>
    <w:p w14:paraId="70DE4CD6" w14:textId="036C35E0" w:rsidR="006C5C9F" w:rsidRDefault="006C5C9F" w:rsidP="00A85CC0">
      <w:r>
        <w:t xml:space="preserve">The main risk is that greater costs will be imposed on both suppliers and the </w:t>
      </w:r>
      <w:r w:rsidR="000F0AE0">
        <w:t>WELS</w:t>
      </w:r>
      <w:r>
        <w:t xml:space="preserve"> Regulator than under a voluntary approach (Option 2), </w:t>
      </w:r>
      <w:r w:rsidR="00641861">
        <w:t>without knowing whether that would have been effective.</w:t>
      </w:r>
    </w:p>
    <w:p w14:paraId="3C8084FE" w14:textId="371E473A" w:rsidR="00A85CC0" w:rsidRPr="00A85CC0" w:rsidRDefault="00A85CC0" w:rsidP="00A85CC0">
      <w:pPr>
        <w:pStyle w:val="Heading2"/>
        <w:jc w:val="left"/>
      </w:pPr>
      <w:bookmarkStart w:id="42" w:name="_Toc196745417"/>
      <w:bookmarkEnd w:id="41"/>
      <w:r w:rsidRPr="00A85CC0">
        <w:t>3.</w:t>
      </w:r>
      <w:r w:rsidR="004D237B">
        <w:t>5</w:t>
      </w:r>
      <w:r w:rsidRPr="00A85CC0">
        <w:t xml:space="preserve"> Option </w:t>
      </w:r>
      <w:r>
        <w:t>4</w:t>
      </w:r>
      <w:r w:rsidR="00A6762A">
        <w:t>A</w:t>
      </w:r>
      <w:r w:rsidR="00AD011D">
        <w:t>.</w:t>
      </w:r>
      <w:r w:rsidRPr="00A85CC0">
        <w:t xml:space="preserve"> </w:t>
      </w:r>
      <w:r w:rsidR="00A6762A">
        <w:t xml:space="preserve">Product registration, </w:t>
      </w:r>
      <w:r w:rsidR="008C5F1B">
        <w:t>M</w:t>
      </w:r>
      <w:r w:rsidR="00A6762A">
        <w:t xml:space="preserve">inimum </w:t>
      </w:r>
      <w:r w:rsidR="008C5F1B">
        <w:t>W</w:t>
      </w:r>
      <w:r w:rsidR="00A6762A">
        <w:t xml:space="preserve">ater </w:t>
      </w:r>
      <w:r w:rsidR="008C5F1B">
        <w:t>E</w:t>
      </w:r>
      <w:r w:rsidR="00A6762A">
        <w:t xml:space="preserve">fficiency </w:t>
      </w:r>
      <w:r w:rsidR="008C5F1B">
        <w:t>S</w:t>
      </w:r>
      <w:r w:rsidR="00A6762A" w:rsidRPr="00A85CC0">
        <w:t xml:space="preserve">tandards </w:t>
      </w:r>
      <w:r w:rsidR="00507F8A">
        <w:t xml:space="preserve">and </w:t>
      </w:r>
      <w:r w:rsidR="00A6762A">
        <w:t xml:space="preserve">information </w:t>
      </w:r>
      <w:r w:rsidR="004940DD">
        <w:t xml:space="preserve">declaration </w:t>
      </w:r>
      <w:r w:rsidRPr="00A85CC0">
        <w:t>(Regulatory)</w:t>
      </w:r>
      <w:bookmarkEnd w:id="42"/>
    </w:p>
    <w:p w14:paraId="22FFE065" w14:textId="442E32E8" w:rsidR="00A85CC0" w:rsidRDefault="00AF1F2E" w:rsidP="00A85CC0">
      <w:r>
        <w:t xml:space="preserve">This </w:t>
      </w:r>
      <w:r w:rsidR="004940DD">
        <w:t xml:space="preserve">option </w:t>
      </w:r>
      <w:r>
        <w:t xml:space="preserve">involves </w:t>
      </w:r>
      <w:r w:rsidR="00A6762A">
        <w:t xml:space="preserve">mandatory </w:t>
      </w:r>
      <w:r>
        <w:t>p</w:t>
      </w:r>
      <w:r w:rsidR="00A85CC0" w:rsidRPr="008522EE">
        <w:t>roduct registration</w:t>
      </w:r>
      <w:r>
        <w:t xml:space="preserve"> with the WELS Regulator</w:t>
      </w:r>
      <w:r w:rsidR="00A85CC0" w:rsidRPr="008522EE">
        <w:t xml:space="preserve">, application of </w:t>
      </w:r>
      <w:r w:rsidR="004940DD">
        <w:t>M</w:t>
      </w:r>
      <w:r w:rsidR="001E2E58" w:rsidRPr="008522EE">
        <w:t xml:space="preserve">inimum </w:t>
      </w:r>
      <w:r w:rsidR="004940DD">
        <w:t>W</w:t>
      </w:r>
      <w:r w:rsidR="001E2E58" w:rsidRPr="008522EE">
        <w:t xml:space="preserve">ater </w:t>
      </w:r>
      <w:r w:rsidR="004940DD">
        <w:t>E</w:t>
      </w:r>
      <w:r w:rsidR="001E2E58" w:rsidRPr="008522EE">
        <w:t xml:space="preserve">fficiency </w:t>
      </w:r>
      <w:r w:rsidR="004940DD">
        <w:t>S</w:t>
      </w:r>
      <w:r w:rsidR="001E2E58" w:rsidRPr="008522EE">
        <w:t>tandards</w:t>
      </w:r>
      <w:r w:rsidR="00A85CC0" w:rsidRPr="008522EE">
        <w:t xml:space="preserve">, and </w:t>
      </w:r>
      <w:r w:rsidR="00A85CC0">
        <w:t>(</w:t>
      </w:r>
      <w:r w:rsidR="00A6762A">
        <w:t>optionally</w:t>
      </w:r>
      <w:r w:rsidR="00A85CC0">
        <w:t xml:space="preserve">) </w:t>
      </w:r>
      <w:r w:rsidR="00A85CC0" w:rsidRPr="008522EE">
        <w:t>application of mandatory product labelling and/or information provision</w:t>
      </w:r>
      <w:r w:rsidR="00A6762A">
        <w:t xml:space="preserve"> at point of sale.</w:t>
      </w:r>
    </w:p>
    <w:p w14:paraId="4D50454D" w14:textId="06F04158" w:rsidR="00A85CC0" w:rsidRDefault="00A85CC0" w:rsidP="00A85CC0">
      <w:r>
        <w:t>This is the most stringent option in that it would impose the heaviest burden on suppliers and</w:t>
      </w:r>
      <w:r w:rsidR="00507F8A">
        <w:t xml:space="preserve"> for some,</w:t>
      </w:r>
      <w:r>
        <w:t xml:space="preserve"> force changes to their model range. However, it should result in the lowest aggregate water use and may be the most cost-effective option if projected benefits outweigh costs by a sufficient margin.</w:t>
      </w:r>
    </w:p>
    <w:p w14:paraId="1B7F872C" w14:textId="5B641CB1" w:rsidR="00A85CC0" w:rsidRDefault="00147F51" w:rsidP="00A85CC0">
      <w:r>
        <w:t>Minimum W</w:t>
      </w:r>
      <w:r w:rsidR="00A85CC0">
        <w:t>ater</w:t>
      </w:r>
      <w:r>
        <w:t xml:space="preserve"> E</w:t>
      </w:r>
      <w:r w:rsidR="00A85CC0">
        <w:t xml:space="preserve">fficiency </w:t>
      </w:r>
      <w:r>
        <w:t>S</w:t>
      </w:r>
      <w:r w:rsidR="00A85CC0">
        <w:t>tandards (</w:t>
      </w:r>
      <w:r w:rsidR="001E2E58">
        <w:t>expressed as</w:t>
      </w:r>
      <w:r w:rsidR="00A85CC0">
        <w:t xml:space="preserve"> maximum </w:t>
      </w:r>
      <w:r w:rsidR="00633F20">
        <w:t>L</w:t>
      </w:r>
      <w:r w:rsidR="00A85CC0">
        <w:t>/kg limits</w:t>
      </w:r>
      <w:r w:rsidR="001E2E58">
        <w:t>, possibly varying with output capacity</w:t>
      </w:r>
      <w:r w:rsidR="00A85CC0">
        <w:t>) may be applied to potable water</w:t>
      </w:r>
      <w:r w:rsidR="00AF1F2E">
        <w:t xml:space="preserve"> use</w:t>
      </w:r>
      <w:r w:rsidR="00A85CC0">
        <w:t xml:space="preserve">, condenser water </w:t>
      </w:r>
      <w:r w:rsidR="00AF1F2E">
        <w:t xml:space="preserve">use </w:t>
      </w:r>
      <w:r w:rsidR="00A85CC0">
        <w:t xml:space="preserve">or both. If the </w:t>
      </w:r>
      <w:r w:rsidR="00447B19">
        <w:t xml:space="preserve">minimum </w:t>
      </w:r>
      <w:r w:rsidR="00A85CC0">
        <w:t>standards are intended to be the main policy drivers for greater water</w:t>
      </w:r>
      <w:r w:rsidR="00447B19">
        <w:t xml:space="preserve"> </w:t>
      </w:r>
      <w:r w:rsidR="00A85CC0">
        <w:t>efficiency, then mandatory labelling as in Option</w:t>
      </w:r>
      <w:r w:rsidR="00507F8A">
        <w:t>s</w:t>
      </w:r>
      <w:r w:rsidR="00A85CC0">
        <w:t xml:space="preserve"> 3</w:t>
      </w:r>
      <w:r w:rsidR="00507F8A">
        <w:t>A and 3B</w:t>
      </w:r>
      <w:r w:rsidR="00A85CC0">
        <w:t xml:space="preserve"> may not be necessary. The GEMS Regulator has taken this approach</w:t>
      </w:r>
      <w:r w:rsidR="00AF1F2E">
        <w:t xml:space="preserve"> by</w:t>
      </w:r>
      <w:r w:rsidR="00A85CC0">
        <w:t xml:space="preserve"> mandating MEPS without labelling</w:t>
      </w:r>
      <w:r w:rsidR="00AF1F2E">
        <w:t xml:space="preserve">, while leaving open the option of mandating energy labelling for CIMs in </w:t>
      </w:r>
      <w:r w:rsidR="003B5902">
        <w:t xml:space="preserve">the </w:t>
      </w:r>
      <w:r w:rsidR="00AF1F2E">
        <w:t>future</w:t>
      </w:r>
      <w:r w:rsidR="00507F8A">
        <w:t>. T</w:t>
      </w:r>
      <w:r w:rsidR="003B5902">
        <w:t xml:space="preserve">he </w:t>
      </w:r>
      <w:r w:rsidR="00633F20">
        <w:t xml:space="preserve">GEMS </w:t>
      </w:r>
      <w:r w:rsidR="003B5902">
        <w:t xml:space="preserve">Regulator has also flagged a review of the MEPS levels </w:t>
      </w:r>
      <w:r w:rsidR="007C73D7">
        <w:t xml:space="preserve">no sooner than </w:t>
      </w:r>
      <w:r w:rsidR="003B5902">
        <w:t>two years after implementation</w:t>
      </w:r>
      <w:r w:rsidR="001E2E58">
        <w:t xml:space="preserve"> of the initial GEMS Determination</w:t>
      </w:r>
      <w:r w:rsidR="00515F5A">
        <w:t xml:space="preserve"> (i.e. no sooner than March 2028)</w:t>
      </w:r>
      <w:r w:rsidR="001E2E58">
        <w:t>.</w:t>
      </w:r>
    </w:p>
    <w:p w14:paraId="568A0B4C" w14:textId="03E91684" w:rsidR="00507F8A" w:rsidRPr="00507F8A" w:rsidRDefault="00507F8A" w:rsidP="00507F8A">
      <w:r w:rsidRPr="00507F8A">
        <w:t xml:space="preserve">The impact on the </w:t>
      </w:r>
      <w:r>
        <w:t xml:space="preserve">model </w:t>
      </w:r>
      <w:r w:rsidRPr="00507F8A">
        <w:t xml:space="preserve">range </w:t>
      </w:r>
      <w:r w:rsidR="00927A34">
        <w:t xml:space="preserve">if CIMS are </w:t>
      </w:r>
      <w:r w:rsidRPr="00507F8A">
        <w:t xml:space="preserve">regulated for </w:t>
      </w:r>
      <w:r w:rsidR="00927A34">
        <w:t xml:space="preserve">both </w:t>
      </w:r>
      <w:r w:rsidRPr="00507F8A">
        <w:t>minimum energy efficiency and minimum water efficiency is not known</w:t>
      </w:r>
      <w:r w:rsidR="007C73D7">
        <w:t>,</w:t>
      </w:r>
      <w:r w:rsidRPr="00507F8A">
        <w:t xml:space="preserve"> but logically it </w:t>
      </w:r>
      <w:r w:rsidR="007C73D7">
        <w:t>sh</w:t>
      </w:r>
      <w:r w:rsidRPr="00507F8A">
        <w:t xml:space="preserve">ould reduce the </w:t>
      </w:r>
      <w:r w:rsidR="007C73D7">
        <w:t xml:space="preserve">model </w:t>
      </w:r>
      <w:r w:rsidRPr="00507F8A">
        <w:t>range</w:t>
      </w:r>
      <w:r w:rsidR="007C73D7">
        <w:t xml:space="preserve"> in the short term</w:t>
      </w:r>
      <w:r w:rsidR="00447B19">
        <w:t>.</w:t>
      </w:r>
      <w:r w:rsidR="00927A34">
        <w:t xml:space="preserve"> </w:t>
      </w:r>
      <w:r w:rsidR="00447B19">
        <w:t>T</w:t>
      </w:r>
      <w:r w:rsidR="00927A34">
        <w:t>he more stringent the minimum standards</w:t>
      </w:r>
      <w:r w:rsidR="00447B19">
        <w:t>,</w:t>
      </w:r>
      <w:r w:rsidR="00927A34">
        <w:t xml:space="preserve"> the greater the restriction</w:t>
      </w:r>
      <w:r w:rsidRPr="00507F8A">
        <w:t xml:space="preserve">. The extent could be </w:t>
      </w:r>
      <w:r w:rsidRPr="00507F8A">
        <w:lastRenderedPageBreak/>
        <w:t xml:space="preserve">significant and this would need to be determined as part of establishing the minimum standards. The intent of regulation is not to </w:t>
      </w:r>
      <w:r w:rsidR="00927A34">
        <w:t xml:space="preserve">disrupt </w:t>
      </w:r>
      <w:r w:rsidRPr="00507F8A">
        <w:t xml:space="preserve">the market but rather to </w:t>
      </w:r>
      <w:r w:rsidR="00927A34">
        <w:t xml:space="preserve">cost-effectively </w:t>
      </w:r>
      <w:r w:rsidRPr="00507F8A">
        <w:t>drive product design and purchaser choice to more water efficient (and energy efficient) models.</w:t>
      </w:r>
    </w:p>
    <w:p w14:paraId="0671618E" w14:textId="38EA35E8" w:rsidR="00A85CC0" w:rsidRDefault="00A85CC0" w:rsidP="00A85CC0">
      <w:r>
        <w:t xml:space="preserve">Setting </w:t>
      </w:r>
      <w:r w:rsidR="00633F20">
        <w:t>L/</w:t>
      </w:r>
      <w:r>
        <w:t xml:space="preserve">kg limits will remain subject to a high degree of uncertainty until reliable information on CIM </w:t>
      </w:r>
      <w:r w:rsidR="00927A34">
        <w:t xml:space="preserve">water use rates </w:t>
      </w:r>
      <w:r>
        <w:t xml:space="preserve">becomes available, i.e. after the </w:t>
      </w:r>
      <w:r w:rsidR="005D5E85">
        <w:t>s</w:t>
      </w:r>
      <w:r>
        <w:t xml:space="preserve">tatus </w:t>
      </w:r>
      <w:r w:rsidR="005D5E85">
        <w:t>q</w:t>
      </w:r>
      <w:r>
        <w:t>uo, Option 2 (if successful)</w:t>
      </w:r>
      <w:r w:rsidR="00927A34">
        <w:t xml:space="preserve">, </w:t>
      </w:r>
      <w:r>
        <w:t>and/or Option 3</w:t>
      </w:r>
      <w:r w:rsidR="00927A34">
        <w:t xml:space="preserve">A or 3B </w:t>
      </w:r>
      <w:r>
        <w:t>have been implemented.</w:t>
      </w:r>
    </w:p>
    <w:p w14:paraId="46B82B66" w14:textId="6DA73B94" w:rsidR="00A85CC0" w:rsidRDefault="00A85CC0" w:rsidP="00A85CC0">
      <w:r>
        <w:t xml:space="preserve">It </w:t>
      </w:r>
      <w:r w:rsidR="00AF1F2E">
        <w:t xml:space="preserve">may be feasible </w:t>
      </w:r>
      <w:r>
        <w:t>to implement Option 4</w:t>
      </w:r>
      <w:r w:rsidR="00927A34">
        <w:t>A</w:t>
      </w:r>
      <w:r>
        <w:t xml:space="preserve"> without passing through Options 2</w:t>
      </w:r>
      <w:r w:rsidR="00927A34">
        <w:t xml:space="preserve">, </w:t>
      </w:r>
      <w:r>
        <w:t>3</w:t>
      </w:r>
      <w:r w:rsidR="00927A34">
        <w:t>A or 3B</w:t>
      </w:r>
      <w:r>
        <w:t>. A proposed set of standards somewhat less stringent th</w:t>
      </w:r>
      <w:r w:rsidR="00633F20">
        <w:t>a</w:t>
      </w:r>
      <w:r>
        <w:t xml:space="preserve">n the USDOE and </w:t>
      </w:r>
      <w:r w:rsidR="00927A34">
        <w:t>USEPA Energy Star levels</w:t>
      </w:r>
      <w:r>
        <w:t xml:space="preserve"> </w:t>
      </w:r>
      <w:bookmarkStart w:id="43" w:name="_Hlk185504546"/>
      <w:r>
        <w:t xml:space="preserve">could be published for consultation and a decision to proceed (or modify) </w:t>
      </w:r>
      <w:r w:rsidR="00927A34">
        <w:t xml:space="preserve">informed by </w:t>
      </w:r>
      <w:r w:rsidR="00447B19">
        <w:t xml:space="preserve">stakeholder </w:t>
      </w:r>
      <w:r>
        <w:t xml:space="preserve">responses. </w:t>
      </w:r>
      <w:bookmarkEnd w:id="43"/>
      <w:r>
        <w:t>The model range on the Australian market overlaps to some extent with the model range on the US market, for which water use and energy use data are published by the USEPA and the USDOE. The greater the overlap</w:t>
      </w:r>
      <w:r w:rsidR="004940DD">
        <w:t>,</w:t>
      </w:r>
      <w:r>
        <w:t xml:space="preserve"> the greater the confidence with which average water use </w:t>
      </w:r>
      <w:r w:rsidR="00927A34">
        <w:t xml:space="preserve">in Australia </w:t>
      </w:r>
      <w:r>
        <w:t>can be estimated even before GEMS</w:t>
      </w:r>
      <w:r w:rsidR="004940DD">
        <w:t xml:space="preserve"> </w:t>
      </w:r>
      <w:r>
        <w:t>registered data becomes available.</w:t>
      </w:r>
    </w:p>
    <w:p w14:paraId="6792E452" w14:textId="77069DE0" w:rsidR="00515F5A" w:rsidRDefault="00515F5A" w:rsidP="00A85CC0">
      <w:r>
        <w:t xml:space="preserve">The main risk with </w:t>
      </w:r>
      <w:r w:rsidR="00447B19">
        <w:t>M</w:t>
      </w:r>
      <w:r>
        <w:t xml:space="preserve">inimum </w:t>
      </w:r>
      <w:r w:rsidR="00447B19">
        <w:t>W</w:t>
      </w:r>
      <w:r>
        <w:t xml:space="preserve">ater </w:t>
      </w:r>
      <w:r w:rsidR="00447B19">
        <w:t>E</w:t>
      </w:r>
      <w:r>
        <w:t xml:space="preserve">fficiency </w:t>
      </w:r>
      <w:r w:rsidR="00447B19">
        <w:t>S</w:t>
      </w:r>
      <w:r>
        <w:t xml:space="preserve">tandards is </w:t>
      </w:r>
      <w:r w:rsidR="002F1D15">
        <w:t xml:space="preserve">in </w:t>
      </w:r>
      <w:r>
        <w:t>se</w:t>
      </w:r>
      <w:r w:rsidR="002F1D15">
        <w:t xml:space="preserve">tting </w:t>
      </w:r>
      <w:r>
        <w:t xml:space="preserve">the </w:t>
      </w:r>
      <w:r w:rsidR="002F1D15">
        <w:t xml:space="preserve">optimum </w:t>
      </w:r>
      <w:r>
        <w:t>standard</w:t>
      </w:r>
      <w:r w:rsidR="002F1D15">
        <w:t xml:space="preserve"> level</w:t>
      </w:r>
      <w:r w:rsidR="00AC7F5F">
        <w:t>s</w:t>
      </w:r>
      <w:r>
        <w:t xml:space="preserve">. </w:t>
      </w:r>
      <w:r w:rsidR="002F1D15">
        <w:t>If too low, few models will be excluded and there will be little benefit. If t</w:t>
      </w:r>
      <w:r>
        <w:t xml:space="preserve">oo stringent, the market will face disruption </w:t>
      </w:r>
      <w:r w:rsidR="002F1D15">
        <w:t xml:space="preserve">and </w:t>
      </w:r>
      <w:r w:rsidR="00057852">
        <w:rPr>
          <w:rFonts w:ascii="Calibri" w:eastAsia="Calibri" w:hAnsi="Calibri" w:cs="Times New Roman"/>
          <w:szCs w:val="22"/>
        </w:rPr>
        <w:t>purchaser</w:t>
      </w:r>
      <w:r w:rsidR="00057852">
        <w:t xml:space="preserve"> </w:t>
      </w:r>
      <w:r w:rsidR="002F1D15">
        <w:t xml:space="preserve">choice will be limited in some product segments. Some </w:t>
      </w:r>
      <w:r>
        <w:t>suppliers may have to leave the market entirely, so reducing competition. These risks can be managed in Option 4A by setting the MEPS levels only after data become</w:t>
      </w:r>
      <w:r w:rsidR="00447B19">
        <w:t>s</w:t>
      </w:r>
      <w:r>
        <w:t xml:space="preserve"> available for a significant share of the market, i.e. following </w:t>
      </w:r>
      <w:r w:rsidR="00AC7F5F">
        <w:t xml:space="preserve">prior implementation of </w:t>
      </w:r>
      <w:r>
        <w:t>Option 2</w:t>
      </w:r>
      <w:r w:rsidR="00AC7F5F">
        <w:t>, 3A or 3B.</w:t>
      </w:r>
    </w:p>
    <w:p w14:paraId="02EA89C5" w14:textId="7EC5433A" w:rsidR="00927A34" w:rsidRDefault="00927A34" w:rsidP="00927A34">
      <w:pPr>
        <w:pStyle w:val="Heading2"/>
        <w:jc w:val="left"/>
      </w:pPr>
      <w:bookmarkStart w:id="44" w:name="_Toc196745418"/>
      <w:r w:rsidRPr="00A85CC0">
        <w:t>3.</w:t>
      </w:r>
      <w:r>
        <w:t>6</w:t>
      </w:r>
      <w:r w:rsidRPr="00A85CC0">
        <w:t xml:space="preserve"> Option </w:t>
      </w:r>
      <w:r>
        <w:t>4B</w:t>
      </w:r>
      <w:r w:rsidR="00AD011D">
        <w:t>.</w:t>
      </w:r>
      <w:r w:rsidRPr="00A85CC0">
        <w:t xml:space="preserve"> </w:t>
      </w:r>
      <w:r w:rsidR="00AD011D" w:rsidRPr="00AD011D">
        <w:t xml:space="preserve">Product registration, </w:t>
      </w:r>
      <w:r w:rsidR="004940DD">
        <w:t>M</w:t>
      </w:r>
      <w:r w:rsidR="00AD011D" w:rsidRPr="00AD011D">
        <w:t xml:space="preserve">inimum </w:t>
      </w:r>
      <w:r w:rsidR="004940DD">
        <w:t>W</w:t>
      </w:r>
      <w:r w:rsidR="00AD011D" w:rsidRPr="00AD011D">
        <w:t xml:space="preserve">ater </w:t>
      </w:r>
      <w:r w:rsidR="004940DD">
        <w:t>E</w:t>
      </w:r>
      <w:r w:rsidR="00AD011D" w:rsidRPr="00AD011D">
        <w:t xml:space="preserve">fficiency </w:t>
      </w:r>
      <w:r w:rsidR="004940DD">
        <w:t>S</w:t>
      </w:r>
      <w:r w:rsidR="00AD011D" w:rsidRPr="00AD011D">
        <w:t xml:space="preserve">tandards and information </w:t>
      </w:r>
      <w:r w:rsidR="004940DD">
        <w:t xml:space="preserve">declaration </w:t>
      </w:r>
      <w:r w:rsidR="00AD011D">
        <w:t>- accelerated implementation</w:t>
      </w:r>
      <w:r w:rsidR="004940DD">
        <w:t xml:space="preserve"> </w:t>
      </w:r>
      <w:r w:rsidR="004940DD" w:rsidRPr="00A85CC0">
        <w:t>(Regulatory)</w:t>
      </w:r>
      <w:bookmarkEnd w:id="44"/>
    </w:p>
    <w:p w14:paraId="58A0D23F" w14:textId="42F5AF9B" w:rsidR="00AC7F5F" w:rsidRDefault="00927A34" w:rsidP="00B95454">
      <w:r w:rsidRPr="00927A34">
        <w:t xml:space="preserve">Option </w:t>
      </w:r>
      <w:r>
        <w:t>4</w:t>
      </w:r>
      <w:r w:rsidRPr="00927A34">
        <w:t xml:space="preserve">B is similar to Option </w:t>
      </w:r>
      <w:r>
        <w:t>4</w:t>
      </w:r>
      <w:r w:rsidRPr="00927A34">
        <w:t>A, except with regard to the timing</w:t>
      </w:r>
      <w:r w:rsidR="00B95454">
        <w:t xml:space="preserve"> and the approach to setting </w:t>
      </w:r>
      <w:r w:rsidR="004940DD">
        <w:t>M</w:t>
      </w:r>
      <w:r w:rsidR="00B95454" w:rsidRPr="00B95454">
        <w:t xml:space="preserve">inimum </w:t>
      </w:r>
      <w:r w:rsidR="004940DD">
        <w:t>W</w:t>
      </w:r>
      <w:r w:rsidR="00B95454" w:rsidRPr="00B95454">
        <w:t xml:space="preserve">ater </w:t>
      </w:r>
      <w:r w:rsidR="004940DD">
        <w:t>E</w:t>
      </w:r>
      <w:r w:rsidR="00B95454" w:rsidRPr="00B95454">
        <w:t xml:space="preserve">fficiency </w:t>
      </w:r>
      <w:r w:rsidR="004940DD">
        <w:t>S</w:t>
      </w:r>
      <w:r w:rsidR="00B95454" w:rsidRPr="00B95454">
        <w:t>tandards</w:t>
      </w:r>
      <w:r w:rsidRPr="00927A34">
        <w:t xml:space="preserve">. While Option </w:t>
      </w:r>
      <w:r>
        <w:t>4</w:t>
      </w:r>
      <w:r w:rsidRPr="00927A34">
        <w:t xml:space="preserve">A could be implemented sequentially after </w:t>
      </w:r>
      <w:r w:rsidR="00B95454">
        <w:t>the information measures (</w:t>
      </w:r>
      <w:r w:rsidRPr="00927A34">
        <w:t>Option</w:t>
      </w:r>
      <w:r w:rsidR="00B95454">
        <w:t>s</w:t>
      </w:r>
      <w:r w:rsidRPr="00927A34">
        <w:t xml:space="preserve"> 2</w:t>
      </w:r>
      <w:r w:rsidR="00B95454">
        <w:t xml:space="preserve">, 3A or 3B), </w:t>
      </w:r>
      <w:r w:rsidR="00B95454" w:rsidRPr="00B95454">
        <w:t>Option 4B is the</w:t>
      </w:r>
      <w:r w:rsidR="007C73D7">
        <w:t xml:space="preserve"> immediate </w:t>
      </w:r>
      <w:r w:rsidR="00B95454" w:rsidRPr="00B95454">
        <w:t xml:space="preserve">implementation of mandatory product registration, </w:t>
      </w:r>
      <w:r w:rsidR="004940DD">
        <w:t>M</w:t>
      </w:r>
      <w:r w:rsidR="00B95454" w:rsidRPr="00B95454">
        <w:t xml:space="preserve">inimum </w:t>
      </w:r>
      <w:r w:rsidR="004940DD">
        <w:t>W</w:t>
      </w:r>
      <w:r w:rsidR="00B95454" w:rsidRPr="00B95454">
        <w:t xml:space="preserve">ater </w:t>
      </w:r>
      <w:r w:rsidR="004940DD">
        <w:t>E</w:t>
      </w:r>
      <w:r w:rsidR="00B95454" w:rsidRPr="00B95454">
        <w:t xml:space="preserve">fficiency </w:t>
      </w:r>
      <w:r w:rsidR="004940DD">
        <w:t>S</w:t>
      </w:r>
      <w:r w:rsidR="00B95454" w:rsidRPr="00B95454">
        <w:t xml:space="preserve">tandards </w:t>
      </w:r>
      <w:r w:rsidR="004923E4" w:rsidRPr="00B95454">
        <w:t>and</w:t>
      </w:r>
      <w:r w:rsidR="007C73D7">
        <w:t xml:space="preserve"> possibly </w:t>
      </w:r>
      <w:r w:rsidR="004940DD">
        <w:t>information disclosure</w:t>
      </w:r>
      <w:r w:rsidR="00B95454" w:rsidRPr="00B95454">
        <w:t xml:space="preserve">, informed </w:t>
      </w:r>
      <w:r w:rsidR="007C73D7">
        <w:t xml:space="preserve">solely </w:t>
      </w:r>
      <w:r w:rsidR="00B95454" w:rsidRPr="00B95454">
        <w:t xml:space="preserve">by overseas </w:t>
      </w:r>
      <w:r w:rsidR="007C73D7">
        <w:t>standards.</w:t>
      </w:r>
    </w:p>
    <w:p w14:paraId="3024831F" w14:textId="716D477C" w:rsidR="00B95454" w:rsidRPr="00B95454" w:rsidRDefault="00AC7F5F" w:rsidP="00B95454">
      <w:r>
        <w:t xml:space="preserve">As with Option 4A, the main risk is </w:t>
      </w:r>
      <w:r w:rsidRPr="00AC7F5F">
        <w:t xml:space="preserve">in setting the optimum standard levels. </w:t>
      </w:r>
      <w:r w:rsidR="00B95454">
        <w:t xml:space="preserve">As </w:t>
      </w:r>
      <w:r>
        <w:t xml:space="preserve">these </w:t>
      </w:r>
      <w:r w:rsidR="00B95454">
        <w:t>would need to be set before there is comprehensive data on models on the Australian market, it would be prudent to set less stringent levels than in Option 4A.</w:t>
      </w:r>
    </w:p>
    <w:p w14:paraId="41AFA5D4" w14:textId="060E82E4" w:rsidR="00A85CC0" w:rsidRPr="00A85CC0" w:rsidRDefault="00A85CC0" w:rsidP="00A85CC0">
      <w:pPr>
        <w:pStyle w:val="Heading2"/>
        <w:jc w:val="left"/>
      </w:pPr>
      <w:bookmarkStart w:id="45" w:name="_Ref192172577"/>
      <w:bookmarkStart w:id="46" w:name="_Toc196745419"/>
      <w:bookmarkStart w:id="47" w:name="_Hlk189643180"/>
      <w:r w:rsidRPr="00A85CC0">
        <w:t>3.</w:t>
      </w:r>
      <w:r w:rsidR="00927A34">
        <w:t>7</w:t>
      </w:r>
      <w:r w:rsidRPr="00A85CC0">
        <w:t xml:space="preserve"> Timing and sequencing </w:t>
      </w:r>
      <w:r w:rsidR="002F4C85">
        <w:t xml:space="preserve">of </w:t>
      </w:r>
      <w:r w:rsidRPr="00A85CC0">
        <w:t>options</w:t>
      </w:r>
      <w:bookmarkEnd w:id="45"/>
      <w:bookmarkEnd w:id="46"/>
    </w:p>
    <w:bookmarkEnd w:id="47"/>
    <w:p w14:paraId="1FBD0A48" w14:textId="4F5A3F87" w:rsidR="00900F11" w:rsidRPr="00900F11" w:rsidRDefault="00FA3E04" w:rsidP="00AF1F2E">
      <w:pPr>
        <w:rPr>
          <w:rFonts w:eastAsia="Calibri"/>
        </w:rPr>
      </w:pPr>
      <w:r>
        <w:rPr>
          <w:rFonts w:eastAsia="Calibri"/>
        </w:rPr>
        <w:t xml:space="preserve">Estimating costs and benefits relies in part on the timing of measures. </w:t>
      </w:r>
      <w:r w:rsidR="00AF1F2E">
        <w:rPr>
          <w:rFonts w:eastAsia="Calibri"/>
        </w:rPr>
        <w:fldChar w:fldCharType="begin"/>
      </w:r>
      <w:r w:rsidR="00AF1F2E">
        <w:rPr>
          <w:rFonts w:eastAsia="Calibri"/>
        </w:rPr>
        <w:instrText xml:space="preserve"> REF _Ref189479935 \h  \* MERGEFORMAT </w:instrText>
      </w:r>
      <w:r w:rsidR="00AF1F2E">
        <w:rPr>
          <w:rFonts w:eastAsia="Calibri"/>
        </w:rPr>
      </w:r>
      <w:r w:rsidR="00AF1F2E">
        <w:rPr>
          <w:rFonts w:eastAsia="Calibri"/>
        </w:rPr>
        <w:fldChar w:fldCharType="separate"/>
      </w:r>
      <w:r w:rsidR="002271EC">
        <w:t xml:space="preserve">Table </w:t>
      </w:r>
      <w:r w:rsidR="002271EC">
        <w:rPr>
          <w:noProof/>
        </w:rPr>
        <w:t>2</w:t>
      </w:r>
      <w:r w:rsidR="00AF1F2E">
        <w:rPr>
          <w:rFonts w:eastAsia="Calibri"/>
        </w:rPr>
        <w:fldChar w:fldCharType="end"/>
      </w:r>
      <w:r w:rsidR="00AF1F2E">
        <w:rPr>
          <w:rFonts w:eastAsia="Calibri"/>
        </w:rPr>
        <w:t xml:space="preserve"> </w:t>
      </w:r>
      <w:r w:rsidR="00900F11" w:rsidRPr="00900F11">
        <w:rPr>
          <w:rFonts w:eastAsia="Calibri"/>
        </w:rPr>
        <w:t>presents a</w:t>
      </w:r>
      <w:r w:rsidR="00AF1F2E">
        <w:rPr>
          <w:rFonts w:eastAsia="Calibri"/>
        </w:rPr>
        <w:t xml:space="preserve">n indicative </w:t>
      </w:r>
      <w:r w:rsidR="00900F11" w:rsidRPr="00900F11">
        <w:rPr>
          <w:rFonts w:eastAsia="Calibri"/>
        </w:rPr>
        <w:t xml:space="preserve">timeline for the </w:t>
      </w:r>
      <w:r w:rsidR="00AF1F2E">
        <w:rPr>
          <w:rFonts w:eastAsia="Calibri"/>
        </w:rPr>
        <w:t xml:space="preserve">phasing and </w:t>
      </w:r>
      <w:r w:rsidR="00900F11" w:rsidRPr="00900F11">
        <w:rPr>
          <w:rFonts w:eastAsia="Calibri"/>
        </w:rPr>
        <w:t xml:space="preserve">sequencing of options. </w:t>
      </w:r>
      <w:r w:rsidR="00AF1F2E">
        <w:rPr>
          <w:rFonts w:eastAsia="Calibri"/>
        </w:rPr>
        <w:t xml:space="preserve">For each </w:t>
      </w:r>
      <w:r>
        <w:rPr>
          <w:rFonts w:eastAsia="Calibri"/>
        </w:rPr>
        <w:t xml:space="preserve">option </w:t>
      </w:r>
      <w:r w:rsidR="00AF1F2E">
        <w:rPr>
          <w:rFonts w:eastAsia="Calibri"/>
        </w:rPr>
        <w:t xml:space="preserve">there </w:t>
      </w:r>
      <w:r w:rsidR="00633F20">
        <w:rPr>
          <w:rFonts w:eastAsia="Calibri"/>
        </w:rPr>
        <w:t xml:space="preserve">is </w:t>
      </w:r>
      <w:r w:rsidR="00AF1F2E">
        <w:rPr>
          <w:rFonts w:eastAsia="Calibri"/>
        </w:rPr>
        <w:t xml:space="preserve">an </w:t>
      </w:r>
      <w:r w:rsidR="00900F11" w:rsidRPr="00900F11">
        <w:rPr>
          <w:rFonts w:eastAsia="Calibri"/>
        </w:rPr>
        <w:t>analysis phase</w:t>
      </w:r>
      <w:r w:rsidR="00FD07A4">
        <w:rPr>
          <w:rFonts w:eastAsia="Calibri"/>
        </w:rPr>
        <w:t xml:space="preserve"> which ends with a government decision that is conveyed to stakeholders, </w:t>
      </w:r>
      <w:r w:rsidR="00AF1F2E">
        <w:rPr>
          <w:rFonts w:eastAsia="Calibri"/>
        </w:rPr>
        <w:t xml:space="preserve">a </w:t>
      </w:r>
      <w:r w:rsidR="00900F11" w:rsidRPr="00900F11">
        <w:rPr>
          <w:rFonts w:eastAsia="Calibri"/>
        </w:rPr>
        <w:t xml:space="preserve">notice </w:t>
      </w:r>
      <w:r>
        <w:rPr>
          <w:rFonts w:eastAsia="Calibri"/>
        </w:rPr>
        <w:t xml:space="preserve">period </w:t>
      </w:r>
      <w:r w:rsidR="001574D2">
        <w:rPr>
          <w:rFonts w:eastAsia="Calibri"/>
        </w:rPr>
        <w:t xml:space="preserve">during which </w:t>
      </w:r>
      <w:r w:rsidR="001574D2">
        <w:rPr>
          <w:rFonts w:eastAsia="Calibri"/>
        </w:rPr>
        <w:lastRenderedPageBreak/>
        <w:t>industry can test and register products</w:t>
      </w:r>
      <w:r w:rsidR="0097262B">
        <w:rPr>
          <w:rFonts w:eastAsia="Calibri"/>
        </w:rPr>
        <w:t>,</w:t>
      </w:r>
      <w:r w:rsidR="001574D2">
        <w:rPr>
          <w:rFonts w:eastAsia="Calibri"/>
        </w:rPr>
        <w:t xml:space="preserve"> </w:t>
      </w:r>
      <w:r w:rsidR="00900F11" w:rsidRPr="00900F11">
        <w:rPr>
          <w:rFonts w:eastAsia="Calibri"/>
        </w:rPr>
        <w:t xml:space="preserve">and </w:t>
      </w:r>
      <w:r w:rsidR="00AF1F2E">
        <w:rPr>
          <w:rFonts w:eastAsia="Calibri"/>
        </w:rPr>
        <w:t xml:space="preserve">an </w:t>
      </w:r>
      <w:r w:rsidR="00900F11" w:rsidRPr="00900F11">
        <w:rPr>
          <w:rFonts w:eastAsia="Calibri"/>
        </w:rPr>
        <w:t xml:space="preserve">implementation </w:t>
      </w:r>
      <w:r w:rsidR="00AF1F2E">
        <w:rPr>
          <w:rFonts w:eastAsia="Calibri"/>
        </w:rPr>
        <w:t xml:space="preserve">phase which begins when </w:t>
      </w:r>
      <w:r w:rsidR="00900F11" w:rsidRPr="00900F11">
        <w:rPr>
          <w:rFonts w:eastAsia="Calibri"/>
        </w:rPr>
        <w:t xml:space="preserve">all CIMs supplied or offered for supply must comply. </w:t>
      </w:r>
      <w:r w:rsidR="0097262B">
        <w:rPr>
          <w:rFonts w:eastAsia="Calibri"/>
        </w:rPr>
        <w:t>N</w:t>
      </w:r>
      <w:r w:rsidR="00633F20">
        <w:rPr>
          <w:rFonts w:eastAsia="Calibri"/>
        </w:rPr>
        <w:t xml:space="preserve">o </w:t>
      </w:r>
      <w:r w:rsidR="00C058A2">
        <w:rPr>
          <w:rFonts w:eastAsia="Calibri"/>
        </w:rPr>
        <w:t xml:space="preserve">final choice of option </w:t>
      </w:r>
      <w:r w:rsidR="00FD07A4">
        <w:rPr>
          <w:rFonts w:eastAsia="Calibri"/>
        </w:rPr>
        <w:t xml:space="preserve">can </w:t>
      </w:r>
      <w:r w:rsidR="00C058A2">
        <w:rPr>
          <w:rFonts w:eastAsia="Calibri"/>
        </w:rPr>
        <w:t xml:space="preserve">be made before the conclusion of the </w:t>
      </w:r>
      <w:r w:rsidR="00B662D1">
        <w:rPr>
          <w:rFonts w:eastAsia="Calibri"/>
        </w:rPr>
        <w:t xml:space="preserve">Impact Analysis </w:t>
      </w:r>
      <w:r w:rsidR="00C058A2">
        <w:rPr>
          <w:rFonts w:eastAsia="Calibri"/>
        </w:rPr>
        <w:t xml:space="preserve">process, </w:t>
      </w:r>
      <w:r w:rsidR="007C73D7">
        <w:rPr>
          <w:rFonts w:eastAsia="Calibri"/>
        </w:rPr>
        <w:t xml:space="preserve">which </w:t>
      </w:r>
      <w:r w:rsidR="0097262B">
        <w:rPr>
          <w:rFonts w:eastAsia="Calibri"/>
        </w:rPr>
        <w:t xml:space="preserve">will </w:t>
      </w:r>
      <w:r w:rsidR="007C73D7">
        <w:rPr>
          <w:rFonts w:eastAsia="Calibri"/>
        </w:rPr>
        <w:t xml:space="preserve">occur in the second half of </w:t>
      </w:r>
      <w:r w:rsidR="00921ACF">
        <w:rPr>
          <w:rFonts w:eastAsia="Calibri"/>
        </w:rPr>
        <w:t>2025</w:t>
      </w:r>
      <w:r w:rsidR="00C058A2">
        <w:rPr>
          <w:rFonts w:eastAsia="Calibri"/>
        </w:rPr>
        <w:t>.</w:t>
      </w:r>
    </w:p>
    <w:p w14:paraId="32593B97" w14:textId="0C548E53" w:rsidR="00900F11" w:rsidRPr="00AF1F2E" w:rsidRDefault="00900F11" w:rsidP="00FA3E04">
      <w:pPr>
        <w:rPr>
          <w:rFonts w:eastAsia="Calibri"/>
        </w:rPr>
      </w:pPr>
      <w:r w:rsidRPr="00900F11">
        <w:rPr>
          <w:rFonts w:eastAsia="Calibri"/>
        </w:rPr>
        <w:t>For Option 1 (</w:t>
      </w:r>
      <w:r w:rsidR="005D5E85">
        <w:rPr>
          <w:rFonts w:eastAsia="Calibri"/>
        </w:rPr>
        <w:t>s</w:t>
      </w:r>
      <w:r w:rsidRPr="00900F11">
        <w:rPr>
          <w:rFonts w:eastAsia="Calibri"/>
        </w:rPr>
        <w:t xml:space="preserve">tatus </w:t>
      </w:r>
      <w:r w:rsidR="005D5E85">
        <w:rPr>
          <w:rFonts w:eastAsia="Calibri"/>
        </w:rPr>
        <w:t>q</w:t>
      </w:r>
      <w:r w:rsidRPr="00900F11">
        <w:rPr>
          <w:rFonts w:eastAsia="Calibri"/>
        </w:rPr>
        <w:t>uo)</w:t>
      </w:r>
      <w:r w:rsidR="00FA3E04">
        <w:rPr>
          <w:rFonts w:eastAsia="Calibri"/>
        </w:rPr>
        <w:t xml:space="preserve">, the </w:t>
      </w:r>
      <w:r w:rsidR="007C73D7">
        <w:rPr>
          <w:rFonts w:eastAsia="Calibri"/>
        </w:rPr>
        <w:t xml:space="preserve">research and analysis phase ended and the </w:t>
      </w:r>
      <w:r w:rsidR="00FA3E04">
        <w:rPr>
          <w:rFonts w:eastAsia="Calibri"/>
        </w:rPr>
        <w:t>n</w:t>
      </w:r>
      <w:r w:rsidRPr="00AF1F2E">
        <w:rPr>
          <w:rFonts w:eastAsia="Calibri"/>
        </w:rPr>
        <w:t>otice period start</w:t>
      </w:r>
      <w:r w:rsidR="00FD07A4">
        <w:rPr>
          <w:rFonts w:eastAsia="Calibri"/>
        </w:rPr>
        <w:t xml:space="preserve">ed when the </w:t>
      </w:r>
      <w:r w:rsidRPr="00AF1F2E">
        <w:rPr>
          <w:rFonts w:eastAsia="Calibri"/>
        </w:rPr>
        <w:t>final GEMS Determination</w:t>
      </w:r>
      <w:r w:rsidR="00FD07A4">
        <w:rPr>
          <w:rFonts w:eastAsia="Calibri"/>
        </w:rPr>
        <w:t xml:space="preserve"> was gazetted on 3 March 2025.</w:t>
      </w:r>
      <w:r w:rsidR="00FA3E04">
        <w:rPr>
          <w:rFonts w:eastAsia="Calibri"/>
        </w:rPr>
        <w:t xml:space="preserve"> </w:t>
      </w:r>
      <w:r w:rsidRPr="00AF1F2E">
        <w:rPr>
          <w:rFonts w:eastAsia="Calibri"/>
        </w:rPr>
        <w:t xml:space="preserve">GEMS registrations </w:t>
      </w:r>
      <w:r w:rsidR="0097262B">
        <w:rPr>
          <w:rFonts w:eastAsia="Calibri"/>
        </w:rPr>
        <w:t>will be</w:t>
      </w:r>
      <w:r w:rsidR="001574D2">
        <w:rPr>
          <w:rFonts w:eastAsia="Calibri"/>
        </w:rPr>
        <w:t xml:space="preserve"> </w:t>
      </w:r>
      <w:r w:rsidRPr="00AF1F2E">
        <w:rPr>
          <w:rFonts w:eastAsia="Calibri"/>
        </w:rPr>
        <w:t xml:space="preserve">open a year before </w:t>
      </w:r>
      <w:r w:rsidR="0097262B">
        <w:rPr>
          <w:rFonts w:eastAsia="Calibri"/>
        </w:rPr>
        <w:t xml:space="preserve">MEPS </w:t>
      </w:r>
      <w:r w:rsidRPr="00AF1F2E">
        <w:rPr>
          <w:rFonts w:eastAsia="Calibri"/>
        </w:rPr>
        <w:t>implementation</w:t>
      </w:r>
      <w:r w:rsidR="00FD07A4">
        <w:rPr>
          <w:rFonts w:eastAsia="Calibri"/>
        </w:rPr>
        <w:t xml:space="preserve">. </w:t>
      </w:r>
      <w:r w:rsidR="00513C65">
        <w:rPr>
          <w:rFonts w:eastAsia="Calibri"/>
        </w:rPr>
        <w:t xml:space="preserve">All CIM models must be registered by </w:t>
      </w:r>
      <w:r w:rsidR="00FD07A4">
        <w:rPr>
          <w:rFonts w:eastAsia="Calibri"/>
        </w:rPr>
        <w:t>3 March 2026.</w:t>
      </w:r>
    </w:p>
    <w:p w14:paraId="08AE8076" w14:textId="3E23EE7A" w:rsidR="00846C24" w:rsidRDefault="00FA3E04" w:rsidP="00FA3E04">
      <w:pPr>
        <w:rPr>
          <w:rFonts w:eastAsia="Calibri"/>
        </w:rPr>
      </w:pPr>
      <w:r w:rsidRPr="00FA3E04">
        <w:rPr>
          <w:rFonts w:eastAsia="Calibri"/>
        </w:rPr>
        <w:t xml:space="preserve">Energy </w:t>
      </w:r>
      <w:r w:rsidR="006F6551">
        <w:rPr>
          <w:rFonts w:eastAsia="Calibri"/>
        </w:rPr>
        <w:t>M</w:t>
      </w:r>
      <w:r w:rsidRPr="00FA3E04">
        <w:rPr>
          <w:rFonts w:eastAsia="Calibri"/>
        </w:rPr>
        <w:t xml:space="preserve">inisters agreed to consider the possibility that more stringent </w:t>
      </w:r>
      <w:r w:rsidR="00900F11" w:rsidRPr="00FA3E04">
        <w:rPr>
          <w:rFonts w:eastAsia="Calibri"/>
        </w:rPr>
        <w:t>MEP</w:t>
      </w:r>
      <w:r w:rsidR="0097262B">
        <w:rPr>
          <w:rFonts w:eastAsia="Calibri"/>
        </w:rPr>
        <w:t>S</w:t>
      </w:r>
      <w:r w:rsidR="00900F11" w:rsidRPr="00FA3E04">
        <w:rPr>
          <w:rFonts w:eastAsia="Calibri"/>
        </w:rPr>
        <w:t xml:space="preserve"> </w:t>
      </w:r>
      <w:r w:rsidRPr="00FA3E04">
        <w:rPr>
          <w:rFonts w:eastAsia="Calibri"/>
        </w:rPr>
        <w:t xml:space="preserve">levels could </w:t>
      </w:r>
      <w:r w:rsidR="00900F11" w:rsidRPr="00FA3E04">
        <w:rPr>
          <w:rFonts w:eastAsia="Calibri"/>
        </w:rPr>
        <w:t xml:space="preserve">take effect at least </w:t>
      </w:r>
      <w:r w:rsidRPr="00FA3E04">
        <w:rPr>
          <w:rFonts w:eastAsia="Calibri"/>
        </w:rPr>
        <w:t xml:space="preserve">two </w:t>
      </w:r>
      <w:r w:rsidR="00900F11" w:rsidRPr="00FA3E04">
        <w:rPr>
          <w:rFonts w:eastAsia="Calibri"/>
        </w:rPr>
        <w:t xml:space="preserve">years after </w:t>
      </w:r>
      <w:r w:rsidRPr="00FA3E04">
        <w:rPr>
          <w:rFonts w:eastAsia="Calibri"/>
        </w:rPr>
        <w:t>implementation</w:t>
      </w:r>
      <w:r w:rsidR="0068498D">
        <w:rPr>
          <w:rFonts w:eastAsia="Calibri"/>
        </w:rPr>
        <w:t xml:space="preserve">, </w:t>
      </w:r>
      <w:r w:rsidR="001574D2">
        <w:rPr>
          <w:rFonts w:eastAsia="Calibri"/>
        </w:rPr>
        <w:t>i.e.</w:t>
      </w:r>
      <w:r w:rsidR="0068498D">
        <w:rPr>
          <w:rFonts w:eastAsia="Calibri"/>
        </w:rPr>
        <w:t xml:space="preserve"> not before </w:t>
      </w:r>
      <w:r w:rsidR="00FD07A4">
        <w:rPr>
          <w:rFonts w:eastAsia="Calibri"/>
        </w:rPr>
        <w:t xml:space="preserve">March </w:t>
      </w:r>
      <w:r w:rsidR="00900F11" w:rsidRPr="00FA3E04">
        <w:rPr>
          <w:rFonts w:eastAsia="Calibri"/>
        </w:rPr>
        <w:t>2028</w:t>
      </w:r>
      <w:r w:rsidRPr="00FA3E04">
        <w:rPr>
          <w:rFonts w:eastAsia="Calibri"/>
        </w:rPr>
        <w:t xml:space="preserve">. </w:t>
      </w:r>
      <w:r w:rsidR="00900F11" w:rsidRPr="00FA3E04">
        <w:rPr>
          <w:rFonts w:eastAsia="Calibri"/>
        </w:rPr>
        <w:t xml:space="preserve">If so, </w:t>
      </w:r>
      <w:r w:rsidR="001574D2">
        <w:rPr>
          <w:rFonts w:eastAsia="Calibri"/>
        </w:rPr>
        <w:t xml:space="preserve">investigations and </w:t>
      </w:r>
      <w:r w:rsidR="00FD07A4">
        <w:rPr>
          <w:rFonts w:eastAsia="Calibri"/>
        </w:rPr>
        <w:t>discussion</w:t>
      </w:r>
      <w:r w:rsidR="001574D2">
        <w:rPr>
          <w:rFonts w:eastAsia="Calibri"/>
        </w:rPr>
        <w:t>s</w:t>
      </w:r>
      <w:r w:rsidR="00FD07A4">
        <w:rPr>
          <w:rFonts w:eastAsia="Calibri"/>
        </w:rPr>
        <w:t xml:space="preserve"> with industry would need to start </w:t>
      </w:r>
      <w:r w:rsidR="0068498D">
        <w:rPr>
          <w:rFonts w:eastAsia="Calibri"/>
        </w:rPr>
        <w:t>in m</w:t>
      </w:r>
      <w:r w:rsidR="001574D2">
        <w:rPr>
          <w:rFonts w:eastAsia="Calibri"/>
        </w:rPr>
        <w:t>i</w:t>
      </w:r>
      <w:r w:rsidR="0068498D">
        <w:rPr>
          <w:rFonts w:eastAsia="Calibri"/>
        </w:rPr>
        <w:t xml:space="preserve">d-2026 and </w:t>
      </w:r>
      <w:r w:rsidR="00900F11" w:rsidRPr="00FA3E04">
        <w:rPr>
          <w:rFonts w:eastAsia="Calibri"/>
        </w:rPr>
        <w:t xml:space="preserve">higher MEPS levels </w:t>
      </w:r>
      <w:r w:rsidRPr="00FA3E04">
        <w:rPr>
          <w:rFonts w:eastAsia="Calibri"/>
        </w:rPr>
        <w:t xml:space="preserve">would </w:t>
      </w:r>
      <w:r w:rsidR="00900F11" w:rsidRPr="00FA3E04">
        <w:rPr>
          <w:rFonts w:eastAsia="Calibri"/>
        </w:rPr>
        <w:t xml:space="preserve">need to be set </w:t>
      </w:r>
      <w:r w:rsidR="001574D2">
        <w:rPr>
          <w:rFonts w:eastAsia="Calibri"/>
        </w:rPr>
        <w:t xml:space="preserve">no later than </w:t>
      </w:r>
      <w:r w:rsidR="00FD07A4">
        <w:rPr>
          <w:rFonts w:eastAsia="Calibri"/>
        </w:rPr>
        <w:t xml:space="preserve">March </w:t>
      </w:r>
      <w:r w:rsidR="00900F11" w:rsidRPr="00FA3E04">
        <w:rPr>
          <w:rFonts w:eastAsia="Calibri"/>
        </w:rPr>
        <w:t xml:space="preserve">2027 to give </w:t>
      </w:r>
      <w:r w:rsidRPr="00FA3E04">
        <w:rPr>
          <w:rFonts w:eastAsia="Calibri"/>
        </w:rPr>
        <w:t xml:space="preserve">at least one </w:t>
      </w:r>
      <w:r w:rsidR="00900F11" w:rsidRPr="00FA3E04">
        <w:rPr>
          <w:rFonts w:eastAsia="Calibri"/>
        </w:rPr>
        <w:t>year</w:t>
      </w:r>
      <w:r w:rsidR="001574D2">
        <w:rPr>
          <w:rFonts w:eastAsia="Calibri"/>
        </w:rPr>
        <w:t>’s</w:t>
      </w:r>
      <w:r w:rsidR="00900F11" w:rsidRPr="00FA3E04">
        <w:rPr>
          <w:rFonts w:eastAsia="Calibri"/>
        </w:rPr>
        <w:t xml:space="preserve"> lead time</w:t>
      </w:r>
      <w:r w:rsidRPr="00FA3E04">
        <w:rPr>
          <w:rFonts w:eastAsia="Calibri"/>
        </w:rPr>
        <w:t xml:space="preserve">. </w:t>
      </w:r>
      <w:r>
        <w:rPr>
          <w:rFonts w:eastAsia="Calibri"/>
        </w:rPr>
        <w:t>The analysis of options for h</w:t>
      </w:r>
      <w:r w:rsidR="00900F11" w:rsidRPr="00FA3E04">
        <w:rPr>
          <w:rFonts w:eastAsia="Calibri"/>
        </w:rPr>
        <w:t xml:space="preserve">igher MEPS could </w:t>
      </w:r>
      <w:r>
        <w:rPr>
          <w:rFonts w:eastAsia="Calibri"/>
        </w:rPr>
        <w:t xml:space="preserve">start once </w:t>
      </w:r>
      <w:r w:rsidR="001574D2">
        <w:rPr>
          <w:rFonts w:eastAsia="Calibri"/>
        </w:rPr>
        <w:t xml:space="preserve">all </w:t>
      </w:r>
      <w:r>
        <w:rPr>
          <w:rFonts w:eastAsia="Calibri"/>
        </w:rPr>
        <w:t>current models are registered</w:t>
      </w:r>
      <w:r w:rsidR="001574D2">
        <w:rPr>
          <w:rFonts w:eastAsia="Calibri"/>
        </w:rPr>
        <w:t>.</w:t>
      </w:r>
      <w:r w:rsidR="00900F11" w:rsidRPr="00FA3E04">
        <w:rPr>
          <w:rFonts w:eastAsia="Calibri"/>
        </w:rPr>
        <w:t xml:space="preserve"> </w:t>
      </w:r>
      <w:r w:rsidR="0068498D">
        <w:rPr>
          <w:rFonts w:eastAsia="Calibri"/>
        </w:rPr>
        <w:t xml:space="preserve">This timetable is relevant to possible </w:t>
      </w:r>
      <w:r w:rsidR="0097262B">
        <w:rPr>
          <w:rFonts w:eastAsia="Calibri"/>
        </w:rPr>
        <w:t>Minimum W</w:t>
      </w:r>
      <w:r w:rsidR="0068498D">
        <w:rPr>
          <w:rFonts w:eastAsia="Calibri"/>
        </w:rPr>
        <w:t xml:space="preserve">ater </w:t>
      </w:r>
      <w:r w:rsidR="0097262B">
        <w:rPr>
          <w:rFonts w:eastAsia="Calibri"/>
        </w:rPr>
        <w:t>E</w:t>
      </w:r>
      <w:r w:rsidR="001574D2">
        <w:rPr>
          <w:rFonts w:eastAsia="Calibri"/>
        </w:rPr>
        <w:t xml:space="preserve">fficiency </w:t>
      </w:r>
      <w:r w:rsidR="0097262B">
        <w:rPr>
          <w:rFonts w:eastAsia="Calibri"/>
        </w:rPr>
        <w:t>S</w:t>
      </w:r>
      <w:r w:rsidR="0068498D">
        <w:rPr>
          <w:rFonts w:eastAsia="Calibri"/>
        </w:rPr>
        <w:t>tandards because it would be less disruptive for industry to introduce them at the same time as the next round of MEPS, if there is to be one.</w:t>
      </w:r>
    </w:p>
    <w:p w14:paraId="7ADC771A" w14:textId="77777777" w:rsidR="000F2521" w:rsidRDefault="000F2521" w:rsidP="00FA3E04">
      <w:pPr>
        <w:rPr>
          <w:rFonts w:eastAsia="Calibri"/>
        </w:rPr>
      </w:pPr>
    </w:p>
    <w:p w14:paraId="789373BF" w14:textId="77CCC694" w:rsidR="00900F11" w:rsidRPr="00900F11" w:rsidRDefault="00900F11" w:rsidP="00900F11">
      <w:pPr>
        <w:pStyle w:val="Caption"/>
        <w:jc w:val="center"/>
        <w:rPr>
          <w:iCs/>
        </w:rPr>
      </w:pPr>
      <w:bookmarkStart w:id="48" w:name="_Ref189479935"/>
      <w:bookmarkStart w:id="49" w:name="_Toc196745444"/>
      <w:r>
        <w:t xml:space="preserve">Table </w:t>
      </w:r>
      <w:r w:rsidR="0042496D">
        <w:fldChar w:fldCharType="begin"/>
      </w:r>
      <w:r w:rsidR="0042496D">
        <w:instrText xml:space="preserve"> SEQ Table \* ARABIC </w:instrText>
      </w:r>
      <w:r w:rsidR="0042496D">
        <w:fldChar w:fldCharType="separate"/>
      </w:r>
      <w:r w:rsidR="002271EC">
        <w:rPr>
          <w:noProof/>
        </w:rPr>
        <w:t>2</w:t>
      </w:r>
      <w:r w:rsidR="0042496D">
        <w:rPr>
          <w:noProof/>
        </w:rPr>
        <w:fldChar w:fldCharType="end"/>
      </w:r>
      <w:bookmarkEnd w:id="48"/>
      <w:r w:rsidR="00A85CC0">
        <w:t xml:space="preserve"> </w:t>
      </w:r>
      <w:r w:rsidRPr="00900F11">
        <w:rPr>
          <w:iCs/>
        </w:rPr>
        <w:t>Indicative Timing</w:t>
      </w:r>
      <w:bookmarkEnd w:id="49"/>
    </w:p>
    <w:p w14:paraId="61006772" w14:textId="6208E954" w:rsidR="00A85CC0" w:rsidRPr="00A85CC0" w:rsidRDefault="00FD07A4" w:rsidP="00900F11">
      <w:pPr>
        <w:pStyle w:val="Caption"/>
      </w:pPr>
      <w:r w:rsidRPr="00FD07A4">
        <w:rPr>
          <w:noProof/>
        </w:rPr>
        <w:drawing>
          <wp:inline distT="0" distB="0" distL="0" distR="0" wp14:anchorId="2812FDE6" wp14:editId="42BC5F27">
            <wp:extent cx="6120130" cy="999490"/>
            <wp:effectExtent l="0" t="0" r="0" b="0"/>
            <wp:docPr id="33" name="Picture 33" descr="Bar chart showing timelines for implementing WELS options 2, 3A, 3B, 4A and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r chart showing timelines for implementing WELS options 2, 3A, 3B, 4A and 4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999490"/>
                    </a:xfrm>
                    <a:prstGeom prst="rect">
                      <a:avLst/>
                    </a:prstGeom>
                    <a:noFill/>
                    <a:ln>
                      <a:noFill/>
                    </a:ln>
                  </pic:spPr>
                </pic:pic>
              </a:graphicData>
            </a:graphic>
          </wp:inline>
        </w:drawing>
      </w:r>
    </w:p>
    <w:p w14:paraId="2C958942" w14:textId="0944501B" w:rsidR="00633F20" w:rsidRDefault="00633F20" w:rsidP="00633F20">
      <w:pPr>
        <w:jc w:val="center"/>
        <w:rPr>
          <w:sz w:val="18"/>
          <w:szCs w:val="18"/>
        </w:rPr>
      </w:pPr>
      <w:r w:rsidRPr="00633F20">
        <w:rPr>
          <w:sz w:val="18"/>
          <w:szCs w:val="18"/>
        </w:rPr>
        <w:t xml:space="preserve">Orange = </w:t>
      </w:r>
      <w:r w:rsidR="00FD07A4">
        <w:rPr>
          <w:sz w:val="18"/>
          <w:szCs w:val="18"/>
        </w:rPr>
        <w:t xml:space="preserve">Research &amp; </w:t>
      </w:r>
      <w:r w:rsidRPr="00633F20">
        <w:rPr>
          <w:sz w:val="18"/>
          <w:szCs w:val="18"/>
        </w:rPr>
        <w:t xml:space="preserve">analysis phase, Yellow = </w:t>
      </w:r>
      <w:r w:rsidR="00FD07A4">
        <w:rPr>
          <w:sz w:val="18"/>
          <w:szCs w:val="18"/>
        </w:rPr>
        <w:t>I</w:t>
      </w:r>
      <w:r w:rsidRPr="00633F20">
        <w:rPr>
          <w:sz w:val="18"/>
          <w:szCs w:val="18"/>
        </w:rPr>
        <w:t>ndustry notice period, Green = Implementation phase.</w:t>
      </w:r>
    </w:p>
    <w:p w14:paraId="75EAD5AB" w14:textId="77777777" w:rsidR="000F2521" w:rsidRPr="00633F20" w:rsidRDefault="000F2521" w:rsidP="00633F20">
      <w:pPr>
        <w:jc w:val="center"/>
        <w:rPr>
          <w:sz w:val="18"/>
          <w:szCs w:val="18"/>
        </w:rPr>
      </w:pPr>
    </w:p>
    <w:p w14:paraId="43988449" w14:textId="38615627" w:rsidR="0068498D" w:rsidRDefault="00C058A2" w:rsidP="00C058A2">
      <w:r>
        <w:t xml:space="preserve">If </w:t>
      </w:r>
      <w:r w:rsidR="003B5902" w:rsidRPr="003B5902">
        <w:t>Option 2 (</w:t>
      </w:r>
      <w:r w:rsidR="006F6551">
        <w:t>V</w:t>
      </w:r>
      <w:r w:rsidR="00633F20">
        <w:t xml:space="preserve">oluntary </w:t>
      </w:r>
      <w:r w:rsidR="004D237B">
        <w:t>declaration</w:t>
      </w:r>
      <w:r w:rsidR="00633F20">
        <w:t xml:space="preserve"> with </w:t>
      </w:r>
      <w:r w:rsidR="003B5902" w:rsidRPr="003B5902">
        <w:t xml:space="preserve">WELS support) is adopted, </w:t>
      </w:r>
      <w:r w:rsidR="0068498D">
        <w:t xml:space="preserve">the WELS Regulator could </w:t>
      </w:r>
      <w:r w:rsidR="003B5902" w:rsidRPr="003B5902">
        <w:t>giv</w:t>
      </w:r>
      <w:r w:rsidR="0068498D">
        <w:t>e</w:t>
      </w:r>
      <w:r w:rsidR="003B5902" w:rsidRPr="003B5902">
        <w:t xml:space="preserve"> </w:t>
      </w:r>
      <w:r w:rsidR="003B5902">
        <w:t xml:space="preserve">early </w:t>
      </w:r>
      <w:r w:rsidR="003B5902" w:rsidRPr="003B5902">
        <w:t>notice to industry</w:t>
      </w:r>
      <w:r w:rsidR="001574D2">
        <w:t xml:space="preserve"> and reinforce the </w:t>
      </w:r>
      <w:r w:rsidR="0068498D">
        <w:t>efforts of the GEMS Regulator</w:t>
      </w:r>
      <w:r w:rsidR="001574D2">
        <w:t xml:space="preserve"> to </w:t>
      </w:r>
      <w:r w:rsidR="0068498D">
        <w:t xml:space="preserve">encourage </w:t>
      </w:r>
      <w:r w:rsidR="003B5902" w:rsidRPr="003B5902">
        <w:t xml:space="preserve">higher levels of voluntary </w:t>
      </w:r>
      <w:r w:rsidR="004D237B">
        <w:t>declaration</w:t>
      </w:r>
      <w:r w:rsidR="003B5902" w:rsidRPr="003B5902">
        <w:t xml:space="preserve"> of water </w:t>
      </w:r>
      <w:r w:rsidR="001574D2">
        <w:t xml:space="preserve">use </w:t>
      </w:r>
      <w:r w:rsidR="003B5902" w:rsidRPr="003B5902">
        <w:t>during the GEMS registration process</w:t>
      </w:r>
      <w:r>
        <w:t>.</w:t>
      </w:r>
    </w:p>
    <w:p w14:paraId="43249C94" w14:textId="2191F64B" w:rsidR="004316F8" w:rsidRDefault="003B5902" w:rsidP="00C058A2">
      <w:r w:rsidRPr="003B5902">
        <w:t xml:space="preserve">The extent of voluntary </w:t>
      </w:r>
      <w:r w:rsidR="004D237B">
        <w:t>declaration</w:t>
      </w:r>
      <w:r w:rsidRPr="003B5902">
        <w:t xml:space="preserve"> should </w:t>
      </w:r>
      <w:r>
        <w:t xml:space="preserve">become </w:t>
      </w:r>
      <w:r w:rsidRPr="003B5902">
        <w:t xml:space="preserve">apparent </w:t>
      </w:r>
      <w:r>
        <w:t xml:space="preserve">as </w:t>
      </w:r>
      <w:r w:rsidR="00633F20">
        <w:t xml:space="preserve">the </w:t>
      </w:r>
      <w:r w:rsidRPr="003B5902">
        <w:t xml:space="preserve">GEMS </w:t>
      </w:r>
      <w:r>
        <w:t>registration proceeds</w:t>
      </w:r>
      <w:r w:rsidR="001574D2">
        <w:t xml:space="preserve">, </w:t>
      </w:r>
      <w:r w:rsidRPr="003B5902">
        <w:t xml:space="preserve">although registrants </w:t>
      </w:r>
      <w:r w:rsidR="0068498D">
        <w:t xml:space="preserve">may </w:t>
      </w:r>
      <w:r w:rsidRPr="003B5902">
        <w:t>be able to add water efficiency data later</w:t>
      </w:r>
      <w:r w:rsidR="00633F20">
        <w:t xml:space="preserve"> by way of </w:t>
      </w:r>
      <w:r w:rsidR="004923E4">
        <w:t>seeking</w:t>
      </w:r>
      <w:r w:rsidR="006F6551">
        <w:t xml:space="preserve"> amendment to </w:t>
      </w:r>
      <w:r w:rsidR="00513C65">
        <w:t xml:space="preserve">their </w:t>
      </w:r>
      <w:r w:rsidR="00633F20">
        <w:t xml:space="preserve">GEMS registration </w:t>
      </w:r>
      <w:r w:rsidR="006F6551">
        <w:t>data</w:t>
      </w:r>
      <w:r w:rsidR="00C058A2">
        <w:t xml:space="preserve">. </w:t>
      </w:r>
      <w:r w:rsidR="00513C65">
        <w:t xml:space="preserve">As all </w:t>
      </w:r>
      <w:r w:rsidR="0068498D">
        <w:t>CIMs must be registered with GEMS by 3 March 2026</w:t>
      </w:r>
      <w:r w:rsidR="00513C65">
        <w:t xml:space="preserve">, </w:t>
      </w:r>
      <w:r w:rsidRPr="003B5902">
        <w:t xml:space="preserve">the WELS </w:t>
      </w:r>
      <w:r w:rsidR="0068498D">
        <w:t xml:space="preserve">Regulator </w:t>
      </w:r>
      <w:r w:rsidRPr="003B5902">
        <w:t xml:space="preserve">should have enough information </w:t>
      </w:r>
      <w:r w:rsidR="00513C65">
        <w:t xml:space="preserve">by then </w:t>
      </w:r>
      <w:r w:rsidRPr="003B5902">
        <w:t xml:space="preserve">to decide whether the rate of </w:t>
      </w:r>
      <w:r w:rsidR="004D237B">
        <w:t>declaration</w:t>
      </w:r>
      <w:r w:rsidRPr="003B5902">
        <w:t xml:space="preserve"> is high enough to continue with Option 2, or whether it is necessary to move to </w:t>
      </w:r>
      <w:r w:rsidR="001574D2">
        <w:t xml:space="preserve">a </w:t>
      </w:r>
      <w:r w:rsidRPr="003B5902">
        <w:t xml:space="preserve">mandatory </w:t>
      </w:r>
      <w:r w:rsidR="001574D2">
        <w:t>option.</w:t>
      </w:r>
    </w:p>
    <w:p w14:paraId="556326DC" w14:textId="207113D5" w:rsidR="00FB29BC" w:rsidRPr="00FB29BC" w:rsidRDefault="00FB29BC" w:rsidP="00FB29BC">
      <w:r w:rsidRPr="00FB29BC">
        <w:t xml:space="preserve">Option 3A in Table 2 is the introduction of mandatory registration with the WELS Regulator and </w:t>
      </w:r>
      <w:r>
        <w:t xml:space="preserve">mandatory </w:t>
      </w:r>
      <w:r w:rsidR="00F905A5">
        <w:t>information declaration</w:t>
      </w:r>
      <w:r>
        <w:t>,</w:t>
      </w:r>
      <w:r w:rsidRPr="00FB29BC">
        <w:t xml:space="preserve"> </w:t>
      </w:r>
      <w:r>
        <w:t xml:space="preserve">in the event of </w:t>
      </w:r>
      <w:r w:rsidRPr="00FB29BC">
        <w:t xml:space="preserve">poor adoption of voluntary </w:t>
      </w:r>
      <w:r>
        <w:t xml:space="preserve">declaration </w:t>
      </w:r>
      <w:r w:rsidRPr="00FB29BC">
        <w:t xml:space="preserve">of water use rates to the GEMS Regulator. In this option, time will be needed to amend the WELS Determination, add a CIM label and testing standards to </w:t>
      </w:r>
      <w:bookmarkStart w:id="50" w:name="_Hlk192161188"/>
      <w:r w:rsidR="0097262B">
        <w:t>the WELS standard (</w:t>
      </w:r>
      <w:r w:rsidRPr="00FB29BC">
        <w:t>AS/NZS6400</w:t>
      </w:r>
      <w:r w:rsidR="0097262B">
        <w:t>)</w:t>
      </w:r>
      <w:r w:rsidRPr="00FB29BC">
        <w:t xml:space="preserve"> and give notice to industry. The earliest practical compliance date would be early 202</w:t>
      </w:r>
      <w:r>
        <w:t>7</w:t>
      </w:r>
      <w:r w:rsidR="00EB37B9">
        <w:t>,</w:t>
      </w:r>
      <w:r>
        <w:t xml:space="preserve"> but it </w:t>
      </w:r>
      <w:r w:rsidR="00EB37B9">
        <w:t xml:space="preserve">could </w:t>
      </w:r>
      <w:r>
        <w:t>take</w:t>
      </w:r>
      <w:r w:rsidR="00EB37B9">
        <w:t xml:space="preserve"> up to a year </w:t>
      </w:r>
      <w:r>
        <w:t>longer</w:t>
      </w:r>
      <w:r w:rsidRPr="00FB29BC">
        <w:t>.</w:t>
      </w:r>
    </w:p>
    <w:bookmarkEnd w:id="50"/>
    <w:p w14:paraId="0EE73419" w14:textId="5718F197" w:rsidR="00FB29BC" w:rsidRPr="00FB29BC" w:rsidRDefault="00FB29BC" w:rsidP="00FB29BC">
      <w:r w:rsidRPr="00FB29BC">
        <w:lastRenderedPageBreak/>
        <w:t xml:space="preserve">Option 3B is the immediate introduction of mandatory registration with the WELS Regulator </w:t>
      </w:r>
      <w:r w:rsidR="001574D2" w:rsidRPr="00FB29BC">
        <w:t xml:space="preserve">and </w:t>
      </w:r>
      <w:r w:rsidR="00F905A5">
        <w:t xml:space="preserve">information declaration </w:t>
      </w:r>
      <w:r w:rsidRPr="00FB29BC">
        <w:t xml:space="preserve">without </w:t>
      </w:r>
      <w:r w:rsidR="001574D2">
        <w:t xml:space="preserve">waiting to see the extent of </w:t>
      </w:r>
      <w:r w:rsidRPr="00FB29BC">
        <w:t xml:space="preserve">voluntary water use disclosure to the GEMS Regulator. If this </w:t>
      </w:r>
      <w:r w:rsidR="001574D2">
        <w:t>o</w:t>
      </w:r>
      <w:r w:rsidRPr="00FB29BC">
        <w:t xml:space="preserve">ption is adopted, time will be needed to </w:t>
      </w:r>
      <w:r w:rsidR="00DA085C">
        <w:t xml:space="preserve">amend the WELS Determination, </w:t>
      </w:r>
      <w:r w:rsidRPr="00FB29BC">
        <w:t xml:space="preserve">add </w:t>
      </w:r>
      <w:r w:rsidR="00F905A5">
        <w:t xml:space="preserve">a </w:t>
      </w:r>
      <w:r w:rsidRPr="00FB29BC">
        <w:t xml:space="preserve">CIM </w:t>
      </w:r>
      <w:r w:rsidR="00F905A5">
        <w:t xml:space="preserve">label and </w:t>
      </w:r>
      <w:r w:rsidR="00FD6915">
        <w:t xml:space="preserve">testing standards </w:t>
      </w:r>
      <w:r w:rsidRPr="00FB29BC">
        <w:t xml:space="preserve">to </w:t>
      </w:r>
      <w:r w:rsidR="0097262B">
        <w:t>the WELS standard (</w:t>
      </w:r>
      <w:r w:rsidRPr="00FB29BC">
        <w:t>AS/NZS 6400</w:t>
      </w:r>
      <w:r w:rsidR="0097262B">
        <w:t>)</w:t>
      </w:r>
      <w:r w:rsidRPr="00FB29BC">
        <w:t xml:space="preserve"> and to give </w:t>
      </w:r>
      <w:r w:rsidR="00F905A5">
        <w:t xml:space="preserve">notice </w:t>
      </w:r>
      <w:r w:rsidRPr="00FB29BC">
        <w:t>to industry. The earliest practical compliance date would be early 202</w:t>
      </w:r>
      <w:r w:rsidR="00EB37B9">
        <w:t>6,</w:t>
      </w:r>
      <w:r w:rsidRPr="00FB29BC">
        <w:t xml:space="preserve"> </w:t>
      </w:r>
      <w:r w:rsidR="00EB37B9" w:rsidRPr="00EB37B9">
        <w:t>but it could take up to a year longer.</w:t>
      </w:r>
    </w:p>
    <w:p w14:paraId="4F24316D" w14:textId="19040E7D" w:rsidR="003B5902" w:rsidRPr="003B5902" w:rsidRDefault="003B5902" w:rsidP="0073619E">
      <w:r w:rsidRPr="003B5902">
        <w:t xml:space="preserve">Co-ordinating Option 3B with </w:t>
      </w:r>
      <w:r w:rsidR="00F905A5">
        <w:t xml:space="preserve">the </w:t>
      </w:r>
      <w:r w:rsidRPr="003B5902">
        <w:t xml:space="preserve">introduction of GEMS requirements </w:t>
      </w:r>
      <w:r w:rsidR="004316F8">
        <w:t xml:space="preserve">in </w:t>
      </w:r>
      <w:r w:rsidR="00EB37B9">
        <w:t xml:space="preserve">March </w:t>
      </w:r>
      <w:r w:rsidRPr="003B5902">
        <w:t>2026</w:t>
      </w:r>
      <w:r w:rsidR="00A87D16">
        <w:t>, if that were practicable,</w:t>
      </w:r>
      <w:r w:rsidRPr="003B5902">
        <w:t xml:space="preserve"> would give certainty to industry</w:t>
      </w:r>
      <w:r w:rsidR="00A87D16">
        <w:t xml:space="preserve">, </w:t>
      </w:r>
      <w:r w:rsidRPr="003B5902">
        <w:t xml:space="preserve">who </w:t>
      </w:r>
      <w:r w:rsidR="0097262B">
        <w:t>w</w:t>
      </w:r>
      <w:r w:rsidRPr="003B5902">
        <w:t xml:space="preserve">ould have the </w:t>
      </w:r>
      <w:r w:rsidR="0097262B">
        <w:t>water use data for products registered with the GEMS Regulator</w:t>
      </w:r>
      <w:r w:rsidR="0073619E">
        <w:t>.</w:t>
      </w:r>
      <w:r w:rsidRPr="003B5902">
        <w:t xml:space="preserve"> </w:t>
      </w:r>
      <w:r w:rsidR="00C058A2">
        <w:t xml:space="preserve">On the other hand, </w:t>
      </w:r>
      <w:r w:rsidR="00A87D16">
        <w:t>i</w:t>
      </w:r>
      <w:r w:rsidR="0073619E">
        <w:t xml:space="preserve">mplementing any mandatory WELS option before </w:t>
      </w:r>
      <w:r w:rsidR="00EB37B9">
        <w:t xml:space="preserve">March </w:t>
      </w:r>
      <w:r w:rsidR="0073619E">
        <w:t xml:space="preserve">2028 might </w:t>
      </w:r>
      <w:r w:rsidRPr="003B5902">
        <w:t>conflict with the E3 Consultation R</w:t>
      </w:r>
      <w:r w:rsidR="00F905A5">
        <w:t>egulat</w:t>
      </w:r>
      <w:r w:rsidR="0097262B">
        <w:t>ion</w:t>
      </w:r>
      <w:r w:rsidR="00F905A5">
        <w:t xml:space="preserve"> </w:t>
      </w:r>
      <w:r w:rsidRPr="003B5902">
        <w:t>I</w:t>
      </w:r>
      <w:r w:rsidR="00F905A5">
        <w:t xml:space="preserve">mpact </w:t>
      </w:r>
      <w:r w:rsidRPr="003B5902">
        <w:t>S</w:t>
      </w:r>
      <w:r w:rsidR="00F905A5">
        <w:t>tatement</w:t>
      </w:r>
      <w:r w:rsidRPr="003B5902">
        <w:t xml:space="preserve">, which </w:t>
      </w:r>
      <w:r w:rsidR="0073619E">
        <w:t>may have raised the expectation</w:t>
      </w:r>
      <w:r w:rsidR="00EB37B9">
        <w:t xml:space="preserve"> with </w:t>
      </w:r>
      <w:r w:rsidR="0073619E">
        <w:t xml:space="preserve">suppliers that there would be no changes to the CIM regulatory regime for at least </w:t>
      </w:r>
      <w:r w:rsidR="00EB37B9">
        <w:t>two</w:t>
      </w:r>
      <w:r w:rsidR="0073619E">
        <w:t xml:space="preserve"> years.</w:t>
      </w:r>
    </w:p>
    <w:p w14:paraId="7BE5E40D" w14:textId="5D937748" w:rsidR="00EB37B9" w:rsidRPr="00EB37B9" w:rsidRDefault="00EB37B9" w:rsidP="00EB37B9">
      <w:r w:rsidRPr="00EB37B9">
        <w:t xml:space="preserve">Option 4A proposes </w:t>
      </w:r>
      <w:r w:rsidR="00F905A5">
        <w:t>M</w:t>
      </w:r>
      <w:r w:rsidRPr="00EB37B9">
        <w:t xml:space="preserve">inimum </w:t>
      </w:r>
      <w:r w:rsidR="00F905A5">
        <w:t>W</w:t>
      </w:r>
      <w:r w:rsidRPr="00EB37B9">
        <w:t xml:space="preserve">ater </w:t>
      </w:r>
      <w:r w:rsidR="00F905A5">
        <w:t>E</w:t>
      </w:r>
      <w:r w:rsidRPr="00EB37B9">
        <w:t xml:space="preserve">fficiency </w:t>
      </w:r>
      <w:r w:rsidR="00F905A5">
        <w:t>S</w:t>
      </w:r>
      <w:r w:rsidRPr="00EB37B9">
        <w:t>tandards in addition to mandatory registration and</w:t>
      </w:r>
      <w:r w:rsidR="00CC4462">
        <w:t xml:space="preserve"> p</w:t>
      </w:r>
      <w:r w:rsidRPr="00EB37B9">
        <w:t>otentially</w:t>
      </w:r>
      <w:r w:rsidR="00F905A5">
        <w:t>,</w:t>
      </w:r>
      <w:r w:rsidR="00CC4462">
        <w:t xml:space="preserve"> </w:t>
      </w:r>
      <w:r w:rsidR="00F905A5">
        <w:t>information declaration</w:t>
      </w:r>
      <w:r>
        <w:t xml:space="preserve">, to be informed by information </w:t>
      </w:r>
      <w:r w:rsidRPr="00EB37B9">
        <w:t>gather</w:t>
      </w:r>
      <w:r>
        <w:t xml:space="preserve">ed </w:t>
      </w:r>
      <w:r w:rsidRPr="00EB37B9">
        <w:t>under Options 2</w:t>
      </w:r>
      <w:r w:rsidR="00CC4462">
        <w:t xml:space="preserve">, </w:t>
      </w:r>
      <w:r w:rsidRPr="00EB37B9">
        <w:t>3</w:t>
      </w:r>
      <w:r>
        <w:t>A</w:t>
      </w:r>
      <w:r w:rsidR="00CC4462">
        <w:t xml:space="preserve"> or 3B</w:t>
      </w:r>
      <w:r>
        <w:t xml:space="preserve">. </w:t>
      </w:r>
      <w:r w:rsidRPr="00EB37B9">
        <w:t>If Option 4A is adopted after Option</w:t>
      </w:r>
      <w:r w:rsidR="00CC4462">
        <w:t xml:space="preserve"> </w:t>
      </w:r>
      <w:r w:rsidR="00464110" w:rsidRPr="00464110">
        <w:t>2</w:t>
      </w:r>
      <w:r w:rsidRPr="00EB37B9">
        <w:t>, some time will be needed to add</w:t>
      </w:r>
      <w:r w:rsidR="00F905A5">
        <w:t xml:space="preserve"> a</w:t>
      </w:r>
      <w:r w:rsidRPr="00EB37B9">
        <w:t xml:space="preserve"> CIM </w:t>
      </w:r>
      <w:r w:rsidR="00F905A5">
        <w:t xml:space="preserve">label and </w:t>
      </w:r>
      <w:r w:rsidRPr="00EB37B9">
        <w:t xml:space="preserve">testing standards to </w:t>
      </w:r>
      <w:r w:rsidR="00971A16">
        <w:t>the WELS standard (</w:t>
      </w:r>
      <w:r w:rsidRPr="00EB37B9">
        <w:t>AS/NZS 6400</w:t>
      </w:r>
      <w:r w:rsidR="00971A16">
        <w:t>)</w:t>
      </w:r>
      <w:r w:rsidRPr="00EB37B9">
        <w:t xml:space="preserve">, to set </w:t>
      </w:r>
      <w:r w:rsidR="00F905A5">
        <w:t>M</w:t>
      </w:r>
      <w:r w:rsidR="00FD6915">
        <w:t xml:space="preserve">inimum </w:t>
      </w:r>
      <w:r w:rsidR="00F905A5">
        <w:t>W</w:t>
      </w:r>
      <w:r w:rsidR="00FD6915">
        <w:t xml:space="preserve">ater </w:t>
      </w:r>
      <w:r w:rsidR="00F905A5">
        <w:t>E</w:t>
      </w:r>
      <w:r w:rsidR="00FD6915">
        <w:t xml:space="preserve">fficiency </w:t>
      </w:r>
      <w:r w:rsidR="00F905A5">
        <w:t>S</w:t>
      </w:r>
      <w:r w:rsidR="00FD6915">
        <w:t xml:space="preserve">tandards, </w:t>
      </w:r>
      <w:r w:rsidRPr="00EB37B9">
        <w:t xml:space="preserve">amend the </w:t>
      </w:r>
      <w:r w:rsidR="00F905A5">
        <w:t xml:space="preserve">WELS </w:t>
      </w:r>
      <w:r w:rsidRPr="00EB37B9">
        <w:t>Determination</w:t>
      </w:r>
      <w:r w:rsidR="00FD6915">
        <w:t xml:space="preserve"> (or amend </w:t>
      </w:r>
      <w:r w:rsidR="00971A16">
        <w:t>the WELS standard or WELS Determination</w:t>
      </w:r>
      <w:r w:rsidR="00FD6915">
        <w:t xml:space="preserve"> again, </w:t>
      </w:r>
      <w:r w:rsidR="00F905A5">
        <w:t>i</w:t>
      </w:r>
      <w:r w:rsidR="00FD6915">
        <w:t xml:space="preserve">f Option 4A follows 3A or 3B) </w:t>
      </w:r>
      <w:r w:rsidRPr="00EB37B9">
        <w:t xml:space="preserve">and to give </w:t>
      </w:r>
      <w:r w:rsidR="00F905A5">
        <w:t xml:space="preserve">notice </w:t>
      </w:r>
      <w:r w:rsidRPr="00EB37B9">
        <w:t xml:space="preserve">to </w:t>
      </w:r>
      <w:r w:rsidR="00971A16">
        <w:t>stakeholders</w:t>
      </w:r>
      <w:r w:rsidRPr="00EB37B9">
        <w:t>.</w:t>
      </w:r>
    </w:p>
    <w:p w14:paraId="55AE3C25" w14:textId="3162D5E3" w:rsidR="00464110" w:rsidRPr="00464110" w:rsidRDefault="00464110" w:rsidP="00464110">
      <w:r w:rsidRPr="00464110">
        <w:t xml:space="preserve">The earliest by which </w:t>
      </w:r>
      <w:r>
        <w:t xml:space="preserve">analysis of the water use </w:t>
      </w:r>
      <w:r w:rsidRPr="00464110">
        <w:t xml:space="preserve">data </w:t>
      </w:r>
      <w:r>
        <w:t xml:space="preserve">registered with GEMS </w:t>
      </w:r>
      <w:r w:rsidRPr="00464110">
        <w:t>could be completed is mid to late 2026.</w:t>
      </w:r>
      <w:r>
        <w:t xml:space="preserve"> </w:t>
      </w:r>
      <w:r w:rsidRPr="00464110">
        <w:t xml:space="preserve">If the WELS </w:t>
      </w:r>
      <w:r w:rsidR="00DA085C">
        <w:t>S</w:t>
      </w:r>
      <w:r w:rsidRPr="00464110">
        <w:t>tandard w</w:t>
      </w:r>
      <w:r w:rsidR="00DA085C">
        <w:t>as</w:t>
      </w:r>
      <w:r w:rsidRPr="00464110">
        <w:t xml:space="preserve"> published by early 2027 to take effect </w:t>
      </w:r>
      <w:r w:rsidR="00971A16">
        <w:t xml:space="preserve">in </w:t>
      </w:r>
      <w:r w:rsidRPr="00464110">
        <w:t xml:space="preserve">early 2028, </w:t>
      </w:r>
      <w:r w:rsidR="00DA085C">
        <w:t xml:space="preserve">it </w:t>
      </w:r>
      <w:r w:rsidRPr="00464110">
        <w:t xml:space="preserve">could by co-ordinated with the Stage 2 GEMS requirements (should those proceed). This would give suppliers a year to review their model range and only import models that meet </w:t>
      </w:r>
      <w:r w:rsidRPr="00D260B9">
        <w:t>both</w:t>
      </w:r>
      <w:r w:rsidRPr="00464110">
        <w:rPr>
          <w:i/>
          <w:iCs/>
        </w:rPr>
        <w:t xml:space="preserve"> </w:t>
      </w:r>
      <w:r w:rsidRPr="00464110">
        <w:t>the WELS and the GEMS requirements.</w:t>
      </w:r>
    </w:p>
    <w:p w14:paraId="18463B8C" w14:textId="1ED94CE1" w:rsidR="00464110" w:rsidRPr="00464110" w:rsidRDefault="00464110" w:rsidP="00464110">
      <w:bookmarkStart w:id="51" w:name="_Hlk192157056"/>
      <w:r w:rsidRPr="00464110">
        <w:t xml:space="preserve">Option 4B </w:t>
      </w:r>
      <w:r w:rsidR="00DA085C">
        <w:t>proposes M</w:t>
      </w:r>
      <w:r w:rsidRPr="00464110">
        <w:t xml:space="preserve">inimum </w:t>
      </w:r>
      <w:r w:rsidR="00DA085C">
        <w:t>W</w:t>
      </w:r>
      <w:r w:rsidRPr="00464110">
        <w:t xml:space="preserve">ater </w:t>
      </w:r>
      <w:r w:rsidR="00DA085C">
        <w:t>E</w:t>
      </w:r>
      <w:r w:rsidRPr="00464110">
        <w:t xml:space="preserve">fficiency </w:t>
      </w:r>
      <w:r w:rsidR="00DA085C">
        <w:t>S</w:t>
      </w:r>
      <w:r w:rsidRPr="00464110">
        <w:t xml:space="preserve">tandards </w:t>
      </w:r>
      <w:r w:rsidR="00DA085C">
        <w:t>in addition to mandatory registration and potentially, information declaration</w:t>
      </w:r>
      <w:r w:rsidRPr="00464110">
        <w:t xml:space="preserve">, informed by overseas </w:t>
      </w:r>
      <w:r w:rsidR="00FD6915">
        <w:t xml:space="preserve">standards and </w:t>
      </w:r>
      <w:r w:rsidRPr="00464110">
        <w:t>market information</w:t>
      </w:r>
      <w:r>
        <w:t xml:space="preserve"> but without complete data on the Australian market</w:t>
      </w:r>
      <w:r w:rsidRPr="00464110">
        <w:t>.</w:t>
      </w:r>
    </w:p>
    <w:bookmarkEnd w:id="51"/>
    <w:p w14:paraId="5967371C" w14:textId="116717A0" w:rsidR="00464110" w:rsidRPr="00464110" w:rsidRDefault="00FD6915" w:rsidP="00464110">
      <w:r>
        <w:t xml:space="preserve">Following agreement by </w:t>
      </w:r>
      <w:r w:rsidR="00DA085C">
        <w:t>E</w:t>
      </w:r>
      <w:r>
        <w:t xml:space="preserve">nergy </w:t>
      </w:r>
      <w:r w:rsidR="00DA085C">
        <w:t>M</w:t>
      </w:r>
      <w:r>
        <w:t>inisters, t</w:t>
      </w:r>
      <w:r w:rsidR="00464110" w:rsidRPr="00464110">
        <w:t xml:space="preserve">he GEMS Regulator introduced MEPS without a mandatory or voluntary information disclosure stage. However, there were factors present for energy that are not present to support moving directly to </w:t>
      </w:r>
      <w:r w:rsidR="00DA085C">
        <w:t>M</w:t>
      </w:r>
      <w:r w:rsidR="00464110" w:rsidRPr="00464110">
        <w:t xml:space="preserve">inimum </w:t>
      </w:r>
      <w:r w:rsidR="00DA085C">
        <w:t>W</w:t>
      </w:r>
      <w:r w:rsidR="00464110" w:rsidRPr="00464110">
        <w:t>ater</w:t>
      </w:r>
      <w:r>
        <w:t xml:space="preserve"> </w:t>
      </w:r>
      <w:r w:rsidR="00DA085C">
        <w:t>E</w:t>
      </w:r>
      <w:r w:rsidR="00464110" w:rsidRPr="00464110">
        <w:t xml:space="preserve">fficiency </w:t>
      </w:r>
      <w:r w:rsidR="00DA085C">
        <w:t>S</w:t>
      </w:r>
      <w:r w:rsidR="00464110" w:rsidRPr="00464110">
        <w:t>tandards:</w:t>
      </w:r>
    </w:p>
    <w:p w14:paraId="2A6C35AC" w14:textId="5B52681C" w:rsidR="003B5902" w:rsidRPr="003B5902" w:rsidRDefault="003B5902" w:rsidP="00E25C47">
      <w:pPr>
        <w:pStyle w:val="ListParagraph"/>
        <w:numPr>
          <w:ilvl w:val="0"/>
          <w:numId w:val="28"/>
        </w:numPr>
        <w:ind w:left="709"/>
      </w:pPr>
      <w:r w:rsidRPr="00F720E7">
        <w:rPr>
          <w:i/>
          <w:iCs/>
        </w:rPr>
        <w:t>AS/NZS 4865.3:2008 Performance</w:t>
      </w:r>
      <w:r w:rsidRPr="00215A44">
        <w:rPr>
          <w:i/>
          <w:iCs/>
        </w:rPr>
        <w:t xml:space="preserve"> of commercial ice makers and ice storage bins Part 3: Minimum energy performance standard (MEPS) requirements</w:t>
      </w:r>
      <w:r w:rsidRPr="003B5902">
        <w:t xml:space="preserve"> includes MEPS and HE (</w:t>
      </w:r>
      <w:r w:rsidR="00FD6915">
        <w:t>h</w:t>
      </w:r>
      <w:r w:rsidRPr="003B5902">
        <w:t xml:space="preserve">igh </w:t>
      </w:r>
      <w:r w:rsidR="00FD6915">
        <w:t>e</w:t>
      </w:r>
      <w:r w:rsidRPr="003B5902">
        <w:t xml:space="preserve">fficiency) levels </w:t>
      </w:r>
      <w:r w:rsidR="00FD6915">
        <w:t xml:space="preserve">previously </w:t>
      </w:r>
      <w:r w:rsidRPr="003B5902">
        <w:t xml:space="preserve">agreed by a standards committee comprising </w:t>
      </w:r>
      <w:r w:rsidR="00215A44">
        <w:t>ice maker</w:t>
      </w:r>
      <w:r w:rsidRPr="003B5902">
        <w:t xml:space="preserve"> industry stakeholders. The 2008 HE levels were adopted for the initial MEPS. There are no equivalent Australian reference standards for </w:t>
      </w:r>
      <w:r w:rsidR="00FD6915">
        <w:t xml:space="preserve">CIM </w:t>
      </w:r>
      <w:r w:rsidRPr="003B5902">
        <w:t>water efficiency.</w:t>
      </w:r>
    </w:p>
    <w:p w14:paraId="1453CA53" w14:textId="0370F416" w:rsidR="003B5902" w:rsidRPr="003B5902" w:rsidRDefault="003B5902" w:rsidP="00E25C47">
      <w:pPr>
        <w:pStyle w:val="ListParagraph"/>
        <w:numPr>
          <w:ilvl w:val="0"/>
          <w:numId w:val="28"/>
        </w:numPr>
        <w:ind w:left="709"/>
      </w:pPr>
      <w:r w:rsidRPr="003B5902">
        <w:t xml:space="preserve">While the energy performance data currently available from suppliers is poor, the availability of water </w:t>
      </w:r>
      <w:r w:rsidR="00464110">
        <w:t xml:space="preserve">use and </w:t>
      </w:r>
      <w:r w:rsidRPr="003B5902">
        <w:t>efficiency data is worse.</w:t>
      </w:r>
    </w:p>
    <w:p w14:paraId="5CFF1977" w14:textId="25314158" w:rsidR="00FD12F2" w:rsidRDefault="003B5902" w:rsidP="00846C24">
      <w:r w:rsidRPr="003B5902">
        <w:lastRenderedPageBreak/>
        <w:t xml:space="preserve">For these reasons, </w:t>
      </w:r>
      <w:r w:rsidR="00F52250">
        <w:t xml:space="preserve">there would be an elevated </w:t>
      </w:r>
      <w:r w:rsidRPr="003B5902">
        <w:t xml:space="preserve">risk to proceed immediately to </w:t>
      </w:r>
      <w:r w:rsidR="00F52250">
        <w:t>M</w:t>
      </w:r>
      <w:r w:rsidR="00FD6915" w:rsidRPr="00A87D16">
        <w:t xml:space="preserve">inimum </w:t>
      </w:r>
      <w:r w:rsidR="00F52250">
        <w:t>W</w:t>
      </w:r>
      <w:r w:rsidR="00FD6915" w:rsidRPr="00A87D16">
        <w:t xml:space="preserve">ater </w:t>
      </w:r>
      <w:r w:rsidR="00F52250">
        <w:t>E</w:t>
      </w:r>
      <w:r w:rsidR="00FD6915" w:rsidRPr="00A87D16">
        <w:t xml:space="preserve">fficiency </w:t>
      </w:r>
      <w:r w:rsidR="00F52250">
        <w:t>S</w:t>
      </w:r>
      <w:r w:rsidR="00FD6915" w:rsidRPr="00A87D16">
        <w:t xml:space="preserve">tandards </w:t>
      </w:r>
      <w:r w:rsidRPr="003B5902">
        <w:t xml:space="preserve">without first obtaining reliable </w:t>
      </w:r>
      <w:r w:rsidR="00FD6915">
        <w:t xml:space="preserve">Australian </w:t>
      </w:r>
      <w:r w:rsidRPr="003B5902">
        <w:t xml:space="preserve">data on </w:t>
      </w:r>
      <w:r w:rsidR="00EF62F3">
        <w:t xml:space="preserve">CIM </w:t>
      </w:r>
      <w:r w:rsidRPr="003B5902">
        <w:t xml:space="preserve">water </w:t>
      </w:r>
      <w:r w:rsidR="00464110">
        <w:t xml:space="preserve">use and </w:t>
      </w:r>
      <w:r w:rsidRPr="003B5902">
        <w:t>efficiency. The risk</w:t>
      </w:r>
      <w:r w:rsidR="00464110">
        <w:t>s</w:t>
      </w:r>
      <w:r w:rsidRPr="003B5902">
        <w:t xml:space="preserve"> </w:t>
      </w:r>
      <w:r w:rsidR="00FD6915">
        <w:t xml:space="preserve">of Option 4B </w:t>
      </w:r>
      <w:r w:rsidRPr="003B5902">
        <w:t xml:space="preserve">could be </w:t>
      </w:r>
      <w:r w:rsidR="00464110">
        <w:t xml:space="preserve">partly </w:t>
      </w:r>
      <w:r w:rsidRPr="003B5902">
        <w:t xml:space="preserve">mitigated </w:t>
      </w:r>
      <w:r w:rsidR="00464110">
        <w:t xml:space="preserve">by </w:t>
      </w:r>
      <w:r w:rsidR="00215A44">
        <w:t>setting</w:t>
      </w:r>
      <w:r w:rsidRPr="003B5902">
        <w:t xml:space="preserve"> less ambitious </w:t>
      </w:r>
      <w:r w:rsidR="00215A44">
        <w:t xml:space="preserve">standards </w:t>
      </w:r>
      <w:r w:rsidRPr="003B5902">
        <w:t xml:space="preserve">than in Option 4A, since they would be based on less market information. </w:t>
      </w:r>
      <w:r w:rsidR="00FD6915">
        <w:t>On the other hand</w:t>
      </w:r>
      <w:r w:rsidR="00F52250">
        <w:t>,</w:t>
      </w:r>
      <w:r w:rsidR="00FD6915">
        <w:t xml:space="preserve"> an advantage of Option 4</w:t>
      </w:r>
      <w:r w:rsidR="00F52250">
        <w:t>B</w:t>
      </w:r>
      <w:r w:rsidR="00FD6915">
        <w:t xml:space="preserve"> is that it </w:t>
      </w:r>
      <w:r w:rsidRPr="003B5902">
        <w:t xml:space="preserve">could take effect </w:t>
      </w:r>
      <w:r w:rsidR="00FD6915">
        <w:t xml:space="preserve">at least </w:t>
      </w:r>
      <w:r w:rsidRPr="003B5902">
        <w:t>a year earlier than Option 4A.</w:t>
      </w:r>
    </w:p>
    <w:p w14:paraId="6DA49A71" w14:textId="613AD788" w:rsidR="00513C65" w:rsidRDefault="007844A4" w:rsidP="00846C24">
      <w:pPr>
        <w:rPr>
          <w:lang w:val="en-US"/>
        </w:rPr>
      </w:pPr>
      <w:r>
        <w:rPr>
          <w:lang w:val="en-US"/>
        </w:rPr>
        <w:fldChar w:fldCharType="begin"/>
      </w:r>
      <w:r>
        <w:rPr>
          <w:lang w:val="en-US"/>
        </w:rPr>
        <w:instrText xml:space="preserve"> REF _Ref194416918 \h </w:instrText>
      </w:r>
      <w:r>
        <w:rPr>
          <w:lang w:val="en-US"/>
        </w:rPr>
      </w:r>
      <w:r>
        <w:rPr>
          <w:lang w:val="en-US"/>
        </w:rPr>
        <w:fldChar w:fldCharType="separate"/>
      </w:r>
      <w:r w:rsidR="002271EC">
        <w:t xml:space="preserve">Table </w:t>
      </w:r>
      <w:r w:rsidR="002271EC">
        <w:rPr>
          <w:noProof/>
        </w:rPr>
        <w:t>3</w:t>
      </w:r>
      <w:r>
        <w:rPr>
          <w:lang w:val="en-US"/>
        </w:rPr>
        <w:fldChar w:fldCharType="end"/>
      </w:r>
      <w:r>
        <w:rPr>
          <w:lang w:val="en-US"/>
        </w:rPr>
        <w:t xml:space="preserve"> summarises the options. As nearly all products on the Australian market are imports, it would add to supplier burden if the</w:t>
      </w:r>
      <w:r w:rsidR="00F7086B">
        <w:rPr>
          <w:lang w:val="en-US"/>
        </w:rPr>
        <w:t xml:space="preserve"> timing of these </w:t>
      </w:r>
      <w:r>
        <w:rPr>
          <w:lang w:val="en-US"/>
        </w:rPr>
        <w:t>policy measures overlapped with regulatory changes in the countries of origin. This is not the case</w:t>
      </w:r>
      <w:r w:rsidR="00F7086B">
        <w:rPr>
          <w:lang w:val="en-US"/>
        </w:rPr>
        <w:t>. In 2023 t</w:t>
      </w:r>
      <w:r>
        <w:rPr>
          <w:lang w:val="en-US"/>
        </w:rPr>
        <w:t xml:space="preserve">he USDOE published an intention to increase the US MEPS </w:t>
      </w:r>
      <w:r w:rsidR="00F7086B">
        <w:rPr>
          <w:lang w:val="en-US"/>
        </w:rPr>
        <w:t xml:space="preserve">levels </w:t>
      </w:r>
      <w:r>
        <w:rPr>
          <w:lang w:val="en-US"/>
        </w:rPr>
        <w:t>for CIMs</w:t>
      </w:r>
      <w:r w:rsidR="00F7086B">
        <w:rPr>
          <w:lang w:val="en-US"/>
        </w:rPr>
        <w:t xml:space="preserve">, but without changing the </w:t>
      </w:r>
      <w:r w:rsidR="00CE59EF">
        <w:rPr>
          <w:lang w:val="en-US"/>
        </w:rPr>
        <w:t>water efficiency</w:t>
      </w:r>
      <w:r w:rsidR="00F7086B">
        <w:rPr>
          <w:lang w:val="en-US"/>
        </w:rPr>
        <w:t xml:space="preserve"> requirements.</w:t>
      </w:r>
      <w:r w:rsidR="00F7086B">
        <w:rPr>
          <w:rStyle w:val="FootnoteReference"/>
          <w:lang w:val="en-US"/>
        </w:rPr>
        <w:footnoteReference w:id="10"/>
      </w:r>
      <w:r w:rsidR="00F7086B">
        <w:rPr>
          <w:lang w:val="en-US"/>
        </w:rPr>
        <w:t xml:space="preserve"> With the change in US administration in January 2025 these proposals are unlikely to proceed.</w:t>
      </w:r>
    </w:p>
    <w:p w14:paraId="1B2B7E9D" w14:textId="77777777" w:rsidR="000F2521" w:rsidRDefault="000F2521" w:rsidP="00846C24">
      <w:pPr>
        <w:rPr>
          <w:lang w:val="en-US"/>
        </w:rPr>
      </w:pPr>
    </w:p>
    <w:p w14:paraId="61E9F2B8" w14:textId="516457B7" w:rsidR="00EA0336" w:rsidRDefault="00C125DB" w:rsidP="00DF0A7B">
      <w:pPr>
        <w:pStyle w:val="Caption"/>
        <w:jc w:val="center"/>
        <w:rPr>
          <w:lang w:val="en-US"/>
        </w:rPr>
      </w:pPr>
      <w:bookmarkStart w:id="52" w:name="_Ref194416918"/>
      <w:bookmarkStart w:id="53" w:name="_Toc196745445"/>
      <w:r>
        <w:t xml:space="preserve">Table </w:t>
      </w:r>
      <w:r w:rsidR="0042496D">
        <w:fldChar w:fldCharType="begin"/>
      </w:r>
      <w:r w:rsidR="0042496D">
        <w:instrText xml:space="preserve"> SEQ Table \* ARABIC </w:instrText>
      </w:r>
      <w:r w:rsidR="0042496D">
        <w:fldChar w:fldCharType="separate"/>
      </w:r>
      <w:r w:rsidR="002271EC">
        <w:rPr>
          <w:noProof/>
        </w:rPr>
        <w:t>3</w:t>
      </w:r>
      <w:r w:rsidR="0042496D">
        <w:rPr>
          <w:noProof/>
        </w:rPr>
        <w:fldChar w:fldCharType="end"/>
      </w:r>
      <w:bookmarkEnd w:id="52"/>
      <w:r>
        <w:t xml:space="preserve"> Summary of Proposed options</w:t>
      </w:r>
      <w:bookmarkEnd w:id="53"/>
    </w:p>
    <w:tbl>
      <w:tblPr>
        <w:tblStyle w:val="TableGrid"/>
        <w:tblW w:w="0" w:type="auto"/>
        <w:tblLook w:val="04A0" w:firstRow="1" w:lastRow="0" w:firstColumn="1" w:lastColumn="0" w:noHBand="0" w:noVBand="1"/>
      </w:tblPr>
      <w:tblGrid>
        <w:gridCol w:w="2338"/>
        <w:gridCol w:w="1255"/>
        <w:gridCol w:w="1255"/>
        <w:gridCol w:w="1199"/>
        <w:gridCol w:w="1191"/>
        <w:gridCol w:w="1199"/>
        <w:gridCol w:w="1191"/>
      </w:tblGrid>
      <w:tr w:rsidR="00C125DB" w:rsidRPr="000114E3" w14:paraId="4E35E858" w14:textId="77777777" w:rsidTr="00EA0336">
        <w:tc>
          <w:tcPr>
            <w:tcW w:w="2405" w:type="dxa"/>
          </w:tcPr>
          <w:p w14:paraId="6AB5F577" w14:textId="77777777" w:rsidR="00EA0336" w:rsidRPr="000114E3" w:rsidRDefault="00EA0336" w:rsidP="00DF0A7B">
            <w:pPr>
              <w:jc w:val="left"/>
              <w:rPr>
                <w:rFonts w:ascii="Calibri" w:hAnsi="Calibri" w:cs="Calibri"/>
                <w:sz w:val="20"/>
                <w:szCs w:val="20"/>
                <w:lang w:val="en-US"/>
              </w:rPr>
            </w:pPr>
          </w:p>
        </w:tc>
        <w:tc>
          <w:tcPr>
            <w:tcW w:w="1203" w:type="dxa"/>
          </w:tcPr>
          <w:p w14:paraId="6196BA98" w14:textId="407E11E5"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Status quo</w:t>
            </w:r>
          </w:p>
        </w:tc>
        <w:tc>
          <w:tcPr>
            <w:tcW w:w="1204" w:type="dxa"/>
          </w:tcPr>
          <w:p w14:paraId="6E815200" w14:textId="004DF946"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Option 2</w:t>
            </w:r>
          </w:p>
        </w:tc>
        <w:tc>
          <w:tcPr>
            <w:tcW w:w="1204" w:type="dxa"/>
          </w:tcPr>
          <w:p w14:paraId="7233C2B5" w14:textId="00521092"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Option 3A</w:t>
            </w:r>
          </w:p>
        </w:tc>
        <w:tc>
          <w:tcPr>
            <w:tcW w:w="1204" w:type="dxa"/>
          </w:tcPr>
          <w:p w14:paraId="46C18B92" w14:textId="0ED48004"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Option 3B</w:t>
            </w:r>
          </w:p>
        </w:tc>
        <w:tc>
          <w:tcPr>
            <w:tcW w:w="1204" w:type="dxa"/>
          </w:tcPr>
          <w:p w14:paraId="0A143696" w14:textId="3E028666"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Option 4A</w:t>
            </w:r>
          </w:p>
        </w:tc>
        <w:tc>
          <w:tcPr>
            <w:tcW w:w="1204" w:type="dxa"/>
          </w:tcPr>
          <w:p w14:paraId="447EC41A" w14:textId="4287FF17"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Option 4B</w:t>
            </w:r>
          </w:p>
        </w:tc>
      </w:tr>
      <w:tr w:rsidR="00C125DB" w:rsidRPr="000114E3" w14:paraId="29A72EB9" w14:textId="77777777" w:rsidTr="00EA0336">
        <w:tc>
          <w:tcPr>
            <w:tcW w:w="2405" w:type="dxa"/>
          </w:tcPr>
          <w:p w14:paraId="051F5C14" w14:textId="7849AC87" w:rsidR="00EA0336" w:rsidRPr="000114E3" w:rsidRDefault="00EA0336" w:rsidP="00DF0A7B">
            <w:pPr>
              <w:jc w:val="left"/>
              <w:rPr>
                <w:rFonts w:ascii="Calibri" w:hAnsi="Calibri" w:cs="Calibri"/>
                <w:sz w:val="20"/>
                <w:szCs w:val="20"/>
                <w:lang w:val="en-US"/>
              </w:rPr>
            </w:pPr>
            <w:r w:rsidRPr="000114E3">
              <w:rPr>
                <w:rFonts w:ascii="Calibri" w:hAnsi="Calibri" w:cs="Calibri"/>
                <w:sz w:val="20"/>
                <w:szCs w:val="20"/>
                <w:lang w:val="en-US"/>
              </w:rPr>
              <w:t xml:space="preserve">New </w:t>
            </w:r>
            <w:r w:rsidR="00971A16" w:rsidRPr="000114E3">
              <w:rPr>
                <w:rFonts w:ascii="Calibri" w:hAnsi="Calibri" w:cs="Calibri"/>
                <w:sz w:val="20"/>
                <w:szCs w:val="20"/>
                <w:lang w:val="en-US"/>
              </w:rPr>
              <w:t xml:space="preserve">WELS </w:t>
            </w:r>
            <w:r w:rsidRPr="000114E3">
              <w:rPr>
                <w:rFonts w:ascii="Calibri" w:hAnsi="Calibri" w:cs="Calibri"/>
                <w:sz w:val="20"/>
                <w:szCs w:val="20"/>
                <w:lang w:val="en-US"/>
              </w:rPr>
              <w:t>regulation needed?</w:t>
            </w:r>
          </w:p>
        </w:tc>
        <w:tc>
          <w:tcPr>
            <w:tcW w:w="1203" w:type="dxa"/>
          </w:tcPr>
          <w:p w14:paraId="1F1C1228" w14:textId="75960B91"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No</w:t>
            </w:r>
          </w:p>
        </w:tc>
        <w:tc>
          <w:tcPr>
            <w:tcW w:w="1204" w:type="dxa"/>
          </w:tcPr>
          <w:p w14:paraId="12F1466D" w14:textId="69E03ABB"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No</w:t>
            </w:r>
          </w:p>
        </w:tc>
        <w:tc>
          <w:tcPr>
            <w:tcW w:w="1204" w:type="dxa"/>
          </w:tcPr>
          <w:p w14:paraId="4D27786C" w14:textId="7FE35893"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w:t>
            </w:r>
          </w:p>
        </w:tc>
        <w:tc>
          <w:tcPr>
            <w:tcW w:w="1204" w:type="dxa"/>
          </w:tcPr>
          <w:p w14:paraId="7E43A33E" w14:textId="6E33CD92"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w:t>
            </w:r>
          </w:p>
        </w:tc>
        <w:tc>
          <w:tcPr>
            <w:tcW w:w="1204" w:type="dxa"/>
          </w:tcPr>
          <w:p w14:paraId="03DA83D4" w14:textId="2664AE05"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w:t>
            </w:r>
          </w:p>
        </w:tc>
        <w:tc>
          <w:tcPr>
            <w:tcW w:w="1204" w:type="dxa"/>
          </w:tcPr>
          <w:p w14:paraId="71000AB1" w14:textId="70ACE5D9"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w:t>
            </w:r>
          </w:p>
        </w:tc>
      </w:tr>
      <w:tr w:rsidR="00C125DB" w:rsidRPr="000114E3" w14:paraId="6112A7DB" w14:textId="77777777" w:rsidTr="00EA0336">
        <w:tc>
          <w:tcPr>
            <w:tcW w:w="2405" w:type="dxa"/>
          </w:tcPr>
          <w:p w14:paraId="0DB843F4" w14:textId="72EA057D" w:rsidR="00EA0336" w:rsidRPr="000114E3" w:rsidRDefault="00EA0336" w:rsidP="00DF0A7B">
            <w:pPr>
              <w:jc w:val="left"/>
              <w:rPr>
                <w:rFonts w:ascii="Calibri" w:hAnsi="Calibri" w:cs="Calibri"/>
                <w:sz w:val="20"/>
                <w:szCs w:val="20"/>
                <w:lang w:val="en-US"/>
              </w:rPr>
            </w:pPr>
            <w:r w:rsidRPr="000114E3">
              <w:rPr>
                <w:rFonts w:ascii="Calibri" w:hAnsi="Calibri" w:cs="Calibri"/>
                <w:sz w:val="20"/>
                <w:szCs w:val="20"/>
                <w:lang w:val="en-US"/>
              </w:rPr>
              <w:t xml:space="preserve">Earliest implementation </w:t>
            </w:r>
          </w:p>
        </w:tc>
        <w:tc>
          <w:tcPr>
            <w:tcW w:w="1203" w:type="dxa"/>
          </w:tcPr>
          <w:p w14:paraId="7113ABD3" w14:textId="014ADB59"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Under way</w:t>
            </w:r>
          </w:p>
        </w:tc>
        <w:tc>
          <w:tcPr>
            <w:tcW w:w="1204" w:type="dxa"/>
          </w:tcPr>
          <w:p w14:paraId="1AB3A2BC" w14:textId="504AECBA"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2026</w:t>
            </w:r>
          </w:p>
        </w:tc>
        <w:tc>
          <w:tcPr>
            <w:tcW w:w="1204" w:type="dxa"/>
          </w:tcPr>
          <w:p w14:paraId="7876BB1E" w14:textId="13572E3B"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2027</w:t>
            </w:r>
          </w:p>
        </w:tc>
        <w:tc>
          <w:tcPr>
            <w:tcW w:w="1204" w:type="dxa"/>
          </w:tcPr>
          <w:p w14:paraId="7DF57045" w14:textId="2D477F40"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2026</w:t>
            </w:r>
          </w:p>
        </w:tc>
        <w:tc>
          <w:tcPr>
            <w:tcW w:w="1204" w:type="dxa"/>
          </w:tcPr>
          <w:p w14:paraId="4BE1095E" w14:textId="6C5F3A13"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2028</w:t>
            </w:r>
          </w:p>
        </w:tc>
        <w:tc>
          <w:tcPr>
            <w:tcW w:w="1204" w:type="dxa"/>
          </w:tcPr>
          <w:p w14:paraId="13313032" w14:textId="0B2F976B"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2027</w:t>
            </w:r>
          </w:p>
        </w:tc>
      </w:tr>
      <w:tr w:rsidR="007844A4" w:rsidRPr="000114E3" w14:paraId="02607B7D" w14:textId="77777777" w:rsidTr="00EA0336">
        <w:tc>
          <w:tcPr>
            <w:tcW w:w="2405" w:type="dxa"/>
          </w:tcPr>
          <w:p w14:paraId="1E8A5243" w14:textId="6D5CC194" w:rsidR="007844A4" w:rsidRPr="000114E3" w:rsidRDefault="007844A4" w:rsidP="00EA0336">
            <w:pPr>
              <w:jc w:val="left"/>
              <w:rPr>
                <w:rFonts w:ascii="Calibri" w:hAnsi="Calibri" w:cs="Calibri"/>
                <w:sz w:val="20"/>
                <w:szCs w:val="20"/>
                <w:lang w:val="en-US"/>
              </w:rPr>
            </w:pPr>
            <w:r w:rsidRPr="000114E3">
              <w:rPr>
                <w:rFonts w:ascii="Calibri" w:hAnsi="Calibri" w:cs="Calibri"/>
                <w:sz w:val="20"/>
                <w:szCs w:val="20"/>
                <w:lang w:val="en-US"/>
              </w:rPr>
              <w:t xml:space="preserve">Additional tests needed? </w:t>
            </w:r>
          </w:p>
        </w:tc>
        <w:tc>
          <w:tcPr>
            <w:tcW w:w="1203" w:type="dxa"/>
          </w:tcPr>
          <w:p w14:paraId="3B828DA9" w14:textId="056B2FB1" w:rsidR="007844A4" w:rsidRPr="000114E3" w:rsidRDefault="007844A4" w:rsidP="00EA0336">
            <w:pPr>
              <w:jc w:val="center"/>
              <w:rPr>
                <w:rFonts w:ascii="Calibri" w:hAnsi="Calibri" w:cs="Calibri"/>
                <w:sz w:val="20"/>
                <w:szCs w:val="20"/>
                <w:lang w:val="en-US"/>
              </w:rPr>
            </w:pPr>
            <w:r w:rsidRPr="000114E3">
              <w:rPr>
                <w:rFonts w:ascii="Calibri" w:hAnsi="Calibri" w:cs="Calibri"/>
                <w:sz w:val="20"/>
                <w:szCs w:val="20"/>
                <w:lang w:val="en-US"/>
              </w:rPr>
              <w:t>No</w:t>
            </w:r>
          </w:p>
        </w:tc>
        <w:tc>
          <w:tcPr>
            <w:tcW w:w="1204" w:type="dxa"/>
          </w:tcPr>
          <w:p w14:paraId="1A816483" w14:textId="3EB2A05A" w:rsidR="007844A4" w:rsidRPr="000114E3" w:rsidRDefault="007844A4" w:rsidP="00EA0336">
            <w:pPr>
              <w:jc w:val="center"/>
              <w:rPr>
                <w:rFonts w:ascii="Calibri" w:hAnsi="Calibri" w:cs="Calibri"/>
                <w:sz w:val="20"/>
                <w:szCs w:val="20"/>
                <w:lang w:val="en-US"/>
              </w:rPr>
            </w:pPr>
            <w:r w:rsidRPr="000114E3">
              <w:rPr>
                <w:rFonts w:ascii="Calibri" w:hAnsi="Calibri" w:cs="Calibri"/>
                <w:sz w:val="20"/>
                <w:szCs w:val="20"/>
                <w:lang w:val="en-US"/>
              </w:rPr>
              <w:t>No</w:t>
            </w:r>
          </w:p>
        </w:tc>
        <w:tc>
          <w:tcPr>
            <w:tcW w:w="1204" w:type="dxa"/>
          </w:tcPr>
          <w:p w14:paraId="70F9C071" w14:textId="58A222C0" w:rsidR="007844A4" w:rsidRPr="000114E3" w:rsidRDefault="007844A4" w:rsidP="00EA0336">
            <w:pPr>
              <w:jc w:val="center"/>
              <w:rPr>
                <w:rFonts w:ascii="Calibri" w:hAnsi="Calibri" w:cs="Calibri"/>
                <w:sz w:val="20"/>
                <w:szCs w:val="20"/>
                <w:lang w:val="en-US"/>
              </w:rPr>
            </w:pPr>
            <w:r w:rsidRPr="000114E3">
              <w:rPr>
                <w:rFonts w:ascii="Calibri" w:hAnsi="Calibri" w:cs="Calibri"/>
                <w:sz w:val="20"/>
                <w:szCs w:val="20"/>
                <w:lang w:val="en-US"/>
              </w:rPr>
              <w:t>No</w:t>
            </w:r>
          </w:p>
        </w:tc>
        <w:tc>
          <w:tcPr>
            <w:tcW w:w="1204" w:type="dxa"/>
          </w:tcPr>
          <w:p w14:paraId="38589A80" w14:textId="4E1DB4B8" w:rsidR="007844A4" w:rsidRPr="000114E3" w:rsidRDefault="007844A4" w:rsidP="00EA0336">
            <w:pPr>
              <w:jc w:val="center"/>
              <w:rPr>
                <w:rFonts w:ascii="Calibri" w:hAnsi="Calibri" w:cs="Calibri"/>
                <w:sz w:val="20"/>
                <w:szCs w:val="20"/>
                <w:lang w:val="en-US"/>
              </w:rPr>
            </w:pPr>
            <w:r w:rsidRPr="000114E3">
              <w:rPr>
                <w:rFonts w:ascii="Calibri" w:hAnsi="Calibri" w:cs="Calibri"/>
                <w:sz w:val="20"/>
                <w:szCs w:val="20"/>
                <w:lang w:val="en-US"/>
              </w:rPr>
              <w:t>No</w:t>
            </w:r>
          </w:p>
        </w:tc>
        <w:tc>
          <w:tcPr>
            <w:tcW w:w="1204" w:type="dxa"/>
          </w:tcPr>
          <w:p w14:paraId="3A2BE642" w14:textId="07C41EDF" w:rsidR="007844A4" w:rsidRPr="000114E3" w:rsidRDefault="007844A4" w:rsidP="00EA0336">
            <w:pPr>
              <w:jc w:val="center"/>
              <w:rPr>
                <w:rFonts w:ascii="Calibri" w:hAnsi="Calibri" w:cs="Calibri"/>
                <w:sz w:val="20"/>
                <w:szCs w:val="20"/>
                <w:lang w:val="en-US"/>
              </w:rPr>
            </w:pPr>
            <w:r w:rsidRPr="000114E3">
              <w:rPr>
                <w:rFonts w:ascii="Calibri" w:hAnsi="Calibri" w:cs="Calibri"/>
                <w:sz w:val="20"/>
                <w:szCs w:val="20"/>
                <w:lang w:val="en-US"/>
              </w:rPr>
              <w:t>No</w:t>
            </w:r>
          </w:p>
        </w:tc>
        <w:tc>
          <w:tcPr>
            <w:tcW w:w="1204" w:type="dxa"/>
          </w:tcPr>
          <w:p w14:paraId="412D4FF0" w14:textId="18704158" w:rsidR="007844A4" w:rsidRPr="000114E3" w:rsidRDefault="007844A4" w:rsidP="00EA0336">
            <w:pPr>
              <w:jc w:val="center"/>
              <w:rPr>
                <w:rFonts w:ascii="Calibri" w:hAnsi="Calibri" w:cs="Calibri"/>
                <w:sz w:val="20"/>
                <w:szCs w:val="20"/>
                <w:lang w:val="en-US"/>
              </w:rPr>
            </w:pPr>
            <w:r w:rsidRPr="000114E3">
              <w:rPr>
                <w:rFonts w:ascii="Calibri" w:hAnsi="Calibri" w:cs="Calibri"/>
                <w:sz w:val="20"/>
                <w:szCs w:val="20"/>
                <w:lang w:val="en-US"/>
              </w:rPr>
              <w:t>No</w:t>
            </w:r>
          </w:p>
        </w:tc>
      </w:tr>
      <w:tr w:rsidR="00C125DB" w:rsidRPr="000114E3" w14:paraId="158DB7AE" w14:textId="77777777" w:rsidTr="00EA0336">
        <w:tc>
          <w:tcPr>
            <w:tcW w:w="2405" w:type="dxa"/>
          </w:tcPr>
          <w:p w14:paraId="23BE7785" w14:textId="4EBBF0D5" w:rsidR="00EA0336" w:rsidRPr="000114E3" w:rsidRDefault="00EA0336" w:rsidP="00DF0A7B">
            <w:pPr>
              <w:jc w:val="left"/>
              <w:rPr>
                <w:rFonts w:ascii="Calibri" w:hAnsi="Calibri" w:cs="Calibri"/>
                <w:sz w:val="20"/>
                <w:szCs w:val="20"/>
                <w:lang w:val="en-US"/>
              </w:rPr>
            </w:pPr>
            <w:r w:rsidRPr="000114E3">
              <w:rPr>
                <w:rFonts w:ascii="Calibri" w:hAnsi="Calibri" w:cs="Calibri"/>
                <w:sz w:val="20"/>
                <w:szCs w:val="20"/>
                <w:lang w:val="en-US"/>
              </w:rPr>
              <w:t xml:space="preserve">Addresses information </w:t>
            </w:r>
            <w:r w:rsidR="00971A16" w:rsidRPr="000114E3">
              <w:rPr>
                <w:rFonts w:ascii="Calibri" w:hAnsi="Calibri" w:cs="Calibri"/>
                <w:sz w:val="20"/>
                <w:szCs w:val="20"/>
                <w:lang w:val="en-US"/>
              </w:rPr>
              <w:t>asymmetry</w:t>
            </w:r>
            <w:r w:rsidRPr="000114E3">
              <w:rPr>
                <w:rFonts w:ascii="Calibri" w:hAnsi="Calibri" w:cs="Calibri"/>
                <w:sz w:val="20"/>
                <w:szCs w:val="20"/>
                <w:lang w:val="en-US"/>
              </w:rPr>
              <w:t>?</w:t>
            </w:r>
          </w:p>
        </w:tc>
        <w:tc>
          <w:tcPr>
            <w:tcW w:w="1203" w:type="dxa"/>
          </w:tcPr>
          <w:p w14:paraId="5CFBDF90" w14:textId="1BEEADDD"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Possibly</w:t>
            </w:r>
          </w:p>
        </w:tc>
        <w:tc>
          <w:tcPr>
            <w:tcW w:w="1204" w:type="dxa"/>
          </w:tcPr>
          <w:p w14:paraId="45BC84A2" w14:textId="52EB7E3F"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Probably</w:t>
            </w:r>
          </w:p>
        </w:tc>
        <w:tc>
          <w:tcPr>
            <w:tcW w:w="1204" w:type="dxa"/>
          </w:tcPr>
          <w:p w14:paraId="6C391536" w14:textId="5CDAA4E8"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w:t>
            </w:r>
          </w:p>
        </w:tc>
        <w:tc>
          <w:tcPr>
            <w:tcW w:w="1204" w:type="dxa"/>
          </w:tcPr>
          <w:p w14:paraId="64EFBB11" w14:textId="2DE6511B"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w:t>
            </w:r>
          </w:p>
        </w:tc>
        <w:tc>
          <w:tcPr>
            <w:tcW w:w="1204" w:type="dxa"/>
          </w:tcPr>
          <w:p w14:paraId="5BE85E28" w14:textId="0229F3A5"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 (if with labelling)</w:t>
            </w:r>
          </w:p>
        </w:tc>
        <w:tc>
          <w:tcPr>
            <w:tcW w:w="1204" w:type="dxa"/>
          </w:tcPr>
          <w:p w14:paraId="7C70FC58" w14:textId="3BB9D059"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 (if with labelling)</w:t>
            </w:r>
          </w:p>
        </w:tc>
      </w:tr>
      <w:tr w:rsidR="00C125DB" w:rsidRPr="000114E3" w14:paraId="669BFCDA" w14:textId="77777777" w:rsidTr="00EA0336">
        <w:tc>
          <w:tcPr>
            <w:tcW w:w="2405" w:type="dxa"/>
          </w:tcPr>
          <w:p w14:paraId="78CC3D7D" w14:textId="0B997148" w:rsidR="00EA0336" w:rsidRPr="000114E3" w:rsidRDefault="00EA0336" w:rsidP="00DF0A7B">
            <w:pPr>
              <w:jc w:val="left"/>
              <w:rPr>
                <w:rFonts w:ascii="Calibri" w:hAnsi="Calibri" w:cs="Calibri"/>
                <w:sz w:val="20"/>
                <w:szCs w:val="20"/>
                <w:lang w:val="en-US"/>
              </w:rPr>
            </w:pPr>
            <w:r w:rsidRPr="000114E3">
              <w:rPr>
                <w:rFonts w:ascii="Calibri" w:hAnsi="Calibri" w:cs="Calibri"/>
                <w:sz w:val="20"/>
                <w:szCs w:val="20"/>
                <w:lang w:val="en-US"/>
              </w:rPr>
              <w:t>Addresses bounded rationality?</w:t>
            </w:r>
          </w:p>
        </w:tc>
        <w:tc>
          <w:tcPr>
            <w:tcW w:w="1203" w:type="dxa"/>
          </w:tcPr>
          <w:p w14:paraId="4E5FD5DA" w14:textId="3B93852C"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Possibly</w:t>
            </w:r>
          </w:p>
        </w:tc>
        <w:tc>
          <w:tcPr>
            <w:tcW w:w="1204" w:type="dxa"/>
          </w:tcPr>
          <w:p w14:paraId="4D9BE655" w14:textId="2568ACCC"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Probably</w:t>
            </w:r>
          </w:p>
        </w:tc>
        <w:tc>
          <w:tcPr>
            <w:tcW w:w="1204" w:type="dxa"/>
          </w:tcPr>
          <w:p w14:paraId="70E0386C" w14:textId="435B6B7E"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w:t>
            </w:r>
          </w:p>
        </w:tc>
        <w:tc>
          <w:tcPr>
            <w:tcW w:w="1204" w:type="dxa"/>
          </w:tcPr>
          <w:p w14:paraId="64E17680" w14:textId="50F06EF7"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w:t>
            </w:r>
          </w:p>
        </w:tc>
        <w:tc>
          <w:tcPr>
            <w:tcW w:w="1204" w:type="dxa"/>
          </w:tcPr>
          <w:p w14:paraId="388C02AA" w14:textId="01FACA9B"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w:t>
            </w:r>
          </w:p>
        </w:tc>
        <w:tc>
          <w:tcPr>
            <w:tcW w:w="1204" w:type="dxa"/>
          </w:tcPr>
          <w:p w14:paraId="6E4EF864" w14:textId="00E63F1D"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w:t>
            </w:r>
          </w:p>
        </w:tc>
      </w:tr>
      <w:tr w:rsidR="00C125DB" w:rsidRPr="000114E3" w14:paraId="051F9A57" w14:textId="77777777" w:rsidTr="00EA0336">
        <w:tc>
          <w:tcPr>
            <w:tcW w:w="2405" w:type="dxa"/>
          </w:tcPr>
          <w:p w14:paraId="09402006" w14:textId="251078C5" w:rsidR="00EA0336" w:rsidRPr="000114E3" w:rsidRDefault="00EA0336" w:rsidP="00DF0A7B">
            <w:pPr>
              <w:jc w:val="left"/>
              <w:rPr>
                <w:rFonts w:ascii="Calibri" w:hAnsi="Calibri" w:cs="Calibri"/>
                <w:sz w:val="20"/>
                <w:szCs w:val="20"/>
                <w:lang w:val="en-US"/>
              </w:rPr>
            </w:pPr>
            <w:r w:rsidRPr="000114E3">
              <w:rPr>
                <w:rFonts w:ascii="Calibri" w:hAnsi="Calibri" w:cs="Calibri"/>
                <w:sz w:val="20"/>
                <w:szCs w:val="20"/>
                <w:lang w:val="en-US"/>
              </w:rPr>
              <w:t>Addresses split incentives?</w:t>
            </w:r>
          </w:p>
        </w:tc>
        <w:tc>
          <w:tcPr>
            <w:tcW w:w="1203" w:type="dxa"/>
          </w:tcPr>
          <w:p w14:paraId="7C193E13" w14:textId="2B622B7A"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No</w:t>
            </w:r>
          </w:p>
        </w:tc>
        <w:tc>
          <w:tcPr>
            <w:tcW w:w="1204" w:type="dxa"/>
          </w:tcPr>
          <w:p w14:paraId="6F6F4C12" w14:textId="33BB3E12"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No</w:t>
            </w:r>
          </w:p>
        </w:tc>
        <w:tc>
          <w:tcPr>
            <w:tcW w:w="1204" w:type="dxa"/>
          </w:tcPr>
          <w:p w14:paraId="1BC64168" w14:textId="5AE5A9D3"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No</w:t>
            </w:r>
          </w:p>
        </w:tc>
        <w:tc>
          <w:tcPr>
            <w:tcW w:w="1204" w:type="dxa"/>
          </w:tcPr>
          <w:p w14:paraId="1FC7F7CB" w14:textId="179577CB"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No</w:t>
            </w:r>
          </w:p>
        </w:tc>
        <w:tc>
          <w:tcPr>
            <w:tcW w:w="1204" w:type="dxa"/>
          </w:tcPr>
          <w:p w14:paraId="5579E563" w14:textId="6E351DD9"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w:t>
            </w:r>
          </w:p>
        </w:tc>
        <w:tc>
          <w:tcPr>
            <w:tcW w:w="1204" w:type="dxa"/>
          </w:tcPr>
          <w:p w14:paraId="4061DB1C" w14:textId="7B064BB6"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Yes</w:t>
            </w:r>
          </w:p>
        </w:tc>
      </w:tr>
      <w:tr w:rsidR="00C125DB" w:rsidRPr="000114E3" w14:paraId="25C31F06" w14:textId="77777777" w:rsidTr="00EA0336">
        <w:tc>
          <w:tcPr>
            <w:tcW w:w="2405" w:type="dxa"/>
          </w:tcPr>
          <w:p w14:paraId="2870B4ED" w14:textId="6EBD9871" w:rsidR="00EA0336" w:rsidRPr="000114E3" w:rsidRDefault="00A5543F" w:rsidP="00DF0A7B">
            <w:pPr>
              <w:jc w:val="left"/>
              <w:rPr>
                <w:rFonts w:ascii="Calibri" w:hAnsi="Calibri" w:cs="Calibri"/>
                <w:sz w:val="20"/>
                <w:szCs w:val="20"/>
                <w:lang w:val="en-US"/>
              </w:rPr>
            </w:pPr>
            <w:r w:rsidRPr="000114E3">
              <w:rPr>
                <w:rFonts w:ascii="Calibri" w:hAnsi="Calibri" w:cs="Calibri"/>
                <w:sz w:val="20"/>
                <w:szCs w:val="20"/>
                <w:lang w:val="en-US"/>
              </w:rPr>
              <w:t>B</w:t>
            </w:r>
            <w:r w:rsidR="00EA0336" w:rsidRPr="000114E3">
              <w:rPr>
                <w:rFonts w:ascii="Calibri" w:hAnsi="Calibri" w:cs="Calibri"/>
                <w:sz w:val="20"/>
                <w:szCs w:val="20"/>
                <w:lang w:val="en-US"/>
              </w:rPr>
              <w:t>urden on WELS</w:t>
            </w:r>
          </w:p>
        </w:tc>
        <w:tc>
          <w:tcPr>
            <w:tcW w:w="1203" w:type="dxa"/>
          </w:tcPr>
          <w:p w14:paraId="06D9C038" w14:textId="0D7996E7"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Very low</w:t>
            </w:r>
          </w:p>
        </w:tc>
        <w:tc>
          <w:tcPr>
            <w:tcW w:w="1204" w:type="dxa"/>
          </w:tcPr>
          <w:p w14:paraId="6AAFC8D5" w14:textId="4A0EDF28"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Low</w:t>
            </w:r>
          </w:p>
        </w:tc>
        <w:tc>
          <w:tcPr>
            <w:tcW w:w="1204" w:type="dxa"/>
          </w:tcPr>
          <w:p w14:paraId="74B87ED3" w14:textId="18083401"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Moderate</w:t>
            </w:r>
          </w:p>
        </w:tc>
        <w:tc>
          <w:tcPr>
            <w:tcW w:w="1204" w:type="dxa"/>
          </w:tcPr>
          <w:p w14:paraId="64E6509F" w14:textId="35A4A9DF"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Moderate</w:t>
            </w:r>
          </w:p>
        </w:tc>
        <w:tc>
          <w:tcPr>
            <w:tcW w:w="1204" w:type="dxa"/>
          </w:tcPr>
          <w:p w14:paraId="72AFDA38" w14:textId="28F7D1DF"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Higher</w:t>
            </w:r>
          </w:p>
        </w:tc>
        <w:tc>
          <w:tcPr>
            <w:tcW w:w="1204" w:type="dxa"/>
          </w:tcPr>
          <w:p w14:paraId="5F539D37" w14:textId="53BF1C93"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Higher</w:t>
            </w:r>
          </w:p>
        </w:tc>
      </w:tr>
      <w:tr w:rsidR="00C125DB" w:rsidRPr="000114E3" w14:paraId="5FC2ED37" w14:textId="77777777" w:rsidTr="00EA0336">
        <w:tc>
          <w:tcPr>
            <w:tcW w:w="2405" w:type="dxa"/>
          </w:tcPr>
          <w:p w14:paraId="4989ED11" w14:textId="240C55A7" w:rsidR="00EA0336" w:rsidRPr="000114E3" w:rsidRDefault="00EA0336" w:rsidP="00DF0A7B">
            <w:pPr>
              <w:jc w:val="left"/>
              <w:rPr>
                <w:rFonts w:ascii="Calibri" w:hAnsi="Calibri" w:cs="Calibri"/>
                <w:sz w:val="20"/>
                <w:szCs w:val="20"/>
                <w:lang w:val="en-US"/>
              </w:rPr>
            </w:pPr>
            <w:r w:rsidRPr="000114E3">
              <w:rPr>
                <w:rFonts w:ascii="Calibri" w:hAnsi="Calibri" w:cs="Calibri"/>
                <w:sz w:val="20"/>
                <w:szCs w:val="20"/>
                <w:lang w:val="en-US"/>
              </w:rPr>
              <w:t>Burden on suppliers</w:t>
            </w:r>
          </w:p>
        </w:tc>
        <w:tc>
          <w:tcPr>
            <w:tcW w:w="1203" w:type="dxa"/>
          </w:tcPr>
          <w:p w14:paraId="4B586E61" w14:textId="7DCB240B"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No extra burden</w:t>
            </w:r>
          </w:p>
        </w:tc>
        <w:tc>
          <w:tcPr>
            <w:tcW w:w="1204" w:type="dxa"/>
          </w:tcPr>
          <w:p w14:paraId="1A8F6AD7" w14:textId="0D18E52A"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Low</w:t>
            </w:r>
          </w:p>
        </w:tc>
        <w:tc>
          <w:tcPr>
            <w:tcW w:w="1204" w:type="dxa"/>
          </w:tcPr>
          <w:p w14:paraId="0B02674A" w14:textId="0F1C3E46"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Moderate</w:t>
            </w:r>
          </w:p>
        </w:tc>
        <w:tc>
          <w:tcPr>
            <w:tcW w:w="1204" w:type="dxa"/>
          </w:tcPr>
          <w:p w14:paraId="764149A9" w14:textId="498DB7E1"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Moderate</w:t>
            </w:r>
          </w:p>
        </w:tc>
        <w:tc>
          <w:tcPr>
            <w:tcW w:w="1204" w:type="dxa"/>
          </w:tcPr>
          <w:p w14:paraId="41B3D90C" w14:textId="5CD41245"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Higher</w:t>
            </w:r>
          </w:p>
        </w:tc>
        <w:tc>
          <w:tcPr>
            <w:tcW w:w="1204" w:type="dxa"/>
          </w:tcPr>
          <w:p w14:paraId="2B9A768E" w14:textId="4ECDD19C" w:rsidR="00EA0336" w:rsidRPr="000114E3" w:rsidRDefault="00EA0336" w:rsidP="00DF0A7B">
            <w:pPr>
              <w:jc w:val="center"/>
              <w:rPr>
                <w:rFonts w:ascii="Calibri" w:hAnsi="Calibri" w:cs="Calibri"/>
                <w:sz w:val="20"/>
                <w:szCs w:val="20"/>
                <w:lang w:val="en-US"/>
              </w:rPr>
            </w:pPr>
            <w:r w:rsidRPr="000114E3">
              <w:rPr>
                <w:rFonts w:ascii="Calibri" w:hAnsi="Calibri" w:cs="Calibri"/>
                <w:sz w:val="20"/>
                <w:szCs w:val="20"/>
                <w:lang w:val="en-US"/>
              </w:rPr>
              <w:t>Higher</w:t>
            </w:r>
          </w:p>
        </w:tc>
      </w:tr>
      <w:tr w:rsidR="00C125DB" w:rsidRPr="000114E3" w14:paraId="6B1B4514" w14:textId="77777777" w:rsidTr="00EA0336">
        <w:tc>
          <w:tcPr>
            <w:tcW w:w="2405" w:type="dxa"/>
          </w:tcPr>
          <w:p w14:paraId="7644CDDF" w14:textId="4A7889CD" w:rsidR="00C125DB" w:rsidRPr="000114E3" w:rsidRDefault="00C125DB" w:rsidP="00EA0336">
            <w:pPr>
              <w:jc w:val="left"/>
              <w:rPr>
                <w:rFonts w:ascii="Calibri" w:hAnsi="Calibri" w:cs="Calibri"/>
                <w:sz w:val="20"/>
                <w:szCs w:val="20"/>
                <w:lang w:val="en-US"/>
              </w:rPr>
            </w:pPr>
            <w:r w:rsidRPr="000114E3">
              <w:rPr>
                <w:rFonts w:ascii="Calibri" w:hAnsi="Calibri" w:cs="Calibri"/>
                <w:sz w:val="20"/>
                <w:szCs w:val="20"/>
                <w:lang w:val="en-US"/>
              </w:rPr>
              <w:t>Risks</w:t>
            </w:r>
          </w:p>
        </w:tc>
        <w:tc>
          <w:tcPr>
            <w:tcW w:w="1203" w:type="dxa"/>
          </w:tcPr>
          <w:p w14:paraId="489AD35B" w14:textId="0CA40E64" w:rsidR="00C125DB" w:rsidRPr="000114E3" w:rsidRDefault="00C125DB" w:rsidP="00EA0336">
            <w:pPr>
              <w:jc w:val="center"/>
              <w:rPr>
                <w:rFonts w:ascii="Calibri" w:hAnsi="Calibri" w:cs="Calibri"/>
                <w:sz w:val="20"/>
                <w:szCs w:val="20"/>
                <w:lang w:val="en-US"/>
              </w:rPr>
            </w:pPr>
            <w:r w:rsidRPr="000114E3">
              <w:rPr>
                <w:rFonts w:ascii="Calibri" w:hAnsi="Calibri" w:cs="Calibri"/>
                <w:sz w:val="20"/>
                <w:szCs w:val="20"/>
                <w:lang w:val="en-US"/>
              </w:rPr>
              <w:t>Low participation</w:t>
            </w:r>
          </w:p>
        </w:tc>
        <w:tc>
          <w:tcPr>
            <w:tcW w:w="1204" w:type="dxa"/>
          </w:tcPr>
          <w:p w14:paraId="76AB20E6" w14:textId="5B0A4790" w:rsidR="00C125DB" w:rsidRPr="000114E3" w:rsidRDefault="00C125DB" w:rsidP="00EA0336">
            <w:pPr>
              <w:jc w:val="center"/>
              <w:rPr>
                <w:rFonts w:ascii="Calibri" w:hAnsi="Calibri" w:cs="Calibri"/>
                <w:sz w:val="20"/>
                <w:szCs w:val="20"/>
                <w:lang w:val="en-US"/>
              </w:rPr>
            </w:pPr>
            <w:r w:rsidRPr="000114E3">
              <w:rPr>
                <w:rFonts w:ascii="Calibri" w:hAnsi="Calibri" w:cs="Calibri"/>
                <w:sz w:val="20"/>
                <w:szCs w:val="20"/>
                <w:lang w:val="en-US"/>
              </w:rPr>
              <w:t>Low participation</w:t>
            </w:r>
          </w:p>
        </w:tc>
        <w:tc>
          <w:tcPr>
            <w:tcW w:w="1204" w:type="dxa"/>
          </w:tcPr>
          <w:p w14:paraId="1E1A0567" w14:textId="1A8762D9" w:rsidR="00C125DB" w:rsidRPr="000114E3" w:rsidRDefault="00C125DB" w:rsidP="00EA0336">
            <w:pPr>
              <w:jc w:val="center"/>
              <w:rPr>
                <w:rFonts w:ascii="Calibri" w:hAnsi="Calibri" w:cs="Calibri"/>
                <w:sz w:val="20"/>
                <w:szCs w:val="20"/>
                <w:lang w:val="en-US"/>
              </w:rPr>
            </w:pPr>
            <w:r w:rsidRPr="000114E3">
              <w:rPr>
                <w:rFonts w:ascii="Calibri" w:hAnsi="Calibri" w:cs="Calibri"/>
                <w:sz w:val="20"/>
                <w:szCs w:val="20"/>
                <w:lang w:val="en-US"/>
              </w:rPr>
              <w:t>Water/cost savings delayed</w:t>
            </w:r>
          </w:p>
        </w:tc>
        <w:tc>
          <w:tcPr>
            <w:tcW w:w="1204" w:type="dxa"/>
          </w:tcPr>
          <w:p w14:paraId="674DFEFB" w14:textId="74EA551B" w:rsidR="00C125DB" w:rsidRPr="000114E3" w:rsidRDefault="00C125DB" w:rsidP="00EA0336">
            <w:pPr>
              <w:jc w:val="center"/>
              <w:rPr>
                <w:rFonts w:ascii="Calibri" w:hAnsi="Calibri" w:cs="Calibri"/>
                <w:sz w:val="20"/>
                <w:szCs w:val="20"/>
                <w:lang w:val="en-US"/>
              </w:rPr>
            </w:pPr>
            <w:r w:rsidRPr="000114E3">
              <w:rPr>
                <w:rFonts w:ascii="Calibri" w:hAnsi="Calibri" w:cs="Calibri"/>
                <w:sz w:val="20"/>
                <w:szCs w:val="20"/>
                <w:lang w:val="en-US"/>
              </w:rPr>
              <w:t>Option 2 may have worked</w:t>
            </w:r>
          </w:p>
        </w:tc>
        <w:tc>
          <w:tcPr>
            <w:tcW w:w="1204" w:type="dxa"/>
          </w:tcPr>
          <w:p w14:paraId="363BD6B9" w14:textId="090EA162" w:rsidR="00C125DB" w:rsidRPr="000114E3" w:rsidRDefault="00C125DB" w:rsidP="00EA0336">
            <w:pPr>
              <w:jc w:val="center"/>
              <w:rPr>
                <w:rFonts w:ascii="Calibri" w:hAnsi="Calibri" w:cs="Calibri"/>
                <w:sz w:val="20"/>
                <w:szCs w:val="20"/>
                <w:lang w:val="en-US"/>
              </w:rPr>
            </w:pPr>
            <w:r w:rsidRPr="000114E3">
              <w:rPr>
                <w:rFonts w:ascii="Calibri" w:hAnsi="Calibri" w:cs="Calibri"/>
                <w:sz w:val="20"/>
                <w:szCs w:val="20"/>
                <w:lang w:val="en-US"/>
              </w:rPr>
              <w:t>Water/cost</w:t>
            </w:r>
            <w:r w:rsidRPr="000114E3">
              <w:rPr>
                <w:rFonts w:ascii="Calibri" w:hAnsi="Calibri" w:cs="Calibri"/>
                <w:sz w:val="20"/>
                <w:szCs w:val="20"/>
                <w:lang w:val="en-US"/>
              </w:rPr>
              <w:br/>
              <w:t>savings delayed</w:t>
            </w:r>
          </w:p>
        </w:tc>
        <w:tc>
          <w:tcPr>
            <w:tcW w:w="1204" w:type="dxa"/>
          </w:tcPr>
          <w:p w14:paraId="30A9547E" w14:textId="69068FFE" w:rsidR="00C125DB" w:rsidRPr="000114E3" w:rsidRDefault="00C125DB" w:rsidP="00EA0336">
            <w:pPr>
              <w:jc w:val="center"/>
              <w:rPr>
                <w:rFonts w:ascii="Calibri" w:hAnsi="Calibri" w:cs="Calibri"/>
                <w:sz w:val="20"/>
                <w:szCs w:val="20"/>
                <w:lang w:val="en-US"/>
              </w:rPr>
            </w:pPr>
            <w:r w:rsidRPr="000114E3">
              <w:rPr>
                <w:rFonts w:ascii="Calibri" w:hAnsi="Calibri" w:cs="Calibri"/>
                <w:sz w:val="20"/>
                <w:szCs w:val="20"/>
                <w:lang w:val="en-US"/>
              </w:rPr>
              <w:t>Standards too high or too low</w:t>
            </w:r>
          </w:p>
        </w:tc>
      </w:tr>
    </w:tbl>
    <w:p w14:paraId="13277C94" w14:textId="77777777" w:rsidR="00EA0336" w:rsidRDefault="00EA0336" w:rsidP="00846C24">
      <w:pPr>
        <w:rPr>
          <w:lang w:val="en-US"/>
        </w:rPr>
      </w:pPr>
    </w:p>
    <w:p w14:paraId="2B152EE1" w14:textId="66B21B78" w:rsidR="00405232" w:rsidRDefault="00AC0FC8" w:rsidP="00FC08CF">
      <w:pPr>
        <w:pStyle w:val="Heading1"/>
        <w:pageBreakBefore/>
        <w:numPr>
          <w:ilvl w:val="0"/>
          <w:numId w:val="12"/>
        </w:numPr>
        <w:ind w:left="714" w:hanging="357"/>
      </w:pPr>
      <w:bookmarkStart w:id="54" w:name="_Toc196745420"/>
      <w:r>
        <w:lastRenderedPageBreak/>
        <w:t>Projected costs and benefits</w:t>
      </w:r>
      <w:bookmarkEnd w:id="54"/>
    </w:p>
    <w:p w14:paraId="12EB6376" w14:textId="4EEC0726" w:rsidR="00CA6F7F" w:rsidRPr="00A85CC0" w:rsidRDefault="00CA6F7F" w:rsidP="00CA6F7F">
      <w:pPr>
        <w:pStyle w:val="Heading2"/>
        <w:jc w:val="left"/>
      </w:pPr>
      <w:bookmarkStart w:id="55" w:name="_Toc196745421"/>
      <w:r>
        <w:t>4.1 Scenarios modelled</w:t>
      </w:r>
      <w:bookmarkEnd w:id="55"/>
    </w:p>
    <w:p w14:paraId="7FBDD34E" w14:textId="4E8EE48E" w:rsidR="00F66558" w:rsidRDefault="00F66558" w:rsidP="00CA6F7F">
      <w:r>
        <w:t xml:space="preserve">The costs and benefits of the following scenarios have been modelled and compared with </w:t>
      </w:r>
      <w:r w:rsidR="00CA2FC4">
        <w:t xml:space="preserve">the </w:t>
      </w:r>
      <w:r>
        <w:t xml:space="preserve">Option 1 </w:t>
      </w:r>
      <w:r w:rsidR="00CA2FC4">
        <w:t>(</w:t>
      </w:r>
      <w:r w:rsidR="005D5E85">
        <w:t>s</w:t>
      </w:r>
      <w:r>
        <w:t xml:space="preserve">tatus </w:t>
      </w:r>
      <w:r w:rsidR="005D5E85">
        <w:t>q</w:t>
      </w:r>
      <w:r>
        <w:t>uo</w:t>
      </w:r>
      <w:r w:rsidR="00CA2FC4">
        <w:t>) scenario</w:t>
      </w:r>
      <w:r>
        <w:t>.</w:t>
      </w:r>
    </w:p>
    <w:p w14:paraId="76791B88" w14:textId="60071D80" w:rsidR="00F66558" w:rsidRPr="00DC5884" w:rsidRDefault="00F6655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Option 2: Voluntary </w:t>
      </w:r>
      <w:r w:rsidR="004D237B" w:rsidRPr="00DC5884">
        <w:rPr>
          <w:rFonts w:eastAsia="Calibri" w:cs="Times New Roman"/>
          <w:szCs w:val="22"/>
        </w:rPr>
        <w:t>declaration</w:t>
      </w:r>
      <w:r w:rsidRPr="00DC5884">
        <w:rPr>
          <w:rFonts w:eastAsia="Calibri" w:cs="Times New Roman"/>
          <w:szCs w:val="22"/>
        </w:rPr>
        <w:t xml:space="preserve"> with WELS Support (</w:t>
      </w:r>
      <w:r w:rsidR="00EF6DC7" w:rsidRPr="00DC5884">
        <w:rPr>
          <w:rFonts w:eastAsia="Calibri" w:cs="Times New Roman"/>
          <w:szCs w:val="22"/>
        </w:rPr>
        <w:t>Non-</w:t>
      </w:r>
      <w:r w:rsidRPr="00DC5884">
        <w:rPr>
          <w:rFonts w:eastAsia="Calibri" w:cs="Times New Roman"/>
          <w:szCs w:val="22"/>
        </w:rPr>
        <w:t>regulat</w:t>
      </w:r>
      <w:r w:rsidR="00EF6DC7" w:rsidRPr="00DC5884">
        <w:rPr>
          <w:rFonts w:eastAsia="Calibri" w:cs="Times New Roman"/>
          <w:szCs w:val="22"/>
        </w:rPr>
        <w:t>ory</w:t>
      </w:r>
      <w:r w:rsidR="008447F5" w:rsidRPr="00DC5884">
        <w:rPr>
          <w:rFonts w:eastAsia="Calibri" w:cs="Times New Roman"/>
          <w:szCs w:val="22"/>
        </w:rPr>
        <w:t>)</w:t>
      </w:r>
      <w:r w:rsidR="00B55EA8">
        <w:rPr>
          <w:rFonts w:eastAsia="Calibri" w:cs="Times New Roman"/>
          <w:szCs w:val="22"/>
        </w:rPr>
        <w:t>.</w:t>
      </w:r>
    </w:p>
    <w:p w14:paraId="3683B150" w14:textId="0C0395C3" w:rsidR="00F66558" w:rsidRPr="00DC5884" w:rsidRDefault="00F6655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Option 3A: </w:t>
      </w:r>
      <w:r w:rsidR="00AD011D" w:rsidRPr="00DC5884">
        <w:rPr>
          <w:rFonts w:eastAsia="Calibri" w:cs="Times New Roman"/>
          <w:szCs w:val="22"/>
        </w:rPr>
        <w:t>Product registration and</w:t>
      </w:r>
      <w:r w:rsidRPr="00DC5884">
        <w:rPr>
          <w:rFonts w:eastAsia="Calibri" w:cs="Times New Roman"/>
          <w:szCs w:val="22"/>
        </w:rPr>
        <w:t xml:space="preserve"> information </w:t>
      </w:r>
      <w:r w:rsidR="00EF6DC7" w:rsidRPr="00DC5884">
        <w:rPr>
          <w:rFonts w:eastAsia="Calibri" w:cs="Times New Roman"/>
          <w:szCs w:val="22"/>
        </w:rPr>
        <w:t xml:space="preserve">declaration </w:t>
      </w:r>
      <w:r w:rsidRPr="00DC5884">
        <w:rPr>
          <w:rFonts w:eastAsia="Calibri" w:cs="Times New Roman"/>
          <w:szCs w:val="22"/>
        </w:rPr>
        <w:t>(Regulatory)</w:t>
      </w:r>
      <w:r w:rsidR="00B55EA8">
        <w:rPr>
          <w:rFonts w:eastAsia="Calibri" w:cs="Times New Roman"/>
          <w:szCs w:val="22"/>
        </w:rPr>
        <w:t>.</w:t>
      </w:r>
    </w:p>
    <w:p w14:paraId="1C7A52C4" w14:textId="009520A7" w:rsidR="00CA6F7F" w:rsidRPr="00DC5884" w:rsidRDefault="00F6655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Option 3B: </w:t>
      </w:r>
      <w:r w:rsidR="00AD011D" w:rsidRPr="00DC5884">
        <w:rPr>
          <w:rFonts w:eastAsia="Calibri" w:cs="Times New Roman"/>
          <w:szCs w:val="22"/>
        </w:rPr>
        <w:t xml:space="preserve">Product registration and information </w:t>
      </w:r>
      <w:r w:rsidR="00EF6DC7" w:rsidRPr="00DC5884">
        <w:rPr>
          <w:rFonts w:eastAsia="Calibri" w:cs="Times New Roman"/>
          <w:szCs w:val="22"/>
        </w:rPr>
        <w:t xml:space="preserve">declaration </w:t>
      </w:r>
      <w:r w:rsidR="00AD011D" w:rsidRPr="00DC5884">
        <w:rPr>
          <w:rFonts w:eastAsia="Calibri" w:cs="Times New Roman"/>
          <w:szCs w:val="22"/>
        </w:rPr>
        <w:t xml:space="preserve">- </w:t>
      </w:r>
      <w:r w:rsidRPr="00DC5884">
        <w:rPr>
          <w:rFonts w:eastAsia="Calibri" w:cs="Times New Roman"/>
          <w:szCs w:val="22"/>
        </w:rPr>
        <w:t xml:space="preserve">accelerated implementation </w:t>
      </w:r>
      <w:r w:rsidR="00EF6DC7" w:rsidRPr="00DC5884">
        <w:rPr>
          <w:rFonts w:eastAsia="Calibri" w:cs="Times New Roman"/>
          <w:szCs w:val="22"/>
        </w:rPr>
        <w:t>(Regulatory)</w:t>
      </w:r>
      <w:r w:rsidR="00B55EA8">
        <w:rPr>
          <w:rFonts w:eastAsia="Calibri" w:cs="Times New Roman"/>
          <w:szCs w:val="22"/>
        </w:rPr>
        <w:t>.</w:t>
      </w:r>
    </w:p>
    <w:p w14:paraId="106FCFAA" w14:textId="74124CBB" w:rsidR="00F66558" w:rsidRPr="00DC5884" w:rsidRDefault="00F6655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Option 4A: </w:t>
      </w:r>
      <w:r w:rsidR="00AD011D" w:rsidRPr="00DC5884">
        <w:rPr>
          <w:rFonts w:eastAsia="Calibri" w:cs="Times New Roman"/>
          <w:szCs w:val="22"/>
        </w:rPr>
        <w:t xml:space="preserve">Product registration, </w:t>
      </w:r>
      <w:r w:rsidR="00EF6DC7" w:rsidRPr="00DC5884">
        <w:rPr>
          <w:rFonts w:eastAsia="Calibri" w:cs="Times New Roman"/>
          <w:szCs w:val="22"/>
        </w:rPr>
        <w:t>M</w:t>
      </w:r>
      <w:r w:rsidR="00AD011D" w:rsidRPr="00DC5884">
        <w:rPr>
          <w:rFonts w:eastAsia="Calibri" w:cs="Times New Roman"/>
          <w:szCs w:val="22"/>
        </w:rPr>
        <w:t xml:space="preserve">inimum </w:t>
      </w:r>
      <w:r w:rsidR="00EF6DC7" w:rsidRPr="00DC5884">
        <w:rPr>
          <w:rFonts w:eastAsia="Calibri" w:cs="Times New Roman"/>
          <w:szCs w:val="22"/>
        </w:rPr>
        <w:t>W</w:t>
      </w:r>
      <w:r w:rsidRPr="00DC5884">
        <w:rPr>
          <w:rFonts w:eastAsia="Calibri" w:cs="Times New Roman"/>
          <w:szCs w:val="22"/>
        </w:rPr>
        <w:t>ater</w:t>
      </w:r>
      <w:r w:rsidR="00AD011D" w:rsidRPr="00DC5884">
        <w:rPr>
          <w:rFonts w:eastAsia="Calibri" w:cs="Times New Roman"/>
          <w:szCs w:val="22"/>
        </w:rPr>
        <w:t xml:space="preserve"> </w:t>
      </w:r>
      <w:r w:rsidR="00EF6DC7" w:rsidRPr="00DC5884">
        <w:rPr>
          <w:rFonts w:eastAsia="Calibri" w:cs="Times New Roman"/>
          <w:szCs w:val="22"/>
        </w:rPr>
        <w:t>E</w:t>
      </w:r>
      <w:r w:rsidRPr="00DC5884">
        <w:rPr>
          <w:rFonts w:eastAsia="Calibri" w:cs="Times New Roman"/>
          <w:szCs w:val="22"/>
        </w:rPr>
        <w:t xml:space="preserve">fficiency </w:t>
      </w:r>
      <w:r w:rsidR="00EF6DC7" w:rsidRPr="00DC5884">
        <w:rPr>
          <w:rFonts w:eastAsia="Calibri" w:cs="Times New Roman"/>
          <w:szCs w:val="22"/>
        </w:rPr>
        <w:t>S</w:t>
      </w:r>
      <w:r w:rsidRPr="00DC5884">
        <w:rPr>
          <w:rFonts w:eastAsia="Calibri" w:cs="Times New Roman"/>
          <w:szCs w:val="22"/>
        </w:rPr>
        <w:t>tandards and information</w:t>
      </w:r>
      <w:r w:rsidR="00EF6DC7" w:rsidRPr="00DC5884">
        <w:rPr>
          <w:rFonts w:eastAsia="Calibri" w:cs="Times New Roman"/>
          <w:szCs w:val="22"/>
        </w:rPr>
        <w:t xml:space="preserve"> declaration</w:t>
      </w:r>
      <w:r w:rsidR="008447F5" w:rsidRPr="00DC5884">
        <w:rPr>
          <w:rFonts w:eastAsia="Calibri" w:cs="Times New Roman"/>
          <w:szCs w:val="22"/>
        </w:rPr>
        <w:t xml:space="preserve"> (Regulatory)</w:t>
      </w:r>
      <w:r w:rsidR="00B55EA8">
        <w:rPr>
          <w:rFonts w:eastAsia="Calibri" w:cs="Times New Roman"/>
          <w:szCs w:val="22"/>
        </w:rPr>
        <w:t>.</w:t>
      </w:r>
    </w:p>
    <w:p w14:paraId="21FDD541" w14:textId="3386AC14" w:rsidR="00CA6F7F" w:rsidRPr="00DC5884" w:rsidRDefault="00F6655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Option</w:t>
      </w:r>
      <w:r w:rsidR="008447F5" w:rsidRPr="00DC5884">
        <w:rPr>
          <w:rFonts w:eastAsia="Calibri" w:cs="Times New Roman"/>
          <w:szCs w:val="22"/>
        </w:rPr>
        <w:t xml:space="preserve"> </w:t>
      </w:r>
      <w:r w:rsidRPr="00DC5884">
        <w:rPr>
          <w:rFonts w:eastAsia="Calibri" w:cs="Times New Roman"/>
          <w:szCs w:val="22"/>
        </w:rPr>
        <w:t xml:space="preserve">4B: </w:t>
      </w:r>
      <w:r w:rsidR="00AD011D" w:rsidRPr="00DC5884">
        <w:rPr>
          <w:rFonts w:eastAsia="Calibri" w:cs="Times New Roman"/>
          <w:szCs w:val="22"/>
        </w:rPr>
        <w:t xml:space="preserve">Product registration, </w:t>
      </w:r>
      <w:r w:rsidR="00EF6DC7" w:rsidRPr="00DC5884">
        <w:rPr>
          <w:rFonts w:eastAsia="Calibri" w:cs="Times New Roman"/>
          <w:szCs w:val="22"/>
        </w:rPr>
        <w:t>M</w:t>
      </w:r>
      <w:r w:rsidR="00AD011D" w:rsidRPr="00DC5884">
        <w:rPr>
          <w:rFonts w:eastAsia="Calibri" w:cs="Times New Roman"/>
          <w:szCs w:val="22"/>
        </w:rPr>
        <w:t xml:space="preserve">inimum </w:t>
      </w:r>
      <w:r w:rsidR="00EF6DC7" w:rsidRPr="00DC5884">
        <w:rPr>
          <w:rFonts w:eastAsia="Calibri" w:cs="Times New Roman"/>
          <w:szCs w:val="22"/>
        </w:rPr>
        <w:t>W</w:t>
      </w:r>
      <w:r w:rsidR="00AD011D" w:rsidRPr="00DC5884">
        <w:rPr>
          <w:rFonts w:eastAsia="Calibri" w:cs="Times New Roman"/>
          <w:szCs w:val="22"/>
        </w:rPr>
        <w:t xml:space="preserve">ater </w:t>
      </w:r>
      <w:r w:rsidR="00EF6DC7" w:rsidRPr="00DC5884">
        <w:rPr>
          <w:rFonts w:eastAsia="Calibri" w:cs="Times New Roman"/>
          <w:szCs w:val="22"/>
        </w:rPr>
        <w:t>E</w:t>
      </w:r>
      <w:r w:rsidR="00AD011D" w:rsidRPr="00DC5884">
        <w:rPr>
          <w:rFonts w:eastAsia="Calibri" w:cs="Times New Roman"/>
          <w:szCs w:val="22"/>
        </w:rPr>
        <w:t xml:space="preserve">fficiency </w:t>
      </w:r>
      <w:r w:rsidR="00EF6DC7" w:rsidRPr="00DC5884">
        <w:rPr>
          <w:rFonts w:eastAsia="Calibri" w:cs="Times New Roman"/>
          <w:szCs w:val="22"/>
        </w:rPr>
        <w:t>S</w:t>
      </w:r>
      <w:r w:rsidR="00AD011D" w:rsidRPr="00DC5884">
        <w:rPr>
          <w:rFonts w:eastAsia="Calibri" w:cs="Times New Roman"/>
          <w:szCs w:val="22"/>
        </w:rPr>
        <w:t xml:space="preserve">tandards and information </w:t>
      </w:r>
      <w:r w:rsidR="00EF6DC7" w:rsidRPr="00DC5884">
        <w:rPr>
          <w:rFonts w:eastAsia="Calibri" w:cs="Times New Roman"/>
          <w:szCs w:val="22"/>
        </w:rPr>
        <w:t xml:space="preserve">declaration </w:t>
      </w:r>
      <w:r w:rsidRPr="00DC5884">
        <w:rPr>
          <w:rFonts w:eastAsia="Calibri" w:cs="Times New Roman"/>
          <w:szCs w:val="22"/>
        </w:rPr>
        <w:t>– accelerated implementation</w:t>
      </w:r>
      <w:r w:rsidR="00EF6DC7" w:rsidRPr="00DC5884">
        <w:rPr>
          <w:rFonts w:eastAsia="Calibri" w:cs="Times New Roman"/>
          <w:szCs w:val="22"/>
        </w:rPr>
        <w:t xml:space="preserve"> (Regulatory)</w:t>
      </w:r>
      <w:r w:rsidRPr="00DC5884">
        <w:rPr>
          <w:rFonts w:eastAsia="Calibri" w:cs="Times New Roman"/>
          <w:szCs w:val="22"/>
        </w:rPr>
        <w:t>.</w:t>
      </w:r>
    </w:p>
    <w:p w14:paraId="1F64405C" w14:textId="21F6A813" w:rsidR="00F66558" w:rsidRDefault="00F66558" w:rsidP="00CA6F7F">
      <w:r>
        <w:t xml:space="preserve">The timing of each of these </w:t>
      </w:r>
      <w:r w:rsidR="008447F5">
        <w:t xml:space="preserve">measures </w:t>
      </w:r>
      <w:r>
        <w:t xml:space="preserve">is illustrated in </w:t>
      </w:r>
      <w:r>
        <w:fldChar w:fldCharType="begin"/>
      </w:r>
      <w:r>
        <w:instrText xml:space="preserve"> REF _Ref189479935 \h </w:instrText>
      </w:r>
      <w:r>
        <w:fldChar w:fldCharType="separate"/>
      </w:r>
      <w:r w:rsidR="002271EC">
        <w:t xml:space="preserve">Table </w:t>
      </w:r>
      <w:r w:rsidR="002271EC">
        <w:rPr>
          <w:noProof/>
        </w:rPr>
        <w:t>2</w:t>
      </w:r>
      <w:r>
        <w:fldChar w:fldCharType="end"/>
      </w:r>
      <w:r w:rsidR="00AD011D">
        <w:t>, Section 3.7</w:t>
      </w:r>
      <w:r w:rsidR="00846C24">
        <w:t>.</w:t>
      </w:r>
    </w:p>
    <w:p w14:paraId="11036E6E" w14:textId="5FCFB1BF" w:rsidR="00155DFD" w:rsidRDefault="00155DFD" w:rsidP="00CA6F7F">
      <w:r>
        <w:t>The data and assumptions used in the cost-benefit analysis are based on information about CIM products and the Australian CIM market</w:t>
      </w:r>
      <w:r w:rsidR="005E29A4">
        <w:t>,</w:t>
      </w:r>
      <w:r>
        <w:t xml:space="preserve"> gained through analysis of published data sheets and through interviews with the CIM suppliers conducted for the Regulation Impact Statement for MEPS. The 15 suppliers interviewed covered over 90% of the market. Additional data on the US market was obtained from the USDOE and USEPA, as detailed in Appendix C.</w:t>
      </w:r>
    </w:p>
    <w:p w14:paraId="587AB62A" w14:textId="302F7A14" w:rsidR="00CA6F7F" w:rsidRDefault="00CA6F7F" w:rsidP="00CA6F7F">
      <w:pPr>
        <w:pStyle w:val="Heading2"/>
        <w:jc w:val="left"/>
      </w:pPr>
      <w:bookmarkStart w:id="56" w:name="_Ref194480129"/>
      <w:bookmarkStart w:id="57" w:name="_Toc196745422"/>
      <w:r>
        <w:t>4.2 Projected benefits</w:t>
      </w:r>
      <w:bookmarkEnd w:id="56"/>
      <w:bookmarkEnd w:id="57"/>
    </w:p>
    <w:p w14:paraId="37B07D85" w14:textId="597656F1" w:rsidR="005A5E03" w:rsidRDefault="005A5E03" w:rsidP="00CA6F7F">
      <w:r>
        <w:t xml:space="preserve">The projected benefits of </w:t>
      </w:r>
      <w:r w:rsidR="00DE28F5">
        <w:t xml:space="preserve">each option </w:t>
      </w:r>
      <w:r>
        <w:t xml:space="preserve">are derived </w:t>
      </w:r>
      <w:r w:rsidR="00DE28F5">
        <w:t xml:space="preserve">from the </w:t>
      </w:r>
      <w:r>
        <w:t>money saved on potable water and wastewater charges</w:t>
      </w:r>
      <w:r w:rsidR="005E29A4">
        <w:t>,</w:t>
      </w:r>
      <w:r w:rsidR="00DE28F5">
        <w:t xml:space="preserve"> </w:t>
      </w:r>
      <w:r>
        <w:t>through CIM owners purchasing more water</w:t>
      </w:r>
      <w:r w:rsidR="00DF55C6">
        <w:t xml:space="preserve"> </w:t>
      </w:r>
      <w:r>
        <w:t>efficient models than would otherwise have been the case without the market impacts of that option.</w:t>
      </w:r>
    </w:p>
    <w:p w14:paraId="34766FE4" w14:textId="5F6AC92B" w:rsidR="00D42135" w:rsidRDefault="00D42135" w:rsidP="00CA6F7F">
      <w:r>
        <w:t>The price per kl of water suppl</w:t>
      </w:r>
      <w:r w:rsidR="00DF55C6">
        <w:t>ied</w:t>
      </w:r>
      <w:r>
        <w:t xml:space="preserve"> and wastewater remov</w:t>
      </w:r>
      <w:r w:rsidR="00DF55C6">
        <w:t>ed</w:t>
      </w:r>
      <w:r>
        <w:t xml:space="preserve"> in each State and Territory is projected in Appendix B. It is assumed that the prices reflect the long run marginal cost of supplying those services, apart from the externality of greenhouse gas emissions associated with electricity used in pumping and water treatment. A shadow price </w:t>
      </w:r>
      <w:r w:rsidR="002522C7">
        <w:t xml:space="preserve">was calculated </w:t>
      </w:r>
      <w:r>
        <w:t>for these emissions</w:t>
      </w:r>
      <w:r w:rsidR="002522C7">
        <w:t xml:space="preserve">, </w:t>
      </w:r>
      <w:r>
        <w:t xml:space="preserve">based on the </w:t>
      </w:r>
      <w:r w:rsidR="002522C7">
        <w:t>$/tonne CO</w:t>
      </w:r>
      <w:r w:rsidR="002522C7" w:rsidRPr="00DF0A7B">
        <w:rPr>
          <w:vertAlign w:val="subscript"/>
        </w:rPr>
        <w:t>2</w:t>
      </w:r>
      <w:r w:rsidR="002522C7">
        <w:t xml:space="preserve"> values adopted by the Australian Energy Market Commission (AEMC 2024). This had relatively little impact, representing less than 1.5% of the water and wastewater charges.</w:t>
      </w:r>
    </w:p>
    <w:p w14:paraId="5E1E9BF1" w14:textId="08DD525C" w:rsidR="00841DFB" w:rsidRDefault="00A9523A" w:rsidP="00CA6F7F">
      <w:r>
        <w:t>It is</w:t>
      </w:r>
      <w:r w:rsidR="008447F5">
        <w:t xml:space="preserve"> assumed that</w:t>
      </w:r>
      <w:r w:rsidR="0037054E">
        <w:t xml:space="preserve"> suppliers will be more inclined to provide information when there is encouragement</w:t>
      </w:r>
      <w:r w:rsidR="005A5E03">
        <w:t xml:space="preserve"> and </w:t>
      </w:r>
      <w:r w:rsidR="0037054E">
        <w:t>incentive</w:t>
      </w:r>
      <w:r w:rsidR="005A5E03">
        <w:t xml:space="preserve"> to do so</w:t>
      </w:r>
      <w:r>
        <w:t xml:space="preserve">. For Option 2 </w:t>
      </w:r>
      <w:r w:rsidR="0037054E">
        <w:t xml:space="preserve">the incentive </w:t>
      </w:r>
      <w:r>
        <w:t xml:space="preserve">is </w:t>
      </w:r>
      <w:r w:rsidR="005A5E03">
        <w:t>partly to g</w:t>
      </w:r>
      <w:r>
        <w:t xml:space="preserve">ain </w:t>
      </w:r>
      <w:r w:rsidR="005A5E03">
        <w:t xml:space="preserve">a commercial advantage </w:t>
      </w:r>
      <w:r>
        <w:t xml:space="preserve">for </w:t>
      </w:r>
      <w:r w:rsidR="005A5E03">
        <w:t xml:space="preserve">models with low water use and partly to </w:t>
      </w:r>
      <w:r w:rsidR="0037054E">
        <w:t xml:space="preserve">avoid </w:t>
      </w:r>
      <w:r w:rsidR="00841DFB">
        <w:t xml:space="preserve">the </w:t>
      </w:r>
      <w:r w:rsidR="005A5E03">
        <w:t xml:space="preserve">application of regulatory </w:t>
      </w:r>
      <w:r w:rsidR="00DE28F5">
        <w:t>o</w:t>
      </w:r>
      <w:r w:rsidR="0037054E">
        <w:t>ption</w:t>
      </w:r>
      <w:r w:rsidR="009373BD">
        <w:t>s</w:t>
      </w:r>
      <w:r w:rsidR="00DE28F5">
        <w:t>.</w:t>
      </w:r>
    </w:p>
    <w:p w14:paraId="2C00A1F7" w14:textId="65AFC7C2" w:rsidR="000302D8" w:rsidRDefault="00841DFB" w:rsidP="00CA6F7F">
      <w:r>
        <w:lastRenderedPageBreak/>
        <w:t>For Option</w:t>
      </w:r>
      <w:r w:rsidR="005A5E03">
        <w:t>s</w:t>
      </w:r>
      <w:r>
        <w:t xml:space="preserve"> 4</w:t>
      </w:r>
      <w:r w:rsidR="009373BD">
        <w:t>A and 4B</w:t>
      </w:r>
      <w:r>
        <w:t xml:space="preserve"> all models must meet the </w:t>
      </w:r>
      <w:r w:rsidR="00EF6DC7">
        <w:t>M</w:t>
      </w:r>
      <w:r>
        <w:t xml:space="preserve">inimum </w:t>
      </w:r>
      <w:r w:rsidR="00EF6DC7">
        <w:t>W</w:t>
      </w:r>
      <w:r w:rsidR="005A5E03">
        <w:t xml:space="preserve">ater </w:t>
      </w:r>
      <w:r w:rsidR="00EF6DC7">
        <w:t>E</w:t>
      </w:r>
      <w:r w:rsidR="005A5E03">
        <w:t xml:space="preserve">fficiency </w:t>
      </w:r>
      <w:r w:rsidR="00EF6DC7">
        <w:t>S</w:t>
      </w:r>
      <w:r>
        <w:t>tandard</w:t>
      </w:r>
      <w:r w:rsidR="005A5E03">
        <w:t>s</w:t>
      </w:r>
      <w:r>
        <w:t xml:space="preserve"> by the implementation date. The increase in </w:t>
      </w:r>
      <w:r w:rsidR="000302D8">
        <w:t xml:space="preserve">the </w:t>
      </w:r>
      <w:r>
        <w:t>average water</w:t>
      </w:r>
      <w:r w:rsidR="00DF55C6">
        <w:t xml:space="preserve"> </w:t>
      </w:r>
      <w:r>
        <w:t xml:space="preserve">efficiency </w:t>
      </w:r>
      <w:r w:rsidR="000302D8">
        <w:t xml:space="preserve">of products sold after that time </w:t>
      </w:r>
      <w:r>
        <w:t xml:space="preserve">will depend on the stringency of the </w:t>
      </w:r>
      <w:r w:rsidR="000302D8">
        <w:t>adopted standard. At the time of writing</w:t>
      </w:r>
      <w:r w:rsidR="00EF6DC7">
        <w:t>,</w:t>
      </w:r>
      <w:r w:rsidR="000302D8">
        <w:t xml:space="preserve"> there was </w:t>
      </w:r>
      <w:r w:rsidR="00A9523A">
        <w:t xml:space="preserve">minimal </w:t>
      </w:r>
      <w:r w:rsidR="000302D8">
        <w:t xml:space="preserve">data on the range of water-efficiencies on the </w:t>
      </w:r>
      <w:r w:rsidR="00DE28F5">
        <w:t xml:space="preserve">Australian </w:t>
      </w:r>
      <w:r w:rsidR="000302D8">
        <w:t>market</w:t>
      </w:r>
      <w:r w:rsidR="00DE28F5">
        <w:t>, so f</w:t>
      </w:r>
      <w:r w:rsidR="000302D8">
        <w:t xml:space="preserve">or modelling </w:t>
      </w:r>
      <w:r w:rsidR="00A9523A">
        <w:t xml:space="preserve">purposes </w:t>
      </w:r>
      <w:r w:rsidR="000302D8">
        <w:t xml:space="preserve">the </w:t>
      </w:r>
      <w:r w:rsidR="00EF6DC7">
        <w:t>M</w:t>
      </w:r>
      <w:r w:rsidR="00A9523A">
        <w:t xml:space="preserve">inimum </w:t>
      </w:r>
      <w:r w:rsidR="00EF6DC7">
        <w:t>W</w:t>
      </w:r>
      <w:r w:rsidR="00A9523A">
        <w:t xml:space="preserve">ater </w:t>
      </w:r>
      <w:r w:rsidR="00EF6DC7">
        <w:t>E</w:t>
      </w:r>
      <w:r w:rsidR="00A9523A">
        <w:t xml:space="preserve">fficiency </w:t>
      </w:r>
      <w:r w:rsidR="00EF6DC7">
        <w:t>S</w:t>
      </w:r>
      <w:r w:rsidR="00A9523A">
        <w:t xml:space="preserve">tandard </w:t>
      </w:r>
      <w:r w:rsidR="000302D8">
        <w:t xml:space="preserve">levels were set </w:t>
      </w:r>
      <w:r w:rsidR="00DE28F5">
        <w:t xml:space="preserve">somewhat </w:t>
      </w:r>
      <w:r w:rsidR="000302D8">
        <w:t xml:space="preserve">less stringently than the USDOE and </w:t>
      </w:r>
      <w:r w:rsidR="00EF6DC7">
        <w:t xml:space="preserve">USEPA </w:t>
      </w:r>
      <w:r w:rsidR="000302D8">
        <w:t>E</w:t>
      </w:r>
      <w:r w:rsidR="00A9523A">
        <w:t xml:space="preserve">nergy Star </w:t>
      </w:r>
      <w:r w:rsidR="000302D8">
        <w:t xml:space="preserve">levels (see Appendix </w:t>
      </w:r>
      <w:r w:rsidR="00A9523A">
        <w:t>B</w:t>
      </w:r>
      <w:r w:rsidR="000302D8">
        <w:t>). A longer lead time to implementation (Option 4A) would enable the setting of more rigorous standards because more market data w</w:t>
      </w:r>
      <w:r w:rsidR="00A9523A">
        <w:t xml:space="preserve">ould </w:t>
      </w:r>
      <w:r w:rsidR="000302D8">
        <w:t>be available</w:t>
      </w:r>
      <w:r w:rsidR="00A9523A">
        <w:t>,</w:t>
      </w:r>
      <w:r w:rsidR="000302D8">
        <w:t xml:space="preserve"> </w:t>
      </w:r>
      <w:r w:rsidR="00A9523A" w:rsidRPr="00A9523A">
        <w:t xml:space="preserve">delivered either through the </w:t>
      </w:r>
      <w:r w:rsidR="00BB6BB0">
        <w:t>Option 1</w:t>
      </w:r>
      <w:r w:rsidR="00A9523A" w:rsidRPr="00A9523A">
        <w:t>, Option 2, Option 3A or Option 3B.</w:t>
      </w:r>
    </w:p>
    <w:p w14:paraId="236BED5B" w14:textId="54E77977" w:rsidR="000302D8" w:rsidRDefault="000302D8" w:rsidP="00CA6F7F">
      <w:r>
        <w:t xml:space="preserve">If </w:t>
      </w:r>
      <w:r w:rsidR="00EF6DC7">
        <w:t xml:space="preserve">information </w:t>
      </w:r>
      <w:r w:rsidR="00A9523A">
        <w:t xml:space="preserve">declaration </w:t>
      </w:r>
      <w:r>
        <w:t xml:space="preserve">is implemented alongside </w:t>
      </w:r>
      <w:r w:rsidR="00EF6DC7">
        <w:t>M</w:t>
      </w:r>
      <w:r>
        <w:t xml:space="preserve">inimum </w:t>
      </w:r>
      <w:r w:rsidR="00EF6DC7">
        <w:t>Water Efficiency S</w:t>
      </w:r>
      <w:r>
        <w:t>tandards</w:t>
      </w:r>
      <w:r w:rsidR="00A9523A">
        <w:t xml:space="preserve"> in Option 4A or 4B</w:t>
      </w:r>
      <w:r>
        <w:t xml:space="preserve">, as is the usual practice for WELS products, </w:t>
      </w:r>
      <w:r w:rsidR="00CE59EF">
        <w:t>water efficiency</w:t>
      </w:r>
      <w:r>
        <w:t xml:space="preserve"> w</w:t>
      </w:r>
      <w:r w:rsidR="009373BD">
        <w:t xml:space="preserve">ould </w:t>
      </w:r>
      <w:r>
        <w:t xml:space="preserve">continue to increase above the </w:t>
      </w:r>
      <w:r w:rsidR="009373BD">
        <w:t xml:space="preserve">minimum </w:t>
      </w:r>
      <w:r>
        <w:t>standard level</w:t>
      </w:r>
      <w:r w:rsidR="00A9523A" w:rsidRPr="00A9523A">
        <w:rPr>
          <w:i/>
          <w:iCs/>
        </w:rPr>
        <w:t xml:space="preserve"> </w:t>
      </w:r>
      <w:r w:rsidR="00A9523A" w:rsidRPr="00A9523A">
        <w:t xml:space="preserve">due to </w:t>
      </w:r>
      <w:r w:rsidR="00DE28F5">
        <w:t xml:space="preserve">better informed </w:t>
      </w:r>
      <w:r w:rsidR="00A9523A" w:rsidRPr="00A9523A">
        <w:t>purchasing decisions</w:t>
      </w:r>
      <w:r w:rsidR="00DE28F5">
        <w:t>, but</w:t>
      </w:r>
      <w:r w:rsidR="00A9523A">
        <w:t xml:space="preserve"> this would occur </w:t>
      </w:r>
      <w:r>
        <w:t xml:space="preserve">at a lower rate </w:t>
      </w:r>
      <w:r w:rsidR="00DE28F5">
        <w:t xml:space="preserve">than in Option 3A or 3B </w:t>
      </w:r>
      <w:r>
        <w:t xml:space="preserve">because the standards </w:t>
      </w:r>
      <w:r w:rsidR="002B1C9D">
        <w:t xml:space="preserve">would </w:t>
      </w:r>
      <w:r>
        <w:t xml:space="preserve">exclude the least efficient products from the market and the </w:t>
      </w:r>
      <w:r w:rsidR="001F0847">
        <w:t>range between most and least water</w:t>
      </w:r>
      <w:r w:rsidR="00A17AE2">
        <w:t xml:space="preserve"> </w:t>
      </w:r>
      <w:r w:rsidR="001F0847">
        <w:t>efficient model</w:t>
      </w:r>
      <w:r w:rsidR="009373BD">
        <w:t>s</w:t>
      </w:r>
      <w:r w:rsidR="001F0847">
        <w:t xml:space="preserve"> </w:t>
      </w:r>
      <w:r w:rsidR="00DF55C6">
        <w:t xml:space="preserve">would </w:t>
      </w:r>
      <w:r w:rsidR="001F0847">
        <w:t>be narrowed.</w:t>
      </w:r>
    </w:p>
    <w:p w14:paraId="5E5437D9" w14:textId="13B5F471" w:rsidR="008447F5" w:rsidRDefault="001F0847" w:rsidP="00CA6F7F">
      <w:r>
        <w:fldChar w:fldCharType="begin"/>
      </w:r>
      <w:r>
        <w:instrText xml:space="preserve"> REF _Ref189650153 \h </w:instrText>
      </w:r>
      <w:r>
        <w:fldChar w:fldCharType="separate"/>
      </w:r>
      <w:r w:rsidR="002271EC">
        <w:t xml:space="preserve">Figure </w:t>
      </w:r>
      <w:r w:rsidR="002271EC">
        <w:rPr>
          <w:noProof/>
        </w:rPr>
        <w:t>4</w:t>
      </w:r>
      <w:r>
        <w:fldChar w:fldCharType="end"/>
      </w:r>
      <w:r>
        <w:t xml:space="preserve"> </w:t>
      </w:r>
      <w:r w:rsidR="002B1C9D">
        <w:t xml:space="preserve">illustrates </w:t>
      </w:r>
      <w:r>
        <w:t xml:space="preserve">the effects of the options </w:t>
      </w:r>
      <w:r w:rsidR="002B1C9D">
        <w:t>on</w:t>
      </w:r>
      <w:r>
        <w:t xml:space="preserve"> CIM </w:t>
      </w:r>
      <w:r w:rsidR="00CE59EF">
        <w:t>water efficiency</w:t>
      </w:r>
      <w:r w:rsidR="00410466">
        <w:t xml:space="preserve"> in relation to a notional starting </w:t>
      </w:r>
      <w:r w:rsidR="00AD533C">
        <w:t xml:space="preserve">efficiency level </w:t>
      </w:r>
      <w:r w:rsidR="00410466">
        <w:t>of 1.0 in 2025 (t</w:t>
      </w:r>
      <w:r>
        <w:t xml:space="preserve">he </w:t>
      </w:r>
      <w:r w:rsidR="00410466">
        <w:t xml:space="preserve">actual </w:t>
      </w:r>
      <w:r>
        <w:t xml:space="preserve">values </w:t>
      </w:r>
      <w:r w:rsidR="00410466">
        <w:t>u</w:t>
      </w:r>
      <w:r w:rsidR="00AD533C">
        <w:t>s</w:t>
      </w:r>
      <w:r w:rsidR="00410466">
        <w:t xml:space="preserve">ed </w:t>
      </w:r>
      <w:r>
        <w:t xml:space="preserve">in the modelling are in Appendix </w:t>
      </w:r>
      <w:r w:rsidR="00EF62F3">
        <w:t>B</w:t>
      </w:r>
      <w:r w:rsidR="00410466">
        <w:t>)</w:t>
      </w:r>
      <w:r>
        <w:t>. Option 1 assumes a modest degree of voluntary water</w:t>
      </w:r>
      <w:r w:rsidR="002B1C9D">
        <w:t xml:space="preserve"> use </w:t>
      </w:r>
      <w:r w:rsidR="004D237B">
        <w:t>declaration</w:t>
      </w:r>
      <w:r>
        <w:t xml:space="preserve"> to the GEMS Regulator, and hence some increase in average </w:t>
      </w:r>
      <w:r w:rsidR="00CE59EF">
        <w:t>water efficiency</w:t>
      </w:r>
      <w:r>
        <w:t xml:space="preserve"> compared </w:t>
      </w:r>
      <w:r w:rsidR="009373BD">
        <w:t xml:space="preserve">with a </w:t>
      </w:r>
      <w:r>
        <w:t xml:space="preserve">case </w:t>
      </w:r>
      <w:r w:rsidR="009373BD">
        <w:t xml:space="preserve">in which </w:t>
      </w:r>
      <w:r>
        <w:t xml:space="preserve">GEMS </w:t>
      </w:r>
      <w:r w:rsidR="009373BD">
        <w:t xml:space="preserve">had </w:t>
      </w:r>
      <w:r>
        <w:t xml:space="preserve">not </w:t>
      </w:r>
      <w:r w:rsidR="002B1C9D">
        <w:t>regulated CIMs</w:t>
      </w:r>
      <w:r>
        <w:t xml:space="preserve"> (Option 0).</w:t>
      </w:r>
    </w:p>
    <w:p w14:paraId="600F8A4E" w14:textId="77777777" w:rsidR="000F2521" w:rsidRDefault="000F2521" w:rsidP="00CA6F7F"/>
    <w:p w14:paraId="3D59F8AB" w14:textId="0414CD34" w:rsidR="008447F5" w:rsidRDefault="008447F5" w:rsidP="001F0847">
      <w:pPr>
        <w:pStyle w:val="Caption"/>
        <w:jc w:val="center"/>
      </w:pPr>
      <w:bookmarkStart w:id="58" w:name="_Ref189650153"/>
      <w:bookmarkStart w:id="59" w:name="_Toc196745466"/>
      <w:r>
        <w:t xml:space="preserve">Figure </w:t>
      </w:r>
      <w:r w:rsidR="0042496D">
        <w:fldChar w:fldCharType="begin"/>
      </w:r>
      <w:r w:rsidR="0042496D">
        <w:instrText xml:space="preserve"> SEQ Figure \* ARABIC </w:instrText>
      </w:r>
      <w:r w:rsidR="0042496D">
        <w:fldChar w:fldCharType="separate"/>
      </w:r>
      <w:r w:rsidR="002271EC">
        <w:rPr>
          <w:noProof/>
        </w:rPr>
        <w:t>4</w:t>
      </w:r>
      <w:r w:rsidR="0042496D">
        <w:rPr>
          <w:noProof/>
        </w:rPr>
        <w:fldChar w:fldCharType="end"/>
      </w:r>
      <w:bookmarkEnd w:id="58"/>
      <w:r>
        <w:t xml:space="preserve"> </w:t>
      </w:r>
      <w:r w:rsidR="001F0847">
        <w:t>Indicative water</w:t>
      </w:r>
      <w:r w:rsidR="00CE59EF">
        <w:t xml:space="preserve"> </w:t>
      </w:r>
      <w:r w:rsidR="001F0847">
        <w:t xml:space="preserve">efficiency trends </w:t>
      </w:r>
      <w:r w:rsidR="002B1C9D">
        <w:t xml:space="preserve">by </w:t>
      </w:r>
      <w:r w:rsidR="001F0847">
        <w:t>option</w:t>
      </w:r>
      <w:bookmarkEnd w:id="59"/>
    </w:p>
    <w:p w14:paraId="46B272E3" w14:textId="77DE8DA4" w:rsidR="008447F5" w:rsidRPr="008447F5" w:rsidRDefault="00AD533C" w:rsidP="009373BD">
      <w:pPr>
        <w:jc w:val="center"/>
      </w:pPr>
      <w:r>
        <w:rPr>
          <w:noProof/>
        </w:rPr>
        <w:drawing>
          <wp:inline distT="0" distB="0" distL="0" distR="0" wp14:anchorId="728AB6CF" wp14:editId="6FB9924D">
            <wp:extent cx="3907090" cy="2838450"/>
            <wp:effectExtent l="19050" t="19050" r="17780" b="19050"/>
            <wp:docPr id="2" name="Picture 2" descr="Line chart showing how Option 1 (business as usual) and WELS options impact water efficiency trends, against a notional water efficiency index value of 1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e chart showing how Option 1 (business as usual) and WELS options impact water efficiency trends, against a notional water efficiency index value of 1 in 20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5671" cy="2851949"/>
                    </a:xfrm>
                    <a:prstGeom prst="rect">
                      <a:avLst/>
                    </a:prstGeom>
                    <a:noFill/>
                    <a:ln>
                      <a:solidFill>
                        <a:schemeClr val="accent1"/>
                      </a:solidFill>
                    </a:ln>
                  </pic:spPr>
                </pic:pic>
              </a:graphicData>
            </a:graphic>
          </wp:inline>
        </w:drawing>
      </w:r>
    </w:p>
    <w:p w14:paraId="3E49CA1D" w14:textId="77777777" w:rsidR="00AD533C" w:rsidRDefault="00AD533C" w:rsidP="00E26F18"/>
    <w:p w14:paraId="084AF5F7" w14:textId="6BEA52B3" w:rsidR="002B1C9D" w:rsidRDefault="00E26F18" w:rsidP="00E26F18">
      <w:r>
        <w:lastRenderedPageBreak/>
        <w:t xml:space="preserve">Benefits and costs </w:t>
      </w:r>
      <w:r w:rsidR="004A0C3E">
        <w:t xml:space="preserve">are calculated from the viewpoint of mid-2025, when it is assumed that a decision about which </w:t>
      </w:r>
      <w:r w:rsidR="002B1C9D">
        <w:t xml:space="preserve">option </w:t>
      </w:r>
      <w:r w:rsidR="004A0C3E">
        <w:t xml:space="preserve">to adopt will be made. They are calculated separately for each of the 12 classes of CIM and for each of the 8 Australian </w:t>
      </w:r>
      <w:r w:rsidR="002B1C9D">
        <w:t xml:space="preserve">states </w:t>
      </w:r>
      <w:r w:rsidR="004A0C3E">
        <w:t xml:space="preserve">and </w:t>
      </w:r>
      <w:r w:rsidR="002B1C9D">
        <w:t>territories</w:t>
      </w:r>
      <w:r w:rsidR="004A0C3E">
        <w:t>.</w:t>
      </w:r>
    </w:p>
    <w:p w14:paraId="59F5164F" w14:textId="44898432" w:rsidR="00AD533C" w:rsidRPr="00AD533C" w:rsidRDefault="00AD533C" w:rsidP="00AD533C">
      <w:r w:rsidRPr="00AD533C">
        <w:t xml:space="preserve">The modelling takes into account the projected capital </w:t>
      </w:r>
      <w:r>
        <w:t xml:space="preserve">and water </w:t>
      </w:r>
      <w:r w:rsidR="00DF55C6">
        <w:t xml:space="preserve">usage </w:t>
      </w:r>
      <w:r w:rsidRPr="00AD533C">
        <w:t xml:space="preserve">costs of the </w:t>
      </w:r>
      <w:r w:rsidR="00EF6DC7">
        <w:t>CIMs</w:t>
      </w:r>
      <w:r w:rsidRPr="00AD533C">
        <w:t xml:space="preserve"> that are expected to be purchased in Australia from 2025 to 2040 (i.e. 16 calendar years). It is assumed that 100% of each year’s cohort survives to the 8</w:t>
      </w:r>
      <w:r w:rsidRPr="00AD533C">
        <w:rPr>
          <w:vertAlign w:val="superscript"/>
        </w:rPr>
        <w:t>th</w:t>
      </w:r>
      <w:r w:rsidRPr="00AD533C">
        <w:t xml:space="preserve"> year, 50% to year 9, and none to year 10</w:t>
      </w:r>
      <w:r w:rsidR="00DE28F5">
        <w:t xml:space="preserve">, </w:t>
      </w:r>
      <w:r w:rsidRPr="00AD533C">
        <w:t>imp</w:t>
      </w:r>
      <w:r w:rsidR="00DE28F5">
        <w:t xml:space="preserve">lying </w:t>
      </w:r>
      <w:r w:rsidRPr="00AD533C">
        <w:t xml:space="preserve">an average service life of 8.5 years. </w:t>
      </w:r>
      <w:r w:rsidR="00DE28F5">
        <w:t>T</w:t>
      </w:r>
      <w:r w:rsidRPr="00AD533C">
        <w:t>he model calculates the net present value (NPV) of total national CIM water consumption as far out as 204</w:t>
      </w:r>
      <w:r w:rsidR="00DE28F5">
        <w:t>8</w:t>
      </w:r>
      <w:r w:rsidR="000F2521">
        <w:t xml:space="preserve"> (</w:t>
      </w:r>
      <w:r w:rsidR="000F2521" w:rsidRPr="001560AB">
        <w:t>captur</w:t>
      </w:r>
      <w:r w:rsidR="000F2521">
        <w:t>ing</w:t>
      </w:r>
      <w:r w:rsidR="000F2521" w:rsidRPr="001560AB">
        <w:t xml:space="preserve"> the lifetime water consumption of units sold </w:t>
      </w:r>
      <w:r w:rsidR="000F2521">
        <w:t xml:space="preserve">up to </w:t>
      </w:r>
      <w:r w:rsidR="000F2521" w:rsidRPr="001560AB">
        <w:t>2040</w:t>
      </w:r>
      <w:r w:rsidR="000F2521">
        <w:t>)</w:t>
      </w:r>
      <w:r w:rsidRPr="00AD533C">
        <w:t>, using the range of discount rates required by the Office of Impact Analysis</w:t>
      </w:r>
      <w:r w:rsidR="00504CF1">
        <w:t xml:space="preserve"> (OIA)</w:t>
      </w:r>
      <w:r w:rsidRPr="00AD533C">
        <w:t xml:space="preserve"> (</w:t>
      </w:r>
      <w:r w:rsidR="00DE28F5">
        <w:t>3</w:t>
      </w:r>
      <w:r w:rsidRPr="00AD533C">
        <w:t>%, 7% and 10%).</w:t>
      </w:r>
    </w:p>
    <w:p w14:paraId="78182E31" w14:textId="02368907" w:rsidR="00F71625" w:rsidRDefault="004A0C3E" w:rsidP="00E26F18">
      <w:r>
        <w:fldChar w:fldCharType="begin"/>
      </w:r>
      <w:r>
        <w:instrText xml:space="preserve"> REF _Ref189658133 \h </w:instrText>
      </w:r>
      <w:r>
        <w:fldChar w:fldCharType="separate"/>
      </w:r>
      <w:r w:rsidR="002271EC">
        <w:t xml:space="preserve">Figure </w:t>
      </w:r>
      <w:r w:rsidR="002271EC">
        <w:rPr>
          <w:noProof/>
        </w:rPr>
        <w:t>5</w:t>
      </w:r>
      <w:r>
        <w:fldChar w:fldCharType="end"/>
      </w:r>
      <w:r>
        <w:t xml:space="preserve"> illustrates </w:t>
      </w:r>
      <w:r w:rsidR="00E26F18" w:rsidRPr="00E26F18">
        <w:t xml:space="preserve">the total water consumed by new CIMs purchased from 2025 to 2040 inclusive in each </w:t>
      </w:r>
      <w:r w:rsidR="00A963FA" w:rsidRPr="00E26F18">
        <w:t xml:space="preserve">jurisdiction </w:t>
      </w:r>
      <w:r w:rsidR="00E26F18" w:rsidRPr="00E26F18">
        <w:t>under Option 1 (</w:t>
      </w:r>
      <w:r w:rsidR="005D5E85">
        <w:t>s</w:t>
      </w:r>
      <w:r w:rsidR="00BB6BB0">
        <w:t xml:space="preserve">tatus </w:t>
      </w:r>
      <w:r w:rsidR="005D5E85">
        <w:t>q</w:t>
      </w:r>
      <w:r w:rsidR="00BB6BB0">
        <w:t>uo</w:t>
      </w:r>
      <w:r w:rsidR="00E26F18" w:rsidRPr="00E26F18">
        <w:t xml:space="preserve">). </w:t>
      </w:r>
      <w:r w:rsidR="00A963FA">
        <w:t xml:space="preserve">The share of the national CIM market allocated to each jurisdiction is </w:t>
      </w:r>
      <w:r w:rsidR="00594944">
        <w:t xml:space="preserve">weighted by </w:t>
      </w:r>
      <w:r w:rsidR="00A963FA">
        <w:t>population,</w:t>
      </w:r>
      <w:r w:rsidR="00594944">
        <w:t xml:space="preserve"> by share of national commercial and service sector GDP and by confidential market information from suppliers. </w:t>
      </w:r>
      <w:r w:rsidR="00594944">
        <w:fldChar w:fldCharType="begin"/>
      </w:r>
      <w:r w:rsidR="00594944">
        <w:instrText xml:space="preserve"> REF _Ref189658133 \h </w:instrText>
      </w:r>
      <w:r w:rsidR="00594944">
        <w:fldChar w:fldCharType="separate"/>
      </w:r>
      <w:r w:rsidR="002271EC">
        <w:t xml:space="preserve">Figure </w:t>
      </w:r>
      <w:r w:rsidR="002271EC">
        <w:rPr>
          <w:noProof/>
        </w:rPr>
        <w:t>5</w:t>
      </w:r>
      <w:r w:rsidR="00594944">
        <w:fldChar w:fldCharType="end"/>
      </w:r>
      <w:r w:rsidR="00E26F18" w:rsidRPr="00E26F18">
        <w:t xml:space="preserve"> does not cover the total consumption of the entire CIM stock, since the consumption of products in operation prior to 2025 will be unaffected by any of the </w:t>
      </w:r>
      <w:r w:rsidR="00A963FA">
        <w:t>o</w:t>
      </w:r>
      <w:r w:rsidR="00E26F18" w:rsidRPr="00E26F18">
        <w:t xml:space="preserve">ptions. The estimated operating life of CIMs is </w:t>
      </w:r>
      <w:r w:rsidR="00971FED">
        <w:t>8.5</w:t>
      </w:r>
      <w:r w:rsidR="00E26F18" w:rsidRPr="00E26F18">
        <w:t xml:space="preserve"> years, so by 203</w:t>
      </w:r>
      <w:r w:rsidR="00971FED">
        <w:t>3</w:t>
      </w:r>
      <w:r w:rsidR="00E26F18" w:rsidRPr="00E26F18">
        <w:t xml:space="preserve"> almost the entire stock will consist of CIMs purchased in 2025 or later. </w:t>
      </w:r>
      <w:r>
        <w:t xml:space="preserve">Each new post-2025 cohort adds about 1 gigalitre per annum of water consumption. </w:t>
      </w:r>
      <w:r w:rsidR="002E6C37">
        <w:t xml:space="preserve">The </w:t>
      </w:r>
      <w:r w:rsidR="00075B6C">
        <w:t>consumption trend</w:t>
      </w:r>
      <w:r w:rsidR="002E6C37">
        <w:t xml:space="preserve"> flattens after 2033 because post-2025 models </w:t>
      </w:r>
      <w:r w:rsidR="00DA698B">
        <w:t>start reaching the end of their service lives and start retiring from the post-2025 stock.</w:t>
      </w:r>
    </w:p>
    <w:p w14:paraId="4E18CE00" w14:textId="77777777" w:rsidR="0080067B" w:rsidRDefault="0080067B" w:rsidP="00E26F18"/>
    <w:p w14:paraId="6869A1ED" w14:textId="403FF649" w:rsidR="002E6C37" w:rsidRPr="002E6C37" w:rsidRDefault="00E26F18" w:rsidP="0080067B">
      <w:pPr>
        <w:pStyle w:val="Caption"/>
        <w:jc w:val="center"/>
      </w:pPr>
      <w:bookmarkStart w:id="60" w:name="_Ref189658133"/>
      <w:bookmarkStart w:id="61" w:name="_Toc196745467"/>
      <w:r>
        <w:t xml:space="preserve">Figure </w:t>
      </w:r>
      <w:r w:rsidR="0042496D">
        <w:fldChar w:fldCharType="begin"/>
      </w:r>
      <w:r w:rsidR="0042496D">
        <w:instrText xml:space="preserve"> SEQ Figure \* ARABIC </w:instrText>
      </w:r>
      <w:r w:rsidR="0042496D">
        <w:fldChar w:fldCharType="separate"/>
      </w:r>
      <w:r w:rsidR="002271EC">
        <w:rPr>
          <w:noProof/>
        </w:rPr>
        <w:t>5</w:t>
      </w:r>
      <w:r w:rsidR="0042496D">
        <w:rPr>
          <w:noProof/>
        </w:rPr>
        <w:fldChar w:fldCharType="end"/>
      </w:r>
      <w:bookmarkEnd w:id="60"/>
      <w:r w:rsidR="002E6C37">
        <w:t xml:space="preserve"> </w:t>
      </w:r>
      <w:r w:rsidR="002E6C37" w:rsidRPr="002E6C37">
        <w:t xml:space="preserve">Water consumption by </w:t>
      </w:r>
      <w:r w:rsidR="00075B6C">
        <w:t>j</w:t>
      </w:r>
      <w:r w:rsidR="002E6C37" w:rsidRPr="002E6C37">
        <w:t>urisdiction, CIMs purchased 2025-40, Australia</w:t>
      </w:r>
      <w:bookmarkEnd w:id="61"/>
    </w:p>
    <w:p w14:paraId="2B2FEC92" w14:textId="5DAF0F1B" w:rsidR="00E26F18" w:rsidRPr="00E26F18" w:rsidRDefault="00E26F18" w:rsidP="00E26F18">
      <w:pPr>
        <w:jc w:val="center"/>
      </w:pPr>
      <w:r>
        <w:rPr>
          <w:noProof/>
        </w:rPr>
        <w:drawing>
          <wp:inline distT="0" distB="0" distL="0" distR="0" wp14:anchorId="781437A5" wp14:editId="1F1B2726">
            <wp:extent cx="4343400" cy="3155422"/>
            <wp:effectExtent l="19050" t="19050" r="19050" b="26035"/>
            <wp:docPr id="7" name="Picture 7" descr="A chart of projected commercial ice maker water consumption, 2025 to 2040, by Australian states and terri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art of projected commercial ice maker water consumption, 2025 to 2040, by Australian states and territorie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4673" cy="3207201"/>
                    </a:xfrm>
                    <a:prstGeom prst="rect">
                      <a:avLst/>
                    </a:prstGeom>
                    <a:noFill/>
                    <a:ln>
                      <a:solidFill>
                        <a:schemeClr val="accent1"/>
                      </a:solidFill>
                    </a:ln>
                  </pic:spPr>
                </pic:pic>
              </a:graphicData>
            </a:graphic>
          </wp:inline>
        </w:drawing>
      </w:r>
    </w:p>
    <w:bookmarkStart w:id="62" w:name="_Ref189658389"/>
    <w:p w14:paraId="250E9A5D" w14:textId="3C31CAEC" w:rsidR="00594944" w:rsidRPr="004A0C3E" w:rsidRDefault="0067781F" w:rsidP="00594944">
      <w:r>
        <w:lastRenderedPageBreak/>
        <w:fldChar w:fldCharType="begin"/>
      </w:r>
      <w:r>
        <w:instrText xml:space="preserve"> REF _Ref192496351 \h </w:instrText>
      </w:r>
      <w:r>
        <w:fldChar w:fldCharType="separate"/>
      </w:r>
      <w:r w:rsidR="002271EC">
        <w:t xml:space="preserve">Figure </w:t>
      </w:r>
      <w:r w:rsidR="002271EC">
        <w:rPr>
          <w:noProof/>
        </w:rPr>
        <w:t>6</w:t>
      </w:r>
      <w:r>
        <w:fldChar w:fldCharType="end"/>
      </w:r>
      <w:r>
        <w:t xml:space="preserve"> </w:t>
      </w:r>
      <w:r w:rsidR="00594944" w:rsidRPr="004A0C3E">
        <w:t xml:space="preserve">breaks down the same quantity of water as in </w:t>
      </w:r>
      <w:r w:rsidR="00594944">
        <w:fldChar w:fldCharType="begin"/>
      </w:r>
      <w:r w:rsidR="00594944">
        <w:instrText xml:space="preserve"> REF _Ref189658133 \h </w:instrText>
      </w:r>
      <w:r w:rsidR="00594944">
        <w:fldChar w:fldCharType="separate"/>
      </w:r>
      <w:r w:rsidR="002271EC">
        <w:t xml:space="preserve">Figure </w:t>
      </w:r>
      <w:r w:rsidR="002271EC">
        <w:rPr>
          <w:noProof/>
        </w:rPr>
        <w:t>5</w:t>
      </w:r>
      <w:r w:rsidR="00594944">
        <w:fldChar w:fldCharType="end"/>
      </w:r>
      <w:r w:rsidR="00594944">
        <w:t xml:space="preserve"> </w:t>
      </w:r>
      <w:r w:rsidR="00594944" w:rsidRPr="004A0C3E">
        <w:t>by purpose: water converted to ice (whether cubed, shaped or flaked</w:t>
      </w:r>
      <w:r w:rsidR="00594944">
        <w:t xml:space="preserve">, including </w:t>
      </w:r>
      <w:r w:rsidR="00971FED">
        <w:t xml:space="preserve">potable </w:t>
      </w:r>
      <w:r w:rsidR="00594944">
        <w:t>water losses during ice-making</w:t>
      </w:r>
      <w:r w:rsidR="00594944" w:rsidRPr="004A0C3E">
        <w:t xml:space="preserve">) and mains-supplied water used for cooling. Only </w:t>
      </w:r>
      <w:r>
        <w:t xml:space="preserve">about </w:t>
      </w:r>
      <w:r w:rsidR="00594944" w:rsidRPr="004A0C3E">
        <w:t xml:space="preserve">8% of CIMs sold are water-cooled, but those units can used more than 10 times as much </w:t>
      </w:r>
      <w:r>
        <w:t xml:space="preserve">cooling </w:t>
      </w:r>
      <w:r w:rsidR="00594944" w:rsidRPr="004A0C3E">
        <w:t>water per k</w:t>
      </w:r>
      <w:r w:rsidR="00BB6BB0">
        <w:t>ilo</w:t>
      </w:r>
      <w:r w:rsidR="00594944" w:rsidRPr="004A0C3E">
        <w:t>g</w:t>
      </w:r>
      <w:r w:rsidR="00BB6BB0">
        <w:t>ram</w:t>
      </w:r>
      <w:r w:rsidR="00594944" w:rsidRPr="004A0C3E">
        <w:t xml:space="preserve"> of ice made as </w:t>
      </w:r>
      <w:r>
        <w:t xml:space="preserve">the potable water </w:t>
      </w:r>
      <w:r w:rsidR="00594944" w:rsidRPr="004A0C3E">
        <w:t>in the ice itself</w:t>
      </w:r>
      <w:r>
        <w:t xml:space="preserve">. </w:t>
      </w:r>
      <w:r w:rsidR="00846C24">
        <w:t>Therefore,</w:t>
      </w:r>
      <w:r w:rsidR="00594944">
        <w:t xml:space="preserve"> water cooling can account for about 22% of all the water that passes through </w:t>
      </w:r>
      <w:r w:rsidR="00BB6BB0">
        <w:t xml:space="preserve">a </w:t>
      </w:r>
      <w:r w:rsidR="00594944">
        <w:t>CIM.</w:t>
      </w:r>
    </w:p>
    <w:p w14:paraId="6001D793" w14:textId="455E0DF7" w:rsidR="00971FED" w:rsidRDefault="00F26109" w:rsidP="00594944">
      <w:r>
        <w:t xml:space="preserve">Water-cooled CIMs may be installed so that the cooling water is discharged to waste after a single </w:t>
      </w:r>
      <w:r w:rsidR="004923E4">
        <w:t>pass or</w:t>
      </w:r>
      <w:r>
        <w:t xml:space="preserve"> connected to </w:t>
      </w:r>
      <w:r w:rsidR="00EB2242">
        <w:t xml:space="preserve">the </w:t>
      </w:r>
      <w:r>
        <w:t xml:space="preserve">water cooling </w:t>
      </w:r>
      <w:r w:rsidR="0067781F">
        <w:t xml:space="preserve">loop </w:t>
      </w:r>
      <w:r w:rsidR="00EB2242">
        <w:t xml:space="preserve">that serves </w:t>
      </w:r>
      <w:r>
        <w:t xml:space="preserve">the building’s air conditioning </w:t>
      </w:r>
      <w:r w:rsidR="008A2A6D">
        <w:t>system.</w:t>
      </w:r>
      <w:r>
        <w:t xml:space="preserve"> </w:t>
      </w:r>
      <w:r w:rsidR="00EB2242">
        <w:t xml:space="preserve">According to the CIM </w:t>
      </w:r>
      <w:r w:rsidR="00075B6C">
        <w:t>stakeholders</w:t>
      </w:r>
      <w:r w:rsidR="00971FED">
        <w:t>,</w:t>
      </w:r>
      <w:r w:rsidR="00EB2242">
        <w:t xml:space="preserve"> purchasers of large-capacity CIMs, </w:t>
      </w:r>
      <w:r w:rsidR="00EB2242" w:rsidRPr="002E6C37">
        <w:t xml:space="preserve">most of which are </w:t>
      </w:r>
      <w:r w:rsidR="00EB2242">
        <w:t xml:space="preserve">installed </w:t>
      </w:r>
      <w:r w:rsidR="00EB2242" w:rsidRPr="002E6C37">
        <w:t>in buildings with air conditioning cooling towers</w:t>
      </w:r>
      <w:r w:rsidR="00EB2242">
        <w:t>, are aware of the high water charges for single-pass cooling and use recirculation cooling</w:t>
      </w:r>
      <w:r w:rsidR="00075B6C">
        <w:t xml:space="preserve"> (unless they have access to a free non-mains supply)</w:t>
      </w:r>
      <w:r w:rsidR="00EB2242">
        <w:t>.</w:t>
      </w:r>
    </w:p>
    <w:p w14:paraId="4E29919B" w14:textId="3EA6D4EA" w:rsidR="00971FED" w:rsidRDefault="00EB2242" w:rsidP="00594944">
      <w:r>
        <w:t xml:space="preserve">Some purchasers of smaller CIMs however find it convenient to use single-pass water cooling to avoid </w:t>
      </w:r>
      <w:r w:rsidR="0067781F">
        <w:t xml:space="preserve">fan noise and the </w:t>
      </w:r>
      <w:r>
        <w:t xml:space="preserve">heat load that air cooling would add to a bar or café. </w:t>
      </w:r>
      <w:r w:rsidR="008A2A6D">
        <w:t>For modelling purposes</w:t>
      </w:r>
      <w:r w:rsidR="00BB6BB0">
        <w:t>,</w:t>
      </w:r>
      <w:r w:rsidR="008A2A6D">
        <w:t xml:space="preserve"> it is assumed that on average,</w:t>
      </w:r>
      <w:r w:rsidR="00594944" w:rsidRPr="004A0C3E">
        <w:t xml:space="preserve"> 25% </w:t>
      </w:r>
      <w:r w:rsidR="008A2A6D">
        <w:t xml:space="preserve">of all CIM </w:t>
      </w:r>
      <w:r w:rsidR="00594944" w:rsidRPr="004A0C3E">
        <w:t xml:space="preserve">cooling water </w:t>
      </w:r>
      <w:r w:rsidR="008A2A6D">
        <w:t xml:space="preserve">is </w:t>
      </w:r>
      <w:r w:rsidR="00594944">
        <w:t>taken from the supply mains</w:t>
      </w:r>
      <w:r w:rsidR="008A2A6D">
        <w:t xml:space="preserve">. </w:t>
      </w:r>
      <w:r w:rsidR="00594944" w:rsidRPr="004A0C3E">
        <w:t>The other 75% is met either by recirculat</w:t>
      </w:r>
      <w:r w:rsidR="008A2A6D">
        <w:t>ed water or from a</w:t>
      </w:r>
      <w:r w:rsidR="00594944" w:rsidRPr="004A0C3E">
        <w:t xml:space="preserve"> free source of non-potable water.</w:t>
      </w:r>
      <w:r w:rsidR="00594944">
        <w:t xml:space="preserve"> </w:t>
      </w:r>
      <w:r w:rsidR="00594944" w:rsidRPr="004A0C3E">
        <w:t>The cost-benefit analysis is sensitive to these assumptions. The higher the recirculation rate, the lower the total value of the saving from increased efficiency of cooling water use.</w:t>
      </w:r>
    </w:p>
    <w:p w14:paraId="1ABF08D9" w14:textId="77777777" w:rsidR="00D03647" w:rsidRPr="004A0C3E" w:rsidRDefault="00D03647" w:rsidP="00594944"/>
    <w:p w14:paraId="28B59AFB" w14:textId="18430C8A" w:rsidR="00E26F18" w:rsidRDefault="00E26F18" w:rsidP="002E6C37">
      <w:pPr>
        <w:pStyle w:val="Caption"/>
        <w:jc w:val="center"/>
      </w:pPr>
      <w:bookmarkStart w:id="63" w:name="_Ref192496351"/>
      <w:bookmarkStart w:id="64" w:name="_Toc196745468"/>
      <w:r>
        <w:t xml:space="preserve">Figure </w:t>
      </w:r>
      <w:r w:rsidR="0042496D">
        <w:fldChar w:fldCharType="begin"/>
      </w:r>
      <w:r w:rsidR="0042496D">
        <w:instrText xml:space="preserve"> SEQ Figure \* ARABIC </w:instrText>
      </w:r>
      <w:r w:rsidR="0042496D">
        <w:fldChar w:fldCharType="separate"/>
      </w:r>
      <w:r w:rsidR="002271EC">
        <w:rPr>
          <w:noProof/>
        </w:rPr>
        <w:t>6</w:t>
      </w:r>
      <w:r w:rsidR="0042496D">
        <w:rPr>
          <w:noProof/>
        </w:rPr>
        <w:fldChar w:fldCharType="end"/>
      </w:r>
      <w:bookmarkEnd w:id="62"/>
      <w:bookmarkEnd w:id="63"/>
      <w:r w:rsidR="002E6C37">
        <w:t xml:space="preserve"> </w:t>
      </w:r>
      <w:r w:rsidR="002E6C37" w:rsidRPr="002E6C37">
        <w:rPr>
          <w:lang w:val="en-US"/>
        </w:rPr>
        <w:t>Water consumption by purpose, CIMs purchased 2025-40, Australia</w:t>
      </w:r>
      <w:bookmarkEnd w:id="64"/>
    </w:p>
    <w:p w14:paraId="7A39BB87" w14:textId="19B8C07E" w:rsidR="00E26F18" w:rsidRPr="00E26F18" w:rsidRDefault="00E26F18" w:rsidP="00E26F18">
      <w:pPr>
        <w:jc w:val="center"/>
      </w:pPr>
      <w:r>
        <w:rPr>
          <w:noProof/>
        </w:rPr>
        <w:drawing>
          <wp:inline distT="0" distB="0" distL="0" distR="0" wp14:anchorId="7D4B274A" wp14:editId="20D1778F">
            <wp:extent cx="4287313" cy="3114675"/>
            <wp:effectExtent l="19050" t="19050" r="18415" b="9525"/>
            <wp:docPr id="8" name="Picture 8" descr="A chart of projected commercial ice maker water consumption, 2025 to 2040, divided into potable water for actual ice making and for cooling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art of projected commercial ice maker water consumption, 2025 to 2040, divided into potable water for actual ice making and for cooling water.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2189" cy="3183601"/>
                    </a:xfrm>
                    <a:prstGeom prst="rect">
                      <a:avLst/>
                    </a:prstGeom>
                    <a:noFill/>
                    <a:ln>
                      <a:solidFill>
                        <a:schemeClr val="accent1"/>
                      </a:solidFill>
                    </a:ln>
                  </pic:spPr>
                </pic:pic>
              </a:graphicData>
            </a:graphic>
          </wp:inline>
        </w:drawing>
      </w:r>
    </w:p>
    <w:p w14:paraId="31DC2F0B" w14:textId="77777777" w:rsidR="00BD2B78" w:rsidRDefault="00BD2B78" w:rsidP="001560AB"/>
    <w:p w14:paraId="3FD55C8F" w14:textId="2AA1D544" w:rsidR="00846C24" w:rsidRDefault="001560AB" w:rsidP="001560AB">
      <w:r>
        <w:lastRenderedPageBreak/>
        <w:fldChar w:fldCharType="begin"/>
      </w:r>
      <w:r>
        <w:instrText xml:space="preserve"> REF _Ref189660639 \h </w:instrText>
      </w:r>
      <w:r>
        <w:fldChar w:fldCharType="separate"/>
      </w:r>
      <w:r w:rsidR="002271EC">
        <w:t xml:space="preserve">Figure </w:t>
      </w:r>
      <w:r w:rsidR="002271EC">
        <w:rPr>
          <w:noProof/>
        </w:rPr>
        <w:t>7</w:t>
      </w:r>
      <w:r>
        <w:fldChar w:fldCharType="end"/>
      </w:r>
      <w:r w:rsidRPr="001560AB">
        <w:t xml:space="preserve"> illustrates the projected total water use</w:t>
      </w:r>
      <w:r w:rsidR="008A2A6D">
        <w:t xml:space="preserve">d by </w:t>
      </w:r>
      <w:r w:rsidRPr="001560AB">
        <w:t xml:space="preserve">CIMs purchased between 2025 and 2040 under </w:t>
      </w:r>
      <w:r w:rsidR="008A2A6D">
        <w:t>all o</w:t>
      </w:r>
      <w:r w:rsidRPr="001560AB">
        <w:t>ption</w:t>
      </w:r>
      <w:r w:rsidR="008A2A6D">
        <w:t>s</w:t>
      </w:r>
      <w:r w:rsidRPr="001560AB">
        <w:t xml:space="preserve">. The top line corresponds to the total water use in </w:t>
      </w:r>
      <w:r>
        <w:fldChar w:fldCharType="begin"/>
      </w:r>
      <w:r>
        <w:instrText xml:space="preserve"> REF _Ref189658133 \h </w:instrText>
      </w:r>
      <w:r>
        <w:fldChar w:fldCharType="separate"/>
      </w:r>
      <w:r w:rsidR="002271EC">
        <w:t xml:space="preserve">Figure </w:t>
      </w:r>
      <w:r w:rsidR="002271EC">
        <w:rPr>
          <w:noProof/>
        </w:rPr>
        <w:t>5</w:t>
      </w:r>
      <w:r>
        <w:fldChar w:fldCharType="end"/>
      </w:r>
      <w:r>
        <w:t xml:space="preserve"> and </w:t>
      </w:r>
      <w:r w:rsidR="0067781F">
        <w:fldChar w:fldCharType="begin"/>
      </w:r>
      <w:r w:rsidR="0067781F">
        <w:instrText xml:space="preserve"> REF _Ref192496351 \h </w:instrText>
      </w:r>
      <w:r w:rsidR="0067781F">
        <w:fldChar w:fldCharType="separate"/>
      </w:r>
      <w:r w:rsidR="002271EC">
        <w:t xml:space="preserve">Figure </w:t>
      </w:r>
      <w:r w:rsidR="002271EC">
        <w:rPr>
          <w:noProof/>
        </w:rPr>
        <w:t>6</w:t>
      </w:r>
      <w:r w:rsidR="0067781F">
        <w:fldChar w:fldCharType="end"/>
      </w:r>
      <w:r w:rsidR="0067781F">
        <w:t xml:space="preserve"> (Option 1)</w:t>
      </w:r>
    </w:p>
    <w:p w14:paraId="131636FF" w14:textId="77777777" w:rsidR="000F2521" w:rsidRDefault="000F2521" w:rsidP="001560AB"/>
    <w:p w14:paraId="351EC582" w14:textId="7E897167" w:rsidR="00E26F18" w:rsidRDefault="001560AB" w:rsidP="00A84A9A">
      <w:pPr>
        <w:pStyle w:val="Caption"/>
        <w:jc w:val="center"/>
      </w:pPr>
      <w:bookmarkStart w:id="65" w:name="_Ref189660639"/>
      <w:bookmarkStart w:id="66" w:name="_Toc196745469"/>
      <w:r>
        <w:t xml:space="preserve">Figure </w:t>
      </w:r>
      <w:r w:rsidR="0042496D">
        <w:fldChar w:fldCharType="begin"/>
      </w:r>
      <w:r w:rsidR="0042496D">
        <w:instrText xml:space="preserve"> SEQ Figure \* ARABIC </w:instrText>
      </w:r>
      <w:r w:rsidR="0042496D">
        <w:fldChar w:fldCharType="separate"/>
      </w:r>
      <w:r w:rsidR="002271EC">
        <w:rPr>
          <w:noProof/>
        </w:rPr>
        <w:t>7</w:t>
      </w:r>
      <w:r w:rsidR="0042496D">
        <w:rPr>
          <w:noProof/>
        </w:rPr>
        <w:fldChar w:fldCharType="end"/>
      </w:r>
      <w:bookmarkEnd w:id="65"/>
      <w:r>
        <w:t xml:space="preserve"> </w:t>
      </w:r>
      <w:bookmarkStart w:id="67" w:name="_Hlk191633514"/>
      <w:r w:rsidRPr="001560AB">
        <w:t>Water consumed by CIMs sold 2025-2040, Australia</w:t>
      </w:r>
      <w:bookmarkEnd w:id="67"/>
      <w:bookmarkEnd w:id="66"/>
    </w:p>
    <w:p w14:paraId="3D3801A3" w14:textId="3A2039D4" w:rsidR="001560AB" w:rsidRDefault="001560AB" w:rsidP="00A84A9A">
      <w:pPr>
        <w:jc w:val="center"/>
      </w:pPr>
      <w:r>
        <w:rPr>
          <w:noProof/>
        </w:rPr>
        <w:drawing>
          <wp:inline distT="0" distB="0" distL="0" distR="0" wp14:anchorId="4756D30B" wp14:editId="2442509C">
            <wp:extent cx="4247980" cy="3086100"/>
            <wp:effectExtent l="19050" t="19050" r="19685" b="19050"/>
            <wp:docPr id="9" name="Picture 9" descr="Projected total commercial ice maker water use in Australia, 2025 to 20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jected total commercial ice maker water use in Australia, 2025 to 2048.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4404" cy="3119826"/>
                    </a:xfrm>
                    <a:prstGeom prst="rect">
                      <a:avLst/>
                    </a:prstGeom>
                    <a:noFill/>
                    <a:ln>
                      <a:solidFill>
                        <a:schemeClr val="accent1"/>
                      </a:solidFill>
                    </a:ln>
                  </pic:spPr>
                </pic:pic>
              </a:graphicData>
            </a:graphic>
          </wp:inline>
        </w:drawing>
      </w:r>
    </w:p>
    <w:p w14:paraId="3CF504EF" w14:textId="77777777" w:rsidR="000F2521" w:rsidRDefault="000F2521" w:rsidP="00A84A9A">
      <w:pPr>
        <w:jc w:val="center"/>
      </w:pPr>
    </w:p>
    <w:p w14:paraId="2ABEBF41" w14:textId="5DA0A369" w:rsidR="000C7D7B" w:rsidRPr="000C7D7B" w:rsidRDefault="00F71625" w:rsidP="000C7D7B">
      <w:bookmarkStart w:id="68" w:name="_Ref189661002"/>
      <w:r>
        <w:t xml:space="preserve">The </w:t>
      </w:r>
      <w:r w:rsidR="00BD2B78">
        <w:t xml:space="preserve">area </w:t>
      </w:r>
      <w:r>
        <w:t xml:space="preserve">between the </w:t>
      </w:r>
      <w:r w:rsidR="00BD2B78">
        <w:t xml:space="preserve">Option 1 line and each option </w:t>
      </w:r>
      <w:r>
        <w:t>line</w:t>
      </w:r>
      <w:r w:rsidR="00BD2B78">
        <w:t xml:space="preserve"> in </w:t>
      </w:r>
      <w:r w:rsidR="00BD2B78">
        <w:fldChar w:fldCharType="begin"/>
      </w:r>
      <w:r w:rsidR="00BD2B78">
        <w:instrText xml:space="preserve"> REF _Ref189660639 \h </w:instrText>
      </w:r>
      <w:r w:rsidR="00BD2B78">
        <w:fldChar w:fldCharType="separate"/>
      </w:r>
      <w:r w:rsidR="002271EC">
        <w:t xml:space="preserve">Figure </w:t>
      </w:r>
      <w:r w:rsidR="002271EC">
        <w:rPr>
          <w:noProof/>
        </w:rPr>
        <w:t>7</w:t>
      </w:r>
      <w:r w:rsidR="00BD2B78">
        <w:fldChar w:fldCharType="end"/>
      </w:r>
      <w:r>
        <w:t xml:space="preserve"> represent</w:t>
      </w:r>
      <w:r w:rsidR="00BD2B78">
        <w:t>s</w:t>
      </w:r>
      <w:r>
        <w:t xml:space="preserve"> the water saved by that option.</w:t>
      </w:r>
      <w:r w:rsidRPr="00A84A9A">
        <w:t xml:space="preserve"> </w:t>
      </w:r>
      <w:r w:rsidR="0093374E">
        <w:fldChar w:fldCharType="begin"/>
      </w:r>
      <w:r w:rsidR="0093374E">
        <w:instrText xml:space="preserve"> REF _Ref192496627 \h </w:instrText>
      </w:r>
      <w:r w:rsidR="0093374E">
        <w:fldChar w:fldCharType="separate"/>
      </w:r>
      <w:r w:rsidR="002271EC">
        <w:t xml:space="preserve">Figure </w:t>
      </w:r>
      <w:r w:rsidR="002271EC">
        <w:rPr>
          <w:noProof/>
        </w:rPr>
        <w:t>8</w:t>
      </w:r>
      <w:r w:rsidR="0093374E">
        <w:fldChar w:fldCharType="end"/>
      </w:r>
      <w:r w:rsidR="0093374E">
        <w:t xml:space="preserve"> </w:t>
      </w:r>
      <w:r w:rsidRPr="00A84A9A">
        <w:t>illustrates</w:t>
      </w:r>
      <w:r w:rsidR="00BD2B78">
        <w:t xml:space="preserve"> the water savings at </w:t>
      </w:r>
      <w:r w:rsidR="00872E31">
        <w:t xml:space="preserve">a </w:t>
      </w:r>
      <w:r w:rsidR="00BD2B78">
        <w:t>larger scale.</w:t>
      </w:r>
      <w:r>
        <w:t xml:space="preserve"> </w:t>
      </w:r>
      <w:r w:rsidRPr="00A84A9A">
        <w:t xml:space="preserve">The water saving from Option 2 are projected to peak around </w:t>
      </w:r>
      <w:r w:rsidR="000C7D7B">
        <w:t>40</w:t>
      </w:r>
      <w:r w:rsidRPr="00A84A9A">
        <w:t>,000 kilolitres (0.</w:t>
      </w:r>
      <w:r w:rsidR="000C7D7B">
        <w:t>04</w:t>
      </w:r>
      <w:r w:rsidR="000C7D7B" w:rsidRPr="00A84A9A">
        <w:t xml:space="preserve"> </w:t>
      </w:r>
      <w:r w:rsidR="00BD2B78">
        <w:t>GL</w:t>
      </w:r>
      <w:r w:rsidRPr="00A84A9A">
        <w:t xml:space="preserve">) </w:t>
      </w:r>
      <w:r w:rsidR="00971FED">
        <w:t xml:space="preserve">per year </w:t>
      </w:r>
      <w:r w:rsidRPr="00A84A9A">
        <w:t>in 2040 and then decline as CIM</w:t>
      </w:r>
      <w:r w:rsidR="00872E31">
        <w:t>s</w:t>
      </w:r>
      <w:r w:rsidRPr="00A84A9A">
        <w:t xml:space="preserve"> retire. The maximum savings are from the </w:t>
      </w:r>
      <w:r w:rsidR="00BB6BB0">
        <w:t>M</w:t>
      </w:r>
      <w:r w:rsidRPr="00A84A9A">
        <w:t xml:space="preserve">andatory </w:t>
      </w:r>
      <w:r w:rsidR="00BB6BB0">
        <w:t>W</w:t>
      </w:r>
      <w:r w:rsidRPr="00A84A9A">
        <w:t xml:space="preserve">ater </w:t>
      </w:r>
      <w:r w:rsidR="00BB6BB0">
        <w:t>E</w:t>
      </w:r>
      <w:r w:rsidRPr="00A84A9A">
        <w:t xml:space="preserve">fficiency </w:t>
      </w:r>
      <w:r w:rsidR="00BB6BB0">
        <w:t>S</w:t>
      </w:r>
      <w:r w:rsidRPr="00A84A9A">
        <w:t>tandards Option 4A (</w:t>
      </w:r>
      <w:r w:rsidR="00BD2B78">
        <w:t>1.84 GL</w:t>
      </w:r>
      <w:r w:rsidRPr="00A84A9A">
        <w:t xml:space="preserve"> in 2040). Th</w:t>
      </w:r>
      <w:r w:rsidR="00BD2B78">
        <w:t xml:space="preserve">is is </w:t>
      </w:r>
      <w:r w:rsidRPr="00A84A9A">
        <w:t xml:space="preserve">higher than Option 4B because </w:t>
      </w:r>
      <w:r w:rsidR="000C7D7B" w:rsidRPr="00E57452">
        <w:t xml:space="preserve">more stringent minimum standards </w:t>
      </w:r>
      <w:r w:rsidR="000C7D7B">
        <w:t xml:space="preserve">can </w:t>
      </w:r>
      <w:r w:rsidR="000C7D7B" w:rsidRPr="00E57452">
        <w:t>be set under Option 4A, due to the gathering of market data through implementation of Options 2, 3A or 3B.</w:t>
      </w:r>
    </w:p>
    <w:p w14:paraId="22446430" w14:textId="72BBF3EE" w:rsidR="00846C24" w:rsidRDefault="00846C24" w:rsidP="00F71625"/>
    <w:p w14:paraId="6F099F7E" w14:textId="77777777" w:rsidR="00846C24" w:rsidRDefault="00846C24">
      <w:pPr>
        <w:spacing w:after="200" w:line="288" w:lineRule="auto"/>
        <w:jc w:val="left"/>
      </w:pPr>
      <w:r>
        <w:br w:type="page"/>
      </w:r>
    </w:p>
    <w:p w14:paraId="05820DDD" w14:textId="3732361C" w:rsidR="001560AB" w:rsidRPr="001560AB" w:rsidRDefault="001560AB" w:rsidP="00A84A9A">
      <w:pPr>
        <w:pStyle w:val="Caption"/>
        <w:jc w:val="center"/>
      </w:pPr>
      <w:bookmarkStart w:id="69" w:name="_Ref192496627"/>
      <w:bookmarkStart w:id="70" w:name="_Toc196745470"/>
      <w:r>
        <w:lastRenderedPageBreak/>
        <w:t xml:space="preserve">Figure </w:t>
      </w:r>
      <w:r w:rsidR="0042496D">
        <w:fldChar w:fldCharType="begin"/>
      </w:r>
      <w:r w:rsidR="0042496D">
        <w:instrText xml:space="preserve"> SEQ Figure \* ARABIC </w:instrText>
      </w:r>
      <w:r w:rsidR="0042496D">
        <w:fldChar w:fldCharType="separate"/>
      </w:r>
      <w:r w:rsidR="002271EC">
        <w:rPr>
          <w:noProof/>
        </w:rPr>
        <w:t>8</w:t>
      </w:r>
      <w:r w:rsidR="0042496D">
        <w:rPr>
          <w:noProof/>
        </w:rPr>
        <w:fldChar w:fldCharType="end"/>
      </w:r>
      <w:bookmarkEnd w:id="68"/>
      <w:bookmarkEnd w:id="69"/>
      <w:r>
        <w:t xml:space="preserve"> </w:t>
      </w:r>
      <w:bookmarkStart w:id="71" w:name="_Hlk191633548"/>
      <w:r w:rsidRPr="001560AB">
        <w:t>Water saved by WELS option for CIMs sold 2025-2040, Australia</w:t>
      </w:r>
      <w:bookmarkEnd w:id="71"/>
      <w:bookmarkEnd w:id="70"/>
    </w:p>
    <w:p w14:paraId="788DE68C" w14:textId="46CFA155" w:rsidR="001560AB" w:rsidRDefault="00C322DE" w:rsidP="00A84A9A">
      <w:pPr>
        <w:pStyle w:val="Caption"/>
        <w:jc w:val="center"/>
      </w:pPr>
      <w:r>
        <w:rPr>
          <w:noProof/>
        </w:rPr>
        <w:drawing>
          <wp:inline distT="0" distB="0" distL="0" distR="0" wp14:anchorId="7FC1679A" wp14:editId="5D5F18AB">
            <wp:extent cx="4495165" cy="3265678"/>
            <wp:effectExtent l="19050" t="19050" r="19685" b="11430"/>
            <wp:docPr id="12" name="Picture 12" descr="Projected reductions in commercial ice maker water use in Australia, 2025 to 2048 compared with business as usual under each WEL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ojected reductions in commercial ice maker water use in Australia, 2025 to 2048 compared with business as usual under each WELS opti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0812" cy="3284310"/>
                    </a:xfrm>
                    <a:prstGeom prst="rect">
                      <a:avLst/>
                    </a:prstGeom>
                    <a:noFill/>
                    <a:ln>
                      <a:solidFill>
                        <a:schemeClr val="accent1"/>
                      </a:solidFill>
                    </a:ln>
                  </pic:spPr>
                </pic:pic>
              </a:graphicData>
            </a:graphic>
          </wp:inline>
        </w:drawing>
      </w:r>
    </w:p>
    <w:p w14:paraId="3C7651B9" w14:textId="77777777" w:rsidR="000F2521" w:rsidRPr="000F2521" w:rsidRDefault="000F2521" w:rsidP="000F2521"/>
    <w:p w14:paraId="03007DA0" w14:textId="64CEBC62" w:rsidR="00CA6F7F" w:rsidRDefault="00CA6F7F" w:rsidP="00CA6F7F">
      <w:pPr>
        <w:pStyle w:val="Heading2"/>
        <w:jc w:val="left"/>
      </w:pPr>
      <w:bookmarkStart w:id="72" w:name="_Toc196745423"/>
      <w:r>
        <w:t xml:space="preserve">4.3 Projected </w:t>
      </w:r>
      <w:r w:rsidR="002F4C85">
        <w:t>c</w:t>
      </w:r>
      <w:r>
        <w:t>osts</w:t>
      </w:r>
      <w:bookmarkEnd w:id="72"/>
    </w:p>
    <w:p w14:paraId="7C8833CE" w14:textId="3E790AE4" w:rsidR="00396F33" w:rsidRPr="00635E84" w:rsidRDefault="00396F33">
      <w:pPr>
        <w:rPr>
          <w:b/>
          <w:bCs/>
        </w:rPr>
      </w:pPr>
      <w:bookmarkStart w:id="73" w:name="_Hlk191634531"/>
      <w:r w:rsidRPr="00635E84">
        <w:rPr>
          <w:b/>
          <w:bCs/>
        </w:rPr>
        <w:t>Regulatory Burden</w:t>
      </w:r>
    </w:p>
    <w:p w14:paraId="2E397FF0" w14:textId="41502EA0" w:rsidR="00B4202C" w:rsidRPr="00B4202C" w:rsidRDefault="00B4202C" w:rsidP="00B4202C">
      <w:r>
        <w:t xml:space="preserve">The regulatory burden </w:t>
      </w:r>
      <w:r w:rsidR="00D25702">
        <w:t xml:space="preserve">of the options </w:t>
      </w:r>
      <w:r>
        <w:t xml:space="preserve">has been calculated in accordance with </w:t>
      </w:r>
      <w:r w:rsidR="00D25702">
        <w:t xml:space="preserve">OIA’s </w:t>
      </w:r>
      <w:hyperlink r:id="rId32" w:history="1">
        <w:r w:rsidR="00D25702" w:rsidRPr="00D25702">
          <w:rPr>
            <w:rStyle w:val="Hyperlink"/>
          </w:rPr>
          <w:t>Regulatory Burden Measurement Framework</w:t>
        </w:r>
      </w:hyperlink>
      <w:r w:rsidRPr="00B4202C">
        <w:t xml:space="preserve"> </w:t>
      </w:r>
      <w:r w:rsidR="00D25702">
        <w:t xml:space="preserve">and </w:t>
      </w:r>
      <w:r w:rsidRPr="00B4202C">
        <w:t>includes consideration of the following regulatory costs:</w:t>
      </w:r>
    </w:p>
    <w:p w14:paraId="0C59B70D" w14:textId="5622503D" w:rsidR="00B4202C" w:rsidRPr="00DC5884" w:rsidRDefault="00853C03"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Administrative </w:t>
      </w:r>
      <w:r w:rsidR="00B4202C" w:rsidRPr="00DC5884">
        <w:rPr>
          <w:rFonts w:eastAsia="Calibri" w:cs="Times New Roman"/>
          <w:szCs w:val="22"/>
        </w:rPr>
        <w:t>costs incurred by regulated entities primarily to demonstrate compliance with the policy (</w:t>
      </w:r>
      <w:r w:rsidRPr="00DC5884">
        <w:rPr>
          <w:rFonts w:eastAsia="Calibri" w:cs="Times New Roman"/>
          <w:szCs w:val="22"/>
        </w:rPr>
        <w:t>usually record keeping and reporting costs</w:t>
      </w:r>
      <w:r w:rsidR="00E57452" w:rsidRPr="00DC5884">
        <w:rPr>
          <w:rFonts w:eastAsia="Calibri" w:cs="Times New Roman"/>
          <w:szCs w:val="22"/>
        </w:rPr>
        <w:t xml:space="preserve">). These are </w:t>
      </w:r>
      <w:r w:rsidR="00DA3BDF" w:rsidRPr="00DC5884">
        <w:rPr>
          <w:rFonts w:eastAsia="Calibri" w:cs="Times New Roman"/>
          <w:szCs w:val="22"/>
        </w:rPr>
        <w:t xml:space="preserve">mainly </w:t>
      </w:r>
      <w:r w:rsidR="00B4202C" w:rsidRPr="00DC5884">
        <w:rPr>
          <w:rFonts w:eastAsia="Calibri" w:cs="Times New Roman"/>
          <w:szCs w:val="22"/>
        </w:rPr>
        <w:t xml:space="preserve">time costs </w:t>
      </w:r>
      <w:r w:rsidR="00DA3BDF" w:rsidRPr="00DC5884">
        <w:rPr>
          <w:rFonts w:eastAsia="Calibri" w:cs="Times New Roman"/>
          <w:szCs w:val="22"/>
        </w:rPr>
        <w:t xml:space="preserve">incurred by importers in </w:t>
      </w:r>
      <w:r w:rsidR="00B4202C" w:rsidRPr="00DC5884">
        <w:rPr>
          <w:rFonts w:eastAsia="Calibri" w:cs="Times New Roman"/>
          <w:szCs w:val="22"/>
        </w:rPr>
        <w:t xml:space="preserve">dealing with the WELS Regulator and </w:t>
      </w:r>
      <w:r w:rsidR="00DA3BDF" w:rsidRPr="00DC5884">
        <w:rPr>
          <w:rFonts w:eastAsia="Calibri" w:cs="Times New Roman"/>
          <w:szCs w:val="22"/>
        </w:rPr>
        <w:t xml:space="preserve">with distributors </w:t>
      </w:r>
      <w:r w:rsidR="00390F98" w:rsidRPr="00DC5884">
        <w:rPr>
          <w:rFonts w:eastAsia="Calibri" w:cs="Times New Roman"/>
          <w:szCs w:val="22"/>
        </w:rPr>
        <w:t xml:space="preserve">under </w:t>
      </w:r>
      <w:r w:rsidR="00B4202C" w:rsidRPr="00DC5884">
        <w:rPr>
          <w:rFonts w:eastAsia="Calibri" w:cs="Times New Roman"/>
          <w:szCs w:val="22"/>
        </w:rPr>
        <w:t>Options 2, 3A, 3B, 4A and 4B</w:t>
      </w:r>
      <w:r w:rsidR="00DA3BDF" w:rsidRPr="00DC5884">
        <w:rPr>
          <w:rFonts w:eastAsia="Calibri" w:cs="Times New Roman"/>
          <w:szCs w:val="22"/>
        </w:rPr>
        <w:t>. Testing costs would normally be included, but there are no additional testing costs beyond those needed under the status quo</w:t>
      </w:r>
      <w:r w:rsidR="00E57452" w:rsidRPr="00DC5884">
        <w:rPr>
          <w:rFonts w:eastAsia="Calibri" w:cs="Times New Roman"/>
          <w:szCs w:val="22"/>
        </w:rPr>
        <w:t>.</w:t>
      </w:r>
      <w:r w:rsidR="00EE0CAD" w:rsidRPr="00DC5884">
        <w:rPr>
          <w:rFonts w:eastAsia="Calibri" w:cs="Times New Roman"/>
          <w:szCs w:val="22"/>
        </w:rPr>
        <w:t xml:space="preserve"> The same tests measure both water and energy use, and if the test report is in the form as required by the GEMS Determination it will include the required water use data.</w:t>
      </w:r>
    </w:p>
    <w:p w14:paraId="6C2DAACB" w14:textId="2770FEAE" w:rsidR="00390F98" w:rsidRPr="00DC5884" w:rsidRDefault="00853C03"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Substantive compliance </w:t>
      </w:r>
      <w:r w:rsidR="00B4202C" w:rsidRPr="00DC5884">
        <w:rPr>
          <w:rFonts w:eastAsia="Calibri" w:cs="Times New Roman"/>
          <w:szCs w:val="22"/>
        </w:rPr>
        <w:t xml:space="preserve">costs incurred </w:t>
      </w:r>
      <w:r w:rsidR="00DA3BDF" w:rsidRPr="00DC5884">
        <w:rPr>
          <w:rFonts w:eastAsia="Calibri" w:cs="Times New Roman"/>
          <w:szCs w:val="22"/>
        </w:rPr>
        <w:t xml:space="preserve">by distributors </w:t>
      </w:r>
      <w:r w:rsidR="00B4202C" w:rsidRPr="00DC5884">
        <w:rPr>
          <w:rFonts w:eastAsia="Calibri" w:cs="Times New Roman"/>
          <w:szCs w:val="22"/>
        </w:rPr>
        <w:t>to deliver the outcomes being sought (</w:t>
      </w:r>
      <w:r w:rsidR="00DA3BDF" w:rsidRPr="00DC5884">
        <w:rPr>
          <w:rFonts w:eastAsia="Calibri" w:cs="Times New Roman"/>
          <w:szCs w:val="22"/>
        </w:rPr>
        <w:t xml:space="preserve">mainly training to employees and providing information to </w:t>
      </w:r>
      <w:r w:rsidRPr="00DC5884">
        <w:rPr>
          <w:rFonts w:eastAsia="Calibri" w:cs="Times New Roman"/>
          <w:szCs w:val="22"/>
        </w:rPr>
        <w:t>purchase</w:t>
      </w:r>
      <w:r w:rsidR="00DA3BDF" w:rsidRPr="00DC5884">
        <w:rPr>
          <w:rFonts w:eastAsia="Calibri" w:cs="Times New Roman"/>
          <w:szCs w:val="22"/>
        </w:rPr>
        <w:t>rs, including by way of physical labelling)</w:t>
      </w:r>
      <w:r w:rsidR="00D328F7" w:rsidRPr="00DC5884">
        <w:rPr>
          <w:rFonts w:eastAsia="Calibri" w:cs="Times New Roman"/>
          <w:szCs w:val="22"/>
        </w:rPr>
        <w:t>.</w:t>
      </w:r>
    </w:p>
    <w:p w14:paraId="3F7D8EAE" w14:textId="77777777" w:rsidR="002271EC" w:rsidRPr="002271EC" w:rsidRDefault="00D14E21" w:rsidP="002271EC">
      <w:pPr>
        <w:numPr>
          <w:ilvl w:val="0"/>
          <w:numId w:val="53"/>
        </w:numPr>
        <w:spacing w:before="120" w:after="120" w:line="300" w:lineRule="exact"/>
        <w:jc w:val="left"/>
      </w:pPr>
      <w:r w:rsidRPr="00DC5884">
        <w:rPr>
          <w:rFonts w:eastAsia="Calibri" w:cs="Times New Roman"/>
          <w:szCs w:val="22"/>
        </w:rPr>
        <w:t xml:space="preserve">Delay costs: </w:t>
      </w:r>
      <w:r w:rsidR="00B4202C" w:rsidRPr="00DC5884">
        <w:rPr>
          <w:rFonts w:eastAsia="Calibri" w:cs="Times New Roman"/>
          <w:szCs w:val="22"/>
        </w:rPr>
        <w:t>expenses and loss of income incurred through application or approval delay</w:t>
      </w:r>
      <w:r w:rsidR="006E266C" w:rsidRPr="00DC5884">
        <w:rPr>
          <w:rFonts w:eastAsia="Calibri" w:cs="Times New Roman"/>
          <w:szCs w:val="22"/>
        </w:rPr>
        <w:t>s</w:t>
      </w:r>
      <w:r w:rsidRPr="00DC5884">
        <w:rPr>
          <w:rFonts w:eastAsia="Calibri" w:cs="Times New Roman"/>
          <w:szCs w:val="22"/>
        </w:rPr>
        <w:t>.</w:t>
      </w:r>
      <w:r w:rsidR="00390F98" w:rsidRPr="00DC5884">
        <w:rPr>
          <w:rFonts w:eastAsia="Calibri" w:cs="Times New Roman"/>
          <w:szCs w:val="22"/>
        </w:rPr>
        <w:t xml:space="preserve"> </w:t>
      </w:r>
      <w:r w:rsidRPr="00DC5884">
        <w:rPr>
          <w:rFonts w:eastAsia="Calibri" w:cs="Times New Roman"/>
          <w:szCs w:val="22"/>
        </w:rPr>
        <w:t>T</w:t>
      </w:r>
      <w:r w:rsidR="00390F98" w:rsidRPr="00DC5884">
        <w:rPr>
          <w:rFonts w:eastAsia="Calibri" w:cs="Times New Roman"/>
          <w:szCs w:val="22"/>
        </w:rPr>
        <w:t xml:space="preserve">hese are effectively zero in this case as testing </w:t>
      </w:r>
      <w:r w:rsidR="00CB6A54" w:rsidRPr="00DC5884">
        <w:rPr>
          <w:rFonts w:eastAsia="Calibri" w:cs="Times New Roman"/>
          <w:szCs w:val="22"/>
        </w:rPr>
        <w:t xml:space="preserve">and registration </w:t>
      </w:r>
      <w:r w:rsidR="00390F98" w:rsidRPr="00DC5884">
        <w:rPr>
          <w:rFonts w:eastAsia="Calibri" w:cs="Times New Roman"/>
          <w:szCs w:val="22"/>
        </w:rPr>
        <w:t>is required for every CIM model as part of compliance with the GEMS Determination</w:t>
      </w:r>
      <w:r w:rsidR="00231660" w:rsidRPr="00DC5884">
        <w:rPr>
          <w:rFonts w:eastAsia="Calibri" w:cs="Times New Roman"/>
          <w:szCs w:val="22"/>
        </w:rPr>
        <w:t xml:space="preserve"> and other regulatory </w:t>
      </w:r>
      <w:r w:rsidR="00231660" w:rsidRPr="00DC5884">
        <w:rPr>
          <w:rFonts w:eastAsia="Calibri" w:cs="Times New Roman"/>
          <w:szCs w:val="22"/>
        </w:rPr>
        <w:lastRenderedPageBreak/>
        <w:t>requirements, e.g.</w:t>
      </w:r>
      <w:r w:rsidR="00CB6A54" w:rsidRPr="00DC5884">
        <w:rPr>
          <w:rFonts w:eastAsia="Calibri" w:cs="Times New Roman"/>
          <w:szCs w:val="22"/>
        </w:rPr>
        <w:t xml:space="preserve"> electrical safety and WaterMark certification</w:t>
      </w:r>
      <w:r w:rsidR="00231660" w:rsidRPr="00DC5884">
        <w:rPr>
          <w:rFonts w:eastAsia="Calibri" w:cs="Times New Roman"/>
          <w:szCs w:val="22"/>
        </w:rPr>
        <w:t xml:space="preserve">. </w:t>
      </w:r>
      <w:r w:rsidR="001A38E7" w:rsidRPr="00DC5884">
        <w:rPr>
          <w:rFonts w:eastAsia="Calibri" w:cs="Times New Roman"/>
          <w:szCs w:val="22"/>
        </w:rPr>
        <w:t>It is assumed that t</w:t>
      </w:r>
      <w:r w:rsidR="00CB6A54" w:rsidRPr="00DC5884">
        <w:rPr>
          <w:rFonts w:eastAsia="Calibri" w:cs="Times New Roman"/>
          <w:szCs w:val="22"/>
        </w:rPr>
        <w:t xml:space="preserve">he time </w:t>
      </w:r>
      <w:r w:rsidR="00231660" w:rsidRPr="00DC5884">
        <w:rPr>
          <w:rFonts w:eastAsia="Calibri" w:cs="Times New Roman"/>
          <w:szCs w:val="22"/>
        </w:rPr>
        <w:t xml:space="preserve">period </w:t>
      </w:r>
      <w:r w:rsidR="00CB6A54" w:rsidRPr="00DC5884">
        <w:rPr>
          <w:rFonts w:eastAsia="Calibri" w:cs="Times New Roman"/>
          <w:szCs w:val="22"/>
        </w:rPr>
        <w:t xml:space="preserve">required for WELS registration would </w:t>
      </w:r>
      <w:r w:rsidR="00231660" w:rsidRPr="00DC5884">
        <w:rPr>
          <w:rFonts w:eastAsia="Calibri" w:cs="Times New Roman"/>
          <w:szCs w:val="22"/>
        </w:rPr>
        <w:t>run in parallel.</w:t>
      </w:r>
      <w:r w:rsidR="00766DCA">
        <w:fldChar w:fldCharType="begin"/>
      </w:r>
      <w:r w:rsidR="00766DCA">
        <w:instrText xml:space="preserve"> REF _Ref195440323 \h </w:instrText>
      </w:r>
      <w:r w:rsidR="004D6A3C">
        <w:instrText xml:space="preserve"> \* MERGEFORMAT </w:instrText>
      </w:r>
      <w:r w:rsidR="00766DCA">
        <w:fldChar w:fldCharType="separate"/>
      </w:r>
    </w:p>
    <w:p w14:paraId="4ED77C28" w14:textId="77777777" w:rsidR="002271EC" w:rsidRPr="00D328F7" w:rsidRDefault="002271EC" w:rsidP="00B55EA8"/>
    <w:p w14:paraId="44E383A2" w14:textId="3F2FFD24" w:rsidR="00EE0CAD" w:rsidRDefault="002271EC" w:rsidP="00DA3BDF">
      <w:r>
        <w:t>Table</w:t>
      </w:r>
      <w:r>
        <w:rPr>
          <w:noProof/>
        </w:rPr>
        <w:t xml:space="preserve"> 4</w:t>
      </w:r>
      <w:r w:rsidR="00766DCA">
        <w:fldChar w:fldCharType="end"/>
      </w:r>
      <w:r w:rsidR="00766DCA">
        <w:t xml:space="preserve"> presents the estimates of the number of importers and secondary distributors that would incur a regulatory burden on account of the proposals, and the annual cost to each entity. It is estimated that the administrative costs would be borne mainly by the importers, and the substantive compliance costs by the distributors. </w:t>
      </w:r>
      <w:r w:rsidR="00BE3D43" w:rsidRPr="00BE3D43">
        <w:t>All costs are additional to the status quo. That is, they are beyond the costs imposed by compliance with the GEMS Determination. It is assumed that these costs are higher in the introduction phase and then fall to a lower constant level.</w:t>
      </w:r>
    </w:p>
    <w:p w14:paraId="1613B455" w14:textId="77777777" w:rsidR="002271EC" w:rsidRPr="002271EC" w:rsidRDefault="00BE3D43" w:rsidP="002271EC">
      <w:pPr>
        <w:pStyle w:val="Caption"/>
        <w:rPr>
          <w:b w:val="0"/>
          <w:bCs w:val="0"/>
          <w:smallCaps w:val="0"/>
          <w:color w:val="auto"/>
        </w:rPr>
      </w:pPr>
      <w:r w:rsidRPr="00E57452">
        <w:rPr>
          <w:b w:val="0"/>
          <w:bCs w:val="0"/>
          <w:smallCaps w:val="0"/>
          <w:color w:val="auto"/>
        </w:rPr>
        <w:fldChar w:fldCharType="begin"/>
      </w:r>
      <w:r w:rsidRPr="00E57452">
        <w:rPr>
          <w:b w:val="0"/>
          <w:bCs w:val="0"/>
          <w:smallCaps w:val="0"/>
          <w:color w:val="auto"/>
        </w:rPr>
        <w:instrText xml:space="preserve"> REF _Ref195441785 \h </w:instrText>
      </w:r>
      <w:r w:rsidR="00E57452">
        <w:rPr>
          <w:b w:val="0"/>
          <w:bCs w:val="0"/>
          <w:smallCaps w:val="0"/>
          <w:color w:val="auto"/>
        </w:rPr>
        <w:instrText xml:space="preserve"> \* MERGEFORMAT </w:instrText>
      </w:r>
      <w:r w:rsidRPr="00E57452">
        <w:rPr>
          <w:b w:val="0"/>
          <w:bCs w:val="0"/>
          <w:smallCaps w:val="0"/>
          <w:color w:val="auto"/>
        </w:rPr>
      </w:r>
      <w:r w:rsidRPr="00E57452">
        <w:rPr>
          <w:b w:val="0"/>
          <w:bCs w:val="0"/>
          <w:smallCaps w:val="0"/>
          <w:color w:val="auto"/>
        </w:rPr>
        <w:fldChar w:fldCharType="separate"/>
      </w:r>
    </w:p>
    <w:p w14:paraId="0CF9E00C" w14:textId="77777777" w:rsidR="002271EC" w:rsidRPr="002271EC" w:rsidRDefault="002271EC" w:rsidP="002271EC">
      <w:pPr>
        <w:pStyle w:val="Caption"/>
        <w:rPr>
          <w:b w:val="0"/>
          <w:bCs w:val="0"/>
          <w:smallCaps w:val="0"/>
          <w:color w:val="auto"/>
        </w:rPr>
      </w:pPr>
      <w:r w:rsidRPr="002271EC">
        <w:rPr>
          <w:b w:val="0"/>
          <w:bCs w:val="0"/>
          <w:smallCaps w:val="0"/>
          <w:color w:val="auto"/>
        </w:rPr>
        <w:br w:type="page"/>
      </w:r>
    </w:p>
    <w:p w14:paraId="4EAB606B" w14:textId="77777777" w:rsidR="002271EC" w:rsidRPr="002271EC" w:rsidRDefault="002271EC" w:rsidP="002271EC">
      <w:pPr>
        <w:pStyle w:val="Caption"/>
        <w:rPr>
          <w:b w:val="0"/>
          <w:bCs w:val="0"/>
          <w:smallCaps w:val="0"/>
          <w:color w:val="auto"/>
        </w:rPr>
      </w:pPr>
      <w:r>
        <w:lastRenderedPageBreak/>
        <w:t xml:space="preserve">Table </w:t>
      </w:r>
      <w:r>
        <w:rPr>
          <w:noProof/>
        </w:rPr>
        <w:t>5</w:t>
      </w:r>
      <w:r w:rsidR="00BE3D43" w:rsidRPr="00E57452">
        <w:rPr>
          <w:b w:val="0"/>
          <w:bCs w:val="0"/>
          <w:smallCaps w:val="0"/>
          <w:color w:val="auto"/>
        </w:rPr>
        <w:fldChar w:fldCharType="end"/>
      </w:r>
      <w:r w:rsidR="00BE3D43" w:rsidRPr="00E57452">
        <w:rPr>
          <w:b w:val="0"/>
          <w:bCs w:val="0"/>
          <w:smallCaps w:val="0"/>
          <w:color w:val="auto"/>
        </w:rPr>
        <w:t xml:space="preserve"> summari</w:t>
      </w:r>
      <w:r w:rsidR="00EE0CAD" w:rsidRPr="00E57452">
        <w:rPr>
          <w:b w:val="0"/>
          <w:bCs w:val="0"/>
          <w:smallCaps w:val="0"/>
          <w:color w:val="auto"/>
        </w:rPr>
        <w:t>s</w:t>
      </w:r>
      <w:r w:rsidR="00BE3D43" w:rsidRPr="00E57452">
        <w:rPr>
          <w:b w:val="0"/>
          <w:bCs w:val="0"/>
          <w:smallCaps w:val="0"/>
          <w:color w:val="auto"/>
        </w:rPr>
        <w:t xml:space="preserve">es the present value of the projected stream of regulatory burden costs. </w:t>
      </w:r>
      <w:r w:rsidR="00EE0CAD" w:rsidRPr="00E57452">
        <w:rPr>
          <w:b w:val="0"/>
          <w:bCs w:val="0"/>
          <w:smallCaps w:val="0"/>
          <w:color w:val="auto"/>
        </w:rPr>
        <w:t>The direct regulatory burden would fall on the businesses that import and distribute CIMs, not on community organisations or on individuals (</w:t>
      </w:r>
      <w:r w:rsidR="00EE0CAD" w:rsidRPr="00E57452">
        <w:rPr>
          <w:b w:val="0"/>
          <w:bCs w:val="0"/>
          <w:smallCaps w:val="0"/>
          <w:color w:val="auto"/>
        </w:rPr>
        <w:fldChar w:fldCharType="begin"/>
      </w:r>
      <w:r w:rsidR="00EE0CAD" w:rsidRPr="00E57452">
        <w:rPr>
          <w:b w:val="0"/>
          <w:bCs w:val="0"/>
          <w:smallCaps w:val="0"/>
          <w:color w:val="auto"/>
        </w:rPr>
        <w:instrText xml:space="preserve"> REF _Ref195442340 \h </w:instrText>
      </w:r>
      <w:r w:rsidR="00E57452">
        <w:rPr>
          <w:b w:val="0"/>
          <w:bCs w:val="0"/>
          <w:smallCaps w:val="0"/>
          <w:color w:val="auto"/>
        </w:rPr>
        <w:instrText xml:space="preserve"> \* MERGEFORMAT </w:instrText>
      </w:r>
      <w:r w:rsidR="00EE0CAD" w:rsidRPr="00E57452">
        <w:rPr>
          <w:b w:val="0"/>
          <w:bCs w:val="0"/>
          <w:smallCaps w:val="0"/>
          <w:color w:val="auto"/>
        </w:rPr>
      </w:r>
      <w:r w:rsidR="00EE0CAD" w:rsidRPr="00E57452">
        <w:rPr>
          <w:b w:val="0"/>
          <w:bCs w:val="0"/>
          <w:smallCaps w:val="0"/>
          <w:color w:val="auto"/>
        </w:rPr>
        <w:fldChar w:fldCharType="separate"/>
      </w:r>
    </w:p>
    <w:p w14:paraId="2FB5F21F" w14:textId="2C358889" w:rsidR="00E57452" w:rsidRDefault="002271EC" w:rsidP="00E57452">
      <w:pPr>
        <w:pStyle w:val="Caption"/>
        <w:rPr>
          <w:b w:val="0"/>
          <w:bCs w:val="0"/>
          <w:smallCaps w:val="0"/>
          <w:color w:val="auto"/>
        </w:rPr>
      </w:pPr>
      <w:r w:rsidRPr="002271EC">
        <w:rPr>
          <w:b w:val="0"/>
          <w:bCs w:val="0"/>
          <w:smallCaps w:val="0"/>
          <w:color w:val="auto"/>
        </w:rPr>
        <w:t xml:space="preserve">Table </w:t>
      </w:r>
      <w:r>
        <w:rPr>
          <w:noProof/>
        </w:rPr>
        <w:t>6</w:t>
      </w:r>
      <w:r w:rsidR="00EE0CAD" w:rsidRPr="00E57452">
        <w:rPr>
          <w:b w:val="0"/>
          <w:bCs w:val="0"/>
          <w:smallCaps w:val="0"/>
          <w:color w:val="auto"/>
        </w:rPr>
        <w:fldChar w:fldCharType="end"/>
      </w:r>
      <w:r w:rsidR="00EE0CAD" w:rsidRPr="00E57452">
        <w:rPr>
          <w:b w:val="0"/>
          <w:bCs w:val="0"/>
          <w:smallCaps w:val="0"/>
          <w:color w:val="auto"/>
        </w:rPr>
        <w:t>).</w:t>
      </w:r>
      <w:bookmarkStart w:id="74" w:name="_Ref195440323"/>
    </w:p>
    <w:p w14:paraId="3ED2CECE" w14:textId="77777777" w:rsidR="00D328F7" w:rsidRPr="00D328F7" w:rsidRDefault="00D328F7" w:rsidP="00B55EA8"/>
    <w:p w14:paraId="71391194" w14:textId="590EB019" w:rsidR="00853C03" w:rsidRDefault="00853C03" w:rsidP="00E57452">
      <w:pPr>
        <w:pStyle w:val="Caption"/>
        <w:jc w:val="center"/>
      </w:pPr>
      <w:bookmarkStart w:id="75" w:name="_Toc196745446"/>
      <w:r>
        <w:t xml:space="preserve">Table </w:t>
      </w:r>
      <w:r w:rsidR="0042496D">
        <w:fldChar w:fldCharType="begin"/>
      </w:r>
      <w:r w:rsidR="0042496D">
        <w:instrText xml:space="preserve"> SEQ Table \* ARABIC </w:instrText>
      </w:r>
      <w:r w:rsidR="0042496D">
        <w:fldChar w:fldCharType="separate"/>
      </w:r>
      <w:r w:rsidR="002271EC">
        <w:rPr>
          <w:noProof/>
        </w:rPr>
        <w:t>4</w:t>
      </w:r>
      <w:r w:rsidR="0042496D">
        <w:rPr>
          <w:noProof/>
        </w:rPr>
        <w:fldChar w:fldCharType="end"/>
      </w:r>
      <w:bookmarkEnd w:id="74"/>
      <w:r>
        <w:t xml:space="preserve"> Estimates of </w:t>
      </w:r>
      <w:r w:rsidR="00DA3BDF">
        <w:t>Regulatory Burden Costs per liable entity</w:t>
      </w:r>
      <w:bookmarkEnd w:id="75"/>
    </w:p>
    <w:tbl>
      <w:tblPr>
        <w:tblStyle w:val="TableGrid"/>
        <w:tblW w:w="0" w:type="auto"/>
        <w:tblLook w:val="04A0" w:firstRow="1" w:lastRow="0" w:firstColumn="1" w:lastColumn="0" w:noHBand="0" w:noVBand="1"/>
      </w:tblPr>
      <w:tblGrid>
        <w:gridCol w:w="3539"/>
        <w:gridCol w:w="1217"/>
        <w:gridCol w:w="1218"/>
        <w:gridCol w:w="1218"/>
        <w:gridCol w:w="1218"/>
        <w:gridCol w:w="1218"/>
      </w:tblGrid>
      <w:tr w:rsidR="00853C03" w:rsidRPr="000114E3" w14:paraId="026284BB" w14:textId="77777777" w:rsidTr="003B4B50">
        <w:tc>
          <w:tcPr>
            <w:tcW w:w="3539" w:type="dxa"/>
          </w:tcPr>
          <w:p w14:paraId="35643C19" w14:textId="77777777" w:rsidR="00853C03" w:rsidRPr="000114E3" w:rsidRDefault="00853C03" w:rsidP="003B4B50">
            <w:pPr>
              <w:rPr>
                <w:rFonts w:ascii="Calibri" w:hAnsi="Calibri" w:cs="Calibri"/>
                <w:b/>
                <w:bCs/>
                <w:sz w:val="20"/>
                <w:szCs w:val="20"/>
              </w:rPr>
            </w:pPr>
          </w:p>
        </w:tc>
        <w:tc>
          <w:tcPr>
            <w:tcW w:w="1217" w:type="dxa"/>
          </w:tcPr>
          <w:p w14:paraId="6162631F" w14:textId="77777777" w:rsidR="00853C03" w:rsidRPr="000114E3" w:rsidRDefault="00853C03" w:rsidP="003B4B50">
            <w:pPr>
              <w:rPr>
                <w:rFonts w:ascii="Calibri" w:hAnsi="Calibri" w:cs="Calibri"/>
                <w:b/>
                <w:bCs/>
                <w:sz w:val="20"/>
                <w:szCs w:val="20"/>
              </w:rPr>
            </w:pPr>
            <w:r w:rsidRPr="000114E3">
              <w:rPr>
                <w:rFonts w:ascii="Calibri" w:hAnsi="Calibri" w:cs="Calibri"/>
                <w:b/>
                <w:bCs/>
                <w:sz w:val="20"/>
                <w:szCs w:val="20"/>
              </w:rPr>
              <w:t>Option 2</w:t>
            </w:r>
          </w:p>
        </w:tc>
        <w:tc>
          <w:tcPr>
            <w:tcW w:w="1218" w:type="dxa"/>
          </w:tcPr>
          <w:p w14:paraId="16818683" w14:textId="77777777" w:rsidR="00853C03" w:rsidRPr="000114E3" w:rsidRDefault="00853C03" w:rsidP="003B4B50">
            <w:pPr>
              <w:rPr>
                <w:rFonts w:ascii="Calibri" w:hAnsi="Calibri" w:cs="Calibri"/>
                <w:b/>
                <w:bCs/>
                <w:sz w:val="20"/>
                <w:szCs w:val="20"/>
              </w:rPr>
            </w:pPr>
            <w:r w:rsidRPr="000114E3">
              <w:rPr>
                <w:rFonts w:ascii="Calibri" w:hAnsi="Calibri" w:cs="Calibri"/>
                <w:b/>
                <w:bCs/>
                <w:sz w:val="20"/>
                <w:szCs w:val="20"/>
              </w:rPr>
              <w:t>Option 3A</w:t>
            </w:r>
          </w:p>
        </w:tc>
        <w:tc>
          <w:tcPr>
            <w:tcW w:w="1218" w:type="dxa"/>
          </w:tcPr>
          <w:p w14:paraId="021218CD" w14:textId="77777777" w:rsidR="00853C03" w:rsidRPr="000114E3" w:rsidRDefault="00853C03" w:rsidP="003B4B50">
            <w:pPr>
              <w:rPr>
                <w:rFonts w:ascii="Calibri" w:hAnsi="Calibri" w:cs="Calibri"/>
                <w:b/>
                <w:bCs/>
                <w:sz w:val="20"/>
                <w:szCs w:val="20"/>
              </w:rPr>
            </w:pPr>
            <w:r w:rsidRPr="000114E3">
              <w:rPr>
                <w:rFonts w:ascii="Calibri" w:hAnsi="Calibri" w:cs="Calibri"/>
                <w:b/>
                <w:bCs/>
                <w:sz w:val="20"/>
                <w:szCs w:val="20"/>
              </w:rPr>
              <w:t>Option 4B</w:t>
            </w:r>
          </w:p>
        </w:tc>
        <w:tc>
          <w:tcPr>
            <w:tcW w:w="1218" w:type="dxa"/>
          </w:tcPr>
          <w:p w14:paraId="0B4E0F59" w14:textId="77777777" w:rsidR="00853C03" w:rsidRPr="000114E3" w:rsidRDefault="00853C03" w:rsidP="003B4B50">
            <w:pPr>
              <w:rPr>
                <w:rFonts w:ascii="Calibri" w:hAnsi="Calibri" w:cs="Calibri"/>
                <w:b/>
                <w:bCs/>
                <w:sz w:val="20"/>
                <w:szCs w:val="20"/>
              </w:rPr>
            </w:pPr>
            <w:r w:rsidRPr="000114E3">
              <w:rPr>
                <w:rFonts w:ascii="Calibri" w:hAnsi="Calibri" w:cs="Calibri"/>
                <w:b/>
                <w:bCs/>
                <w:sz w:val="20"/>
                <w:szCs w:val="20"/>
              </w:rPr>
              <w:t>Option 4A</w:t>
            </w:r>
          </w:p>
        </w:tc>
        <w:tc>
          <w:tcPr>
            <w:tcW w:w="1218" w:type="dxa"/>
          </w:tcPr>
          <w:p w14:paraId="4CAF7684" w14:textId="77777777" w:rsidR="00853C03" w:rsidRPr="000114E3" w:rsidRDefault="00853C03" w:rsidP="003B4B50">
            <w:pPr>
              <w:rPr>
                <w:rFonts w:ascii="Calibri" w:hAnsi="Calibri" w:cs="Calibri"/>
                <w:b/>
                <w:bCs/>
                <w:sz w:val="20"/>
                <w:szCs w:val="20"/>
              </w:rPr>
            </w:pPr>
            <w:r w:rsidRPr="000114E3">
              <w:rPr>
                <w:rFonts w:ascii="Calibri" w:hAnsi="Calibri" w:cs="Calibri"/>
                <w:b/>
                <w:bCs/>
                <w:sz w:val="20"/>
                <w:szCs w:val="20"/>
              </w:rPr>
              <w:t>Option 4B</w:t>
            </w:r>
          </w:p>
        </w:tc>
      </w:tr>
      <w:tr w:rsidR="00853C03" w:rsidRPr="000114E3" w14:paraId="3F5782AB" w14:textId="77777777" w:rsidTr="003B4B50">
        <w:tc>
          <w:tcPr>
            <w:tcW w:w="3539" w:type="dxa"/>
          </w:tcPr>
          <w:p w14:paraId="188ABBE0" w14:textId="77777777" w:rsidR="00853C03" w:rsidRPr="000114E3" w:rsidRDefault="00853C03" w:rsidP="003B4B50">
            <w:pPr>
              <w:rPr>
                <w:rFonts w:ascii="Calibri" w:hAnsi="Calibri" w:cs="Calibri"/>
                <w:sz w:val="20"/>
                <w:szCs w:val="20"/>
              </w:rPr>
            </w:pPr>
            <w:r w:rsidRPr="000114E3">
              <w:rPr>
                <w:rFonts w:ascii="Calibri" w:hAnsi="Calibri" w:cs="Calibri"/>
                <w:sz w:val="20"/>
                <w:szCs w:val="20"/>
              </w:rPr>
              <w:t>Number of importers</w:t>
            </w:r>
          </w:p>
        </w:tc>
        <w:tc>
          <w:tcPr>
            <w:tcW w:w="1217" w:type="dxa"/>
          </w:tcPr>
          <w:p w14:paraId="1D562DDC"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30</w:t>
            </w:r>
          </w:p>
        </w:tc>
        <w:tc>
          <w:tcPr>
            <w:tcW w:w="1218" w:type="dxa"/>
          </w:tcPr>
          <w:p w14:paraId="0E2A2538"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30</w:t>
            </w:r>
          </w:p>
        </w:tc>
        <w:tc>
          <w:tcPr>
            <w:tcW w:w="1218" w:type="dxa"/>
          </w:tcPr>
          <w:p w14:paraId="01E29616"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30</w:t>
            </w:r>
          </w:p>
        </w:tc>
        <w:tc>
          <w:tcPr>
            <w:tcW w:w="1218" w:type="dxa"/>
          </w:tcPr>
          <w:p w14:paraId="6CA47B11"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30</w:t>
            </w:r>
          </w:p>
        </w:tc>
        <w:tc>
          <w:tcPr>
            <w:tcW w:w="1218" w:type="dxa"/>
          </w:tcPr>
          <w:p w14:paraId="7D123A67"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30</w:t>
            </w:r>
          </w:p>
        </w:tc>
      </w:tr>
      <w:tr w:rsidR="00853C03" w:rsidRPr="000114E3" w14:paraId="698E1586" w14:textId="77777777" w:rsidTr="003B4B50">
        <w:tc>
          <w:tcPr>
            <w:tcW w:w="3539" w:type="dxa"/>
          </w:tcPr>
          <w:p w14:paraId="1B3CC0B3" w14:textId="77777777" w:rsidR="00853C03" w:rsidRPr="000114E3" w:rsidRDefault="00853C03" w:rsidP="003B4B50">
            <w:pPr>
              <w:rPr>
                <w:rFonts w:ascii="Calibri" w:hAnsi="Calibri" w:cs="Calibri"/>
                <w:sz w:val="20"/>
                <w:szCs w:val="20"/>
              </w:rPr>
            </w:pPr>
            <w:r w:rsidRPr="000114E3">
              <w:rPr>
                <w:rFonts w:ascii="Calibri" w:hAnsi="Calibri" w:cs="Calibri"/>
                <w:sz w:val="20"/>
                <w:szCs w:val="20"/>
              </w:rPr>
              <w:t xml:space="preserve">Secondary distributors (2025, 2040) </w:t>
            </w:r>
          </w:p>
        </w:tc>
        <w:tc>
          <w:tcPr>
            <w:tcW w:w="1217" w:type="dxa"/>
          </w:tcPr>
          <w:p w14:paraId="04B9600F"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40, 50</w:t>
            </w:r>
          </w:p>
        </w:tc>
        <w:tc>
          <w:tcPr>
            <w:tcW w:w="1218" w:type="dxa"/>
          </w:tcPr>
          <w:p w14:paraId="56A6C86F"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40, 50</w:t>
            </w:r>
          </w:p>
        </w:tc>
        <w:tc>
          <w:tcPr>
            <w:tcW w:w="1218" w:type="dxa"/>
          </w:tcPr>
          <w:p w14:paraId="576431E0"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40, 50</w:t>
            </w:r>
          </w:p>
        </w:tc>
        <w:tc>
          <w:tcPr>
            <w:tcW w:w="1218" w:type="dxa"/>
          </w:tcPr>
          <w:p w14:paraId="39DA3944"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40, 50</w:t>
            </w:r>
          </w:p>
        </w:tc>
        <w:tc>
          <w:tcPr>
            <w:tcW w:w="1218" w:type="dxa"/>
          </w:tcPr>
          <w:p w14:paraId="03D3A5D9"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40, 50</w:t>
            </w:r>
          </w:p>
        </w:tc>
      </w:tr>
      <w:tr w:rsidR="00853C03" w:rsidRPr="000114E3" w14:paraId="522A7B93" w14:textId="77777777" w:rsidTr="003B4B50">
        <w:tc>
          <w:tcPr>
            <w:tcW w:w="3539" w:type="dxa"/>
          </w:tcPr>
          <w:p w14:paraId="10FA4C6E" w14:textId="05F9AD66" w:rsidR="00853C03" w:rsidRPr="000114E3" w:rsidRDefault="00853C03" w:rsidP="003B4B50">
            <w:pPr>
              <w:rPr>
                <w:rFonts w:ascii="Calibri" w:hAnsi="Calibri" w:cs="Calibri"/>
                <w:sz w:val="20"/>
                <w:szCs w:val="20"/>
              </w:rPr>
            </w:pPr>
            <w:r w:rsidRPr="000114E3">
              <w:rPr>
                <w:rFonts w:ascii="Calibri" w:hAnsi="Calibri" w:cs="Calibri"/>
                <w:sz w:val="20"/>
                <w:szCs w:val="20"/>
              </w:rPr>
              <w:t>Administrative</w:t>
            </w:r>
            <w:r w:rsidR="0050509C">
              <w:rPr>
                <w:rFonts w:ascii="Calibri" w:hAnsi="Calibri" w:cs="Calibri"/>
                <w:sz w:val="20"/>
                <w:szCs w:val="20"/>
              </w:rPr>
              <w:t xml:space="preserve"> </w:t>
            </w:r>
            <w:r w:rsidRPr="000114E3">
              <w:rPr>
                <w:rFonts w:ascii="Calibri" w:hAnsi="Calibri" w:cs="Calibri"/>
                <w:sz w:val="20"/>
                <w:szCs w:val="20"/>
              </w:rPr>
              <w:t>cost per liable entity importer; Year 1</w:t>
            </w:r>
            <w:r w:rsidR="00766DCA" w:rsidRPr="000114E3">
              <w:rPr>
                <w:rFonts w:ascii="Calibri" w:hAnsi="Calibri" w:cs="Calibri"/>
                <w:sz w:val="20"/>
                <w:szCs w:val="20"/>
              </w:rPr>
              <w:t xml:space="preserve"> of implementation</w:t>
            </w:r>
            <w:r w:rsidRPr="000114E3">
              <w:rPr>
                <w:rFonts w:ascii="Calibri" w:hAnsi="Calibri" w:cs="Calibri"/>
                <w:sz w:val="20"/>
                <w:szCs w:val="20"/>
              </w:rPr>
              <w:t xml:space="preserve">) </w:t>
            </w:r>
          </w:p>
        </w:tc>
        <w:tc>
          <w:tcPr>
            <w:tcW w:w="1217" w:type="dxa"/>
          </w:tcPr>
          <w:p w14:paraId="6D52D480"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$5,000</w:t>
            </w:r>
          </w:p>
        </w:tc>
        <w:tc>
          <w:tcPr>
            <w:tcW w:w="1218" w:type="dxa"/>
          </w:tcPr>
          <w:p w14:paraId="1DAF29B7"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$10,000</w:t>
            </w:r>
          </w:p>
        </w:tc>
        <w:tc>
          <w:tcPr>
            <w:tcW w:w="1218" w:type="dxa"/>
          </w:tcPr>
          <w:p w14:paraId="63E004A8"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$10,000</w:t>
            </w:r>
          </w:p>
        </w:tc>
        <w:tc>
          <w:tcPr>
            <w:tcW w:w="1218" w:type="dxa"/>
          </w:tcPr>
          <w:p w14:paraId="241F7D32"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$10,000</w:t>
            </w:r>
          </w:p>
        </w:tc>
        <w:tc>
          <w:tcPr>
            <w:tcW w:w="1218" w:type="dxa"/>
          </w:tcPr>
          <w:p w14:paraId="6712AAAC"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$10,000</w:t>
            </w:r>
          </w:p>
        </w:tc>
      </w:tr>
      <w:tr w:rsidR="00853C03" w:rsidRPr="000114E3" w14:paraId="6FE47E4C" w14:textId="77777777" w:rsidTr="003B4B50">
        <w:tc>
          <w:tcPr>
            <w:tcW w:w="3539" w:type="dxa"/>
          </w:tcPr>
          <w:p w14:paraId="42D3903E" w14:textId="567DE5DD" w:rsidR="00853C03" w:rsidRPr="000114E3" w:rsidRDefault="00853C03" w:rsidP="003B4B50">
            <w:pPr>
              <w:rPr>
                <w:rFonts w:ascii="Calibri" w:hAnsi="Calibri" w:cs="Calibri"/>
                <w:sz w:val="20"/>
                <w:szCs w:val="20"/>
              </w:rPr>
            </w:pPr>
            <w:r w:rsidRPr="000114E3">
              <w:rPr>
                <w:rFonts w:ascii="Calibri" w:hAnsi="Calibri" w:cs="Calibri"/>
                <w:sz w:val="20"/>
                <w:szCs w:val="20"/>
              </w:rPr>
              <w:t>Administrative cost per liable entity; Year 2 etc)</w:t>
            </w:r>
          </w:p>
        </w:tc>
        <w:tc>
          <w:tcPr>
            <w:tcW w:w="1217" w:type="dxa"/>
          </w:tcPr>
          <w:p w14:paraId="49516C32"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$2,500</w:t>
            </w:r>
          </w:p>
        </w:tc>
        <w:tc>
          <w:tcPr>
            <w:tcW w:w="1218" w:type="dxa"/>
          </w:tcPr>
          <w:p w14:paraId="53B0938D"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$5,000</w:t>
            </w:r>
          </w:p>
        </w:tc>
        <w:tc>
          <w:tcPr>
            <w:tcW w:w="1218" w:type="dxa"/>
          </w:tcPr>
          <w:p w14:paraId="38197CD0"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$5,000</w:t>
            </w:r>
          </w:p>
        </w:tc>
        <w:tc>
          <w:tcPr>
            <w:tcW w:w="1218" w:type="dxa"/>
          </w:tcPr>
          <w:p w14:paraId="44D60351"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$5,000</w:t>
            </w:r>
          </w:p>
        </w:tc>
        <w:tc>
          <w:tcPr>
            <w:tcW w:w="1218" w:type="dxa"/>
          </w:tcPr>
          <w:p w14:paraId="614A0667"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$5,000</w:t>
            </w:r>
          </w:p>
        </w:tc>
      </w:tr>
      <w:tr w:rsidR="00853C03" w:rsidRPr="000114E3" w14:paraId="454FB033" w14:textId="77777777" w:rsidTr="003B4B50">
        <w:tc>
          <w:tcPr>
            <w:tcW w:w="3539" w:type="dxa"/>
          </w:tcPr>
          <w:p w14:paraId="7767D613" w14:textId="36E837E3" w:rsidR="00853C03" w:rsidRPr="000114E3" w:rsidRDefault="00853C03" w:rsidP="003B4B50">
            <w:pPr>
              <w:rPr>
                <w:rFonts w:ascii="Calibri" w:hAnsi="Calibri" w:cs="Calibri"/>
                <w:sz w:val="20"/>
                <w:szCs w:val="20"/>
              </w:rPr>
            </w:pPr>
            <w:r w:rsidRPr="000114E3">
              <w:rPr>
                <w:rFonts w:ascii="Calibri" w:hAnsi="Calibri" w:cs="Calibri"/>
                <w:sz w:val="20"/>
                <w:szCs w:val="20"/>
              </w:rPr>
              <w:t>Substantive compliance cost per liable entity (Year 1)</w:t>
            </w:r>
          </w:p>
        </w:tc>
        <w:tc>
          <w:tcPr>
            <w:tcW w:w="1217" w:type="dxa"/>
          </w:tcPr>
          <w:p w14:paraId="658C9455"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0</w:t>
            </w:r>
          </w:p>
        </w:tc>
        <w:tc>
          <w:tcPr>
            <w:tcW w:w="1218" w:type="dxa"/>
          </w:tcPr>
          <w:p w14:paraId="5D235D6A"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$5,000</w:t>
            </w:r>
          </w:p>
        </w:tc>
        <w:tc>
          <w:tcPr>
            <w:tcW w:w="1218" w:type="dxa"/>
          </w:tcPr>
          <w:p w14:paraId="30C391DC"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$5,000</w:t>
            </w:r>
          </w:p>
        </w:tc>
        <w:tc>
          <w:tcPr>
            <w:tcW w:w="1218" w:type="dxa"/>
          </w:tcPr>
          <w:p w14:paraId="59BF8368"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$5,000</w:t>
            </w:r>
          </w:p>
        </w:tc>
        <w:tc>
          <w:tcPr>
            <w:tcW w:w="1218" w:type="dxa"/>
          </w:tcPr>
          <w:p w14:paraId="2321087F"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$5,000</w:t>
            </w:r>
          </w:p>
        </w:tc>
      </w:tr>
      <w:tr w:rsidR="00853C03" w:rsidRPr="000114E3" w14:paraId="52BF875E" w14:textId="77777777" w:rsidTr="003B4B50">
        <w:tc>
          <w:tcPr>
            <w:tcW w:w="3539" w:type="dxa"/>
          </w:tcPr>
          <w:p w14:paraId="1D2779FC" w14:textId="39DEBB27" w:rsidR="00853C03" w:rsidRPr="000114E3" w:rsidRDefault="00853C03" w:rsidP="003B4B50">
            <w:pPr>
              <w:rPr>
                <w:rFonts w:ascii="Calibri" w:hAnsi="Calibri" w:cs="Calibri"/>
                <w:sz w:val="20"/>
                <w:szCs w:val="20"/>
              </w:rPr>
            </w:pPr>
            <w:r w:rsidRPr="000114E3">
              <w:rPr>
                <w:rFonts w:ascii="Calibri" w:hAnsi="Calibri" w:cs="Calibri"/>
                <w:sz w:val="20"/>
                <w:szCs w:val="20"/>
              </w:rPr>
              <w:t>Substantive compliance cost per liable Admin entity (Year 2 etc)</w:t>
            </w:r>
          </w:p>
        </w:tc>
        <w:tc>
          <w:tcPr>
            <w:tcW w:w="1217" w:type="dxa"/>
          </w:tcPr>
          <w:p w14:paraId="0E7F69C7"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0</w:t>
            </w:r>
          </w:p>
        </w:tc>
        <w:tc>
          <w:tcPr>
            <w:tcW w:w="1218" w:type="dxa"/>
          </w:tcPr>
          <w:p w14:paraId="4909B7BB"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$2,500</w:t>
            </w:r>
          </w:p>
        </w:tc>
        <w:tc>
          <w:tcPr>
            <w:tcW w:w="1218" w:type="dxa"/>
          </w:tcPr>
          <w:p w14:paraId="14DA62DE"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$2,500</w:t>
            </w:r>
          </w:p>
        </w:tc>
        <w:tc>
          <w:tcPr>
            <w:tcW w:w="1218" w:type="dxa"/>
          </w:tcPr>
          <w:p w14:paraId="190FA1A3"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$2,500</w:t>
            </w:r>
          </w:p>
        </w:tc>
        <w:tc>
          <w:tcPr>
            <w:tcW w:w="1218" w:type="dxa"/>
          </w:tcPr>
          <w:p w14:paraId="07B8AC88" w14:textId="77777777" w:rsidR="00853C03" w:rsidRPr="000114E3" w:rsidRDefault="00853C03" w:rsidP="003B4B50">
            <w:pPr>
              <w:jc w:val="right"/>
              <w:rPr>
                <w:rFonts w:ascii="Calibri" w:hAnsi="Calibri" w:cs="Calibri"/>
                <w:sz w:val="20"/>
                <w:szCs w:val="20"/>
              </w:rPr>
            </w:pPr>
            <w:r w:rsidRPr="000114E3">
              <w:rPr>
                <w:rFonts w:ascii="Calibri" w:hAnsi="Calibri" w:cs="Calibri"/>
                <w:sz w:val="20"/>
                <w:szCs w:val="20"/>
              </w:rPr>
              <w:t>$2,500</w:t>
            </w:r>
          </w:p>
        </w:tc>
      </w:tr>
      <w:tr w:rsidR="00DA3BDF" w:rsidRPr="000114E3" w14:paraId="4B3F83F9" w14:textId="77777777" w:rsidTr="003B4B50">
        <w:tc>
          <w:tcPr>
            <w:tcW w:w="3539" w:type="dxa"/>
          </w:tcPr>
          <w:p w14:paraId="7079AEF3" w14:textId="05B4C8D3" w:rsidR="00DA3BDF" w:rsidRPr="000114E3" w:rsidRDefault="00DA3BDF" w:rsidP="003B4B50">
            <w:pPr>
              <w:rPr>
                <w:rFonts w:ascii="Calibri" w:hAnsi="Calibri" w:cs="Calibri"/>
                <w:sz w:val="20"/>
                <w:szCs w:val="20"/>
              </w:rPr>
            </w:pPr>
            <w:r w:rsidRPr="000114E3">
              <w:rPr>
                <w:rFonts w:ascii="Calibri" w:hAnsi="Calibri" w:cs="Calibri"/>
                <w:sz w:val="20"/>
                <w:szCs w:val="20"/>
              </w:rPr>
              <w:t>Delay cost per liable entity</w:t>
            </w:r>
          </w:p>
        </w:tc>
        <w:tc>
          <w:tcPr>
            <w:tcW w:w="1217" w:type="dxa"/>
          </w:tcPr>
          <w:p w14:paraId="073998B1" w14:textId="0F9080A7" w:rsidR="00DA3BDF" w:rsidRPr="000114E3" w:rsidRDefault="00DA3BDF" w:rsidP="003B4B50">
            <w:pPr>
              <w:jc w:val="right"/>
              <w:rPr>
                <w:rFonts w:ascii="Calibri" w:hAnsi="Calibri" w:cs="Calibri"/>
                <w:sz w:val="20"/>
                <w:szCs w:val="20"/>
              </w:rPr>
            </w:pPr>
            <w:r w:rsidRPr="000114E3">
              <w:rPr>
                <w:rFonts w:ascii="Calibri" w:hAnsi="Calibri" w:cs="Calibri"/>
                <w:sz w:val="20"/>
                <w:szCs w:val="20"/>
              </w:rPr>
              <w:t>0</w:t>
            </w:r>
          </w:p>
        </w:tc>
        <w:tc>
          <w:tcPr>
            <w:tcW w:w="1218" w:type="dxa"/>
          </w:tcPr>
          <w:p w14:paraId="47A36DE1" w14:textId="35A4374C" w:rsidR="00DA3BDF" w:rsidRPr="000114E3" w:rsidRDefault="00DA3BDF" w:rsidP="003B4B50">
            <w:pPr>
              <w:jc w:val="right"/>
              <w:rPr>
                <w:rFonts w:ascii="Calibri" w:hAnsi="Calibri" w:cs="Calibri"/>
                <w:sz w:val="20"/>
                <w:szCs w:val="20"/>
              </w:rPr>
            </w:pPr>
            <w:r w:rsidRPr="000114E3">
              <w:rPr>
                <w:rFonts w:ascii="Calibri" w:hAnsi="Calibri" w:cs="Calibri"/>
                <w:sz w:val="20"/>
                <w:szCs w:val="20"/>
              </w:rPr>
              <w:t>0</w:t>
            </w:r>
          </w:p>
        </w:tc>
        <w:tc>
          <w:tcPr>
            <w:tcW w:w="1218" w:type="dxa"/>
          </w:tcPr>
          <w:p w14:paraId="63BB37B0" w14:textId="77EA3406" w:rsidR="00DA3BDF" w:rsidRPr="000114E3" w:rsidRDefault="00DA3BDF" w:rsidP="003B4B50">
            <w:pPr>
              <w:jc w:val="right"/>
              <w:rPr>
                <w:rFonts w:ascii="Calibri" w:hAnsi="Calibri" w:cs="Calibri"/>
                <w:sz w:val="20"/>
                <w:szCs w:val="20"/>
              </w:rPr>
            </w:pPr>
            <w:r w:rsidRPr="000114E3">
              <w:rPr>
                <w:rFonts w:ascii="Calibri" w:hAnsi="Calibri" w:cs="Calibri"/>
                <w:sz w:val="20"/>
                <w:szCs w:val="20"/>
              </w:rPr>
              <w:t>0</w:t>
            </w:r>
          </w:p>
        </w:tc>
        <w:tc>
          <w:tcPr>
            <w:tcW w:w="1218" w:type="dxa"/>
          </w:tcPr>
          <w:p w14:paraId="20544ACF" w14:textId="6EDACD14" w:rsidR="00DA3BDF" w:rsidRPr="000114E3" w:rsidRDefault="00DA3BDF" w:rsidP="003B4B50">
            <w:pPr>
              <w:jc w:val="right"/>
              <w:rPr>
                <w:rFonts w:ascii="Calibri" w:hAnsi="Calibri" w:cs="Calibri"/>
                <w:sz w:val="20"/>
                <w:szCs w:val="20"/>
              </w:rPr>
            </w:pPr>
            <w:r w:rsidRPr="000114E3">
              <w:rPr>
                <w:rFonts w:ascii="Calibri" w:hAnsi="Calibri" w:cs="Calibri"/>
                <w:sz w:val="20"/>
                <w:szCs w:val="20"/>
              </w:rPr>
              <w:t>0</w:t>
            </w:r>
          </w:p>
        </w:tc>
        <w:tc>
          <w:tcPr>
            <w:tcW w:w="1218" w:type="dxa"/>
          </w:tcPr>
          <w:p w14:paraId="5CC6A1F1" w14:textId="5AFA5EB1" w:rsidR="00DA3BDF" w:rsidRPr="000114E3" w:rsidRDefault="00DA3BDF" w:rsidP="003B4B50">
            <w:pPr>
              <w:jc w:val="right"/>
              <w:rPr>
                <w:rFonts w:ascii="Calibri" w:hAnsi="Calibri" w:cs="Calibri"/>
                <w:sz w:val="20"/>
                <w:szCs w:val="20"/>
              </w:rPr>
            </w:pPr>
            <w:r w:rsidRPr="000114E3">
              <w:rPr>
                <w:rFonts w:ascii="Calibri" w:hAnsi="Calibri" w:cs="Calibri"/>
                <w:sz w:val="20"/>
                <w:szCs w:val="20"/>
              </w:rPr>
              <w:t>0</w:t>
            </w:r>
          </w:p>
        </w:tc>
      </w:tr>
    </w:tbl>
    <w:p w14:paraId="05CF70BE" w14:textId="6079727F" w:rsidR="00D328F7" w:rsidRDefault="00D328F7" w:rsidP="00E57452">
      <w:pPr>
        <w:pStyle w:val="Caption"/>
        <w:jc w:val="center"/>
      </w:pPr>
      <w:bookmarkStart w:id="76" w:name="_Ref195441785"/>
    </w:p>
    <w:p w14:paraId="2E2A57BE" w14:textId="77777777" w:rsidR="00D328F7" w:rsidRDefault="00D328F7">
      <w:pPr>
        <w:spacing w:after="200" w:line="288" w:lineRule="auto"/>
        <w:jc w:val="left"/>
        <w:rPr>
          <w:b/>
          <w:bCs/>
          <w:smallCaps/>
          <w:color w:val="4D759C" w:themeColor="text1" w:themeTint="A6"/>
        </w:rPr>
      </w:pPr>
      <w:r>
        <w:br w:type="page"/>
      </w:r>
    </w:p>
    <w:p w14:paraId="62390942" w14:textId="2FA55675" w:rsidR="001A38E7" w:rsidRDefault="001A38E7" w:rsidP="00E57452">
      <w:pPr>
        <w:pStyle w:val="Caption"/>
        <w:jc w:val="center"/>
      </w:pPr>
      <w:bookmarkStart w:id="77" w:name="_Toc196745447"/>
      <w:r>
        <w:lastRenderedPageBreak/>
        <w:t xml:space="preserve">Table </w:t>
      </w:r>
      <w:r w:rsidR="0042496D">
        <w:fldChar w:fldCharType="begin"/>
      </w:r>
      <w:r w:rsidR="0042496D">
        <w:instrText xml:space="preserve"> SEQ Table \* ARABIC </w:instrText>
      </w:r>
      <w:r w:rsidR="0042496D">
        <w:fldChar w:fldCharType="separate"/>
      </w:r>
      <w:r w:rsidR="002271EC">
        <w:rPr>
          <w:noProof/>
        </w:rPr>
        <w:t>5</w:t>
      </w:r>
      <w:r w:rsidR="0042496D">
        <w:rPr>
          <w:noProof/>
        </w:rPr>
        <w:fldChar w:fldCharType="end"/>
      </w:r>
      <w:bookmarkEnd w:id="76"/>
      <w:r w:rsidR="00766DCA">
        <w:t xml:space="preserve"> </w:t>
      </w:r>
      <w:r w:rsidR="00BE3D43">
        <w:t>Estimate of total regulatory burden</w:t>
      </w:r>
      <w:bookmarkEnd w:id="77"/>
    </w:p>
    <w:tbl>
      <w:tblPr>
        <w:tblStyle w:val="TableGrid"/>
        <w:tblW w:w="0" w:type="auto"/>
        <w:tblInd w:w="279" w:type="dxa"/>
        <w:tblLayout w:type="fixed"/>
        <w:tblLook w:val="04A0" w:firstRow="1" w:lastRow="0" w:firstColumn="1" w:lastColumn="0" w:noHBand="0" w:noVBand="1"/>
      </w:tblPr>
      <w:tblGrid>
        <w:gridCol w:w="3087"/>
        <w:gridCol w:w="1168"/>
        <w:gridCol w:w="1169"/>
        <w:gridCol w:w="1168"/>
        <w:gridCol w:w="1169"/>
        <w:gridCol w:w="1169"/>
      </w:tblGrid>
      <w:tr w:rsidR="001A38E7" w:rsidRPr="000114E3" w14:paraId="7B192160" w14:textId="77777777" w:rsidTr="00E57452">
        <w:trPr>
          <w:trHeight w:val="491"/>
        </w:trPr>
        <w:tc>
          <w:tcPr>
            <w:tcW w:w="3087" w:type="dxa"/>
            <w:noWrap/>
            <w:hideMark/>
          </w:tcPr>
          <w:p w14:paraId="2B47FAE1" w14:textId="33094572" w:rsidR="001A38E7" w:rsidRPr="000114E3" w:rsidRDefault="001A38E7" w:rsidP="001A38E7">
            <w:pPr>
              <w:rPr>
                <w:rFonts w:ascii="Calibri" w:hAnsi="Calibri" w:cs="Calibri"/>
                <w:sz w:val="20"/>
                <w:szCs w:val="20"/>
              </w:rPr>
            </w:pPr>
          </w:p>
        </w:tc>
        <w:tc>
          <w:tcPr>
            <w:tcW w:w="1168" w:type="dxa"/>
            <w:noWrap/>
            <w:hideMark/>
          </w:tcPr>
          <w:p w14:paraId="03704DA1" w14:textId="5E24DFD9" w:rsidR="001A38E7" w:rsidRPr="000114E3" w:rsidRDefault="001A38E7" w:rsidP="00E57452">
            <w:pPr>
              <w:jc w:val="center"/>
              <w:rPr>
                <w:rFonts w:ascii="Calibri" w:hAnsi="Calibri" w:cs="Calibri"/>
                <w:sz w:val="20"/>
                <w:szCs w:val="20"/>
              </w:rPr>
            </w:pPr>
            <w:r w:rsidRPr="000114E3">
              <w:rPr>
                <w:rFonts w:ascii="Calibri" w:hAnsi="Calibri" w:cs="Calibri"/>
                <w:sz w:val="20"/>
                <w:szCs w:val="20"/>
              </w:rPr>
              <w:t>Option 2</w:t>
            </w:r>
            <w:r w:rsidR="003B4B50" w:rsidRPr="000114E3">
              <w:rPr>
                <w:rFonts w:ascii="Calibri" w:hAnsi="Calibri" w:cs="Calibri"/>
                <w:sz w:val="20"/>
                <w:szCs w:val="20"/>
              </w:rPr>
              <w:br/>
              <w:t>$M PV</w:t>
            </w:r>
          </w:p>
        </w:tc>
        <w:tc>
          <w:tcPr>
            <w:tcW w:w="1169" w:type="dxa"/>
            <w:noWrap/>
            <w:hideMark/>
          </w:tcPr>
          <w:p w14:paraId="065EBC55" w14:textId="633FE873" w:rsidR="003B4B50" w:rsidRPr="000114E3" w:rsidRDefault="001A38E7" w:rsidP="00E57452">
            <w:pPr>
              <w:jc w:val="center"/>
              <w:rPr>
                <w:rFonts w:ascii="Calibri" w:hAnsi="Calibri" w:cs="Calibri"/>
                <w:sz w:val="20"/>
                <w:szCs w:val="20"/>
              </w:rPr>
            </w:pPr>
            <w:r w:rsidRPr="000114E3">
              <w:rPr>
                <w:rFonts w:ascii="Calibri" w:hAnsi="Calibri" w:cs="Calibri"/>
                <w:sz w:val="20"/>
                <w:szCs w:val="20"/>
              </w:rPr>
              <w:t>Option 3A</w:t>
            </w:r>
            <w:r w:rsidR="003B4B50" w:rsidRPr="000114E3">
              <w:rPr>
                <w:rFonts w:ascii="Calibri" w:hAnsi="Calibri" w:cs="Calibri"/>
                <w:sz w:val="20"/>
                <w:szCs w:val="20"/>
              </w:rPr>
              <w:br/>
              <w:t>$M PV</w:t>
            </w:r>
          </w:p>
        </w:tc>
        <w:tc>
          <w:tcPr>
            <w:tcW w:w="1168" w:type="dxa"/>
            <w:noWrap/>
            <w:hideMark/>
          </w:tcPr>
          <w:p w14:paraId="7B6BCE1C" w14:textId="3B750496" w:rsidR="001A38E7" w:rsidRPr="000114E3" w:rsidRDefault="001A38E7" w:rsidP="00E57452">
            <w:pPr>
              <w:jc w:val="center"/>
              <w:rPr>
                <w:rFonts w:ascii="Calibri" w:hAnsi="Calibri" w:cs="Calibri"/>
                <w:sz w:val="20"/>
                <w:szCs w:val="20"/>
              </w:rPr>
            </w:pPr>
            <w:r w:rsidRPr="000114E3">
              <w:rPr>
                <w:rFonts w:ascii="Calibri" w:hAnsi="Calibri" w:cs="Calibri"/>
                <w:sz w:val="20"/>
                <w:szCs w:val="20"/>
              </w:rPr>
              <w:t>Option 3B</w:t>
            </w:r>
            <w:r w:rsidR="003B4B50" w:rsidRPr="000114E3">
              <w:rPr>
                <w:rFonts w:ascii="Calibri" w:hAnsi="Calibri" w:cs="Calibri"/>
                <w:sz w:val="20"/>
                <w:szCs w:val="20"/>
              </w:rPr>
              <w:br/>
              <w:t>$M PV</w:t>
            </w:r>
          </w:p>
        </w:tc>
        <w:tc>
          <w:tcPr>
            <w:tcW w:w="1169" w:type="dxa"/>
            <w:noWrap/>
            <w:hideMark/>
          </w:tcPr>
          <w:p w14:paraId="71CF0214" w14:textId="31263B19" w:rsidR="001A38E7" w:rsidRPr="000114E3" w:rsidRDefault="001A38E7" w:rsidP="00E57452">
            <w:pPr>
              <w:jc w:val="center"/>
              <w:rPr>
                <w:rFonts w:ascii="Calibri" w:hAnsi="Calibri" w:cs="Calibri"/>
                <w:sz w:val="20"/>
                <w:szCs w:val="20"/>
              </w:rPr>
            </w:pPr>
            <w:r w:rsidRPr="000114E3">
              <w:rPr>
                <w:rFonts w:ascii="Calibri" w:hAnsi="Calibri" w:cs="Calibri"/>
                <w:sz w:val="20"/>
                <w:szCs w:val="20"/>
              </w:rPr>
              <w:t>Option 4A</w:t>
            </w:r>
            <w:r w:rsidR="003B4B50" w:rsidRPr="000114E3">
              <w:rPr>
                <w:rFonts w:ascii="Calibri" w:hAnsi="Calibri" w:cs="Calibri"/>
                <w:sz w:val="20"/>
                <w:szCs w:val="20"/>
              </w:rPr>
              <w:br/>
              <w:t>$M PV</w:t>
            </w:r>
          </w:p>
        </w:tc>
        <w:tc>
          <w:tcPr>
            <w:tcW w:w="1169" w:type="dxa"/>
            <w:noWrap/>
            <w:hideMark/>
          </w:tcPr>
          <w:p w14:paraId="2D8FA77D" w14:textId="30E031B3" w:rsidR="001A38E7" w:rsidRPr="000114E3" w:rsidRDefault="001A38E7" w:rsidP="00E57452">
            <w:pPr>
              <w:jc w:val="center"/>
              <w:rPr>
                <w:rFonts w:ascii="Calibri" w:hAnsi="Calibri" w:cs="Calibri"/>
                <w:sz w:val="20"/>
                <w:szCs w:val="20"/>
              </w:rPr>
            </w:pPr>
            <w:r w:rsidRPr="000114E3">
              <w:rPr>
                <w:rFonts w:ascii="Calibri" w:hAnsi="Calibri" w:cs="Calibri"/>
                <w:sz w:val="20"/>
                <w:szCs w:val="20"/>
              </w:rPr>
              <w:t>Option 4B</w:t>
            </w:r>
            <w:r w:rsidR="003B4B50" w:rsidRPr="000114E3">
              <w:rPr>
                <w:rFonts w:ascii="Calibri" w:hAnsi="Calibri" w:cs="Calibri"/>
                <w:sz w:val="20"/>
                <w:szCs w:val="20"/>
              </w:rPr>
              <w:br/>
              <w:t>$M PV</w:t>
            </w:r>
          </w:p>
        </w:tc>
      </w:tr>
      <w:tr w:rsidR="001A38E7" w:rsidRPr="000114E3" w14:paraId="61686C26" w14:textId="77777777" w:rsidTr="00E57452">
        <w:trPr>
          <w:trHeight w:val="270"/>
        </w:trPr>
        <w:tc>
          <w:tcPr>
            <w:tcW w:w="3087" w:type="dxa"/>
            <w:noWrap/>
            <w:hideMark/>
          </w:tcPr>
          <w:p w14:paraId="0E225E35" w14:textId="22CFBCF3" w:rsidR="001A38E7" w:rsidRPr="000114E3" w:rsidRDefault="001A38E7">
            <w:pPr>
              <w:rPr>
                <w:rFonts w:ascii="Calibri" w:hAnsi="Calibri" w:cs="Calibri"/>
                <w:sz w:val="20"/>
                <w:szCs w:val="20"/>
              </w:rPr>
            </w:pPr>
            <w:r w:rsidRPr="000114E3">
              <w:rPr>
                <w:rFonts w:ascii="Calibri" w:hAnsi="Calibri" w:cs="Calibri"/>
                <w:sz w:val="20"/>
                <w:szCs w:val="20"/>
              </w:rPr>
              <w:t>Administrative costs</w:t>
            </w:r>
          </w:p>
        </w:tc>
        <w:tc>
          <w:tcPr>
            <w:tcW w:w="1168" w:type="dxa"/>
            <w:noWrap/>
            <w:hideMark/>
          </w:tcPr>
          <w:p w14:paraId="5784D452"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0.78</w:t>
            </w:r>
          </w:p>
        </w:tc>
        <w:tc>
          <w:tcPr>
            <w:tcW w:w="1169" w:type="dxa"/>
            <w:noWrap/>
            <w:hideMark/>
          </w:tcPr>
          <w:p w14:paraId="1DD2290E"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1.41</w:t>
            </w:r>
          </w:p>
        </w:tc>
        <w:tc>
          <w:tcPr>
            <w:tcW w:w="1168" w:type="dxa"/>
            <w:noWrap/>
            <w:hideMark/>
          </w:tcPr>
          <w:p w14:paraId="227DBAB4"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1.56</w:t>
            </w:r>
          </w:p>
        </w:tc>
        <w:tc>
          <w:tcPr>
            <w:tcW w:w="1169" w:type="dxa"/>
            <w:noWrap/>
            <w:hideMark/>
          </w:tcPr>
          <w:p w14:paraId="4C706335"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1.27</w:t>
            </w:r>
          </w:p>
        </w:tc>
        <w:tc>
          <w:tcPr>
            <w:tcW w:w="1169" w:type="dxa"/>
            <w:noWrap/>
            <w:hideMark/>
          </w:tcPr>
          <w:p w14:paraId="0E9ABD9A"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1.41</w:t>
            </w:r>
          </w:p>
        </w:tc>
      </w:tr>
      <w:tr w:rsidR="001A38E7" w:rsidRPr="000114E3" w14:paraId="5DB539A6" w14:textId="77777777" w:rsidTr="00E57452">
        <w:trPr>
          <w:trHeight w:val="235"/>
        </w:trPr>
        <w:tc>
          <w:tcPr>
            <w:tcW w:w="3087" w:type="dxa"/>
            <w:noWrap/>
            <w:hideMark/>
          </w:tcPr>
          <w:p w14:paraId="7E09D846" w14:textId="40F5F797" w:rsidR="001A38E7" w:rsidRPr="000114E3" w:rsidRDefault="001A38E7" w:rsidP="001A38E7">
            <w:pPr>
              <w:rPr>
                <w:rFonts w:ascii="Calibri" w:hAnsi="Calibri" w:cs="Calibri"/>
                <w:sz w:val="20"/>
                <w:szCs w:val="20"/>
              </w:rPr>
            </w:pPr>
            <w:r w:rsidRPr="000114E3">
              <w:rPr>
                <w:rFonts w:ascii="Calibri" w:hAnsi="Calibri" w:cs="Calibri"/>
                <w:sz w:val="20"/>
                <w:szCs w:val="20"/>
              </w:rPr>
              <w:t>Substantive compliance costs</w:t>
            </w:r>
          </w:p>
        </w:tc>
        <w:tc>
          <w:tcPr>
            <w:tcW w:w="1168" w:type="dxa"/>
            <w:noWrap/>
            <w:hideMark/>
          </w:tcPr>
          <w:p w14:paraId="5ABAF9E7"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0</w:t>
            </w:r>
          </w:p>
        </w:tc>
        <w:tc>
          <w:tcPr>
            <w:tcW w:w="1169" w:type="dxa"/>
            <w:noWrap/>
            <w:hideMark/>
          </w:tcPr>
          <w:p w14:paraId="5211F227"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1.08</w:t>
            </w:r>
          </w:p>
        </w:tc>
        <w:tc>
          <w:tcPr>
            <w:tcW w:w="1168" w:type="dxa"/>
            <w:noWrap/>
            <w:hideMark/>
          </w:tcPr>
          <w:p w14:paraId="158396D7"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1.19</w:t>
            </w:r>
          </w:p>
        </w:tc>
        <w:tc>
          <w:tcPr>
            <w:tcW w:w="1169" w:type="dxa"/>
            <w:noWrap/>
            <w:hideMark/>
          </w:tcPr>
          <w:p w14:paraId="743E7352"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0.98</w:t>
            </w:r>
          </w:p>
        </w:tc>
        <w:tc>
          <w:tcPr>
            <w:tcW w:w="1169" w:type="dxa"/>
            <w:noWrap/>
            <w:hideMark/>
          </w:tcPr>
          <w:p w14:paraId="1ADAF9FE"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1.08</w:t>
            </w:r>
          </w:p>
        </w:tc>
      </w:tr>
      <w:tr w:rsidR="001A38E7" w:rsidRPr="000114E3" w14:paraId="1B0D3050" w14:textId="77777777" w:rsidTr="00E57452">
        <w:trPr>
          <w:trHeight w:val="341"/>
        </w:trPr>
        <w:tc>
          <w:tcPr>
            <w:tcW w:w="3087" w:type="dxa"/>
            <w:noWrap/>
            <w:hideMark/>
          </w:tcPr>
          <w:p w14:paraId="0C716DE0" w14:textId="77777777" w:rsidR="001A38E7" w:rsidRPr="000114E3" w:rsidRDefault="001A38E7" w:rsidP="001A38E7">
            <w:pPr>
              <w:rPr>
                <w:rFonts w:ascii="Calibri" w:hAnsi="Calibri" w:cs="Calibri"/>
                <w:sz w:val="20"/>
                <w:szCs w:val="20"/>
              </w:rPr>
            </w:pPr>
            <w:r w:rsidRPr="000114E3">
              <w:rPr>
                <w:rFonts w:ascii="Calibri" w:hAnsi="Calibri" w:cs="Calibri"/>
                <w:sz w:val="20"/>
                <w:szCs w:val="20"/>
              </w:rPr>
              <w:t>Delay costs</w:t>
            </w:r>
          </w:p>
        </w:tc>
        <w:tc>
          <w:tcPr>
            <w:tcW w:w="1168" w:type="dxa"/>
            <w:noWrap/>
            <w:hideMark/>
          </w:tcPr>
          <w:p w14:paraId="7690D24F"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0</w:t>
            </w:r>
          </w:p>
        </w:tc>
        <w:tc>
          <w:tcPr>
            <w:tcW w:w="1169" w:type="dxa"/>
            <w:noWrap/>
            <w:hideMark/>
          </w:tcPr>
          <w:p w14:paraId="2CE119C9"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0</w:t>
            </w:r>
          </w:p>
        </w:tc>
        <w:tc>
          <w:tcPr>
            <w:tcW w:w="1168" w:type="dxa"/>
            <w:noWrap/>
            <w:hideMark/>
          </w:tcPr>
          <w:p w14:paraId="52A6FBE0"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0</w:t>
            </w:r>
          </w:p>
        </w:tc>
        <w:tc>
          <w:tcPr>
            <w:tcW w:w="1169" w:type="dxa"/>
            <w:noWrap/>
            <w:hideMark/>
          </w:tcPr>
          <w:p w14:paraId="6B19A1A1"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0</w:t>
            </w:r>
          </w:p>
        </w:tc>
        <w:tc>
          <w:tcPr>
            <w:tcW w:w="1169" w:type="dxa"/>
            <w:noWrap/>
            <w:hideMark/>
          </w:tcPr>
          <w:p w14:paraId="515A94D9"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0</w:t>
            </w:r>
          </w:p>
        </w:tc>
      </w:tr>
      <w:tr w:rsidR="001A38E7" w:rsidRPr="000114E3" w14:paraId="5EDC14FC" w14:textId="77777777" w:rsidTr="00E57452">
        <w:trPr>
          <w:trHeight w:val="305"/>
        </w:trPr>
        <w:tc>
          <w:tcPr>
            <w:tcW w:w="3087" w:type="dxa"/>
            <w:noWrap/>
            <w:hideMark/>
          </w:tcPr>
          <w:p w14:paraId="64031A9E" w14:textId="77777777" w:rsidR="001A38E7" w:rsidRPr="000114E3" w:rsidRDefault="001A38E7" w:rsidP="001A38E7">
            <w:pPr>
              <w:rPr>
                <w:rFonts w:ascii="Calibri" w:hAnsi="Calibri" w:cs="Calibri"/>
                <w:sz w:val="20"/>
                <w:szCs w:val="20"/>
              </w:rPr>
            </w:pPr>
            <w:r w:rsidRPr="000114E3">
              <w:rPr>
                <w:rFonts w:ascii="Calibri" w:hAnsi="Calibri" w:cs="Calibri"/>
                <w:sz w:val="20"/>
                <w:szCs w:val="20"/>
              </w:rPr>
              <w:t>Total $M</w:t>
            </w:r>
          </w:p>
        </w:tc>
        <w:tc>
          <w:tcPr>
            <w:tcW w:w="1168" w:type="dxa"/>
            <w:noWrap/>
            <w:hideMark/>
          </w:tcPr>
          <w:p w14:paraId="66210A05"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0.78</w:t>
            </w:r>
          </w:p>
        </w:tc>
        <w:tc>
          <w:tcPr>
            <w:tcW w:w="1169" w:type="dxa"/>
            <w:noWrap/>
            <w:hideMark/>
          </w:tcPr>
          <w:p w14:paraId="1C8A4DDE"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2.49</w:t>
            </w:r>
          </w:p>
        </w:tc>
        <w:tc>
          <w:tcPr>
            <w:tcW w:w="1168" w:type="dxa"/>
            <w:noWrap/>
            <w:hideMark/>
          </w:tcPr>
          <w:p w14:paraId="00D9EE48"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2.74</w:t>
            </w:r>
          </w:p>
        </w:tc>
        <w:tc>
          <w:tcPr>
            <w:tcW w:w="1169" w:type="dxa"/>
            <w:noWrap/>
            <w:hideMark/>
          </w:tcPr>
          <w:p w14:paraId="4396EF36"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2.25</w:t>
            </w:r>
          </w:p>
        </w:tc>
        <w:tc>
          <w:tcPr>
            <w:tcW w:w="1169" w:type="dxa"/>
            <w:noWrap/>
            <w:hideMark/>
          </w:tcPr>
          <w:p w14:paraId="1063C728" w14:textId="77777777" w:rsidR="001A38E7" w:rsidRPr="000114E3" w:rsidRDefault="001A38E7" w:rsidP="00E57452">
            <w:pPr>
              <w:jc w:val="right"/>
              <w:rPr>
                <w:rFonts w:ascii="Calibri" w:hAnsi="Calibri" w:cs="Calibri"/>
                <w:sz w:val="20"/>
                <w:szCs w:val="20"/>
              </w:rPr>
            </w:pPr>
            <w:r w:rsidRPr="000114E3">
              <w:rPr>
                <w:rFonts w:ascii="Calibri" w:hAnsi="Calibri" w:cs="Calibri"/>
                <w:sz w:val="20"/>
                <w:szCs w:val="20"/>
              </w:rPr>
              <w:t>2.49</w:t>
            </w:r>
          </w:p>
        </w:tc>
      </w:tr>
    </w:tbl>
    <w:p w14:paraId="201A66FE" w14:textId="410A8EF4" w:rsidR="001A38E7" w:rsidRDefault="003B4B50" w:rsidP="003B4B50">
      <w:pPr>
        <w:jc w:val="center"/>
        <w:rPr>
          <w:sz w:val="20"/>
          <w:szCs w:val="20"/>
        </w:rPr>
      </w:pPr>
      <w:r w:rsidRPr="00E57452">
        <w:rPr>
          <w:sz w:val="20"/>
          <w:szCs w:val="20"/>
        </w:rPr>
        <w:t>PV is present value of regulatory burden</w:t>
      </w:r>
      <w:r w:rsidR="00647A25">
        <w:rPr>
          <w:sz w:val="20"/>
          <w:szCs w:val="20"/>
        </w:rPr>
        <w:t xml:space="preserve"> over period </w:t>
      </w:r>
      <w:r w:rsidRPr="00E57452">
        <w:rPr>
          <w:sz w:val="20"/>
          <w:szCs w:val="20"/>
        </w:rPr>
        <w:t>2025-2040 at discount rate of 7%</w:t>
      </w:r>
    </w:p>
    <w:p w14:paraId="0DFA2313" w14:textId="77777777" w:rsidR="00D328F7" w:rsidRDefault="00D328F7" w:rsidP="00E57452">
      <w:pPr>
        <w:pStyle w:val="Caption"/>
        <w:jc w:val="center"/>
      </w:pPr>
      <w:bookmarkStart w:id="78" w:name="_Ref195442340"/>
    </w:p>
    <w:p w14:paraId="6557804A" w14:textId="44AECD3A" w:rsidR="00BE3D43" w:rsidRPr="00E57452" w:rsidRDefault="00BE3D43" w:rsidP="00E57452">
      <w:pPr>
        <w:pStyle w:val="Caption"/>
        <w:jc w:val="center"/>
        <w:rPr>
          <w:sz w:val="20"/>
          <w:szCs w:val="20"/>
        </w:rPr>
      </w:pPr>
      <w:bookmarkStart w:id="79" w:name="_Toc196745448"/>
      <w:r>
        <w:t xml:space="preserve">Table </w:t>
      </w:r>
      <w:r w:rsidR="0042496D">
        <w:fldChar w:fldCharType="begin"/>
      </w:r>
      <w:r w:rsidR="0042496D">
        <w:instrText xml:space="preserve"> SEQ Table \* ARABIC </w:instrText>
      </w:r>
      <w:r w:rsidR="0042496D">
        <w:fldChar w:fldCharType="separate"/>
      </w:r>
      <w:r w:rsidR="002271EC">
        <w:rPr>
          <w:noProof/>
        </w:rPr>
        <w:t>6</w:t>
      </w:r>
      <w:r w:rsidR="0042496D">
        <w:rPr>
          <w:noProof/>
        </w:rPr>
        <w:fldChar w:fldCharType="end"/>
      </w:r>
      <w:bookmarkEnd w:id="78"/>
      <w:r>
        <w:t xml:space="preserve"> </w:t>
      </w:r>
      <w:r w:rsidRPr="00BE3D43">
        <w:t>Change in costs ($ million)</w:t>
      </w:r>
      <w:r>
        <w:t xml:space="preserve"> by sector</w:t>
      </w:r>
      <w:bookmarkEnd w:id="79"/>
    </w:p>
    <w:tbl>
      <w:tblPr>
        <w:tblW w:w="0" w:type="auto"/>
        <w:tblBorders>
          <w:top w:val="single" w:sz="4" w:space="0" w:color="auto"/>
          <w:left w:val="single" w:sz="4" w:space="0" w:color="auto"/>
          <w:bottom w:val="single" w:sz="4" w:space="0" w:color="auto"/>
          <w:right w:val="single" w:sz="4" w:space="0" w:color="auto"/>
          <w:insideH w:val="single" w:sz="4" w:space="0" w:color="1C2B39" w:themeColor="accent1"/>
        </w:tblBorders>
        <w:tblLook w:val="04A0" w:firstRow="1" w:lastRow="0" w:firstColumn="1" w:lastColumn="0" w:noHBand="0" w:noVBand="1"/>
      </w:tblPr>
      <w:tblGrid>
        <w:gridCol w:w="1925"/>
        <w:gridCol w:w="1925"/>
        <w:gridCol w:w="1926"/>
        <w:gridCol w:w="1926"/>
        <w:gridCol w:w="1926"/>
      </w:tblGrid>
      <w:tr w:rsidR="00BE3D43" w:rsidRPr="000114E3" w14:paraId="7CAEA0BE" w14:textId="77777777" w:rsidTr="00E57452">
        <w:trPr>
          <w:tblHeader/>
        </w:trPr>
        <w:tc>
          <w:tcPr>
            <w:tcW w:w="1925" w:type="dxa"/>
            <w:hideMark/>
          </w:tcPr>
          <w:p w14:paraId="2E05EE0D" w14:textId="5C7D85CF" w:rsidR="00BE3D43" w:rsidRPr="000114E3" w:rsidRDefault="00BE3D43" w:rsidP="00BE3D43">
            <w:pPr>
              <w:rPr>
                <w:rFonts w:ascii="Calibri" w:hAnsi="Calibri" w:cs="Calibri"/>
                <w:bCs/>
                <w:sz w:val="20"/>
                <w:szCs w:val="20"/>
              </w:rPr>
            </w:pPr>
          </w:p>
        </w:tc>
        <w:tc>
          <w:tcPr>
            <w:tcW w:w="1925" w:type="dxa"/>
            <w:hideMark/>
          </w:tcPr>
          <w:p w14:paraId="348A21F8" w14:textId="34E05848"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Business</w:t>
            </w:r>
            <w:r w:rsidRPr="000114E3">
              <w:rPr>
                <w:rFonts w:ascii="Calibri" w:hAnsi="Calibri" w:cs="Calibri"/>
                <w:bCs/>
                <w:sz w:val="20"/>
                <w:szCs w:val="20"/>
              </w:rPr>
              <w:br/>
              <w:t>$M PV</w:t>
            </w:r>
          </w:p>
        </w:tc>
        <w:tc>
          <w:tcPr>
            <w:tcW w:w="1926" w:type="dxa"/>
            <w:hideMark/>
          </w:tcPr>
          <w:p w14:paraId="3245F83E" w14:textId="04F3BBC9"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Community organisations</w:t>
            </w:r>
            <w:r w:rsidRPr="000114E3">
              <w:rPr>
                <w:rFonts w:ascii="Calibri" w:hAnsi="Calibri" w:cs="Calibri"/>
                <w:bCs/>
                <w:sz w:val="20"/>
                <w:szCs w:val="20"/>
              </w:rPr>
              <w:br/>
              <w:t>$M PV</w:t>
            </w:r>
          </w:p>
        </w:tc>
        <w:tc>
          <w:tcPr>
            <w:tcW w:w="1926" w:type="dxa"/>
            <w:hideMark/>
          </w:tcPr>
          <w:p w14:paraId="41513180" w14:textId="263DCFBD"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Individuals</w:t>
            </w:r>
            <w:r w:rsidRPr="000114E3">
              <w:rPr>
                <w:rFonts w:ascii="Calibri" w:hAnsi="Calibri" w:cs="Calibri"/>
                <w:bCs/>
                <w:sz w:val="20"/>
                <w:szCs w:val="20"/>
              </w:rPr>
              <w:br/>
              <w:t>$M PV</w:t>
            </w:r>
          </w:p>
        </w:tc>
        <w:tc>
          <w:tcPr>
            <w:tcW w:w="1926" w:type="dxa"/>
            <w:hideMark/>
          </w:tcPr>
          <w:p w14:paraId="62E4C035" w14:textId="75856AD4"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Total change in costs</w:t>
            </w:r>
            <w:r w:rsidRPr="000114E3">
              <w:rPr>
                <w:rFonts w:ascii="Calibri" w:hAnsi="Calibri" w:cs="Calibri"/>
                <w:bCs/>
                <w:sz w:val="20"/>
                <w:szCs w:val="20"/>
              </w:rPr>
              <w:br/>
              <w:t>$M PV</w:t>
            </w:r>
          </w:p>
        </w:tc>
      </w:tr>
      <w:tr w:rsidR="00BE3D43" w:rsidRPr="000114E3" w14:paraId="0667E19A" w14:textId="77777777" w:rsidTr="00E57452">
        <w:tc>
          <w:tcPr>
            <w:tcW w:w="1925" w:type="dxa"/>
            <w:shd w:val="clear" w:color="auto" w:fill="FFFFFF" w:themeFill="background2"/>
          </w:tcPr>
          <w:p w14:paraId="5259A404" w14:textId="09BBB40D" w:rsidR="00BE3D43" w:rsidRPr="000114E3" w:rsidRDefault="00BE3D43" w:rsidP="00BE3D43">
            <w:pPr>
              <w:rPr>
                <w:rFonts w:ascii="Calibri" w:hAnsi="Calibri" w:cs="Calibri"/>
                <w:bCs/>
                <w:sz w:val="20"/>
                <w:szCs w:val="20"/>
              </w:rPr>
            </w:pPr>
            <w:r w:rsidRPr="000114E3">
              <w:rPr>
                <w:rFonts w:ascii="Calibri" w:hAnsi="Calibri" w:cs="Calibri"/>
                <w:bCs/>
                <w:sz w:val="20"/>
                <w:szCs w:val="20"/>
              </w:rPr>
              <w:t>Option 2</w:t>
            </w:r>
          </w:p>
        </w:tc>
        <w:tc>
          <w:tcPr>
            <w:tcW w:w="1925" w:type="dxa"/>
            <w:shd w:val="clear" w:color="auto" w:fill="FFFFFF" w:themeFill="background2"/>
          </w:tcPr>
          <w:p w14:paraId="53F60531" w14:textId="64ADDDD5"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0.78</w:t>
            </w:r>
          </w:p>
        </w:tc>
        <w:tc>
          <w:tcPr>
            <w:tcW w:w="1926" w:type="dxa"/>
            <w:shd w:val="clear" w:color="auto" w:fill="FFFFFF" w:themeFill="background2"/>
          </w:tcPr>
          <w:p w14:paraId="20321D8B" w14:textId="06BD78A4"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tcPr>
          <w:p w14:paraId="3DA410D3" w14:textId="2DC9D265"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tcPr>
          <w:p w14:paraId="5A263263" w14:textId="369A2B50"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0.78</w:t>
            </w:r>
          </w:p>
        </w:tc>
      </w:tr>
      <w:tr w:rsidR="00BE3D43" w:rsidRPr="000114E3" w14:paraId="556F72DC" w14:textId="77777777" w:rsidTr="00E57452">
        <w:tc>
          <w:tcPr>
            <w:tcW w:w="1925" w:type="dxa"/>
            <w:shd w:val="clear" w:color="auto" w:fill="FFFFFF" w:themeFill="background2"/>
          </w:tcPr>
          <w:p w14:paraId="538D37BA" w14:textId="701A7699" w:rsidR="00BE3D43" w:rsidRPr="000114E3" w:rsidRDefault="00BE3D43" w:rsidP="00BE3D43">
            <w:pPr>
              <w:rPr>
                <w:rFonts w:ascii="Calibri" w:hAnsi="Calibri" w:cs="Calibri"/>
                <w:bCs/>
                <w:sz w:val="20"/>
                <w:szCs w:val="20"/>
              </w:rPr>
            </w:pPr>
            <w:r w:rsidRPr="000114E3">
              <w:rPr>
                <w:rFonts w:ascii="Calibri" w:hAnsi="Calibri" w:cs="Calibri"/>
                <w:bCs/>
                <w:sz w:val="20"/>
                <w:szCs w:val="20"/>
              </w:rPr>
              <w:t>Option 3A</w:t>
            </w:r>
          </w:p>
        </w:tc>
        <w:tc>
          <w:tcPr>
            <w:tcW w:w="1925" w:type="dxa"/>
            <w:shd w:val="clear" w:color="auto" w:fill="FFFFFF" w:themeFill="background2"/>
          </w:tcPr>
          <w:p w14:paraId="6B9FBEE6" w14:textId="0772A4A7"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2.49</w:t>
            </w:r>
          </w:p>
        </w:tc>
        <w:tc>
          <w:tcPr>
            <w:tcW w:w="1926" w:type="dxa"/>
            <w:shd w:val="clear" w:color="auto" w:fill="FFFFFF" w:themeFill="background2"/>
          </w:tcPr>
          <w:p w14:paraId="6A6B5FB5" w14:textId="007EDE9F"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tcPr>
          <w:p w14:paraId="3443A129" w14:textId="32992F1E"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tcPr>
          <w:p w14:paraId="218A65C8" w14:textId="537C615F"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2.49</w:t>
            </w:r>
          </w:p>
        </w:tc>
      </w:tr>
      <w:tr w:rsidR="00BE3D43" w:rsidRPr="000114E3" w14:paraId="274D4D46" w14:textId="77777777" w:rsidTr="00E57452">
        <w:tc>
          <w:tcPr>
            <w:tcW w:w="1925" w:type="dxa"/>
            <w:shd w:val="clear" w:color="auto" w:fill="FFFFFF" w:themeFill="background2"/>
          </w:tcPr>
          <w:p w14:paraId="678A6D5B" w14:textId="337C1BC9" w:rsidR="00BE3D43" w:rsidRPr="000114E3" w:rsidRDefault="00BE3D43" w:rsidP="00BE3D43">
            <w:pPr>
              <w:rPr>
                <w:rFonts w:ascii="Calibri" w:hAnsi="Calibri" w:cs="Calibri"/>
                <w:bCs/>
                <w:sz w:val="20"/>
                <w:szCs w:val="20"/>
              </w:rPr>
            </w:pPr>
            <w:r w:rsidRPr="000114E3">
              <w:rPr>
                <w:rFonts w:ascii="Calibri" w:hAnsi="Calibri" w:cs="Calibri"/>
                <w:bCs/>
                <w:sz w:val="20"/>
                <w:szCs w:val="20"/>
              </w:rPr>
              <w:t>Option 3B</w:t>
            </w:r>
          </w:p>
        </w:tc>
        <w:tc>
          <w:tcPr>
            <w:tcW w:w="1925" w:type="dxa"/>
            <w:shd w:val="clear" w:color="auto" w:fill="FFFFFF" w:themeFill="background2"/>
          </w:tcPr>
          <w:p w14:paraId="449232E5" w14:textId="5358EBF6"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2.74</w:t>
            </w:r>
          </w:p>
        </w:tc>
        <w:tc>
          <w:tcPr>
            <w:tcW w:w="1926" w:type="dxa"/>
            <w:shd w:val="clear" w:color="auto" w:fill="FFFFFF" w:themeFill="background2"/>
          </w:tcPr>
          <w:p w14:paraId="37B7582E" w14:textId="1E2F3A5A"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tcPr>
          <w:p w14:paraId="0FBEA026" w14:textId="39B1597E"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tcPr>
          <w:p w14:paraId="1F129791" w14:textId="65B05406"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2.74</w:t>
            </w:r>
          </w:p>
        </w:tc>
      </w:tr>
      <w:tr w:rsidR="00BE3D43" w:rsidRPr="000114E3" w14:paraId="703A136F" w14:textId="77777777" w:rsidTr="00E57452">
        <w:tc>
          <w:tcPr>
            <w:tcW w:w="1925" w:type="dxa"/>
            <w:shd w:val="clear" w:color="auto" w:fill="FFFFFF" w:themeFill="background2"/>
          </w:tcPr>
          <w:p w14:paraId="5487258C" w14:textId="798EDEB0" w:rsidR="00BE3D43" w:rsidRPr="000114E3" w:rsidRDefault="00BE3D43" w:rsidP="00BE3D43">
            <w:pPr>
              <w:rPr>
                <w:rFonts w:ascii="Calibri" w:hAnsi="Calibri" w:cs="Calibri"/>
                <w:bCs/>
                <w:sz w:val="20"/>
                <w:szCs w:val="20"/>
              </w:rPr>
            </w:pPr>
            <w:r w:rsidRPr="000114E3">
              <w:rPr>
                <w:rFonts w:ascii="Calibri" w:hAnsi="Calibri" w:cs="Calibri"/>
                <w:bCs/>
                <w:sz w:val="20"/>
                <w:szCs w:val="20"/>
              </w:rPr>
              <w:t>Option 4a</w:t>
            </w:r>
          </w:p>
        </w:tc>
        <w:tc>
          <w:tcPr>
            <w:tcW w:w="1925" w:type="dxa"/>
            <w:shd w:val="clear" w:color="auto" w:fill="FFFFFF" w:themeFill="background2"/>
          </w:tcPr>
          <w:p w14:paraId="5FB85D60" w14:textId="2B1315F5"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2.25</w:t>
            </w:r>
          </w:p>
        </w:tc>
        <w:tc>
          <w:tcPr>
            <w:tcW w:w="1926" w:type="dxa"/>
            <w:shd w:val="clear" w:color="auto" w:fill="FFFFFF" w:themeFill="background2"/>
          </w:tcPr>
          <w:p w14:paraId="3EE30CD5" w14:textId="14DE5834"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tcPr>
          <w:p w14:paraId="277022DE" w14:textId="63C312D2"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tcPr>
          <w:p w14:paraId="13F6702C" w14:textId="38945434"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2.25</w:t>
            </w:r>
          </w:p>
        </w:tc>
      </w:tr>
      <w:tr w:rsidR="00BE3D43" w:rsidRPr="000114E3" w14:paraId="6D915EA0" w14:textId="77777777" w:rsidTr="00E57452">
        <w:tc>
          <w:tcPr>
            <w:tcW w:w="1925" w:type="dxa"/>
            <w:shd w:val="clear" w:color="auto" w:fill="FFFFFF" w:themeFill="background2"/>
          </w:tcPr>
          <w:p w14:paraId="5498A736" w14:textId="2E436FA2" w:rsidR="00BE3D43" w:rsidRPr="000114E3" w:rsidRDefault="00BE3D43" w:rsidP="00BE3D43">
            <w:pPr>
              <w:rPr>
                <w:rFonts w:ascii="Calibri" w:hAnsi="Calibri" w:cs="Calibri"/>
                <w:bCs/>
                <w:sz w:val="20"/>
                <w:szCs w:val="20"/>
              </w:rPr>
            </w:pPr>
            <w:r w:rsidRPr="000114E3">
              <w:rPr>
                <w:rFonts w:ascii="Calibri" w:hAnsi="Calibri" w:cs="Calibri"/>
                <w:bCs/>
                <w:sz w:val="20"/>
                <w:szCs w:val="20"/>
              </w:rPr>
              <w:t>Option 4B</w:t>
            </w:r>
          </w:p>
        </w:tc>
        <w:tc>
          <w:tcPr>
            <w:tcW w:w="1925" w:type="dxa"/>
            <w:shd w:val="clear" w:color="auto" w:fill="FFFFFF" w:themeFill="background2"/>
          </w:tcPr>
          <w:p w14:paraId="7F539C87" w14:textId="00959D3A"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2.49</w:t>
            </w:r>
          </w:p>
        </w:tc>
        <w:tc>
          <w:tcPr>
            <w:tcW w:w="1926" w:type="dxa"/>
            <w:shd w:val="clear" w:color="auto" w:fill="FFFFFF" w:themeFill="background2"/>
          </w:tcPr>
          <w:p w14:paraId="45A8E60C" w14:textId="30EA8923"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tcPr>
          <w:p w14:paraId="7B8E2FB3" w14:textId="4DB5F4EE"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tcPr>
          <w:p w14:paraId="18C8E1F6" w14:textId="2D6F298E" w:rsidR="00BE3D43" w:rsidRPr="000114E3" w:rsidRDefault="00BE3D43" w:rsidP="00E57452">
            <w:pPr>
              <w:jc w:val="center"/>
              <w:rPr>
                <w:rFonts w:ascii="Calibri" w:hAnsi="Calibri" w:cs="Calibri"/>
                <w:bCs/>
                <w:sz w:val="20"/>
                <w:szCs w:val="20"/>
              </w:rPr>
            </w:pPr>
            <w:r w:rsidRPr="000114E3">
              <w:rPr>
                <w:rFonts w:ascii="Calibri" w:hAnsi="Calibri" w:cs="Calibri"/>
                <w:bCs/>
                <w:sz w:val="20"/>
                <w:szCs w:val="20"/>
              </w:rPr>
              <w:t>2.49</w:t>
            </w:r>
          </w:p>
        </w:tc>
      </w:tr>
    </w:tbl>
    <w:p w14:paraId="5AB9237E" w14:textId="4E72ACCA" w:rsidR="00BE3D43" w:rsidRPr="00E57452" w:rsidRDefault="00BE3D43" w:rsidP="00E57452">
      <w:pPr>
        <w:jc w:val="center"/>
        <w:rPr>
          <w:sz w:val="20"/>
          <w:szCs w:val="20"/>
        </w:rPr>
      </w:pPr>
      <w:r w:rsidRPr="00E57452">
        <w:rPr>
          <w:sz w:val="20"/>
          <w:szCs w:val="20"/>
        </w:rPr>
        <w:t>PV is present value of regulatory burden</w:t>
      </w:r>
      <w:r w:rsidR="00647A25">
        <w:rPr>
          <w:sz w:val="20"/>
          <w:szCs w:val="20"/>
        </w:rPr>
        <w:t xml:space="preserve"> over period </w:t>
      </w:r>
      <w:r w:rsidRPr="00E57452">
        <w:rPr>
          <w:sz w:val="20"/>
          <w:szCs w:val="20"/>
        </w:rPr>
        <w:t>2025-2040 at discount rate of 7%</w:t>
      </w:r>
    </w:p>
    <w:p w14:paraId="5F83A24A" w14:textId="77777777" w:rsidR="00EE0CAD" w:rsidRDefault="00EE0CAD" w:rsidP="00EE0CAD">
      <w:pPr>
        <w:pStyle w:val="Heading3"/>
      </w:pPr>
      <w:bookmarkStart w:id="80" w:name="_Toc196745424"/>
      <w:r>
        <w:t>WELS Regulator burden</w:t>
      </w:r>
      <w:bookmarkEnd w:id="80"/>
    </w:p>
    <w:p w14:paraId="4DC82925" w14:textId="072820A0" w:rsidR="00E63FAE" w:rsidRDefault="00E63FAE" w:rsidP="00E63FAE">
      <w:r>
        <w:t xml:space="preserve">For Options 3A, 3B, 4A and 4B, industry would have to register their products with the WELS Regulator, which would impose fees on the registrant. It is assumed that the current approach to charging and cost recovery would apply. This involves the application of a tiered fee structure at </w:t>
      </w:r>
      <w:r w:rsidR="00D45E38">
        <w:t xml:space="preserve">the </w:t>
      </w:r>
      <w:r>
        <w:t>time of applying to register product</w:t>
      </w:r>
      <w:r w:rsidR="00D45E38">
        <w:t>s</w:t>
      </w:r>
      <w:r w:rsidR="009761A8">
        <w:t>,</w:t>
      </w:r>
      <w:r>
        <w:t xml:space="preserve"> and </w:t>
      </w:r>
      <w:r w:rsidR="00D45E38">
        <w:t xml:space="preserve">for </w:t>
      </w:r>
      <w:r>
        <w:t>the renewal</w:t>
      </w:r>
      <w:r w:rsidR="00D45E38">
        <w:t xml:space="preserve"> of registration every </w:t>
      </w:r>
      <w:r>
        <w:t>12</w:t>
      </w:r>
      <w:r w:rsidR="00D45E38">
        <w:t xml:space="preserve"> </w:t>
      </w:r>
      <w:r>
        <w:t>month</w:t>
      </w:r>
      <w:r w:rsidR="00D45E38">
        <w:t xml:space="preserve">s if the supplier </w:t>
      </w:r>
      <w:r w:rsidR="009761A8">
        <w:t xml:space="preserve">wanted </w:t>
      </w:r>
      <w:r w:rsidR="00D45E38">
        <w:t xml:space="preserve">to keep </w:t>
      </w:r>
      <w:r w:rsidR="00D434ED">
        <w:t xml:space="preserve">supplying </w:t>
      </w:r>
      <w:r w:rsidR="00D45E38">
        <w:t xml:space="preserve">the models </w:t>
      </w:r>
      <w:r w:rsidR="009761A8">
        <w:t>to</w:t>
      </w:r>
      <w:r w:rsidR="00D45E38">
        <w:t xml:space="preserve"> the market.</w:t>
      </w:r>
      <w:r w:rsidRPr="171E1B29">
        <w:rPr>
          <w:vertAlign w:val="superscript"/>
        </w:rPr>
        <w:footnoteReference w:id="11"/>
      </w:r>
    </w:p>
    <w:p w14:paraId="686AE0D7" w14:textId="784943B7" w:rsidR="00E63FAE" w:rsidRDefault="00E63FAE" w:rsidP="00E63FAE">
      <w:r>
        <w:t xml:space="preserve">The WELS Regulator would </w:t>
      </w:r>
      <w:r w:rsidR="00D45E38">
        <w:t xml:space="preserve">incur </w:t>
      </w:r>
      <w:r>
        <w:t>costs for:</w:t>
      </w:r>
    </w:p>
    <w:p w14:paraId="2F1CC523" w14:textId="7D168643" w:rsidR="00E63FAE" w:rsidRPr="00DC5884" w:rsidRDefault="00D45E3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preparing </w:t>
      </w:r>
      <w:r w:rsidR="00E63FAE" w:rsidRPr="00DC5884">
        <w:rPr>
          <w:rFonts w:eastAsia="Calibri" w:cs="Times New Roman"/>
          <w:szCs w:val="22"/>
        </w:rPr>
        <w:t>the necessary legislative amendments</w:t>
      </w:r>
    </w:p>
    <w:p w14:paraId="534D00C9" w14:textId="6429A61C" w:rsidR="00E63FAE" w:rsidRPr="00DC5884" w:rsidRDefault="00E63FAE"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revisions to </w:t>
      </w:r>
      <w:r w:rsidR="0024085A" w:rsidRPr="00DC5884">
        <w:rPr>
          <w:rFonts w:eastAsia="Calibri" w:cs="Times New Roman"/>
          <w:szCs w:val="22"/>
        </w:rPr>
        <w:t>the WELS standard (</w:t>
      </w:r>
      <w:r w:rsidRPr="00DC5884">
        <w:rPr>
          <w:rFonts w:eastAsia="Calibri" w:cs="Times New Roman"/>
          <w:szCs w:val="22"/>
        </w:rPr>
        <w:t>AS</w:t>
      </w:r>
      <w:r w:rsidR="00D434ED" w:rsidRPr="00DC5884">
        <w:rPr>
          <w:rFonts w:eastAsia="Calibri" w:cs="Times New Roman"/>
          <w:szCs w:val="22"/>
        </w:rPr>
        <w:t>/</w:t>
      </w:r>
      <w:r w:rsidRPr="00DC5884">
        <w:rPr>
          <w:rFonts w:eastAsia="Calibri" w:cs="Times New Roman"/>
          <w:szCs w:val="22"/>
        </w:rPr>
        <w:t>NZS 6400</w:t>
      </w:r>
      <w:r w:rsidR="0024085A" w:rsidRPr="00DC5884">
        <w:rPr>
          <w:rFonts w:eastAsia="Calibri" w:cs="Times New Roman"/>
          <w:szCs w:val="22"/>
        </w:rPr>
        <w:t>)</w:t>
      </w:r>
    </w:p>
    <w:p w14:paraId="01677CC3" w14:textId="2CD65E0F" w:rsidR="00E63FAE" w:rsidRPr="00DC5884" w:rsidRDefault="00E63FAE"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lastRenderedPageBreak/>
        <w:t>modifications to the WELS registration database</w:t>
      </w:r>
    </w:p>
    <w:p w14:paraId="5FB13E2B" w14:textId="36E32FC7" w:rsidR="00E63FAE" w:rsidRPr="00DC5884" w:rsidRDefault="00D45E3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identifying and </w:t>
      </w:r>
      <w:r w:rsidR="00E63FAE" w:rsidRPr="00DC5884">
        <w:rPr>
          <w:rFonts w:eastAsia="Calibri" w:cs="Times New Roman"/>
          <w:szCs w:val="22"/>
        </w:rPr>
        <w:t>communicati</w:t>
      </w:r>
      <w:r w:rsidRPr="00DC5884">
        <w:rPr>
          <w:rFonts w:eastAsia="Calibri" w:cs="Times New Roman"/>
          <w:szCs w:val="22"/>
        </w:rPr>
        <w:t xml:space="preserve">ng with </w:t>
      </w:r>
      <w:r w:rsidR="00E63FAE" w:rsidRPr="00DC5884">
        <w:rPr>
          <w:rFonts w:eastAsia="Calibri" w:cs="Times New Roman"/>
          <w:szCs w:val="22"/>
        </w:rPr>
        <w:t>businesses</w:t>
      </w:r>
      <w:r w:rsidRPr="00DC5884">
        <w:rPr>
          <w:rFonts w:eastAsia="Calibri" w:cs="Times New Roman"/>
          <w:szCs w:val="22"/>
        </w:rPr>
        <w:t xml:space="preserve"> affected by the regulation</w:t>
      </w:r>
    </w:p>
    <w:p w14:paraId="1BC1375D" w14:textId="41CDCC68" w:rsidR="00E63FAE" w:rsidRPr="00DC5884" w:rsidRDefault="00E63FAE"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staff time </w:t>
      </w:r>
      <w:r w:rsidR="00D45E38" w:rsidRPr="00DC5884">
        <w:rPr>
          <w:rFonts w:eastAsia="Calibri" w:cs="Times New Roman"/>
          <w:szCs w:val="22"/>
        </w:rPr>
        <w:t xml:space="preserve">need for </w:t>
      </w:r>
      <w:r w:rsidRPr="00DC5884">
        <w:rPr>
          <w:rFonts w:eastAsia="Calibri" w:cs="Times New Roman"/>
          <w:szCs w:val="22"/>
        </w:rPr>
        <w:t xml:space="preserve">establishing new processes, </w:t>
      </w:r>
      <w:r w:rsidR="00D45E38" w:rsidRPr="00DC5884">
        <w:rPr>
          <w:rFonts w:eastAsia="Calibri" w:cs="Times New Roman"/>
          <w:szCs w:val="22"/>
        </w:rPr>
        <w:t xml:space="preserve">assessing product registration applications, </w:t>
      </w:r>
      <w:r w:rsidRPr="00DC5884">
        <w:rPr>
          <w:rFonts w:eastAsia="Calibri" w:cs="Times New Roman"/>
          <w:szCs w:val="22"/>
        </w:rPr>
        <w:t>processing payments and providing education and support to registrants.</w:t>
      </w:r>
    </w:p>
    <w:bookmarkEnd w:id="73"/>
    <w:p w14:paraId="74C5995D" w14:textId="68E601CB" w:rsidR="00E63FAE" w:rsidRPr="00E63FAE" w:rsidRDefault="00E63FAE" w:rsidP="00E63FAE">
      <w:r w:rsidRPr="00E63FAE">
        <w:t xml:space="preserve">The WELS Regulator would </w:t>
      </w:r>
      <w:r w:rsidR="00D45E38">
        <w:t xml:space="preserve">also incur </w:t>
      </w:r>
      <w:r w:rsidRPr="00E63FAE">
        <w:t>costs associated with compliance monitoring at various points of sale</w:t>
      </w:r>
      <w:r w:rsidR="00D45E38">
        <w:t>,</w:t>
      </w:r>
      <w:r w:rsidRPr="00E63FAE">
        <w:t xml:space="preserve"> to ensure the integrity of the WELS scheme. While the GEMS Regulator will likely undertake check tests to ensure the integrity of MEPS compliance, the models targeted for water</w:t>
      </w:r>
      <w:r w:rsidR="0024085A">
        <w:t xml:space="preserve"> </w:t>
      </w:r>
      <w:r w:rsidRPr="00E63FAE">
        <w:t xml:space="preserve">related compliance checks may be different. The possible sharing of check test costs between regulators has not been </w:t>
      </w:r>
      <w:r w:rsidR="00054774" w:rsidRPr="00E63FAE">
        <w:t>considered</w:t>
      </w:r>
      <w:r w:rsidRPr="00E63FAE">
        <w:t xml:space="preserve"> in the costings.</w:t>
      </w:r>
      <w:r w:rsidR="00EE0CAD">
        <w:t xml:space="preserve"> The registration and regulator costs are summarised in </w:t>
      </w:r>
      <w:r w:rsidR="00EE0CAD">
        <w:fldChar w:fldCharType="begin"/>
      </w:r>
      <w:r w:rsidR="00EE0CAD">
        <w:instrText xml:space="preserve"> REF _Ref195442706 \h </w:instrText>
      </w:r>
      <w:r w:rsidR="00EE0CAD">
        <w:fldChar w:fldCharType="separate"/>
      </w:r>
      <w:r w:rsidR="002271EC">
        <w:t xml:space="preserve">Table </w:t>
      </w:r>
      <w:r w:rsidR="002271EC">
        <w:rPr>
          <w:noProof/>
        </w:rPr>
        <w:t>7</w:t>
      </w:r>
      <w:r w:rsidR="00EE0CAD">
        <w:fldChar w:fldCharType="end"/>
      </w:r>
      <w:r w:rsidR="00EE0CAD">
        <w:t>.</w:t>
      </w:r>
    </w:p>
    <w:p w14:paraId="0BC2EFDB" w14:textId="56EDEB83" w:rsidR="001A4DA3" w:rsidRDefault="001A4DA3" w:rsidP="001A4DA3"/>
    <w:p w14:paraId="76A351C3" w14:textId="7F753EA6" w:rsidR="00781CF0" w:rsidRDefault="00781CF0" w:rsidP="00781CF0">
      <w:pPr>
        <w:pStyle w:val="Caption"/>
        <w:jc w:val="center"/>
      </w:pPr>
      <w:bookmarkStart w:id="81" w:name="_Ref195442706"/>
      <w:bookmarkStart w:id="82" w:name="_Toc196745449"/>
      <w:r>
        <w:t xml:space="preserve">Table </w:t>
      </w:r>
      <w:r w:rsidR="0042496D">
        <w:fldChar w:fldCharType="begin"/>
      </w:r>
      <w:r w:rsidR="0042496D">
        <w:instrText xml:space="preserve"> SEQ Table \* ARABIC </w:instrText>
      </w:r>
      <w:r w:rsidR="0042496D">
        <w:fldChar w:fldCharType="separate"/>
      </w:r>
      <w:r w:rsidR="002271EC">
        <w:rPr>
          <w:noProof/>
        </w:rPr>
        <w:t>7</w:t>
      </w:r>
      <w:r w:rsidR="0042496D">
        <w:rPr>
          <w:noProof/>
        </w:rPr>
        <w:fldChar w:fldCharType="end"/>
      </w:r>
      <w:bookmarkEnd w:id="81"/>
      <w:r>
        <w:t xml:space="preserve"> Estimates of cost</w:t>
      </w:r>
      <w:r w:rsidR="009174E3">
        <w:t>s</w:t>
      </w:r>
      <w:r>
        <w:t xml:space="preserve"> to WELS Regulator</w:t>
      </w:r>
      <w:bookmarkEnd w:id="82"/>
    </w:p>
    <w:tbl>
      <w:tblPr>
        <w:tblStyle w:val="TableGrid"/>
        <w:tblW w:w="0" w:type="auto"/>
        <w:tblLook w:val="04A0" w:firstRow="1" w:lastRow="0" w:firstColumn="1" w:lastColumn="0" w:noHBand="0" w:noVBand="1"/>
      </w:tblPr>
      <w:tblGrid>
        <w:gridCol w:w="3539"/>
        <w:gridCol w:w="1217"/>
        <w:gridCol w:w="1218"/>
        <w:gridCol w:w="1218"/>
        <w:gridCol w:w="1218"/>
        <w:gridCol w:w="1218"/>
      </w:tblGrid>
      <w:tr w:rsidR="00781CF0" w:rsidRPr="000114E3" w14:paraId="61E07715" w14:textId="77777777" w:rsidTr="00F51137">
        <w:tc>
          <w:tcPr>
            <w:tcW w:w="3539" w:type="dxa"/>
          </w:tcPr>
          <w:p w14:paraId="72848C30" w14:textId="77777777" w:rsidR="00781CF0" w:rsidRPr="000114E3" w:rsidRDefault="00781CF0" w:rsidP="00F51137">
            <w:pPr>
              <w:rPr>
                <w:rFonts w:ascii="Calibri" w:hAnsi="Calibri" w:cs="Calibri"/>
                <w:b/>
                <w:bCs/>
                <w:sz w:val="20"/>
                <w:szCs w:val="20"/>
              </w:rPr>
            </w:pPr>
          </w:p>
        </w:tc>
        <w:tc>
          <w:tcPr>
            <w:tcW w:w="1217" w:type="dxa"/>
          </w:tcPr>
          <w:p w14:paraId="6203126F" w14:textId="77777777" w:rsidR="00781CF0" w:rsidRPr="000114E3" w:rsidRDefault="00781CF0" w:rsidP="00F51137">
            <w:pPr>
              <w:rPr>
                <w:rFonts w:ascii="Calibri" w:hAnsi="Calibri" w:cs="Calibri"/>
                <w:b/>
                <w:bCs/>
                <w:sz w:val="20"/>
                <w:szCs w:val="20"/>
              </w:rPr>
            </w:pPr>
            <w:r w:rsidRPr="000114E3">
              <w:rPr>
                <w:rFonts w:ascii="Calibri" w:hAnsi="Calibri" w:cs="Calibri"/>
                <w:b/>
                <w:bCs/>
                <w:sz w:val="20"/>
                <w:szCs w:val="20"/>
              </w:rPr>
              <w:t>Option 2</w:t>
            </w:r>
          </w:p>
        </w:tc>
        <w:tc>
          <w:tcPr>
            <w:tcW w:w="1218" w:type="dxa"/>
          </w:tcPr>
          <w:p w14:paraId="2AE7160D" w14:textId="77777777" w:rsidR="00781CF0" w:rsidRPr="000114E3" w:rsidRDefault="00781CF0" w:rsidP="00F51137">
            <w:pPr>
              <w:rPr>
                <w:rFonts w:ascii="Calibri" w:hAnsi="Calibri" w:cs="Calibri"/>
                <w:b/>
                <w:bCs/>
                <w:sz w:val="20"/>
                <w:szCs w:val="20"/>
              </w:rPr>
            </w:pPr>
            <w:r w:rsidRPr="000114E3">
              <w:rPr>
                <w:rFonts w:ascii="Calibri" w:hAnsi="Calibri" w:cs="Calibri"/>
                <w:b/>
                <w:bCs/>
                <w:sz w:val="20"/>
                <w:szCs w:val="20"/>
              </w:rPr>
              <w:t>Option 3A</w:t>
            </w:r>
          </w:p>
        </w:tc>
        <w:tc>
          <w:tcPr>
            <w:tcW w:w="1218" w:type="dxa"/>
          </w:tcPr>
          <w:p w14:paraId="7E45AF82" w14:textId="77777777" w:rsidR="00781CF0" w:rsidRPr="000114E3" w:rsidRDefault="00781CF0" w:rsidP="00F51137">
            <w:pPr>
              <w:rPr>
                <w:rFonts w:ascii="Calibri" w:hAnsi="Calibri" w:cs="Calibri"/>
                <w:b/>
                <w:bCs/>
                <w:sz w:val="20"/>
                <w:szCs w:val="20"/>
              </w:rPr>
            </w:pPr>
            <w:r w:rsidRPr="000114E3">
              <w:rPr>
                <w:rFonts w:ascii="Calibri" w:hAnsi="Calibri" w:cs="Calibri"/>
                <w:b/>
                <w:bCs/>
                <w:sz w:val="20"/>
                <w:szCs w:val="20"/>
              </w:rPr>
              <w:t>Option 4B</w:t>
            </w:r>
          </w:p>
        </w:tc>
        <w:tc>
          <w:tcPr>
            <w:tcW w:w="1218" w:type="dxa"/>
          </w:tcPr>
          <w:p w14:paraId="526B16AC" w14:textId="77777777" w:rsidR="00781CF0" w:rsidRPr="000114E3" w:rsidRDefault="00781CF0" w:rsidP="00F51137">
            <w:pPr>
              <w:rPr>
                <w:rFonts w:ascii="Calibri" w:hAnsi="Calibri" w:cs="Calibri"/>
                <w:b/>
                <w:bCs/>
                <w:sz w:val="20"/>
                <w:szCs w:val="20"/>
              </w:rPr>
            </w:pPr>
            <w:r w:rsidRPr="000114E3">
              <w:rPr>
                <w:rFonts w:ascii="Calibri" w:hAnsi="Calibri" w:cs="Calibri"/>
                <w:b/>
                <w:bCs/>
                <w:sz w:val="20"/>
                <w:szCs w:val="20"/>
              </w:rPr>
              <w:t>Option 4A</w:t>
            </w:r>
          </w:p>
        </w:tc>
        <w:tc>
          <w:tcPr>
            <w:tcW w:w="1218" w:type="dxa"/>
          </w:tcPr>
          <w:p w14:paraId="7151957B" w14:textId="77777777" w:rsidR="00781CF0" w:rsidRPr="000114E3" w:rsidRDefault="00781CF0" w:rsidP="00F51137">
            <w:pPr>
              <w:rPr>
                <w:rFonts w:ascii="Calibri" w:hAnsi="Calibri" w:cs="Calibri"/>
                <w:b/>
                <w:bCs/>
                <w:sz w:val="20"/>
                <w:szCs w:val="20"/>
              </w:rPr>
            </w:pPr>
            <w:r w:rsidRPr="000114E3">
              <w:rPr>
                <w:rFonts w:ascii="Calibri" w:hAnsi="Calibri" w:cs="Calibri"/>
                <w:b/>
                <w:bCs/>
                <w:sz w:val="20"/>
                <w:szCs w:val="20"/>
              </w:rPr>
              <w:t>Option 4B</w:t>
            </w:r>
          </w:p>
        </w:tc>
      </w:tr>
      <w:tr w:rsidR="00781CF0" w:rsidRPr="000114E3" w14:paraId="7C63354F" w14:textId="77777777" w:rsidTr="00F51137">
        <w:tc>
          <w:tcPr>
            <w:tcW w:w="3539" w:type="dxa"/>
          </w:tcPr>
          <w:p w14:paraId="215CB889" w14:textId="77777777" w:rsidR="00781CF0" w:rsidRPr="000114E3" w:rsidRDefault="00781CF0" w:rsidP="00F51137">
            <w:pPr>
              <w:rPr>
                <w:rFonts w:ascii="Calibri" w:hAnsi="Calibri" w:cs="Calibri"/>
                <w:sz w:val="20"/>
                <w:szCs w:val="20"/>
              </w:rPr>
            </w:pPr>
            <w:r w:rsidRPr="000114E3">
              <w:rPr>
                <w:rFonts w:ascii="Calibri" w:hAnsi="Calibri" w:cs="Calibri"/>
                <w:sz w:val="20"/>
                <w:szCs w:val="20"/>
              </w:rPr>
              <w:t>Registration costs per year per importer</w:t>
            </w:r>
          </w:p>
        </w:tc>
        <w:tc>
          <w:tcPr>
            <w:tcW w:w="1217" w:type="dxa"/>
          </w:tcPr>
          <w:p w14:paraId="7D203137"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$2,900</w:t>
            </w:r>
          </w:p>
        </w:tc>
        <w:tc>
          <w:tcPr>
            <w:tcW w:w="1218" w:type="dxa"/>
          </w:tcPr>
          <w:p w14:paraId="570CF5D4"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$2,900</w:t>
            </w:r>
          </w:p>
        </w:tc>
        <w:tc>
          <w:tcPr>
            <w:tcW w:w="1218" w:type="dxa"/>
          </w:tcPr>
          <w:p w14:paraId="273FA0C1"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$2,900</w:t>
            </w:r>
          </w:p>
        </w:tc>
        <w:tc>
          <w:tcPr>
            <w:tcW w:w="1218" w:type="dxa"/>
          </w:tcPr>
          <w:p w14:paraId="4F06E4AE"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$2,900</w:t>
            </w:r>
          </w:p>
        </w:tc>
        <w:tc>
          <w:tcPr>
            <w:tcW w:w="1218" w:type="dxa"/>
          </w:tcPr>
          <w:p w14:paraId="567FB583"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$2,900</w:t>
            </w:r>
          </w:p>
        </w:tc>
      </w:tr>
      <w:tr w:rsidR="00781CF0" w:rsidRPr="000114E3" w14:paraId="704F2BA3" w14:textId="77777777" w:rsidTr="00F51137">
        <w:tc>
          <w:tcPr>
            <w:tcW w:w="3539" w:type="dxa"/>
          </w:tcPr>
          <w:p w14:paraId="050105EC" w14:textId="77777777" w:rsidR="00781CF0" w:rsidRPr="000114E3" w:rsidRDefault="00781CF0" w:rsidP="00F51137">
            <w:pPr>
              <w:rPr>
                <w:rFonts w:ascii="Calibri" w:hAnsi="Calibri" w:cs="Calibri"/>
                <w:sz w:val="20"/>
                <w:szCs w:val="20"/>
              </w:rPr>
            </w:pPr>
            <w:r w:rsidRPr="000114E3">
              <w:rPr>
                <w:rFonts w:ascii="Calibri" w:hAnsi="Calibri" w:cs="Calibri"/>
                <w:sz w:val="20"/>
                <w:szCs w:val="20"/>
              </w:rPr>
              <w:t>WELS admin costs per year</w:t>
            </w:r>
          </w:p>
        </w:tc>
        <w:tc>
          <w:tcPr>
            <w:tcW w:w="1217" w:type="dxa"/>
          </w:tcPr>
          <w:p w14:paraId="134CE9B5"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$75,000</w:t>
            </w:r>
          </w:p>
        </w:tc>
        <w:tc>
          <w:tcPr>
            <w:tcW w:w="1218" w:type="dxa"/>
          </w:tcPr>
          <w:p w14:paraId="08AE765C"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$150,000</w:t>
            </w:r>
          </w:p>
        </w:tc>
        <w:tc>
          <w:tcPr>
            <w:tcW w:w="1218" w:type="dxa"/>
          </w:tcPr>
          <w:p w14:paraId="27FF6457"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$150,000</w:t>
            </w:r>
          </w:p>
        </w:tc>
        <w:tc>
          <w:tcPr>
            <w:tcW w:w="1218" w:type="dxa"/>
          </w:tcPr>
          <w:p w14:paraId="0BB92AEF"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$150,000</w:t>
            </w:r>
          </w:p>
        </w:tc>
        <w:tc>
          <w:tcPr>
            <w:tcW w:w="1218" w:type="dxa"/>
          </w:tcPr>
          <w:p w14:paraId="59B0D7AF"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$150,000</w:t>
            </w:r>
          </w:p>
        </w:tc>
      </w:tr>
      <w:tr w:rsidR="00781CF0" w:rsidRPr="000114E3" w14:paraId="1DE3F6EE" w14:textId="77777777" w:rsidTr="00F51137">
        <w:tc>
          <w:tcPr>
            <w:tcW w:w="3539" w:type="dxa"/>
          </w:tcPr>
          <w:p w14:paraId="284A0EF7" w14:textId="77777777" w:rsidR="00781CF0" w:rsidRPr="000114E3" w:rsidRDefault="00781CF0" w:rsidP="00F51137">
            <w:pPr>
              <w:rPr>
                <w:rFonts w:ascii="Calibri" w:hAnsi="Calibri" w:cs="Calibri"/>
                <w:sz w:val="20"/>
                <w:szCs w:val="20"/>
              </w:rPr>
            </w:pPr>
            <w:r w:rsidRPr="000114E3">
              <w:rPr>
                <w:rFonts w:ascii="Calibri" w:hAnsi="Calibri" w:cs="Calibri"/>
                <w:sz w:val="20"/>
                <w:szCs w:val="20"/>
              </w:rPr>
              <w:t xml:space="preserve">Check tests (Yr 1 of implementation) </w:t>
            </w:r>
          </w:p>
        </w:tc>
        <w:tc>
          <w:tcPr>
            <w:tcW w:w="1217" w:type="dxa"/>
          </w:tcPr>
          <w:p w14:paraId="3C2CF239"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4</w:t>
            </w:r>
          </w:p>
        </w:tc>
        <w:tc>
          <w:tcPr>
            <w:tcW w:w="1218" w:type="dxa"/>
          </w:tcPr>
          <w:p w14:paraId="23553C0A"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6</w:t>
            </w:r>
          </w:p>
        </w:tc>
        <w:tc>
          <w:tcPr>
            <w:tcW w:w="1218" w:type="dxa"/>
          </w:tcPr>
          <w:p w14:paraId="17ED227A"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8</w:t>
            </w:r>
          </w:p>
        </w:tc>
        <w:tc>
          <w:tcPr>
            <w:tcW w:w="1218" w:type="dxa"/>
          </w:tcPr>
          <w:p w14:paraId="7F5069CC"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8</w:t>
            </w:r>
          </w:p>
        </w:tc>
        <w:tc>
          <w:tcPr>
            <w:tcW w:w="1218" w:type="dxa"/>
          </w:tcPr>
          <w:p w14:paraId="4AF7C240"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8</w:t>
            </w:r>
          </w:p>
        </w:tc>
      </w:tr>
      <w:tr w:rsidR="00781CF0" w:rsidRPr="000114E3" w14:paraId="37F3E98D" w14:textId="77777777" w:rsidTr="00F51137">
        <w:tc>
          <w:tcPr>
            <w:tcW w:w="3539" w:type="dxa"/>
          </w:tcPr>
          <w:p w14:paraId="4D84CE98" w14:textId="77777777" w:rsidR="00781CF0" w:rsidRPr="000114E3" w:rsidRDefault="00781CF0" w:rsidP="00F51137">
            <w:pPr>
              <w:rPr>
                <w:rFonts w:ascii="Calibri" w:hAnsi="Calibri" w:cs="Calibri"/>
                <w:sz w:val="20"/>
                <w:szCs w:val="20"/>
              </w:rPr>
            </w:pPr>
            <w:r w:rsidRPr="000114E3">
              <w:rPr>
                <w:rFonts w:ascii="Calibri" w:hAnsi="Calibri" w:cs="Calibri"/>
                <w:sz w:val="20"/>
                <w:szCs w:val="20"/>
              </w:rPr>
              <w:t>Check tests (Yr 2, etc)</w:t>
            </w:r>
          </w:p>
        </w:tc>
        <w:tc>
          <w:tcPr>
            <w:tcW w:w="1217" w:type="dxa"/>
          </w:tcPr>
          <w:p w14:paraId="7AF677A7"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2</w:t>
            </w:r>
          </w:p>
        </w:tc>
        <w:tc>
          <w:tcPr>
            <w:tcW w:w="1218" w:type="dxa"/>
          </w:tcPr>
          <w:p w14:paraId="5C594B16"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3</w:t>
            </w:r>
          </w:p>
        </w:tc>
        <w:tc>
          <w:tcPr>
            <w:tcW w:w="1218" w:type="dxa"/>
          </w:tcPr>
          <w:p w14:paraId="68A269ED"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4</w:t>
            </w:r>
          </w:p>
        </w:tc>
        <w:tc>
          <w:tcPr>
            <w:tcW w:w="1218" w:type="dxa"/>
          </w:tcPr>
          <w:p w14:paraId="39C68842"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4</w:t>
            </w:r>
          </w:p>
        </w:tc>
        <w:tc>
          <w:tcPr>
            <w:tcW w:w="1218" w:type="dxa"/>
          </w:tcPr>
          <w:p w14:paraId="106619AE"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4</w:t>
            </w:r>
          </w:p>
        </w:tc>
      </w:tr>
      <w:tr w:rsidR="00781CF0" w:rsidRPr="000114E3" w14:paraId="7810799D" w14:textId="77777777" w:rsidTr="00F51137">
        <w:tc>
          <w:tcPr>
            <w:tcW w:w="3539" w:type="dxa"/>
          </w:tcPr>
          <w:p w14:paraId="235388B0" w14:textId="77777777" w:rsidR="00781CF0" w:rsidRPr="000114E3" w:rsidRDefault="00781CF0" w:rsidP="00F51137">
            <w:pPr>
              <w:rPr>
                <w:rFonts w:ascii="Calibri" w:hAnsi="Calibri" w:cs="Calibri"/>
                <w:sz w:val="20"/>
                <w:szCs w:val="20"/>
              </w:rPr>
            </w:pPr>
            <w:r w:rsidRPr="000114E3">
              <w:rPr>
                <w:rFonts w:ascii="Calibri" w:hAnsi="Calibri" w:cs="Calibri"/>
                <w:sz w:val="20"/>
                <w:szCs w:val="20"/>
              </w:rPr>
              <w:t>Cost per check test</w:t>
            </w:r>
          </w:p>
        </w:tc>
        <w:tc>
          <w:tcPr>
            <w:tcW w:w="1217" w:type="dxa"/>
          </w:tcPr>
          <w:p w14:paraId="56AF7FD5"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 xml:space="preserve">$6,250 </w:t>
            </w:r>
          </w:p>
        </w:tc>
        <w:tc>
          <w:tcPr>
            <w:tcW w:w="1218" w:type="dxa"/>
          </w:tcPr>
          <w:p w14:paraId="25C7FB8D"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 xml:space="preserve">$6,250 </w:t>
            </w:r>
          </w:p>
        </w:tc>
        <w:tc>
          <w:tcPr>
            <w:tcW w:w="1218" w:type="dxa"/>
          </w:tcPr>
          <w:p w14:paraId="040A1CA7"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 xml:space="preserve">$6,250 </w:t>
            </w:r>
          </w:p>
        </w:tc>
        <w:tc>
          <w:tcPr>
            <w:tcW w:w="1218" w:type="dxa"/>
          </w:tcPr>
          <w:p w14:paraId="12F9F0A3"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 xml:space="preserve">$6,250 </w:t>
            </w:r>
          </w:p>
        </w:tc>
        <w:tc>
          <w:tcPr>
            <w:tcW w:w="1218" w:type="dxa"/>
          </w:tcPr>
          <w:p w14:paraId="19915903"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 xml:space="preserve">$6,250 </w:t>
            </w:r>
          </w:p>
        </w:tc>
      </w:tr>
      <w:tr w:rsidR="00781CF0" w:rsidRPr="000114E3" w14:paraId="2B547F4D" w14:textId="77777777" w:rsidTr="00F51137">
        <w:tc>
          <w:tcPr>
            <w:tcW w:w="3539" w:type="dxa"/>
          </w:tcPr>
          <w:p w14:paraId="2B167EB6" w14:textId="77777777" w:rsidR="00781CF0" w:rsidRPr="000114E3" w:rsidRDefault="00781CF0" w:rsidP="00F51137">
            <w:pPr>
              <w:rPr>
                <w:rFonts w:ascii="Calibri" w:hAnsi="Calibri" w:cs="Calibri"/>
                <w:sz w:val="20"/>
                <w:szCs w:val="20"/>
              </w:rPr>
            </w:pPr>
            <w:r w:rsidRPr="000114E3">
              <w:rPr>
                <w:rFonts w:ascii="Calibri" w:hAnsi="Calibri" w:cs="Calibri"/>
                <w:sz w:val="20"/>
                <w:szCs w:val="20"/>
              </w:rPr>
              <w:t>Cost per label</w:t>
            </w:r>
          </w:p>
        </w:tc>
        <w:tc>
          <w:tcPr>
            <w:tcW w:w="1217" w:type="dxa"/>
          </w:tcPr>
          <w:p w14:paraId="1907DD91"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NA</w:t>
            </w:r>
          </w:p>
        </w:tc>
        <w:tc>
          <w:tcPr>
            <w:tcW w:w="1218" w:type="dxa"/>
          </w:tcPr>
          <w:p w14:paraId="5DCBC829"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$0.50</w:t>
            </w:r>
          </w:p>
        </w:tc>
        <w:tc>
          <w:tcPr>
            <w:tcW w:w="1218" w:type="dxa"/>
          </w:tcPr>
          <w:p w14:paraId="6DCAA77B"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$0.50</w:t>
            </w:r>
          </w:p>
        </w:tc>
        <w:tc>
          <w:tcPr>
            <w:tcW w:w="1218" w:type="dxa"/>
          </w:tcPr>
          <w:p w14:paraId="12880AAE"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$0.50</w:t>
            </w:r>
          </w:p>
        </w:tc>
        <w:tc>
          <w:tcPr>
            <w:tcW w:w="1218" w:type="dxa"/>
          </w:tcPr>
          <w:p w14:paraId="080E6565" w14:textId="77777777" w:rsidR="00781CF0" w:rsidRPr="000114E3" w:rsidRDefault="00781CF0" w:rsidP="00F51137">
            <w:pPr>
              <w:jc w:val="right"/>
              <w:rPr>
                <w:rFonts w:ascii="Calibri" w:hAnsi="Calibri" w:cs="Calibri"/>
                <w:sz w:val="20"/>
                <w:szCs w:val="20"/>
              </w:rPr>
            </w:pPr>
            <w:r w:rsidRPr="000114E3">
              <w:rPr>
                <w:rFonts w:ascii="Calibri" w:hAnsi="Calibri" w:cs="Calibri"/>
                <w:sz w:val="20"/>
                <w:szCs w:val="20"/>
              </w:rPr>
              <w:t>$0.50</w:t>
            </w:r>
          </w:p>
        </w:tc>
      </w:tr>
    </w:tbl>
    <w:p w14:paraId="63A47BDF" w14:textId="77777777" w:rsidR="00781CF0" w:rsidRDefault="00781CF0" w:rsidP="00781CF0">
      <w:pPr>
        <w:jc w:val="center"/>
        <w:rPr>
          <w:sz w:val="18"/>
          <w:szCs w:val="18"/>
        </w:rPr>
      </w:pPr>
      <w:r w:rsidRPr="00ED3A22">
        <w:rPr>
          <w:sz w:val="18"/>
          <w:szCs w:val="18"/>
        </w:rPr>
        <w:t xml:space="preserve">Note: These </w:t>
      </w:r>
      <w:r>
        <w:rPr>
          <w:sz w:val="18"/>
          <w:szCs w:val="18"/>
        </w:rPr>
        <w:t xml:space="preserve">costs </w:t>
      </w:r>
      <w:r w:rsidRPr="00ED3A22">
        <w:rPr>
          <w:sz w:val="18"/>
          <w:szCs w:val="18"/>
        </w:rPr>
        <w:t xml:space="preserve">are </w:t>
      </w:r>
      <w:r>
        <w:rPr>
          <w:sz w:val="18"/>
          <w:szCs w:val="18"/>
        </w:rPr>
        <w:t xml:space="preserve">held </w:t>
      </w:r>
      <w:r w:rsidRPr="00ED3A22">
        <w:rPr>
          <w:sz w:val="18"/>
          <w:szCs w:val="18"/>
        </w:rPr>
        <w:t>constant in real terms but may rise in nominal terms with inflation.</w:t>
      </w:r>
    </w:p>
    <w:p w14:paraId="524D0129" w14:textId="77777777" w:rsidR="00781CF0" w:rsidRDefault="00781CF0" w:rsidP="00332CD1"/>
    <w:p w14:paraId="2564F130" w14:textId="4FCD32F6" w:rsidR="00396F33" w:rsidRDefault="0024085A" w:rsidP="00DF0A7B">
      <w:pPr>
        <w:pStyle w:val="Heading3"/>
      </w:pPr>
      <w:bookmarkStart w:id="83" w:name="_Toc196745425"/>
      <w:r>
        <w:t>Purchaser</w:t>
      </w:r>
      <w:r w:rsidR="00396F33">
        <w:t xml:space="preserve"> </w:t>
      </w:r>
      <w:r>
        <w:t>b</w:t>
      </w:r>
      <w:r w:rsidR="00396F33">
        <w:t>urden</w:t>
      </w:r>
      <w:bookmarkEnd w:id="83"/>
    </w:p>
    <w:p w14:paraId="264FBB64" w14:textId="78C59EFB" w:rsidR="001A4DA3" w:rsidRPr="001A4DA3" w:rsidRDefault="001A4DA3" w:rsidP="001A4DA3">
      <w:r w:rsidRPr="001A4DA3">
        <w:t>It is assumed that all compliance costs initially borne by industry and by the WELS Regulator are ultimately passed on to CIM purchasers. Purchasers also incur the costs of price increases due to improvements in the average water efficiency of CIMs, whether forced on them by Minimum Water Efficiency Standards which remove the cheapest and least water</w:t>
      </w:r>
      <w:r w:rsidR="00A17AE2">
        <w:t xml:space="preserve"> </w:t>
      </w:r>
      <w:r w:rsidRPr="001A4DA3">
        <w:t>efficient models from the market or voluntarily incurred through exercising a preference for more water</w:t>
      </w:r>
      <w:r w:rsidR="00A17AE2">
        <w:t xml:space="preserve"> </w:t>
      </w:r>
      <w:r w:rsidRPr="001A4DA3">
        <w:t>efficient models.</w:t>
      </w:r>
    </w:p>
    <w:p w14:paraId="060CF7B7" w14:textId="1ED66629" w:rsidR="00332CD1" w:rsidRPr="00332CD1" w:rsidRDefault="00332CD1" w:rsidP="00332CD1">
      <w:r w:rsidRPr="00332CD1">
        <w:t xml:space="preserve">The relationship between </w:t>
      </w:r>
      <w:r w:rsidR="00767E78">
        <w:t xml:space="preserve">product </w:t>
      </w:r>
      <w:r w:rsidRPr="00332CD1">
        <w:t xml:space="preserve">price and </w:t>
      </w:r>
      <w:r w:rsidR="00767E78">
        <w:t>water</w:t>
      </w:r>
      <w:r w:rsidR="0024085A">
        <w:t xml:space="preserve"> </w:t>
      </w:r>
      <w:r w:rsidRPr="00332CD1">
        <w:t xml:space="preserve">efficiency </w:t>
      </w:r>
      <w:r w:rsidR="00C9658D">
        <w:t xml:space="preserve">is </w:t>
      </w:r>
      <w:r w:rsidRPr="00332CD1">
        <w:t>captured in modelling by assuming a Price/Efficiency (P/E) ratio. A P/E ratio of 1.0 implies that a 10% increase in</w:t>
      </w:r>
      <w:r>
        <w:t xml:space="preserve"> water</w:t>
      </w:r>
      <w:r w:rsidR="0024085A">
        <w:t xml:space="preserve"> </w:t>
      </w:r>
      <w:r w:rsidRPr="00332CD1">
        <w:t>efficiency brings about a 10% increase in price. A P/E ratio of 0.5 implies a 5% price increase for every 10% increase in efficiency and so on.</w:t>
      </w:r>
    </w:p>
    <w:p w14:paraId="45868C9D" w14:textId="456A5933" w:rsidR="00332CD1" w:rsidRDefault="00332CD1" w:rsidP="00CA6F7F">
      <w:r>
        <w:t>Th</w:t>
      </w:r>
      <w:r w:rsidR="00767E78">
        <w:t xml:space="preserve">e </w:t>
      </w:r>
      <w:r w:rsidR="00DC7ECE">
        <w:t xml:space="preserve">projected </w:t>
      </w:r>
      <w:r w:rsidR="00767E78">
        <w:t>price impacts of energy</w:t>
      </w:r>
      <w:r w:rsidR="0024085A">
        <w:t xml:space="preserve"> </w:t>
      </w:r>
      <w:r w:rsidR="00767E78">
        <w:t xml:space="preserve">efficiency improvements </w:t>
      </w:r>
      <w:r w:rsidR="00DC7ECE">
        <w:t xml:space="preserve">due to MEPS </w:t>
      </w:r>
      <w:r w:rsidR="00767E78">
        <w:t>are already built int</w:t>
      </w:r>
      <w:r w:rsidR="00DC7ECE">
        <w:t>o</w:t>
      </w:r>
      <w:r w:rsidR="00767E78">
        <w:t xml:space="preserve"> the unit price </w:t>
      </w:r>
      <w:r w:rsidR="00DC7ECE">
        <w:t>trends in Option 1. In addition, the following technical changes will be happening under Options 2, 3A, 3B, 4A and 4B:</w:t>
      </w:r>
    </w:p>
    <w:p w14:paraId="10DB3981" w14:textId="1BDD78AF" w:rsidR="00D419E0" w:rsidRPr="00DC5884" w:rsidRDefault="00332CD1"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lastRenderedPageBreak/>
        <w:t>Improvement</w:t>
      </w:r>
      <w:r w:rsidR="008C4D0D" w:rsidRPr="00DC5884">
        <w:rPr>
          <w:rFonts w:eastAsia="Calibri" w:cs="Times New Roman"/>
          <w:szCs w:val="22"/>
        </w:rPr>
        <w:t>s</w:t>
      </w:r>
      <w:r w:rsidRPr="00DC5884">
        <w:rPr>
          <w:rFonts w:eastAsia="Calibri" w:cs="Times New Roman"/>
          <w:szCs w:val="22"/>
        </w:rPr>
        <w:t xml:space="preserve"> in potable water</w:t>
      </w:r>
      <w:r w:rsidR="0024085A" w:rsidRPr="00DC5884">
        <w:rPr>
          <w:rFonts w:eastAsia="Calibri" w:cs="Times New Roman"/>
          <w:szCs w:val="22"/>
        </w:rPr>
        <w:t xml:space="preserve"> </w:t>
      </w:r>
      <w:r w:rsidRPr="00DC5884">
        <w:rPr>
          <w:rFonts w:eastAsia="Calibri" w:cs="Times New Roman"/>
          <w:szCs w:val="22"/>
        </w:rPr>
        <w:t>efficiency</w:t>
      </w:r>
      <w:r w:rsidR="00AE58B2" w:rsidRPr="00DC5884">
        <w:rPr>
          <w:rFonts w:eastAsia="Calibri" w:cs="Times New Roman"/>
          <w:szCs w:val="22"/>
        </w:rPr>
        <w:t xml:space="preserve">. A P/E ratio of 0.1-0.15 has been assumed for </w:t>
      </w:r>
      <w:r w:rsidR="008C4D0D" w:rsidRPr="00DC5884">
        <w:rPr>
          <w:rFonts w:eastAsia="Calibri" w:cs="Times New Roman"/>
          <w:szCs w:val="22"/>
        </w:rPr>
        <w:t xml:space="preserve">information </w:t>
      </w:r>
      <w:r w:rsidR="00235C0C" w:rsidRPr="00DC5884">
        <w:rPr>
          <w:rFonts w:eastAsia="Calibri" w:cs="Times New Roman"/>
          <w:szCs w:val="22"/>
        </w:rPr>
        <w:t xml:space="preserve">declaration </w:t>
      </w:r>
      <w:r w:rsidR="008C4D0D" w:rsidRPr="00DC5884">
        <w:rPr>
          <w:rFonts w:eastAsia="Calibri" w:cs="Times New Roman"/>
          <w:szCs w:val="22"/>
        </w:rPr>
        <w:t>options (2,</w:t>
      </w:r>
      <w:r w:rsidR="00DC7ECE" w:rsidRPr="00DC5884">
        <w:rPr>
          <w:rFonts w:eastAsia="Calibri" w:cs="Times New Roman"/>
          <w:szCs w:val="22"/>
        </w:rPr>
        <w:t xml:space="preserve"> </w:t>
      </w:r>
      <w:r w:rsidR="008C4D0D" w:rsidRPr="00DC5884">
        <w:rPr>
          <w:rFonts w:eastAsia="Calibri" w:cs="Times New Roman"/>
          <w:szCs w:val="22"/>
        </w:rPr>
        <w:t>3A</w:t>
      </w:r>
      <w:r w:rsidR="00235C0C" w:rsidRPr="00DC5884">
        <w:rPr>
          <w:rFonts w:eastAsia="Calibri" w:cs="Times New Roman"/>
          <w:szCs w:val="22"/>
        </w:rPr>
        <w:t xml:space="preserve"> and</w:t>
      </w:r>
      <w:r w:rsidR="00DC7ECE" w:rsidRPr="00DC5884">
        <w:rPr>
          <w:rFonts w:eastAsia="Calibri" w:cs="Times New Roman"/>
          <w:szCs w:val="22"/>
        </w:rPr>
        <w:t xml:space="preserve"> </w:t>
      </w:r>
      <w:r w:rsidR="008C4D0D" w:rsidRPr="00DC5884">
        <w:rPr>
          <w:rFonts w:eastAsia="Calibri" w:cs="Times New Roman"/>
          <w:szCs w:val="22"/>
        </w:rPr>
        <w:t xml:space="preserve">3B) and 0.2-0.3 for </w:t>
      </w:r>
      <w:r w:rsidR="00DC7ECE" w:rsidRPr="00DC5884">
        <w:rPr>
          <w:rFonts w:eastAsia="Calibri" w:cs="Times New Roman"/>
          <w:szCs w:val="22"/>
        </w:rPr>
        <w:t xml:space="preserve">options that include </w:t>
      </w:r>
      <w:r w:rsidR="00235C0C" w:rsidRPr="00DC5884">
        <w:rPr>
          <w:rFonts w:eastAsia="Calibri" w:cs="Times New Roman"/>
          <w:szCs w:val="22"/>
        </w:rPr>
        <w:t>M</w:t>
      </w:r>
      <w:r w:rsidR="00DC7ECE" w:rsidRPr="00DC5884">
        <w:rPr>
          <w:rFonts w:eastAsia="Calibri" w:cs="Times New Roman"/>
          <w:szCs w:val="22"/>
        </w:rPr>
        <w:t xml:space="preserve">inimum </w:t>
      </w:r>
      <w:r w:rsidR="00235C0C" w:rsidRPr="00DC5884">
        <w:rPr>
          <w:rFonts w:eastAsia="Calibri" w:cs="Times New Roman"/>
          <w:szCs w:val="22"/>
        </w:rPr>
        <w:t>W</w:t>
      </w:r>
      <w:r w:rsidR="008C4D0D" w:rsidRPr="00DC5884">
        <w:rPr>
          <w:rFonts w:eastAsia="Calibri" w:cs="Times New Roman"/>
          <w:szCs w:val="22"/>
        </w:rPr>
        <w:t xml:space="preserve">ater </w:t>
      </w:r>
      <w:r w:rsidR="00235C0C" w:rsidRPr="00DC5884">
        <w:rPr>
          <w:rFonts w:eastAsia="Calibri" w:cs="Times New Roman"/>
          <w:szCs w:val="22"/>
        </w:rPr>
        <w:t>E</w:t>
      </w:r>
      <w:r w:rsidR="00DC7ECE" w:rsidRPr="00DC5884">
        <w:rPr>
          <w:rFonts w:eastAsia="Calibri" w:cs="Times New Roman"/>
          <w:szCs w:val="22"/>
        </w:rPr>
        <w:t xml:space="preserve">fficiency </w:t>
      </w:r>
      <w:r w:rsidR="00235C0C" w:rsidRPr="00DC5884">
        <w:rPr>
          <w:rFonts w:eastAsia="Calibri" w:cs="Times New Roman"/>
          <w:szCs w:val="22"/>
        </w:rPr>
        <w:t>S</w:t>
      </w:r>
      <w:r w:rsidR="008C4D0D" w:rsidRPr="00DC5884">
        <w:rPr>
          <w:rFonts w:eastAsia="Calibri" w:cs="Times New Roman"/>
          <w:szCs w:val="22"/>
        </w:rPr>
        <w:t>tandards (4A</w:t>
      </w:r>
      <w:r w:rsidR="00235C0C" w:rsidRPr="00DC5884">
        <w:rPr>
          <w:rFonts w:eastAsia="Calibri" w:cs="Times New Roman"/>
          <w:szCs w:val="22"/>
        </w:rPr>
        <w:t xml:space="preserve"> and</w:t>
      </w:r>
      <w:r w:rsidR="008C4D0D" w:rsidRPr="00DC5884">
        <w:rPr>
          <w:rFonts w:eastAsia="Calibri" w:cs="Times New Roman"/>
          <w:szCs w:val="22"/>
        </w:rPr>
        <w:t xml:space="preserve"> 4B).</w:t>
      </w:r>
    </w:p>
    <w:p w14:paraId="7F62498B" w14:textId="468ABFC6" w:rsidR="008C4D0D" w:rsidRPr="00DC5884" w:rsidRDefault="008C4D0D"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For water-cooled products, improvements in cooling </w:t>
      </w:r>
      <w:r w:rsidR="00CE59EF" w:rsidRPr="00DC5884">
        <w:rPr>
          <w:rFonts w:eastAsia="Calibri" w:cs="Times New Roman"/>
          <w:szCs w:val="22"/>
        </w:rPr>
        <w:t>water efficiency</w:t>
      </w:r>
      <w:r w:rsidRPr="00DC5884">
        <w:rPr>
          <w:rFonts w:eastAsia="Calibri" w:cs="Times New Roman"/>
          <w:szCs w:val="22"/>
        </w:rPr>
        <w:t>. A P/E ratio of 0.2-0.3 has been assumed for cooling water efficiency improvements under all options.</w:t>
      </w:r>
    </w:p>
    <w:p w14:paraId="6C3D0F43" w14:textId="5E1B274B" w:rsidR="00DC7ECE" w:rsidRDefault="008C4D0D" w:rsidP="00CA6F7F">
      <w:r>
        <w:t xml:space="preserve">Note that the price increase effects are additive: for water-cooled categories, separate cost and price effects are estimated for potable </w:t>
      </w:r>
      <w:r w:rsidR="00CE59EF">
        <w:t>water efficiency</w:t>
      </w:r>
      <w:r>
        <w:t xml:space="preserve"> and condenser </w:t>
      </w:r>
      <w:r w:rsidR="00CE59EF">
        <w:t>water efficiency</w:t>
      </w:r>
      <w:r>
        <w:t xml:space="preserve"> improvements</w:t>
      </w:r>
      <w:r w:rsidR="008D0E68">
        <w:t>, since they involve different technological pathways</w:t>
      </w:r>
      <w:r>
        <w:t>.</w:t>
      </w:r>
    </w:p>
    <w:p w14:paraId="524CCDD9" w14:textId="7D780D06" w:rsidR="00D419E0" w:rsidRDefault="00DC7ECE" w:rsidP="00CA6F7F">
      <w:r>
        <w:t xml:space="preserve">Goods and </w:t>
      </w:r>
      <w:r w:rsidR="0024085A">
        <w:t>S</w:t>
      </w:r>
      <w:r>
        <w:t xml:space="preserve">ervices </w:t>
      </w:r>
      <w:r w:rsidR="0024085A">
        <w:t>T</w:t>
      </w:r>
      <w:r>
        <w:t xml:space="preserve">ax (GST) effects are not included in the modelling </w:t>
      </w:r>
      <w:r w:rsidR="008D0E68">
        <w:t xml:space="preserve">on </w:t>
      </w:r>
      <w:r>
        <w:t xml:space="preserve">either the cost or the benefits side. </w:t>
      </w:r>
      <w:r w:rsidR="00DA6AD0">
        <w:t>V</w:t>
      </w:r>
      <w:r w:rsidR="00DC3CDA">
        <w:t xml:space="preserve">olumetric water charges are </w:t>
      </w:r>
      <w:r>
        <w:t xml:space="preserve">not subject to GST </w:t>
      </w:r>
      <w:r w:rsidR="00DA6AD0">
        <w:t>in any case, and though GST is charged on CIM sales,</w:t>
      </w:r>
      <w:r w:rsidR="00A6086A">
        <w:t xml:space="preserve"> CIM </w:t>
      </w:r>
      <w:r w:rsidR="00DA6AD0">
        <w:t xml:space="preserve">purchasers </w:t>
      </w:r>
      <w:r w:rsidR="00A6086A">
        <w:t>are businesses which can claim back any GST payments.</w:t>
      </w:r>
    </w:p>
    <w:p w14:paraId="6E523E6A" w14:textId="19FEAEC5" w:rsidR="00CA6F7F" w:rsidRDefault="00CA6F7F" w:rsidP="00CA6F7F">
      <w:pPr>
        <w:pStyle w:val="Heading2"/>
        <w:jc w:val="left"/>
      </w:pPr>
      <w:bookmarkStart w:id="84" w:name="_Toc196745426"/>
      <w:r>
        <w:t>4.4 Benefit/</w:t>
      </w:r>
      <w:r w:rsidR="002F4C85">
        <w:t>c</w:t>
      </w:r>
      <w:r>
        <w:t>ost analysis</w:t>
      </w:r>
      <w:bookmarkEnd w:id="84"/>
    </w:p>
    <w:p w14:paraId="6B510647" w14:textId="49E10BB9" w:rsidR="00542452" w:rsidRDefault="00CB56CA" w:rsidP="008D0E68">
      <w:r w:rsidRPr="00CB56CA">
        <w:t xml:space="preserve">The value of projected </w:t>
      </w:r>
      <w:r w:rsidR="00B70FF4">
        <w:t xml:space="preserve">water </w:t>
      </w:r>
      <w:r w:rsidRPr="00CB56CA">
        <w:t xml:space="preserve">savings for </w:t>
      </w:r>
      <w:r w:rsidR="00577645">
        <w:t>s</w:t>
      </w:r>
      <w:r w:rsidRPr="00CB56CA">
        <w:t>tate</w:t>
      </w:r>
      <w:r w:rsidR="00577645">
        <w:t>s</w:t>
      </w:r>
      <w:r w:rsidRPr="00CB56CA">
        <w:t xml:space="preserve"> and </w:t>
      </w:r>
      <w:r w:rsidR="00577645">
        <w:t>t</w:t>
      </w:r>
      <w:r w:rsidRPr="00CB56CA">
        <w:t>erritor</w:t>
      </w:r>
      <w:r w:rsidR="00577645">
        <w:t xml:space="preserve">ies </w:t>
      </w:r>
      <w:r w:rsidR="00B70FF4">
        <w:t xml:space="preserve">under each option </w:t>
      </w:r>
      <w:r w:rsidR="008D0E68">
        <w:t xml:space="preserve">is </w:t>
      </w:r>
      <w:r w:rsidRPr="00CB56CA">
        <w:t xml:space="preserve">calculated by multiplying </w:t>
      </w:r>
      <w:r w:rsidR="00106ECC">
        <w:t xml:space="preserve">the </w:t>
      </w:r>
      <w:r w:rsidR="00B70FF4">
        <w:t>q</w:t>
      </w:r>
      <w:r w:rsidR="00106ECC">
        <w:t>u</w:t>
      </w:r>
      <w:r w:rsidR="00B70FF4">
        <w:t>anti</w:t>
      </w:r>
      <w:r w:rsidR="00106ECC">
        <w:t>t</w:t>
      </w:r>
      <w:r w:rsidR="00B70FF4">
        <w:t xml:space="preserve">y of water and wastewater </w:t>
      </w:r>
      <w:r w:rsidRPr="00CB56CA">
        <w:t xml:space="preserve">saved (i.e. the equivalent of </w:t>
      </w:r>
      <w:r w:rsidR="008D0E68">
        <w:fldChar w:fldCharType="begin"/>
      </w:r>
      <w:r w:rsidR="008D0E68">
        <w:instrText xml:space="preserve"> REF _Ref192496627 \h </w:instrText>
      </w:r>
      <w:r w:rsidR="008D0E68">
        <w:fldChar w:fldCharType="separate"/>
      </w:r>
      <w:r w:rsidR="002271EC">
        <w:t xml:space="preserve">Figure </w:t>
      </w:r>
      <w:r w:rsidR="002271EC">
        <w:rPr>
          <w:noProof/>
        </w:rPr>
        <w:t>8</w:t>
      </w:r>
      <w:r w:rsidR="008D0E68">
        <w:fldChar w:fldCharType="end"/>
      </w:r>
      <w:r w:rsidR="008D0E68">
        <w:t xml:space="preserve"> for that jurisdiction) </w:t>
      </w:r>
      <w:r w:rsidRPr="00CB56CA">
        <w:t xml:space="preserve">by the projected </w:t>
      </w:r>
      <w:r w:rsidR="00106ECC">
        <w:t xml:space="preserve">water </w:t>
      </w:r>
      <w:r w:rsidR="008D0E68">
        <w:t xml:space="preserve">supply and wastewater </w:t>
      </w:r>
      <w:r w:rsidRPr="00CB56CA">
        <w:t xml:space="preserve">price </w:t>
      </w:r>
      <w:r w:rsidR="008D0E68">
        <w:t xml:space="preserve">in that jurisdiction </w:t>
      </w:r>
      <w:r w:rsidRPr="00CB56CA">
        <w:t>(</w:t>
      </w:r>
      <w:r w:rsidR="00B70FF4">
        <w:fldChar w:fldCharType="begin"/>
      </w:r>
      <w:r w:rsidR="00B70FF4">
        <w:instrText xml:space="preserve"> REF _Ref189733869 \h </w:instrText>
      </w:r>
      <w:r w:rsidR="00B70FF4">
        <w:fldChar w:fldCharType="separate"/>
      </w:r>
      <w:r w:rsidR="002271EC">
        <w:t xml:space="preserve">Figure </w:t>
      </w:r>
      <w:r w:rsidR="002271EC">
        <w:rPr>
          <w:noProof/>
        </w:rPr>
        <w:t>12</w:t>
      </w:r>
      <w:r w:rsidR="00B70FF4">
        <w:fldChar w:fldCharType="end"/>
      </w:r>
      <w:r w:rsidR="00B70FF4">
        <w:t xml:space="preserve"> </w:t>
      </w:r>
      <w:r w:rsidRPr="00CB56CA">
        <w:t xml:space="preserve">in Appendix </w:t>
      </w:r>
      <w:r w:rsidR="00EF62F3">
        <w:t>B</w:t>
      </w:r>
      <w:r w:rsidRPr="00CB56CA">
        <w:t>).</w:t>
      </w:r>
      <w:r w:rsidR="00B70FF4">
        <w:t xml:space="preserve"> The present value in 2025 of the stream of </w:t>
      </w:r>
      <w:r w:rsidR="00106ECC">
        <w:t xml:space="preserve">savings </w:t>
      </w:r>
      <w:r w:rsidR="00B70FF4">
        <w:t xml:space="preserve">is calculated </w:t>
      </w:r>
      <w:r w:rsidR="008D0E68">
        <w:t xml:space="preserve">at </w:t>
      </w:r>
      <w:r w:rsidR="00B70FF4">
        <w:t xml:space="preserve">a </w:t>
      </w:r>
      <w:r w:rsidR="008D0E68">
        <w:t xml:space="preserve">7% </w:t>
      </w:r>
      <w:r w:rsidR="00B70FF4">
        <w:t>discount rate.</w:t>
      </w:r>
      <w:r w:rsidR="00C073A7">
        <w:rPr>
          <w:rStyle w:val="FootnoteReference"/>
        </w:rPr>
        <w:footnoteReference w:id="12"/>
      </w:r>
    </w:p>
    <w:p w14:paraId="008E5F56" w14:textId="06EEC1F3" w:rsidR="005673BA" w:rsidRDefault="005673BA" w:rsidP="00CA6F7F">
      <w:r>
        <w:t>The present value of projected costs is estimated over the period 2025</w:t>
      </w:r>
      <w:r w:rsidR="00C073A7">
        <w:t xml:space="preserve"> to 2</w:t>
      </w:r>
      <w:r>
        <w:t>040</w:t>
      </w:r>
      <w:r w:rsidR="00106ECC">
        <w:t xml:space="preserve">. </w:t>
      </w:r>
      <w:r>
        <w:t xml:space="preserve">The period of savings accumulation is longer because even if a market intervention option terminates in 2040 </w:t>
      </w:r>
      <w:r w:rsidR="008D0E68">
        <w:t xml:space="preserve">through </w:t>
      </w:r>
      <w:r>
        <w:t>abandonment or adoption of a more stringent measure</w:t>
      </w:r>
      <w:r w:rsidR="008D0E68">
        <w:t xml:space="preserve">, </w:t>
      </w:r>
      <w:r>
        <w:t xml:space="preserve">the CIMs purchased before then will continue to accumulate water savings until they </w:t>
      </w:r>
      <w:r w:rsidR="00C073A7">
        <w:t xml:space="preserve">are </w:t>
      </w:r>
      <w:r>
        <w:t>retire</w:t>
      </w:r>
      <w:r w:rsidR="00C073A7">
        <w:t>d</w:t>
      </w:r>
      <w:r>
        <w:t xml:space="preserve"> from </w:t>
      </w:r>
      <w:r w:rsidR="00C073A7">
        <w:t>use</w:t>
      </w:r>
      <w:r>
        <w:t>.</w:t>
      </w:r>
    </w:p>
    <w:p w14:paraId="65767B93" w14:textId="3EC1BDF1" w:rsidR="00421FF4" w:rsidRDefault="00DC3CDA" w:rsidP="00CA6F7F">
      <w:r>
        <w:fldChar w:fldCharType="begin"/>
      </w:r>
      <w:r>
        <w:instrText xml:space="preserve"> REF _Ref189739212 \h </w:instrText>
      </w:r>
      <w:r>
        <w:fldChar w:fldCharType="separate"/>
      </w:r>
      <w:r w:rsidR="002271EC">
        <w:t xml:space="preserve">Table </w:t>
      </w:r>
      <w:r w:rsidR="002271EC">
        <w:rPr>
          <w:noProof/>
        </w:rPr>
        <w:t>8</w:t>
      </w:r>
      <w:r>
        <w:fldChar w:fldCharType="end"/>
      </w:r>
      <w:r>
        <w:t xml:space="preserve"> and </w:t>
      </w:r>
      <w:r w:rsidR="00C073A7">
        <w:fldChar w:fldCharType="begin"/>
      </w:r>
      <w:r w:rsidR="00C073A7">
        <w:instrText xml:space="preserve"> REF _Ref191563312 \h </w:instrText>
      </w:r>
      <w:r w:rsidR="00C073A7">
        <w:fldChar w:fldCharType="separate"/>
      </w:r>
      <w:r w:rsidR="002271EC">
        <w:t xml:space="preserve">Figure </w:t>
      </w:r>
      <w:r w:rsidR="002271EC">
        <w:rPr>
          <w:noProof/>
        </w:rPr>
        <w:t>9</w:t>
      </w:r>
      <w:r w:rsidR="00C073A7">
        <w:fldChar w:fldCharType="end"/>
      </w:r>
      <w:r w:rsidR="00C073A7">
        <w:t xml:space="preserve"> </w:t>
      </w:r>
      <w:r>
        <w:t>summarise the projected costs</w:t>
      </w:r>
      <w:r w:rsidR="00647A25">
        <w:t xml:space="preserve">, </w:t>
      </w:r>
      <w:r>
        <w:t xml:space="preserve">benefits </w:t>
      </w:r>
      <w:r w:rsidR="00647A25">
        <w:t xml:space="preserve">and water savings </w:t>
      </w:r>
      <w:r>
        <w:t xml:space="preserve">of each option. </w:t>
      </w:r>
      <w:r w:rsidR="001A4DA3">
        <w:t xml:space="preserve">Program cost is the sum of the regulatory burden on business and the WELS Regulator burden, </w:t>
      </w:r>
      <w:r w:rsidR="00C073A7">
        <w:t xml:space="preserve">Options </w:t>
      </w:r>
      <w:r w:rsidR="00A6086A">
        <w:t xml:space="preserve">2, 3A, 3B have very similar net benefits. </w:t>
      </w:r>
      <w:r w:rsidR="00C073A7">
        <w:t xml:space="preserve">The additional water savings delivered by Options 3A and 3B </w:t>
      </w:r>
      <w:r w:rsidR="00680AC2">
        <w:t>are largely negated by the</w:t>
      </w:r>
      <w:r w:rsidR="00A6086A">
        <w:t xml:space="preserve"> costs of </w:t>
      </w:r>
      <w:r w:rsidR="00680AC2">
        <w:t>regulation.</w:t>
      </w:r>
    </w:p>
    <w:p w14:paraId="0D2FA8D9" w14:textId="7F614CC1" w:rsidR="00815FAF" w:rsidRDefault="00815FAF">
      <w:pPr>
        <w:spacing w:after="200" w:line="288" w:lineRule="auto"/>
        <w:jc w:val="left"/>
      </w:pPr>
      <w:r>
        <w:br w:type="page"/>
      </w:r>
    </w:p>
    <w:p w14:paraId="07FA14EA" w14:textId="7DFB3C57" w:rsidR="008A2310" w:rsidRDefault="00DC3CDA" w:rsidP="00DC3CDA">
      <w:pPr>
        <w:pStyle w:val="Caption"/>
        <w:jc w:val="center"/>
      </w:pPr>
      <w:bookmarkStart w:id="85" w:name="_Ref189739212"/>
      <w:bookmarkStart w:id="86" w:name="_Toc196745450"/>
      <w:bookmarkStart w:id="87" w:name="_Hlk194478315"/>
      <w:r>
        <w:lastRenderedPageBreak/>
        <w:t xml:space="preserve">Table </w:t>
      </w:r>
      <w:r w:rsidR="0042496D">
        <w:fldChar w:fldCharType="begin"/>
      </w:r>
      <w:r w:rsidR="0042496D">
        <w:instrText xml:space="preserve"> SEQ Table \* ARABIC </w:instrText>
      </w:r>
      <w:r w:rsidR="0042496D">
        <w:fldChar w:fldCharType="separate"/>
      </w:r>
      <w:r w:rsidR="002271EC">
        <w:rPr>
          <w:noProof/>
        </w:rPr>
        <w:t>8</w:t>
      </w:r>
      <w:r w:rsidR="0042496D">
        <w:rPr>
          <w:noProof/>
        </w:rPr>
        <w:fldChar w:fldCharType="end"/>
      </w:r>
      <w:bookmarkEnd w:id="85"/>
      <w:r>
        <w:t xml:space="preserve"> Summary of projected costs and benefits, Australia</w:t>
      </w:r>
      <w:bookmarkEnd w:id="86"/>
    </w:p>
    <w:tbl>
      <w:tblPr>
        <w:tblW w:w="9922" w:type="dxa"/>
        <w:tblInd w:w="279" w:type="dxa"/>
        <w:tblLayout w:type="fixed"/>
        <w:tblLook w:val="04A0" w:firstRow="1" w:lastRow="0" w:firstColumn="1" w:lastColumn="0" w:noHBand="0" w:noVBand="1"/>
      </w:tblPr>
      <w:tblGrid>
        <w:gridCol w:w="1134"/>
        <w:gridCol w:w="798"/>
        <w:gridCol w:w="799"/>
        <w:gridCol w:w="799"/>
        <w:gridCol w:w="799"/>
        <w:gridCol w:w="799"/>
        <w:gridCol w:w="799"/>
        <w:gridCol w:w="799"/>
        <w:gridCol w:w="645"/>
        <w:gridCol w:w="953"/>
        <w:gridCol w:w="799"/>
        <w:gridCol w:w="799"/>
      </w:tblGrid>
      <w:tr w:rsidR="00647A25" w:rsidRPr="00F51137" w14:paraId="3959C049" w14:textId="5B72A83D" w:rsidTr="00647A25">
        <w:trPr>
          <w:trHeight w:val="247"/>
        </w:trPr>
        <w:tc>
          <w:tcPr>
            <w:tcW w:w="1134" w:type="dxa"/>
            <w:vMerge w:val="restart"/>
            <w:tcBorders>
              <w:top w:val="single" w:sz="4" w:space="0" w:color="auto"/>
              <w:left w:val="single" w:sz="4" w:space="0" w:color="auto"/>
              <w:right w:val="single" w:sz="4" w:space="0" w:color="auto"/>
            </w:tcBorders>
            <w:shd w:val="clear" w:color="auto" w:fill="auto"/>
            <w:noWrap/>
            <w:vAlign w:val="bottom"/>
            <w:hideMark/>
          </w:tcPr>
          <w:p w14:paraId="6E36B0DF" w14:textId="2F1873D4"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bookmarkStart w:id="88" w:name="_Ref189740013"/>
          </w:p>
        </w:tc>
        <w:tc>
          <w:tcPr>
            <w:tcW w:w="2396" w:type="dxa"/>
            <w:gridSpan w:val="3"/>
            <w:vMerge w:val="restart"/>
            <w:tcBorders>
              <w:top w:val="single" w:sz="4" w:space="0" w:color="auto"/>
              <w:left w:val="nil"/>
              <w:bottom w:val="single" w:sz="4" w:space="0" w:color="auto"/>
              <w:right w:val="nil"/>
            </w:tcBorders>
            <w:shd w:val="clear" w:color="auto" w:fill="auto"/>
            <w:noWrap/>
            <w:vAlign w:val="bottom"/>
            <w:hideMark/>
          </w:tcPr>
          <w:p w14:paraId="6ED36E29" w14:textId="09C77231"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 xml:space="preserve">Costs $M PV </w:t>
            </w:r>
          </w:p>
        </w:tc>
        <w:tc>
          <w:tcPr>
            <w:tcW w:w="2397" w:type="dxa"/>
            <w:gridSpan w:val="3"/>
            <w:vMerge w:val="restart"/>
            <w:tcBorders>
              <w:top w:val="single" w:sz="4" w:space="0" w:color="auto"/>
              <w:left w:val="single" w:sz="4" w:space="0" w:color="auto"/>
              <w:bottom w:val="single" w:sz="4" w:space="0" w:color="auto"/>
              <w:right w:val="nil"/>
            </w:tcBorders>
            <w:shd w:val="clear" w:color="auto" w:fill="auto"/>
            <w:noWrap/>
            <w:vAlign w:val="bottom"/>
            <w:hideMark/>
          </w:tcPr>
          <w:p w14:paraId="0A6E5498" w14:textId="61B500B2"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Benefit $M PV</w:t>
            </w:r>
          </w:p>
        </w:tc>
        <w:tc>
          <w:tcPr>
            <w:tcW w:w="799" w:type="dxa"/>
            <w:vMerge w:val="restart"/>
            <w:tcBorders>
              <w:top w:val="single" w:sz="4" w:space="0" w:color="auto"/>
              <w:left w:val="single" w:sz="4" w:space="0" w:color="auto"/>
              <w:right w:val="nil"/>
            </w:tcBorders>
            <w:shd w:val="clear" w:color="auto" w:fill="D9D9D9" w:themeFill="background2" w:themeFillShade="D9"/>
            <w:noWrap/>
            <w:vAlign w:val="bottom"/>
            <w:hideMark/>
          </w:tcPr>
          <w:p w14:paraId="318DD6F0" w14:textId="77777777"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Net</w:t>
            </w:r>
          </w:p>
          <w:p w14:paraId="45B01493" w14:textId="297B81EA"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Benefit</w:t>
            </w:r>
          </w:p>
        </w:tc>
        <w:tc>
          <w:tcPr>
            <w:tcW w:w="645" w:type="dxa"/>
            <w:vMerge w:val="restart"/>
            <w:tcBorders>
              <w:top w:val="single" w:sz="4" w:space="0" w:color="auto"/>
              <w:left w:val="nil"/>
              <w:right w:val="nil"/>
            </w:tcBorders>
            <w:shd w:val="clear" w:color="auto" w:fill="D9D9D9" w:themeFill="background2" w:themeFillShade="D9"/>
            <w:noWrap/>
            <w:vAlign w:val="bottom"/>
            <w:hideMark/>
          </w:tcPr>
          <w:p w14:paraId="0E97D4A7" w14:textId="77777777"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B/C</w:t>
            </w:r>
          </w:p>
          <w:p w14:paraId="0F121E93" w14:textId="71C5B393"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ratio</w:t>
            </w:r>
          </w:p>
        </w:tc>
        <w:tc>
          <w:tcPr>
            <w:tcW w:w="953" w:type="dxa"/>
            <w:vMerge w:val="restart"/>
            <w:tcBorders>
              <w:top w:val="single" w:sz="4" w:space="0" w:color="auto"/>
              <w:left w:val="nil"/>
              <w:right w:val="single" w:sz="4" w:space="0" w:color="auto"/>
            </w:tcBorders>
            <w:shd w:val="clear" w:color="auto" w:fill="auto"/>
            <w:noWrap/>
            <w:vAlign w:val="bottom"/>
            <w:hideMark/>
          </w:tcPr>
          <w:p w14:paraId="452BB8B5" w14:textId="16171DAB"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I</w:t>
            </w:r>
            <w:r w:rsidRPr="00F51137">
              <w:rPr>
                <w:rFonts w:ascii="Calibri" w:eastAsia="Times New Roman" w:hAnsi="Calibri" w:cs="Calibri"/>
                <w:color w:val="000000"/>
                <w:sz w:val="18"/>
                <w:szCs w:val="18"/>
                <w:lang w:eastAsia="en-AU"/>
              </w:rPr>
              <w:t>ncrease in</w:t>
            </w:r>
            <w:r>
              <w:rPr>
                <w:rFonts w:ascii="Calibri" w:eastAsia="Times New Roman" w:hAnsi="Calibri" w:cs="Calibri"/>
                <w:color w:val="000000"/>
                <w:sz w:val="18"/>
                <w:szCs w:val="18"/>
                <w:lang w:eastAsia="en-AU"/>
              </w:rPr>
              <w:t xml:space="preserve"> </w:t>
            </w:r>
            <w:r w:rsidRPr="00F51137">
              <w:rPr>
                <w:rFonts w:ascii="Calibri" w:eastAsia="Times New Roman" w:hAnsi="Calibri" w:cs="Calibri"/>
                <w:color w:val="000000"/>
                <w:sz w:val="18"/>
                <w:szCs w:val="18"/>
                <w:lang w:eastAsia="en-AU"/>
              </w:rPr>
              <w:t>CIM prices</w:t>
            </w:r>
          </w:p>
        </w:tc>
        <w:tc>
          <w:tcPr>
            <w:tcW w:w="1598" w:type="dxa"/>
            <w:gridSpan w:val="2"/>
            <w:tcBorders>
              <w:top w:val="single" w:sz="4" w:space="0" w:color="auto"/>
              <w:left w:val="nil"/>
              <w:bottom w:val="single" w:sz="4" w:space="0" w:color="auto"/>
              <w:right w:val="single" w:sz="4" w:space="0" w:color="auto"/>
            </w:tcBorders>
          </w:tcPr>
          <w:p w14:paraId="58AD04E0" w14:textId="6FD70252"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GL water saved</w:t>
            </w:r>
          </w:p>
        </w:tc>
      </w:tr>
      <w:tr w:rsidR="00647A25" w:rsidRPr="00F51137" w14:paraId="3943AAD7" w14:textId="77777777" w:rsidTr="00647A25">
        <w:trPr>
          <w:trHeight w:val="123"/>
        </w:trPr>
        <w:tc>
          <w:tcPr>
            <w:tcW w:w="1134" w:type="dxa"/>
            <w:vMerge/>
            <w:tcBorders>
              <w:left w:val="single" w:sz="4" w:space="0" w:color="auto"/>
              <w:bottom w:val="nil"/>
              <w:right w:val="single" w:sz="4" w:space="0" w:color="auto"/>
            </w:tcBorders>
            <w:shd w:val="clear" w:color="auto" w:fill="auto"/>
            <w:noWrap/>
            <w:vAlign w:val="bottom"/>
          </w:tcPr>
          <w:p w14:paraId="44256D8F" w14:textId="77777777"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p>
        </w:tc>
        <w:tc>
          <w:tcPr>
            <w:tcW w:w="2396" w:type="dxa"/>
            <w:gridSpan w:val="3"/>
            <w:vMerge/>
            <w:tcBorders>
              <w:left w:val="nil"/>
              <w:bottom w:val="single" w:sz="4" w:space="0" w:color="auto"/>
              <w:right w:val="nil"/>
            </w:tcBorders>
            <w:shd w:val="clear" w:color="auto" w:fill="auto"/>
            <w:noWrap/>
            <w:vAlign w:val="bottom"/>
          </w:tcPr>
          <w:p w14:paraId="47737811" w14:textId="77777777"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p>
        </w:tc>
        <w:tc>
          <w:tcPr>
            <w:tcW w:w="2397" w:type="dxa"/>
            <w:gridSpan w:val="3"/>
            <w:vMerge/>
            <w:tcBorders>
              <w:left w:val="single" w:sz="4" w:space="0" w:color="auto"/>
              <w:bottom w:val="single" w:sz="4" w:space="0" w:color="auto"/>
              <w:right w:val="nil"/>
            </w:tcBorders>
            <w:shd w:val="clear" w:color="auto" w:fill="auto"/>
            <w:noWrap/>
            <w:vAlign w:val="bottom"/>
          </w:tcPr>
          <w:p w14:paraId="077570D2" w14:textId="77777777"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p>
        </w:tc>
        <w:tc>
          <w:tcPr>
            <w:tcW w:w="799" w:type="dxa"/>
            <w:vMerge/>
            <w:tcBorders>
              <w:left w:val="single" w:sz="4" w:space="0" w:color="auto"/>
              <w:right w:val="nil"/>
            </w:tcBorders>
            <w:shd w:val="clear" w:color="auto" w:fill="D9D9D9" w:themeFill="background2" w:themeFillShade="D9"/>
            <w:noWrap/>
            <w:vAlign w:val="bottom"/>
          </w:tcPr>
          <w:p w14:paraId="3F75DDDD" w14:textId="6119B050"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p>
        </w:tc>
        <w:tc>
          <w:tcPr>
            <w:tcW w:w="645" w:type="dxa"/>
            <w:vMerge/>
            <w:tcBorders>
              <w:left w:val="nil"/>
              <w:right w:val="nil"/>
            </w:tcBorders>
            <w:shd w:val="clear" w:color="auto" w:fill="D9D9D9" w:themeFill="background2" w:themeFillShade="D9"/>
            <w:noWrap/>
            <w:vAlign w:val="bottom"/>
          </w:tcPr>
          <w:p w14:paraId="27CD3C41" w14:textId="36379D3C"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p>
        </w:tc>
        <w:tc>
          <w:tcPr>
            <w:tcW w:w="953" w:type="dxa"/>
            <w:vMerge/>
            <w:tcBorders>
              <w:left w:val="nil"/>
              <w:right w:val="single" w:sz="4" w:space="0" w:color="auto"/>
            </w:tcBorders>
            <w:shd w:val="clear" w:color="auto" w:fill="auto"/>
            <w:noWrap/>
            <w:vAlign w:val="bottom"/>
          </w:tcPr>
          <w:p w14:paraId="078D62B5" w14:textId="374C7687"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p>
        </w:tc>
        <w:tc>
          <w:tcPr>
            <w:tcW w:w="799" w:type="dxa"/>
            <w:tcBorders>
              <w:top w:val="single" w:sz="4" w:space="0" w:color="auto"/>
              <w:left w:val="single" w:sz="4" w:space="0" w:color="auto"/>
              <w:bottom w:val="nil"/>
            </w:tcBorders>
          </w:tcPr>
          <w:p w14:paraId="56106C1B" w14:textId="79B29078"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In 2040</w:t>
            </w:r>
          </w:p>
        </w:tc>
        <w:tc>
          <w:tcPr>
            <w:tcW w:w="799" w:type="dxa"/>
            <w:tcBorders>
              <w:top w:val="single" w:sz="4" w:space="0" w:color="auto"/>
              <w:bottom w:val="nil"/>
              <w:right w:val="single" w:sz="4" w:space="0" w:color="auto"/>
            </w:tcBorders>
          </w:tcPr>
          <w:p w14:paraId="4F10240B" w14:textId="51CB797D"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2024-48</w:t>
            </w:r>
          </w:p>
        </w:tc>
      </w:tr>
      <w:tr w:rsidR="00647A25" w:rsidRPr="00F51137" w14:paraId="56ACC608" w14:textId="00A0E19E" w:rsidTr="00647A25">
        <w:trPr>
          <w:trHeight w:val="8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33283C4" w14:textId="0FD9F94C"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p>
        </w:tc>
        <w:tc>
          <w:tcPr>
            <w:tcW w:w="798" w:type="dxa"/>
            <w:tcBorders>
              <w:top w:val="single" w:sz="4" w:space="0" w:color="auto"/>
              <w:left w:val="nil"/>
              <w:bottom w:val="single" w:sz="4" w:space="0" w:color="auto"/>
              <w:right w:val="nil"/>
            </w:tcBorders>
            <w:shd w:val="clear" w:color="auto" w:fill="auto"/>
            <w:noWrap/>
            <w:vAlign w:val="bottom"/>
            <w:hideMark/>
          </w:tcPr>
          <w:p w14:paraId="03F5C87A" w14:textId="77777777"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Price</w:t>
            </w:r>
          </w:p>
        </w:tc>
        <w:tc>
          <w:tcPr>
            <w:tcW w:w="799" w:type="dxa"/>
            <w:tcBorders>
              <w:top w:val="single" w:sz="4" w:space="0" w:color="auto"/>
              <w:left w:val="nil"/>
              <w:bottom w:val="single" w:sz="4" w:space="0" w:color="auto"/>
              <w:right w:val="nil"/>
            </w:tcBorders>
            <w:shd w:val="clear" w:color="auto" w:fill="auto"/>
            <w:noWrap/>
            <w:vAlign w:val="bottom"/>
            <w:hideMark/>
          </w:tcPr>
          <w:p w14:paraId="0718B4BC" w14:textId="291538C5"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Prog</w:t>
            </w:r>
          </w:p>
        </w:tc>
        <w:tc>
          <w:tcPr>
            <w:tcW w:w="799" w:type="dxa"/>
            <w:tcBorders>
              <w:top w:val="single" w:sz="4" w:space="0" w:color="auto"/>
              <w:left w:val="nil"/>
              <w:bottom w:val="single" w:sz="4" w:space="0" w:color="auto"/>
              <w:right w:val="nil"/>
            </w:tcBorders>
            <w:shd w:val="clear" w:color="auto" w:fill="auto"/>
            <w:noWrap/>
            <w:vAlign w:val="bottom"/>
            <w:hideMark/>
          </w:tcPr>
          <w:p w14:paraId="59DA3D8D" w14:textId="77777777"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Total</w:t>
            </w:r>
          </w:p>
        </w:tc>
        <w:tc>
          <w:tcPr>
            <w:tcW w:w="799" w:type="dxa"/>
            <w:tcBorders>
              <w:top w:val="single" w:sz="4" w:space="0" w:color="auto"/>
              <w:left w:val="single" w:sz="4" w:space="0" w:color="auto"/>
              <w:bottom w:val="single" w:sz="4" w:space="0" w:color="auto"/>
              <w:right w:val="nil"/>
            </w:tcBorders>
            <w:shd w:val="clear" w:color="auto" w:fill="auto"/>
            <w:noWrap/>
            <w:vAlign w:val="bottom"/>
            <w:hideMark/>
          </w:tcPr>
          <w:p w14:paraId="24783F56" w14:textId="2B8EAF60"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Potable</w:t>
            </w:r>
          </w:p>
        </w:tc>
        <w:tc>
          <w:tcPr>
            <w:tcW w:w="799" w:type="dxa"/>
            <w:tcBorders>
              <w:top w:val="single" w:sz="4" w:space="0" w:color="auto"/>
              <w:left w:val="nil"/>
              <w:bottom w:val="single" w:sz="4" w:space="0" w:color="auto"/>
              <w:right w:val="nil"/>
            </w:tcBorders>
            <w:shd w:val="clear" w:color="auto" w:fill="auto"/>
            <w:noWrap/>
            <w:vAlign w:val="bottom"/>
            <w:hideMark/>
          </w:tcPr>
          <w:p w14:paraId="34229C69" w14:textId="436B3E15"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Cooling</w:t>
            </w:r>
          </w:p>
        </w:tc>
        <w:tc>
          <w:tcPr>
            <w:tcW w:w="799" w:type="dxa"/>
            <w:tcBorders>
              <w:top w:val="single" w:sz="4" w:space="0" w:color="auto"/>
              <w:left w:val="nil"/>
              <w:bottom w:val="single" w:sz="4" w:space="0" w:color="auto"/>
              <w:right w:val="nil"/>
            </w:tcBorders>
            <w:shd w:val="clear" w:color="auto" w:fill="auto"/>
            <w:noWrap/>
            <w:vAlign w:val="bottom"/>
            <w:hideMark/>
          </w:tcPr>
          <w:p w14:paraId="2ED73DA4" w14:textId="77777777"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Total</w:t>
            </w:r>
          </w:p>
        </w:tc>
        <w:tc>
          <w:tcPr>
            <w:tcW w:w="799" w:type="dxa"/>
            <w:vMerge/>
            <w:tcBorders>
              <w:left w:val="single" w:sz="4" w:space="0" w:color="auto"/>
              <w:bottom w:val="single" w:sz="4" w:space="0" w:color="auto"/>
              <w:right w:val="nil"/>
            </w:tcBorders>
            <w:shd w:val="clear" w:color="auto" w:fill="D9D9D9" w:themeFill="background2" w:themeFillShade="D9"/>
            <w:noWrap/>
            <w:vAlign w:val="bottom"/>
            <w:hideMark/>
          </w:tcPr>
          <w:p w14:paraId="126479B9" w14:textId="1F67E45D"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p>
        </w:tc>
        <w:tc>
          <w:tcPr>
            <w:tcW w:w="645" w:type="dxa"/>
            <w:vMerge/>
            <w:tcBorders>
              <w:left w:val="nil"/>
              <w:bottom w:val="single" w:sz="4" w:space="0" w:color="auto"/>
              <w:right w:val="nil"/>
            </w:tcBorders>
            <w:shd w:val="clear" w:color="auto" w:fill="D9D9D9" w:themeFill="background2" w:themeFillShade="D9"/>
            <w:noWrap/>
            <w:vAlign w:val="bottom"/>
            <w:hideMark/>
          </w:tcPr>
          <w:p w14:paraId="339E6A13" w14:textId="29830AB0"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p>
        </w:tc>
        <w:tc>
          <w:tcPr>
            <w:tcW w:w="953" w:type="dxa"/>
            <w:vMerge/>
            <w:tcBorders>
              <w:left w:val="nil"/>
              <w:bottom w:val="single" w:sz="4" w:space="0" w:color="auto"/>
              <w:right w:val="single" w:sz="4" w:space="0" w:color="auto"/>
            </w:tcBorders>
            <w:shd w:val="clear" w:color="auto" w:fill="auto"/>
            <w:noWrap/>
            <w:vAlign w:val="bottom"/>
            <w:hideMark/>
          </w:tcPr>
          <w:p w14:paraId="5F5839C3" w14:textId="7079F115"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p>
        </w:tc>
        <w:tc>
          <w:tcPr>
            <w:tcW w:w="799" w:type="dxa"/>
            <w:tcBorders>
              <w:top w:val="nil"/>
              <w:left w:val="single" w:sz="4" w:space="0" w:color="auto"/>
              <w:bottom w:val="single" w:sz="4" w:space="0" w:color="auto"/>
            </w:tcBorders>
          </w:tcPr>
          <w:p w14:paraId="6EBF1476" w14:textId="77777777"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p>
        </w:tc>
        <w:tc>
          <w:tcPr>
            <w:tcW w:w="799" w:type="dxa"/>
            <w:tcBorders>
              <w:top w:val="nil"/>
              <w:bottom w:val="single" w:sz="4" w:space="0" w:color="auto"/>
              <w:right w:val="single" w:sz="4" w:space="0" w:color="auto"/>
            </w:tcBorders>
          </w:tcPr>
          <w:p w14:paraId="36FC0E84" w14:textId="77777777" w:rsidR="00647A25" w:rsidRPr="00F51137" w:rsidRDefault="00647A25" w:rsidP="00647A25">
            <w:pPr>
              <w:spacing w:after="0" w:line="240" w:lineRule="auto"/>
              <w:jc w:val="center"/>
              <w:rPr>
                <w:rFonts w:ascii="Calibri" w:eastAsia="Times New Roman" w:hAnsi="Calibri" w:cs="Calibri"/>
                <w:color w:val="000000"/>
                <w:sz w:val="18"/>
                <w:szCs w:val="18"/>
                <w:lang w:eastAsia="en-AU"/>
              </w:rPr>
            </w:pPr>
          </w:p>
        </w:tc>
      </w:tr>
      <w:tr w:rsidR="00F51137" w:rsidRPr="00F51137" w14:paraId="6E7DA978" w14:textId="7EC5A68E" w:rsidTr="00647A25">
        <w:trPr>
          <w:trHeight w:val="300"/>
        </w:trPr>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3D35F2BA" w14:textId="77777777" w:rsidR="00F51137" w:rsidRPr="00F51137" w:rsidRDefault="00F51137" w:rsidP="00F51137">
            <w:pPr>
              <w:spacing w:after="0" w:line="240" w:lineRule="auto"/>
              <w:jc w:val="left"/>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Option 2</w:t>
            </w:r>
          </w:p>
        </w:tc>
        <w:tc>
          <w:tcPr>
            <w:tcW w:w="798" w:type="dxa"/>
            <w:tcBorders>
              <w:top w:val="single" w:sz="4" w:space="0" w:color="auto"/>
              <w:left w:val="single" w:sz="4" w:space="0" w:color="auto"/>
              <w:bottom w:val="nil"/>
              <w:right w:val="nil"/>
            </w:tcBorders>
            <w:shd w:val="clear" w:color="auto" w:fill="auto"/>
            <w:noWrap/>
            <w:vAlign w:val="bottom"/>
            <w:hideMark/>
          </w:tcPr>
          <w:p w14:paraId="59ADB0E5" w14:textId="4412CEC8"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$2.2</w:t>
            </w:r>
          </w:p>
        </w:tc>
        <w:tc>
          <w:tcPr>
            <w:tcW w:w="799" w:type="dxa"/>
            <w:tcBorders>
              <w:top w:val="single" w:sz="4" w:space="0" w:color="auto"/>
              <w:left w:val="nil"/>
              <w:bottom w:val="nil"/>
              <w:right w:val="nil"/>
            </w:tcBorders>
            <w:shd w:val="clear" w:color="auto" w:fill="auto"/>
            <w:noWrap/>
            <w:vAlign w:val="bottom"/>
            <w:hideMark/>
          </w:tcPr>
          <w:p w14:paraId="77682D89" w14:textId="58F9613C"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$1.6</w:t>
            </w:r>
          </w:p>
        </w:tc>
        <w:tc>
          <w:tcPr>
            <w:tcW w:w="799" w:type="dxa"/>
            <w:tcBorders>
              <w:top w:val="single" w:sz="4" w:space="0" w:color="auto"/>
              <w:left w:val="nil"/>
              <w:bottom w:val="nil"/>
              <w:right w:val="single" w:sz="4" w:space="0" w:color="auto"/>
            </w:tcBorders>
            <w:shd w:val="clear" w:color="auto" w:fill="auto"/>
            <w:noWrap/>
            <w:vAlign w:val="bottom"/>
            <w:hideMark/>
          </w:tcPr>
          <w:p w14:paraId="72A7D3A2" w14:textId="07EF9CD0"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$3.8</w:t>
            </w:r>
          </w:p>
        </w:tc>
        <w:tc>
          <w:tcPr>
            <w:tcW w:w="799" w:type="dxa"/>
            <w:tcBorders>
              <w:top w:val="single" w:sz="4" w:space="0" w:color="auto"/>
              <w:left w:val="single" w:sz="4" w:space="0" w:color="auto"/>
              <w:bottom w:val="nil"/>
              <w:right w:val="nil"/>
            </w:tcBorders>
            <w:shd w:val="clear" w:color="auto" w:fill="auto"/>
            <w:noWrap/>
            <w:vAlign w:val="bottom"/>
            <w:hideMark/>
          </w:tcPr>
          <w:p w14:paraId="2B6ED93A" w14:textId="020F9430"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$25.6</w:t>
            </w:r>
          </w:p>
        </w:tc>
        <w:tc>
          <w:tcPr>
            <w:tcW w:w="799" w:type="dxa"/>
            <w:tcBorders>
              <w:top w:val="single" w:sz="4" w:space="0" w:color="auto"/>
              <w:left w:val="nil"/>
              <w:bottom w:val="nil"/>
              <w:right w:val="nil"/>
            </w:tcBorders>
            <w:shd w:val="clear" w:color="auto" w:fill="auto"/>
            <w:noWrap/>
            <w:vAlign w:val="bottom"/>
            <w:hideMark/>
          </w:tcPr>
          <w:p w14:paraId="569044C9" w14:textId="70F75CB6"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$6.9</w:t>
            </w:r>
          </w:p>
        </w:tc>
        <w:tc>
          <w:tcPr>
            <w:tcW w:w="799" w:type="dxa"/>
            <w:tcBorders>
              <w:top w:val="single" w:sz="4" w:space="0" w:color="auto"/>
              <w:left w:val="nil"/>
              <w:bottom w:val="nil"/>
              <w:right w:val="single" w:sz="4" w:space="0" w:color="auto"/>
            </w:tcBorders>
            <w:shd w:val="clear" w:color="auto" w:fill="auto"/>
            <w:noWrap/>
            <w:vAlign w:val="bottom"/>
            <w:hideMark/>
          </w:tcPr>
          <w:p w14:paraId="77ABAE21" w14:textId="682DA65D"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$32.5</w:t>
            </w:r>
          </w:p>
        </w:tc>
        <w:tc>
          <w:tcPr>
            <w:tcW w:w="799" w:type="dxa"/>
            <w:tcBorders>
              <w:top w:val="single" w:sz="4" w:space="0" w:color="auto"/>
              <w:left w:val="single" w:sz="4" w:space="0" w:color="auto"/>
              <w:bottom w:val="nil"/>
              <w:right w:val="nil"/>
            </w:tcBorders>
            <w:shd w:val="clear" w:color="auto" w:fill="D9D9D9" w:themeFill="background2" w:themeFillShade="D9"/>
            <w:noWrap/>
            <w:vAlign w:val="bottom"/>
            <w:hideMark/>
          </w:tcPr>
          <w:p w14:paraId="10442366" w14:textId="4B5C95C8"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$28.7</w:t>
            </w:r>
          </w:p>
        </w:tc>
        <w:tc>
          <w:tcPr>
            <w:tcW w:w="645" w:type="dxa"/>
            <w:tcBorders>
              <w:top w:val="single" w:sz="4" w:space="0" w:color="auto"/>
              <w:left w:val="nil"/>
              <w:bottom w:val="nil"/>
              <w:right w:val="nil"/>
            </w:tcBorders>
            <w:shd w:val="clear" w:color="auto" w:fill="D9D9D9" w:themeFill="background2" w:themeFillShade="D9"/>
            <w:noWrap/>
            <w:vAlign w:val="bottom"/>
            <w:hideMark/>
          </w:tcPr>
          <w:p w14:paraId="210EB9D4" w14:textId="07216E94"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8.5</w:t>
            </w:r>
          </w:p>
        </w:tc>
        <w:tc>
          <w:tcPr>
            <w:tcW w:w="953" w:type="dxa"/>
            <w:tcBorders>
              <w:top w:val="single" w:sz="4" w:space="0" w:color="auto"/>
              <w:left w:val="nil"/>
              <w:bottom w:val="nil"/>
              <w:right w:val="single" w:sz="4" w:space="0" w:color="auto"/>
            </w:tcBorders>
            <w:shd w:val="clear" w:color="auto" w:fill="auto"/>
            <w:noWrap/>
            <w:vAlign w:val="bottom"/>
            <w:hideMark/>
          </w:tcPr>
          <w:p w14:paraId="4CFBAF37" w14:textId="7CB461AB"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0.4%</w:t>
            </w:r>
          </w:p>
        </w:tc>
        <w:tc>
          <w:tcPr>
            <w:tcW w:w="799" w:type="dxa"/>
            <w:tcBorders>
              <w:top w:val="single" w:sz="4" w:space="0" w:color="auto"/>
              <w:left w:val="single" w:sz="4" w:space="0" w:color="auto"/>
              <w:bottom w:val="nil"/>
              <w:right w:val="nil"/>
            </w:tcBorders>
            <w:shd w:val="clear" w:color="auto" w:fill="auto"/>
            <w:vAlign w:val="bottom"/>
          </w:tcPr>
          <w:p w14:paraId="71AF9140" w14:textId="4AD382EE" w:rsidR="00F51137" w:rsidRPr="00F51137" w:rsidRDefault="00F51137" w:rsidP="00F51137">
            <w:pPr>
              <w:spacing w:after="0" w:line="240" w:lineRule="auto"/>
              <w:jc w:val="right"/>
              <w:rPr>
                <w:rFonts w:ascii="Calibri" w:hAnsi="Calibri" w:cs="Calibri"/>
                <w:color w:val="000000"/>
                <w:sz w:val="18"/>
                <w:szCs w:val="18"/>
              </w:rPr>
            </w:pPr>
            <w:r w:rsidRPr="00F51137">
              <w:rPr>
                <w:rFonts w:ascii="Calibri" w:eastAsia="Times New Roman" w:hAnsi="Calibri" w:cs="Calibri"/>
                <w:color w:val="000000"/>
                <w:sz w:val="18"/>
                <w:szCs w:val="18"/>
                <w:lang w:eastAsia="en-AU"/>
              </w:rPr>
              <w:t>0.4</w:t>
            </w:r>
          </w:p>
        </w:tc>
        <w:tc>
          <w:tcPr>
            <w:tcW w:w="799" w:type="dxa"/>
            <w:tcBorders>
              <w:top w:val="single" w:sz="4" w:space="0" w:color="auto"/>
              <w:left w:val="nil"/>
              <w:bottom w:val="nil"/>
              <w:right w:val="single" w:sz="4" w:space="0" w:color="auto"/>
            </w:tcBorders>
            <w:shd w:val="clear" w:color="auto" w:fill="auto"/>
            <w:vAlign w:val="bottom"/>
          </w:tcPr>
          <w:p w14:paraId="7F93A1A0" w14:textId="7C0A7767" w:rsidR="00F51137" w:rsidRPr="00F51137" w:rsidRDefault="00F51137" w:rsidP="00F51137">
            <w:pPr>
              <w:spacing w:after="0" w:line="240" w:lineRule="auto"/>
              <w:jc w:val="right"/>
              <w:rPr>
                <w:rFonts w:ascii="Calibri" w:hAnsi="Calibri" w:cs="Calibri"/>
                <w:color w:val="000000"/>
                <w:sz w:val="18"/>
                <w:szCs w:val="18"/>
              </w:rPr>
            </w:pPr>
            <w:r w:rsidRPr="00F51137">
              <w:rPr>
                <w:rFonts w:ascii="Calibri" w:eastAsia="Times New Roman" w:hAnsi="Calibri" w:cs="Calibri"/>
                <w:color w:val="000000"/>
                <w:sz w:val="18"/>
                <w:szCs w:val="18"/>
                <w:lang w:eastAsia="en-AU"/>
              </w:rPr>
              <w:t>4.6</w:t>
            </w:r>
          </w:p>
        </w:tc>
      </w:tr>
      <w:tr w:rsidR="00F51137" w:rsidRPr="00F51137" w14:paraId="1FB6DF32" w14:textId="5DAC63B2" w:rsidTr="00647A25">
        <w:trPr>
          <w:trHeight w:val="300"/>
        </w:trPr>
        <w:tc>
          <w:tcPr>
            <w:tcW w:w="1134" w:type="dxa"/>
            <w:tcBorders>
              <w:top w:val="nil"/>
              <w:left w:val="single" w:sz="4" w:space="0" w:color="auto"/>
              <w:bottom w:val="nil"/>
              <w:right w:val="single" w:sz="4" w:space="0" w:color="auto"/>
            </w:tcBorders>
            <w:shd w:val="clear" w:color="auto" w:fill="auto"/>
            <w:noWrap/>
            <w:vAlign w:val="bottom"/>
            <w:hideMark/>
          </w:tcPr>
          <w:p w14:paraId="65DB4E49" w14:textId="77777777" w:rsidR="00F51137" w:rsidRPr="00F51137" w:rsidRDefault="00F51137" w:rsidP="00F51137">
            <w:pPr>
              <w:spacing w:after="0" w:line="240" w:lineRule="auto"/>
              <w:jc w:val="left"/>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Option 3A</w:t>
            </w:r>
          </w:p>
        </w:tc>
        <w:tc>
          <w:tcPr>
            <w:tcW w:w="798" w:type="dxa"/>
            <w:tcBorders>
              <w:top w:val="nil"/>
              <w:left w:val="single" w:sz="4" w:space="0" w:color="auto"/>
              <w:bottom w:val="nil"/>
              <w:right w:val="nil"/>
            </w:tcBorders>
            <w:shd w:val="clear" w:color="auto" w:fill="auto"/>
            <w:noWrap/>
            <w:vAlign w:val="bottom"/>
            <w:hideMark/>
          </w:tcPr>
          <w:p w14:paraId="295743BA" w14:textId="26557F64"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$3.6</w:t>
            </w:r>
          </w:p>
        </w:tc>
        <w:tc>
          <w:tcPr>
            <w:tcW w:w="799" w:type="dxa"/>
            <w:tcBorders>
              <w:top w:val="nil"/>
              <w:left w:val="nil"/>
              <w:bottom w:val="nil"/>
              <w:right w:val="nil"/>
            </w:tcBorders>
            <w:shd w:val="clear" w:color="auto" w:fill="auto"/>
            <w:noWrap/>
            <w:vAlign w:val="bottom"/>
            <w:hideMark/>
          </w:tcPr>
          <w:p w14:paraId="13CDFE0E" w14:textId="097C95FC"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$3.9</w:t>
            </w:r>
          </w:p>
        </w:tc>
        <w:tc>
          <w:tcPr>
            <w:tcW w:w="799" w:type="dxa"/>
            <w:tcBorders>
              <w:top w:val="nil"/>
              <w:left w:val="nil"/>
              <w:bottom w:val="nil"/>
              <w:right w:val="single" w:sz="4" w:space="0" w:color="auto"/>
            </w:tcBorders>
            <w:shd w:val="clear" w:color="auto" w:fill="auto"/>
            <w:noWrap/>
            <w:vAlign w:val="bottom"/>
            <w:hideMark/>
          </w:tcPr>
          <w:p w14:paraId="60981D80" w14:textId="132F40B9"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$7.5</w:t>
            </w:r>
          </w:p>
        </w:tc>
        <w:tc>
          <w:tcPr>
            <w:tcW w:w="799" w:type="dxa"/>
            <w:tcBorders>
              <w:top w:val="nil"/>
              <w:left w:val="single" w:sz="4" w:space="0" w:color="auto"/>
              <w:bottom w:val="nil"/>
              <w:right w:val="nil"/>
            </w:tcBorders>
            <w:shd w:val="clear" w:color="auto" w:fill="auto"/>
            <w:noWrap/>
            <w:vAlign w:val="bottom"/>
            <w:hideMark/>
          </w:tcPr>
          <w:p w14:paraId="46B09D1A" w14:textId="2DA18B71"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$28.5</w:t>
            </w:r>
          </w:p>
        </w:tc>
        <w:tc>
          <w:tcPr>
            <w:tcW w:w="799" w:type="dxa"/>
            <w:tcBorders>
              <w:top w:val="nil"/>
              <w:left w:val="nil"/>
              <w:bottom w:val="nil"/>
              <w:right w:val="nil"/>
            </w:tcBorders>
            <w:shd w:val="clear" w:color="auto" w:fill="auto"/>
            <w:noWrap/>
            <w:vAlign w:val="bottom"/>
            <w:hideMark/>
          </w:tcPr>
          <w:p w14:paraId="0087D3FA" w14:textId="2C87AE9D"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$6.8</w:t>
            </w:r>
          </w:p>
        </w:tc>
        <w:tc>
          <w:tcPr>
            <w:tcW w:w="799" w:type="dxa"/>
            <w:tcBorders>
              <w:top w:val="nil"/>
              <w:left w:val="nil"/>
              <w:bottom w:val="nil"/>
              <w:right w:val="single" w:sz="4" w:space="0" w:color="auto"/>
            </w:tcBorders>
            <w:shd w:val="clear" w:color="auto" w:fill="auto"/>
            <w:noWrap/>
            <w:vAlign w:val="bottom"/>
            <w:hideMark/>
          </w:tcPr>
          <w:p w14:paraId="75DBD603" w14:textId="510A87E7"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$35.3</w:t>
            </w:r>
          </w:p>
        </w:tc>
        <w:tc>
          <w:tcPr>
            <w:tcW w:w="799" w:type="dxa"/>
            <w:tcBorders>
              <w:top w:val="nil"/>
              <w:left w:val="single" w:sz="4" w:space="0" w:color="auto"/>
              <w:bottom w:val="nil"/>
              <w:right w:val="nil"/>
            </w:tcBorders>
            <w:shd w:val="clear" w:color="auto" w:fill="D9D9D9" w:themeFill="background2" w:themeFillShade="D9"/>
            <w:noWrap/>
            <w:vAlign w:val="bottom"/>
            <w:hideMark/>
          </w:tcPr>
          <w:p w14:paraId="0DAE3A23" w14:textId="252F731A"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$27.8</w:t>
            </w:r>
          </w:p>
        </w:tc>
        <w:tc>
          <w:tcPr>
            <w:tcW w:w="645" w:type="dxa"/>
            <w:tcBorders>
              <w:top w:val="nil"/>
              <w:left w:val="nil"/>
              <w:bottom w:val="nil"/>
              <w:right w:val="nil"/>
            </w:tcBorders>
            <w:shd w:val="clear" w:color="auto" w:fill="D9D9D9" w:themeFill="background2" w:themeFillShade="D9"/>
            <w:noWrap/>
            <w:vAlign w:val="bottom"/>
            <w:hideMark/>
          </w:tcPr>
          <w:p w14:paraId="6FF91845" w14:textId="702E988A"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4.7</w:t>
            </w:r>
          </w:p>
        </w:tc>
        <w:tc>
          <w:tcPr>
            <w:tcW w:w="953" w:type="dxa"/>
            <w:tcBorders>
              <w:top w:val="nil"/>
              <w:left w:val="nil"/>
              <w:bottom w:val="nil"/>
              <w:right w:val="single" w:sz="4" w:space="0" w:color="auto"/>
            </w:tcBorders>
            <w:shd w:val="clear" w:color="auto" w:fill="auto"/>
            <w:noWrap/>
            <w:vAlign w:val="bottom"/>
            <w:hideMark/>
          </w:tcPr>
          <w:p w14:paraId="4224FAD0" w14:textId="561D23D6"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0.7%</w:t>
            </w:r>
          </w:p>
        </w:tc>
        <w:tc>
          <w:tcPr>
            <w:tcW w:w="799" w:type="dxa"/>
            <w:tcBorders>
              <w:top w:val="nil"/>
              <w:left w:val="single" w:sz="4" w:space="0" w:color="auto"/>
              <w:bottom w:val="nil"/>
              <w:right w:val="nil"/>
            </w:tcBorders>
            <w:shd w:val="clear" w:color="auto" w:fill="auto"/>
            <w:vAlign w:val="bottom"/>
          </w:tcPr>
          <w:p w14:paraId="5BA31379" w14:textId="2F52AFEA" w:rsidR="00F51137" w:rsidRPr="00F51137" w:rsidRDefault="00F51137" w:rsidP="00F51137">
            <w:pPr>
              <w:spacing w:after="0" w:line="240" w:lineRule="auto"/>
              <w:jc w:val="right"/>
              <w:rPr>
                <w:rFonts w:ascii="Calibri" w:hAnsi="Calibri" w:cs="Calibri"/>
                <w:color w:val="000000"/>
                <w:sz w:val="18"/>
                <w:szCs w:val="18"/>
              </w:rPr>
            </w:pPr>
            <w:r w:rsidRPr="00F51137">
              <w:rPr>
                <w:rFonts w:ascii="Calibri" w:eastAsia="Times New Roman" w:hAnsi="Calibri" w:cs="Calibri"/>
                <w:color w:val="000000"/>
                <w:sz w:val="18"/>
                <w:szCs w:val="18"/>
                <w:lang w:eastAsia="en-AU"/>
              </w:rPr>
              <w:t>0.6</w:t>
            </w:r>
          </w:p>
        </w:tc>
        <w:tc>
          <w:tcPr>
            <w:tcW w:w="799" w:type="dxa"/>
            <w:tcBorders>
              <w:top w:val="nil"/>
              <w:left w:val="nil"/>
              <w:bottom w:val="nil"/>
              <w:right w:val="single" w:sz="4" w:space="0" w:color="auto"/>
            </w:tcBorders>
            <w:shd w:val="clear" w:color="auto" w:fill="auto"/>
            <w:vAlign w:val="bottom"/>
          </w:tcPr>
          <w:p w14:paraId="39798526" w14:textId="38939B69" w:rsidR="00F51137" w:rsidRPr="00F51137" w:rsidRDefault="00F51137" w:rsidP="00F51137">
            <w:pPr>
              <w:spacing w:after="0" w:line="240" w:lineRule="auto"/>
              <w:jc w:val="right"/>
              <w:rPr>
                <w:rFonts w:ascii="Calibri" w:hAnsi="Calibri" w:cs="Calibri"/>
                <w:color w:val="000000"/>
                <w:sz w:val="18"/>
                <w:szCs w:val="18"/>
              </w:rPr>
            </w:pPr>
            <w:r w:rsidRPr="00F51137">
              <w:rPr>
                <w:rFonts w:ascii="Calibri" w:eastAsia="Times New Roman" w:hAnsi="Calibri" w:cs="Calibri"/>
                <w:color w:val="000000"/>
                <w:sz w:val="18"/>
                <w:szCs w:val="18"/>
                <w:lang w:eastAsia="en-AU"/>
              </w:rPr>
              <w:t>6.2</w:t>
            </w:r>
          </w:p>
        </w:tc>
      </w:tr>
      <w:tr w:rsidR="00F51137" w:rsidRPr="00F51137" w14:paraId="15B16F83" w14:textId="05F5C259" w:rsidTr="00647A25">
        <w:trPr>
          <w:trHeight w:val="300"/>
        </w:trPr>
        <w:tc>
          <w:tcPr>
            <w:tcW w:w="1134" w:type="dxa"/>
            <w:tcBorders>
              <w:top w:val="nil"/>
              <w:left w:val="single" w:sz="4" w:space="0" w:color="auto"/>
              <w:bottom w:val="nil"/>
              <w:right w:val="single" w:sz="4" w:space="0" w:color="auto"/>
            </w:tcBorders>
            <w:shd w:val="clear" w:color="auto" w:fill="auto"/>
            <w:noWrap/>
            <w:vAlign w:val="bottom"/>
            <w:hideMark/>
          </w:tcPr>
          <w:p w14:paraId="459D4EA4" w14:textId="77777777" w:rsidR="00F51137" w:rsidRPr="00F51137" w:rsidRDefault="00F51137" w:rsidP="00F51137">
            <w:pPr>
              <w:spacing w:after="0" w:line="240" w:lineRule="auto"/>
              <w:jc w:val="left"/>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Option 3B</w:t>
            </w:r>
          </w:p>
        </w:tc>
        <w:tc>
          <w:tcPr>
            <w:tcW w:w="798" w:type="dxa"/>
            <w:tcBorders>
              <w:top w:val="nil"/>
              <w:left w:val="single" w:sz="4" w:space="0" w:color="auto"/>
              <w:bottom w:val="nil"/>
              <w:right w:val="nil"/>
            </w:tcBorders>
            <w:shd w:val="clear" w:color="auto" w:fill="auto"/>
            <w:noWrap/>
            <w:vAlign w:val="bottom"/>
            <w:hideMark/>
          </w:tcPr>
          <w:p w14:paraId="3EDEBC60" w14:textId="64ABC1AA"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$4.1</w:t>
            </w:r>
          </w:p>
        </w:tc>
        <w:tc>
          <w:tcPr>
            <w:tcW w:w="799" w:type="dxa"/>
            <w:tcBorders>
              <w:top w:val="nil"/>
              <w:left w:val="nil"/>
              <w:bottom w:val="nil"/>
              <w:right w:val="nil"/>
            </w:tcBorders>
            <w:shd w:val="clear" w:color="auto" w:fill="auto"/>
            <w:noWrap/>
            <w:vAlign w:val="bottom"/>
            <w:hideMark/>
          </w:tcPr>
          <w:p w14:paraId="01ED7DB4" w14:textId="053CCFC2"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$4.4</w:t>
            </w:r>
          </w:p>
        </w:tc>
        <w:tc>
          <w:tcPr>
            <w:tcW w:w="799" w:type="dxa"/>
            <w:tcBorders>
              <w:top w:val="nil"/>
              <w:left w:val="nil"/>
              <w:bottom w:val="nil"/>
              <w:right w:val="single" w:sz="4" w:space="0" w:color="auto"/>
            </w:tcBorders>
            <w:shd w:val="clear" w:color="auto" w:fill="auto"/>
            <w:noWrap/>
            <w:vAlign w:val="bottom"/>
            <w:hideMark/>
          </w:tcPr>
          <w:p w14:paraId="0EFC192B" w14:textId="2094CA26"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$8.5</w:t>
            </w:r>
          </w:p>
        </w:tc>
        <w:tc>
          <w:tcPr>
            <w:tcW w:w="799" w:type="dxa"/>
            <w:tcBorders>
              <w:top w:val="nil"/>
              <w:left w:val="single" w:sz="4" w:space="0" w:color="auto"/>
              <w:bottom w:val="nil"/>
              <w:right w:val="nil"/>
            </w:tcBorders>
            <w:shd w:val="clear" w:color="auto" w:fill="auto"/>
            <w:noWrap/>
            <w:vAlign w:val="bottom"/>
            <w:hideMark/>
          </w:tcPr>
          <w:p w14:paraId="785E31A1" w14:textId="52F1E1B6"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$31.0</w:t>
            </w:r>
          </w:p>
        </w:tc>
        <w:tc>
          <w:tcPr>
            <w:tcW w:w="799" w:type="dxa"/>
            <w:tcBorders>
              <w:top w:val="nil"/>
              <w:left w:val="nil"/>
              <w:bottom w:val="nil"/>
              <w:right w:val="nil"/>
            </w:tcBorders>
            <w:shd w:val="clear" w:color="auto" w:fill="auto"/>
            <w:noWrap/>
            <w:vAlign w:val="bottom"/>
            <w:hideMark/>
          </w:tcPr>
          <w:p w14:paraId="50A2E85F" w14:textId="004E4A34"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$6.9</w:t>
            </w:r>
          </w:p>
        </w:tc>
        <w:tc>
          <w:tcPr>
            <w:tcW w:w="799" w:type="dxa"/>
            <w:tcBorders>
              <w:top w:val="nil"/>
              <w:left w:val="nil"/>
              <w:bottom w:val="nil"/>
              <w:right w:val="single" w:sz="4" w:space="0" w:color="auto"/>
            </w:tcBorders>
            <w:shd w:val="clear" w:color="auto" w:fill="auto"/>
            <w:noWrap/>
            <w:vAlign w:val="bottom"/>
            <w:hideMark/>
          </w:tcPr>
          <w:p w14:paraId="14B95A28" w14:textId="3E0154D0"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$37.9</w:t>
            </w:r>
          </w:p>
        </w:tc>
        <w:tc>
          <w:tcPr>
            <w:tcW w:w="799" w:type="dxa"/>
            <w:tcBorders>
              <w:top w:val="nil"/>
              <w:left w:val="single" w:sz="4" w:space="0" w:color="auto"/>
              <w:bottom w:val="nil"/>
              <w:right w:val="nil"/>
            </w:tcBorders>
            <w:shd w:val="clear" w:color="auto" w:fill="D9D9D9" w:themeFill="background2" w:themeFillShade="D9"/>
            <w:noWrap/>
            <w:vAlign w:val="bottom"/>
            <w:hideMark/>
          </w:tcPr>
          <w:p w14:paraId="25C47B9C" w14:textId="56718269"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$29.4</w:t>
            </w:r>
          </w:p>
        </w:tc>
        <w:tc>
          <w:tcPr>
            <w:tcW w:w="645" w:type="dxa"/>
            <w:tcBorders>
              <w:top w:val="nil"/>
              <w:left w:val="nil"/>
              <w:bottom w:val="nil"/>
              <w:right w:val="nil"/>
            </w:tcBorders>
            <w:shd w:val="clear" w:color="auto" w:fill="D9D9D9" w:themeFill="background2" w:themeFillShade="D9"/>
            <w:noWrap/>
            <w:vAlign w:val="bottom"/>
            <w:hideMark/>
          </w:tcPr>
          <w:p w14:paraId="7DC6E9A8" w14:textId="5FBFC634"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4.5</w:t>
            </w:r>
          </w:p>
        </w:tc>
        <w:tc>
          <w:tcPr>
            <w:tcW w:w="953" w:type="dxa"/>
            <w:tcBorders>
              <w:top w:val="nil"/>
              <w:left w:val="nil"/>
              <w:bottom w:val="nil"/>
              <w:right w:val="single" w:sz="4" w:space="0" w:color="auto"/>
            </w:tcBorders>
            <w:shd w:val="clear" w:color="auto" w:fill="auto"/>
            <w:noWrap/>
            <w:vAlign w:val="bottom"/>
            <w:hideMark/>
          </w:tcPr>
          <w:p w14:paraId="52FED801" w14:textId="02FC90DB"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0.8%</w:t>
            </w:r>
          </w:p>
        </w:tc>
        <w:tc>
          <w:tcPr>
            <w:tcW w:w="799" w:type="dxa"/>
            <w:tcBorders>
              <w:top w:val="nil"/>
              <w:left w:val="single" w:sz="4" w:space="0" w:color="auto"/>
              <w:bottom w:val="nil"/>
              <w:right w:val="nil"/>
            </w:tcBorders>
            <w:shd w:val="clear" w:color="auto" w:fill="auto"/>
            <w:vAlign w:val="bottom"/>
          </w:tcPr>
          <w:p w14:paraId="13410379" w14:textId="12337A7A" w:rsidR="00F51137" w:rsidRPr="00F51137" w:rsidRDefault="00F51137" w:rsidP="00F51137">
            <w:pPr>
              <w:spacing w:after="0" w:line="240" w:lineRule="auto"/>
              <w:jc w:val="right"/>
              <w:rPr>
                <w:rFonts w:ascii="Calibri" w:hAnsi="Calibri" w:cs="Calibri"/>
                <w:color w:val="000000"/>
                <w:sz w:val="18"/>
                <w:szCs w:val="18"/>
              </w:rPr>
            </w:pPr>
            <w:r w:rsidRPr="00F51137">
              <w:rPr>
                <w:rFonts w:ascii="Calibri" w:eastAsia="Times New Roman" w:hAnsi="Calibri" w:cs="Calibri"/>
                <w:color w:val="000000"/>
                <w:sz w:val="18"/>
                <w:szCs w:val="18"/>
                <w:lang w:eastAsia="en-AU"/>
              </w:rPr>
              <w:t>0.6</w:t>
            </w:r>
          </w:p>
        </w:tc>
        <w:tc>
          <w:tcPr>
            <w:tcW w:w="799" w:type="dxa"/>
            <w:tcBorders>
              <w:top w:val="nil"/>
              <w:left w:val="nil"/>
              <w:bottom w:val="nil"/>
              <w:right w:val="single" w:sz="4" w:space="0" w:color="auto"/>
            </w:tcBorders>
            <w:shd w:val="clear" w:color="auto" w:fill="auto"/>
            <w:vAlign w:val="bottom"/>
          </w:tcPr>
          <w:p w14:paraId="402D8502" w14:textId="11BDE1B1" w:rsidR="00F51137" w:rsidRPr="00F51137" w:rsidRDefault="00F51137" w:rsidP="00F51137">
            <w:pPr>
              <w:spacing w:after="0" w:line="240" w:lineRule="auto"/>
              <w:jc w:val="right"/>
              <w:rPr>
                <w:rFonts w:ascii="Calibri" w:hAnsi="Calibri" w:cs="Calibri"/>
                <w:color w:val="000000"/>
                <w:sz w:val="18"/>
                <w:szCs w:val="18"/>
              </w:rPr>
            </w:pPr>
            <w:r w:rsidRPr="00F51137">
              <w:rPr>
                <w:rFonts w:ascii="Calibri" w:eastAsia="Times New Roman" w:hAnsi="Calibri" w:cs="Calibri"/>
                <w:color w:val="000000"/>
                <w:sz w:val="18"/>
                <w:szCs w:val="18"/>
                <w:lang w:eastAsia="en-AU"/>
              </w:rPr>
              <w:t>7.2</w:t>
            </w:r>
          </w:p>
        </w:tc>
      </w:tr>
      <w:tr w:rsidR="00F51137" w:rsidRPr="00F51137" w14:paraId="6960B637" w14:textId="2D546BCE" w:rsidTr="00647A25">
        <w:trPr>
          <w:trHeight w:val="300"/>
        </w:trPr>
        <w:tc>
          <w:tcPr>
            <w:tcW w:w="1134" w:type="dxa"/>
            <w:tcBorders>
              <w:top w:val="nil"/>
              <w:left w:val="single" w:sz="4" w:space="0" w:color="auto"/>
              <w:right w:val="single" w:sz="4" w:space="0" w:color="auto"/>
            </w:tcBorders>
            <w:shd w:val="clear" w:color="auto" w:fill="auto"/>
            <w:noWrap/>
            <w:vAlign w:val="bottom"/>
            <w:hideMark/>
          </w:tcPr>
          <w:p w14:paraId="530FC390" w14:textId="77777777" w:rsidR="00F51137" w:rsidRPr="00F51137" w:rsidRDefault="00F51137" w:rsidP="00F51137">
            <w:pPr>
              <w:spacing w:after="0" w:line="240" w:lineRule="auto"/>
              <w:jc w:val="left"/>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Option 4A</w:t>
            </w:r>
          </w:p>
        </w:tc>
        <w:tc>
          <w:tcPr>
            <w:tcW w:w="798" w:type="dxa"/>
            <w:tcBorders>
              <w:top w:val="nil"/>
              <w:left w:val="single" w:sz="4" w:space="0" w:color="auto"/>
              <w:right w:val="nil"/>
            </w:tcBorders>
            <w:shd w:val="clear" w:color="auto" w:fill="auto"/>
            <w:noWrap/>
            <w:vAlign w:val="bottom"/>
            <w:hideMark/>
          </w:tcPr>
          <w:p w14:paraId="1ECE5663" w14:textId="78044DB2"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$13.9</w:t>
            </w:r>
          </w:p>
        </w:tc>
        <w:tc>
          <w:tcPr>
            <w:tcW w:w="799" w:type="dxa"/>
            <w:tcBorders>
              <w:top w:val="nil"/>
              <w:left w:val="nil"/>
              <w:right w:val="nil"/>
            </w:tcBorders>
            <w:shd w:val="clear" w:color="auto" w:fill="auto"/>
            <w:noWrap/>
            <w:vAlign w:val="bottom"/>
            <w:hideMark/>
          </w:tcPr>
          <w:p w14:paraId="6CD4DD18" w14:textId="3531203A"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$3.9</w:t>
            </w:r>
          </w:p>
        </w:tc>
        <w:tc>
          <w:tcPr>
            <w:tcW w:w="799" w:type="dxa"/>
            <w:tcBorders>
              <w:top w:val="nil"/>
              <w:left w:val="nil"/>
              <w:right w:val="single" w:sz="4" w:space="0" w:color="auto"/>
            </w:tcBorders>
            <w:shd w:val="clear" w:color="auto" w:fill="auto"/>
            <w:noWrap/>
            <w:vAlign w:val="bottom"/>
            <w:hideMark/>
          </w:tcPr>
          <w:p w14:paraId="3D32C659" w14:textId="0B832BE6"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$17.8</w:t>
            </w:r>
          </w:p>
        </w:tc>
        <w:tc>
          <w:tcPr>
            <w:tcW w:w="799" w:type="dxa"/>
            <w:tcBorders>
              <w:top w:val="nil"/>
              <w:left w:val="single" w:sz="4" w:space="0" w:color="auto"/>
              <w:right w:val="nil"/>
            </w:tcBorders>
            <w:shd w:val="clear" w:color="auto" w:fill="auto"/>
            <w:noWrap/>
            <w:vAlign w:val="bottom"/>
            <w:hideMark/>
          </w:tcPr>
          <w:p w14:paraId="5FF01C12" w14:textId="72D834DC"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$61.8</w:t>
            </w:r>
          </w:p>
        </w:tc>
        <w:tc>
          <w:tcPr>
            <w:tcW w:w="799" w:type="dxa"/>
            <w:tcBorders>
              <w:top w:val="nil"/>
              <w:left w:val="nil"/>
              <w:right w:val="nil"/>
            </w:tcBorders>
            <w:shd w:val="clear" w:color="auto" w:fill="auto"/>
            <w:noWrap/>
            <w:vAlign w:val="bottom"/>
            <w:hideMark/>
          </w:tcPr>
          <w:p w14:paraId="1971D348" w14:textId="5F8959AF"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$8.2</w:t>
            </w:r>
          </w:p>
        </w:tc>
        <w:tc>
          <w:tcPr>
            <w:tcW w:w="799" w:type="dxa"/>
            <w:tcBorders>
              <w:top w:val="nil"/>
              <w:left w:val="nil"/>
              <w:right w:val="single" w:sz="4" w:space="0" w:color="auto"/>
            </w:tcBorders>
            <w:shd w:val="clear" w:color="auto" w:fill="auto"/>
            <w:noWrap/>
            <w:vAlign w:val="bottom"/>
            <w:hideMark/>
          </w:tcPr>
          <w:p w14:paraId="3EC3247C" w14:textId="1819603F"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$70.0</w:t>
            </w:r>
          </w:p>
        </w:tc>
        <w:tc>
          <w:tcPr>
            <w:tcW w:w="799" w:type="dxa"/>
            <w:tcBorders>
              <w:top w:val="nil"/>
              <w:left w:val="single" w:sz="4" w:space="0" w:color="auto"/>
              <w:right w:val="nil"/>
            </w:tcBorders>
            <w:shd w:val="clear" w:color="auto" w:fill="D9D9D9" w:themeFill="background2" w:themeFillShade="D9"/>
            <w:noWrap/>
            <w:vAlign w:val="bottom"/>
            <w:hideMark/>
          </w:tcPr>
          <w:p w14:paraId="5F5B6CC8" w14:textId="07CDC179"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$52.2</w:t>
            </w:r>
          </w:p>
        </w:tc>
        <w:tc>
          <w:tcPr>
            <w:tcW w:w="645" w:type="dxa"/>
            <w:tcBorders>
              <w:top w:val="nil"/>
              <w:left w:val="nil"/>
              <w:right w:val="nil"/>
            </w:tcBorders>
            <w:shd w:val="clear" w:color="auto" w:fill="D9D9D9" w:themeFill="background2" w:themeFillShade="D9"/>
            <w:noWrap/>
            <w:vAlign w:val="bottom"/>
            <w:hideMark/>
          </w:tcPr>
          <w:p w14:paraId="51691649" w14:textId="0ED8EAEF"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3.9</w:t>
            </w:r>
          </w:p>
        </w:tc>
        <w:tc>
          <w:tcPr>
            <w:tcW w:w="953" w:type="dxa"/>
            <w:tcBorders>
              <w:top w:val="nil"/>
              <w:left w:val="nil"/>
              <w:right w:val="single" w:sz="4" w:space="0" w:color="auto"/>
            </w:tcBorders>
            <w:shd w:val="clear" w:color="auto" w:fill="auto"/>
            <w:noWrap/>
            <w:vAlign w:val="bottom"/>
            <w:hideMark/>
          </w:tcPr>
          <w:p w14:paraId="4788E25C" w14:textId="10DB1B3C"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2.7%</w:t>
            </w:r>
          </w:p>
        </w:tc>
        <w:tc>
          <w:tcPr>
            <w:tcW w:w="799" w:type="dxa"/>
            <w:tcBorders>
              <w:top w:val="nil"/>
              <w:left w:val="single" w:sz="4" w:space="0" w:color="auto"/>
              <w:bottom w:val="nil"/>
              <w:right w:val="nil"/>
            </w:tcBorders>
            <w:shd w:val="clear" w:color="auto" w:fill="auto"/>
            <w:vAlign w:val="bottom"/>
          </w:tcPr>
          <w:p w14:paraId="674D40A9" w14:textId="5BEE6552" w:rsidR="00F51137" w:rsidRPr="00F51137" w:rsidRDefault="00F51137" w:rsidP="00F51137">
            <w:pPr>
              <w:spacing w:after="0" w:line="240" w:lineRule="auto"/>
              <w:jc w:val="right"/>
              <w:rPr>
                <w:rFonts w:ascii="Calibri" w:hAnsi="Calibri" w:cs="Calibri"/>
                <w:color w:val="000000"/>
                <w:sz w:val="18"/>
                <w:szCs w:val="18"/>
              </w:rPr>
            </w:pPr>
            <w:r w:rsidRPr="00F51137">
              <w:rPr>
                <w:rFonts w:ascii="Calibri" w:eastAsia="Times New Roman" w:hAnsi="Calibri" w:cs="Calibri"/>
                <w:color w:val="000000"/>
                <w:sz w:val="18"/>
                <w:szCs w:val="18"/>
                <w:lang w:eastAsia="en-AU"/>
              </w:rPr>
              <w:t>1.8</w:t>
            </w:r>
          </w:p>
        </w:tc>
        <w:tc>
          <w:tcPr>
            <w:tcW w:w="799" w:type="dxa"/>
            <w:tcBorders>
              <w:top w:val="nil"/>
              <w:left w:val="nil"/>
              <w:bottom w:val="nil"/>
              <w:right w:val="single" w:sz="4" w:space="0" w:color="auto"/>
            </w:tcBorders>
            <w:shd w:val="clear" w:color="auto" w:fill="auto"/>
            <w:vAlign w:val="bottom"/>
          </w:tcPr>
          <w:p w14:paraId="1AB87BA8" w14:textId="3C87EEE9" w:rsidR="00F51137" w:rsidRPr="00F51137" w:rsidRDefault="00F51137" w:rsidP="00F51137">
            <w:pPr>
              <w:spacing w:after="0" w:line="240" w:lineRule="auto"/>
              <w:jc w:val="right"/>
              <w:rPr>
                <w:rFonts w:ascii="Calibri" w:hAnsi="Calibri" w:cs="Calibri"/>
                <w:color w:val="000000"/>
                <w:sz w:val="18"/>
                <w:szCs w:val="18"/>
              </w:rPr>
            </w:pPr>
            <w:r w:rsidRPr="00F51137">
              <w:rPr>
                <w:rFonts w:ascii="Calibri" w:eastAsia="Times New Roman" w:hAnsi="Calibri" w:cs="Calibri"/>
                <w:color w:val="000000"/>
                <w:sz w:val="18"/>
                <w:szCs w:val="18"/>
                <w:lang w:eastAsia="en-AU"/>
              </w:rPr>
              <w:t>22.0</w:t>
            </w:r>
          </w:p>
        </w:tc>
      </w:tr>
      <w:tr w:rsidR="00F51137" w:rsidRPr="00F51137" w14:paraId="0DE89B37" w14:textId="326C89E3" w:rsidTr="00647A25">
        <w:trPr>
          <w:trHeight w:val="300"/>
        </w:trPr>
        <w:tc>
          <w:tcPr>
            <w:tcW w:w="1134" w:type="dxa"/>
            <w:tcBorders>
              <w:left w:val="single" w:sz="4" w:space="0" w:color="auto"/>
              <w:bottom w:val="single" w:sz="4" w:space="0" w:color="auto"/>
              <w:right w:val="single" w:sz="4" w:space="0" w:color="auto"/>
            </w:tcBorders>
            <w:shd w:val="clear" w:color="auto" w:fill="auto"/>
            <w:noWrap/>
            <w:vAlign w:val="bottom"/>
            <w:hideMark/>
          </w:tcPr>
          <w:p w14:paraId="3E3B512B" w14:textId="77777777" w:rsidR="00F51137" w:rsidRPr="00F51137" w:rsidRDefault="00F51137" w:rsidP="00F51137">
            <w:pPr>
              <w:spacing w:after="0" w:line="240" w:lineRule="auto"/>
              <w:jc w:val="left"/>
              <w:rPr>
                <w:rFonts w:ascii="Calibri" w:eastAsia="Times New Roman" w:hAnsi="Calibri" w:cs="Calibri"/>
                <w:color w:val="000000"/>
                <w:sz w:val="18"/>
                <w:szCs w:val="18"/>
                <w:lang w:eastAsia="en-AU"/>
              </w:rPr>
            </w:pPr>
            <w:r w:rsidRPr="00F51137">
              <w:rPr>
                <w:rFonts w:ascii="Calibri" w:eastAsia="Times New Roman" w:hAnsi="Calibri" w:cs="Calibri"/>
                <w:color w:val="000000"/>
                <w:sz w:val="18"/>
                <w:szCs w:val="18"/>
                <w:lang w:eastAsia="en-AU"/>
              </w:rPr>
              <w:t>Option 4B</w:t>
            </w:r>
          </w:p>
        </w:tc>
        <w:tc>
          <w:tcPr>
            <w:tcW w:w="798" w:type="dxa"/>
            <w:tcBorders>
              <w:left w:val="single" w:sz="4" w:space="0" w:color="auto"/>
              <w:bottom w:val="single" w:sz="4" w:space="0" w:color="auto"/>
              <w:right w:val="nil"/>
            </w:tcBorders>
            <w:shd w:val="clear" w:color="auto" w:fill="auto"/>
            <w:noWrap/>
            <w:vAlign w:val="bottom"/>
            <w:hideMark/>
          </w:tcPr>
          <w:p w14:paraId="04A5BBC3" w14:textId="51A56787"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$11.9</w:t>
            </w:r>
          </w:p>
        </w:tc>
        <w:tc>
          <w:tcPr>
            <w:tcW w:w="799" w:type="dxa"/>
            <w:tcBorders>
              <w:left w:val="nil"/>
              <w:bottom w:val="single" w:sz="4" w:space="0" w:color="auto"/>
              <w:right w:val="nil"/>
            </w:tcBorders>
            <w:shd w:val="clear" w:color="auto" w:fill="auto"/>
            <w:noWrap/>
            <w:vAlign w:val="bottom"/>
            <w:hideMark/>
          </w:tcPr>
          <w:p w14:paraId="6520D2D9" w14:textId="70C04B03"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$4.0</w:t>
            </w:r>
          </w:p>
        </w:tc>
        <w:tc>
          <w:tcPr>
            <w:tcW w:w="799" w:type="dxa"/>
            <w:tcBorders>
              <w:left w:val="nil"/>
              <w:bottom w:val="single" w:sz="4" w:space="0" w:color="auto"/>
              <w:right w:val="single" w:sz="4" w:space="0" w:color="auto"/>
            </w:tcBorders>
            <w:shd w:val="clear" w:color="auto" w:fill="auto"/>
            <w:noWrap/>
            <w:vAlign w:val="bottom"/>
            <w:hideMark/>
          </w:tcPr>
          <w:p w14:paraId="3745B2B6" w14:textId="5EC61741"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$15.9</w:t>
            </w:r>
          </w:p>
        </w:tc>
        <w:tc>
          <w:tcPr>
            <w:tcW w:w="799" w:type="dxa"/>
            <w:tcBorders>
              <w:left w:val="single" w:sz="4" w:space="0" w:color="auto"/>
              <w:bottom w:val="single" w:sz="4" w:space="0" w:color="auto"/>
              <w:right w:val="nil"/>
            </w:tcBorders>
            <w:shd w:val="clear" w:color="auto" w:fill="auto"/>
            <w:noWrap/>
            <w:vAlign w:val="bottom"/>
            <w:hideMark/>
          </w:tcPr>
          <w:p w14:paraId="07E5CED5" w14:textId="20036983"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$58.0</w:t>
            </w:r>
          </w:p>
        </w:tc>
        <w:tc>
          <w:tcPr>
            <w:tcW w:w="799" w:type="dxa"/>
            <w:tcBorders>
              <w:left w:val="nil"/>
              <w:bottom w:val="single" w:sz="4" w:space="0" w:color="auto"/>
              <w:right w:val="nil"/>
            </w:tcBorders>
            <w:shd w:val="clear" w:color="auto" w:fill="auto"/>
            <w:noWrap/>
            <w:vAlign w:val="bottom"/>
            <w:hideMark/>
          </w:tcPr>
          <w:p w14:paraId="163C6546" w14:textId="4156A792"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$5.3</w:t>
            </w:r>
          </w:p>
        </w:tc>
        <w:tc>
          <w:tcPr>
            <w:tcW w:w="799" w:type="dxa"/>
            <w:tcBorders>
              <w:left w:val="nil"/>
              <w:bottom w:val="single" w:sz="4" w:space="0" w:color="auto"/>
              <w:right w:val="single" w:sz="4" w:space="0" w:color="auto"/>
            </w:tcBorders>
            <w:shd w:val="clear" w:color="auto" w:fill="auto"/>
            <w:noWrap/>
            <w:vAlign w:val="bottom"/>
            <w:hideMark/>
          </w:tcPr>
          <w:p w14:paraId="2605E222" w14:textId="7E62F2E8"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$63.3</w:t>
            </w:r>
          </w:p>
        </w:tc>
        <w:tc>
          <w:tcPr>
            <w:tcW w:w="799" w:type="dxa"/>
            <w:tcBorders>
              <w:left w:val="single" w:sz="4" w:space="0" w:color="auto"/>
              <w:bottom w:val="single" w:sz="4" w:space="0" w:color="auto"/>
              <w:right w:val="nil"/>
            </w:tcBorders>
            <w:shd w:val="clear" w:color="auto" w:fill="D9D9D9" w:themeFill="background2" w:themeFillShade="D9"/>
            <w:noWrap/>
            <w:vAlign w:val="bottom"/>
            <w:hideMark/>
          </w:tcPr>
          <w:p w14:paraId="4AC0F291" w14:textId="67872CD4"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$47.4</w:t>
            </w:r>
          </w:p>
        </w:tc>
        <w:tc>
          <w:tcPr>
            <w:tcW w:w="645" w:type="dxa"/>
            <w:tcBorders>
              <w:left w:val="nil"/>
              <w:bottom w:val="single" w:sz="4" w:space="0" w:color="auto"/>
              <w:right w:val="nil"/>
            </w:tcBorders>
            <w:shd w:val="clear" w:color="auto" w:fill="D9D9D9" w:themeFill="background2" w:themeFillShade="D9"/>
            <w:noWrap/>
            <w:vAlign w:val="bottom"/>
            <w:hideMark/>
          </w:tcPr>
          <w:p w14:paraId="672671B3" w14:textId="054614C6"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4.0</w:t>
            </w:r>
          </w:p>
        </w:tc>
        <w:tc>
          <w:tcPr>
            <w:tcW w:w="953" w:type="dxa"/>
            <w:tcBorders>
              <w:left w:val="nil"/>
              <w:bottom w:val="single" w:sz="4" w:space="0" w:color="auto"/>
              <w:right w:val="single" w:sz="4" w:space="0" w:color="auto"/>
            </w:tcBorders>
            <w:shd w:val="clear" w:color="auto" w:fill="auto"/>
            <w:noWrap/>
            <w:vAlign w:val="bottom"/>
            <w:hideMark/>
          </w:tcPr>
          <w:p w14:paraId="48E4D5BD" w14:textId="1089FCC6" w:rsidR="00F51137" w:rsidRPr="00F51137" w:rsidRDefault="00F51137" w:rsidP="00F51137">
            <w:pPr>
              <w:spacing w:after="0" w:line="240" w:lineRule="auto"/>
              <w:jc w:val="right"/>
              <w:rPr>
                <w:rFonts w:ascii="Calibri" w:eastAsia="Times New Roman" w:hAnsi="Calibri" w:cs="Calibri"/>
                <w:color w:val="000000"/>
                <w:sz w:val="18"/>
                <w:szCs w:val="18"/>
                <w:lang w:eastAsia="en-AU"/>
              </w:rPr>
            </w:pPr>
            <w:r w:rsidRPr="00F51137">
              <w:rPr>
                <w:rFonts w:ascii="Calibri" w:hAnsi="Calibri" w:cs="Calibri"/>
                <w:color w:val="000000"/>
                <w:sz w:val="18"/>
                <w:szCs w:val="18"/>
              </w:rPr>
              <w:t>2.3%</w:t>
            </w:r>
          </w:p>
        </w:tc>
        <w:tc>
          <w:tcPr>
            <w:tcW w:w="799" w:type="dxa"/>
            <w:tcBorders>
              <w:top w:val="nil"/>
              <w:left w:val="single" w:sz="4" w:space="0" w:color="auto"/>
              <w:bottom w:val="single" w:sz="4" w:space="0" w:color="auto"/>
              <w:right w:val="nil"/>
            </w:tcBorders>
            <w:shd w:val="clear" w:color="auto" w:fill="auto"/>
            <w:vAlign w:val="bottom"/>
          </w:tcPr>
          <w:p w14:paraId="0A663BFC" w14:textId="63B1F42C" w:rsidR="00F51137" w:rsidRPr="00F51137" w:rsidRDefault="00F51137" w:rsidP="00F51137">
            <w:pPr>
              <w:spacing w:after="0" w:line="240" w:lineRule="auto"/>
              <w:jc w:val="right"/>
              <w:rPr>
                <w:rFonts w:ascii="Calibri" w:hAnsi="Calibri" w:cs="Calibri"/>
                <w:color w:val="000000"/>
                <w:sz w:val="18"/>
                <w:szCs w:val="18"/>
              </w:rPr>
            </w:pPr>
            <w:r w:rsidRPr="00F51137">
              <w:rPr>
                <w:rFonts w:ascii="Calibri" w:eastAsia="Times New Roman" w:hAnsi="Calibri" w:cs="Calibri"/>
                <w:color w:val="000000"/>
                <w:sz w:val="18"/>
                <w:szCs w:val="18"/>
                <w:lang w:eastAsia="en-AU"/>
              </w:rPr>
              <w:t>1.5</w:t>
            </w:r>
          </w:p>
        </w:tc>
        <w:tc>
          <w:tcPr>
            <w:tcW w:w="799" w:type="dxa"/>
            <w:tcBorders>
              <w:top w:val="nil"/>
              <w:left w:val="nil"/>
              <w:bottom w:val="single" w:sz="4" w:space="0" w:color="auto"/>
              <w:right w:val="single" w:sz="4" w:space="0" w:color="auto"/>
            </w:tcBorders>
            <w:shd w:val="clear" w:color="auto" w:fill="auto"/>
            <w:vAlign w:val="bottom"/>
          </w:tcPr>
          <w:p w14:paraId="08F2A99A" w14:textId="45E52F8B" w:rsidR="00F51137" w:rsidRPr="00F51137" w:rsidRDefault="00F51137" w:rsidP="00F51137">
            <w:pPr>
              <w:spacing w:after="0" w:line="240" w:lineRule="auto"/>
              <w:jc w:val="right"/>
              <w:rPr>
                <w:rFonts w:ascii="Calibri" w:hAnsi="Calibri" w:cs="Calibri"/>
                <w:color w:val="000000"/>
                <w:sz w:val="18"/>
                <w:szCs w:val="18"/>
              </w:rPr>
            </w:pPr>
            <w:r w:rsidRPr="00F51137">
              <w:rPr>
                <w:rFonts w:ascii="Calibri" w:eastAsia="Times New Roman" w:hAnsi="Calibri" w:cs="Calibri"/>
                <w:color w:val="000000"/>
                <w:sz w:val="18"/>
                <w:szCs w:val="18"/>
                <w:lang w:eastAsia="en-AU"/>
              </w:rPr>
              <w:t>18.4</w:t>
            </w:r>
          </w:p>
        </w:tc>
      </w:tr>
    </w:tbl>
    <w:p w14:paraId="76D76B10" w14:textId="77777777" w:rsidR="00815FAF" w:rsidRDefault="00680AC2" w:rsidP="000F2521">
      <w:pPr>
        <w:jc w:val="center"/>
        <w:rPr>
          <w:sz w:val="18"/>
          <w:szCs w:val="18"/>
        </w:rPr>
      </w:pPr>
      <w:r w:rsidRPr="00680AC2">
        <w:rPr>
          <w:sz w:val="18"/>
          <w:szCs w:val="18"/>
        </w:rPr>
        <w:t>B/C ratio is total benefit</w:t>
      </w:r>
      <w:r>
        <w:rPr>
          <w:sz w:val="18"/>
          <w:szCs w:val="18"/>
        </w:rPr>
        <w:t>s</w:t>
      </w:r>
      <w:r w:rsidRPr="00680AC2">
        <w:rPr>
          <w:sz w:val="18"/>
          <w:szCs w:val="18"/>
        </w:rPr>
        <w:t xml:space="preserve"> divided by total cost</w:t>
      </w:r>
      <w:r>
        <w:rPr>
          <w:sz w:val="18"/>
          <w:szCs w:val="18"/>
        </w:rPr>
        <w:t>s</w:t>
      </w:r>
      <w:r w:rsidRPr="00680AC2">
        <w:rPr>
          <w:sz w:val="18"/>
          <w:szCs w:val="18"/>
        </w:rPr>
        <w:t>.</w:t>
      </w:r>
      <w:r>
        <w:rPr>
          <w:sz w:val="18"/>
          <w:szCs w:val="18"/>
        </w:rPr>
        <w:t xml:space="preserve"> PV is present value</w:t>
      </w:r>
      <w:r w:rsidR="00647A25">
        <w:rPr>
          <w:sz w:val="18"/>
          <w:szCs w:val="18"/>
        </w:rPr>
        <w:t>, at 7% discount rate</w:t>
      </w:r>
      <w:r w:rsidR="00054774">
        <w:rPr>
          <w:sz w:val="18"/>
          <w:szCs w:val="18"/>
        </w:rPr>
        <w:t>.</w:t>
      </w:r>
      <w:r w:rsidR="00373D74">
        <w:rPr>
          <w:sz w:val="18"/>
          <w:szCs w:val="18"/>
        </w:rPr>
        <w:t xml:space="preserve"> Note that price increases are additional to those projected to occur as a result of compliance with MEPS. </w:t>
      </w:r>
      <w:bookmarkEnd w:id="87"/>
    </w:p>
    <w:p w14:paraId="5B6995FA" w14:textId="7DA67B5C" w:rsidR="00054774" w:rsidRDefault="00054774" w:rsidP="000F2521">
      <w:pPr>
        <w:jc w:val="center"/>
      </w:pPr>
      <w:r>
        <w:br w:type="page"/>
      </w:r>
    </w:p>
    <w:p w14:paraId="7D31846A" w14:textId="3F002B09" w:rsidR="008A2310" w:rsidRDefault="00DC3CDA" w:rsidP="00DC3CDA">
      <w:pPr>
        <w:pStyle w:val="Caption"/>
        <w:jc w:val="center"/>
      </w:pPr>
      <w:bookmarkStart w:id="89" w:name="_Ref191563312"/>
      <w:bookmarkStart w:id="90" w:name="_Toc196745471"/>
      <w:r>
        <w:lastRenderedPageBreak/>
        <w:t xml:space="preserve">Figure </w:t>
      </w:r>
      <w:r w:rsidR="0042496D">
        <w:fldChar w:fldCharType="begin"/>
      </w:r>
      <w:r w:rsidR="0042496D">
        <w:instrText xml:space="preserve"> SEQ Figure \* ARABIC </w:instrText>
      </w:r>
      <w:r w:rsidR="0042496D">
        <w:fldChar w:fldCharType="separate"/>
      </w:r>
      <w:r w:rsidR="002271EC">
        <w:rPr>
          <w:noProof/>
        </w:rPr>
        <w:t>9</w:t>
      </w:r>
      <w:r w:rsidR="0042496D">
        <w:rPr>
          <w:noProof/>
        </w:rPr>
        <w:fldChar w:fldCharType="end"/>
      </w:r>
      <w:bookmarkEnd w:id="88"/>
      <w:bookmarkEnd w:id="89"/>
      <w:r>
        <w:t xml:space="preserve"> </w:t>
      </w:r>
      <w:r w:rsidRPr="00DC3CDA">
        <w:t>Costs</w:t>
      </w:r>
      <w:r w:rsidR="006336CC">
        <w:t xml:space="preserve"> (C)</w:t>
      </w:r>
      <w:r w:rsidRPr="00DC3CDA">
        <w:t xml:space="preserve">, Benefits </w:t>
      </w:r>
      <w:r w:rsidR="006336CC">
        <w:t xml:space="preserve">(B) </w:t>
      </w:r>
      <w:r w:rsidRPr="00DC3CDA">
        <w:t xml:space="preserve">and B/C ratios by </w:t>
      </w:r>
      <w:r w:rsidR="006336CC" w:rsidRPr="00DC3CDA">
        <w:t>option</w:t>
      </w:r>
      <w:r w:rsidRPr="00DC3CDA">
        <w:t>, Australia</w:t>
      </w:r>
      <w:bookmarkEnd w:id="90"/>
    </w:p>
    <w:p w14:paraId="65331A9F" w14:textId="6C205E40" w:rsidR="00DC3CDA" w:rsidRDefault="006336CC" w:rsidP="00DC3CDA">
      <w:pPr>
        <w:jc w:val="center"/>
      </w:pPr>
      <w:r>
        <w:rPr>
          <w:noProof/>
        </w:rPr>
        <w:drawing>
          <wp:inline distT="0" distB="0" distL="0" distR="0" wp14:anchorId="14E80B61" wp14:editId="1424A874">
            <wp:extent cx="3880868" cy="2819400"/>
            <wp:effectExtent l="19050" t="19050" r="24765" b="19050"/>
            <wp:docPr id="41" name="Picture 41" descr="Bar chart of the net present value of the costs, benefits and benefit divided by cost ratios for each WELS option for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47320" cy="2867676"/>
                    </a:xfrm>
                    <a:prstGeom prst="rect">
                      <a:avLst/>
                    </a:prstGeom>
                    <a:noFill/>
                    <a:ln>
                      <a:solidFill>
                        <a:schemeClr val="accent1"/>
                      </a:solidFill>
                    </a:ln>
                  </pic:spPr>
                </pic:pic>
              </a:graphicData>
            </a:graphic>
          </wp:inline>
        </w:drawing>
      </w:r>
    </w:p>
    <w:p w14:paraId="49693AFE" w14:textId="77777777" w:rsidR="00C9658D" w:rsidRDefault="00C9658D" w:rsidP="00C9658D">
      <w:bookmarkStart w:id="91" w:name="_Ref189739233"/>
      <w:bookmarkStart w:id="92" w:name="_Ref189739225"/>
    </w:p>
    <w:p w14:paraId="19D0176F" w14:textId="2543C01D" w:rsidR="00054774" w:rsidRDefault="00C9658D" w:rsidP="00E57452">
      <w:r>
        <w:t xml:space="preserve">The program costs indicated in </w:t>
      </w:r>
      <w:r>
        <w:fldChar w:fldCharType="begin"/>
      </w:r>
      <w:r>
        <w:instrText xml:space="preserve"> REF _Ref191563312 \h </w:instrText>
      </w:r>
      <w:r>
        <w:fldChar w:fldCharType="separate"/>
      </w:r>
      <w:r w:rsidR="002271EC">
        <w:t xml:space="preserve">Figure </w:t>
      </w:r>
      <w:r w:rsidR="002271EC">
        <w:rPr>
          <w:noProof/>
        </w:rPr>
        <w:t>9</w:t>
      </w:r>
      <w:r>
        <w:fldChar w:fldCharType="end"/>
      </w:r>
      <w:r>
        <w:t xml:space="preserve"> </w:t>
      </w:r>
      <w:r w:rsidR="0070081F">
        <w:t xml:space="preserve">are disaggregated in </w:t>
      </w:r>
      <w:r w:rsidR="0070081F">
        <w:fldChar w:fldCharType="begin"/>
      </w:r>
      <w:r w:rsidR="0070081F">
        <w:instrText xml:space="preserve"> REF _Ref189740028 \h </w:instrText>
      </w:r>
      <w:r w:rsidR="0070081F">
        <w:fldChar w:fldCharType="separate"/>
      </w:r>
      <w:r w:rsidR="002271EC">
        <w:t xml:space="preserve">Figure </w:t>
      </w:r>
      <w:r w:rsidR="002271EC">
        <w:rPr>
          <w:noProof/>
        </w:rPr>
        <w:t>10</w:t>
      </w:r>
      <w:r w:rsidR="0070081F">
        <w:fldChar w:fldCharType="end"/>
      </w:r>
      <w:r w:rsidR="0070081F">
        <w:t xml:space="preserve">. The </w:t>
      </w:r>
      <w:r w:rsidR="00981613">
        <w:t>product r</w:t>
      </w:r>
      <w:r w:rsidR="0070081F">
        <w:t xml:space="preserve">egistration </w:t>
      </w:r>
      <w:r>
        <w:t xml:space="preserve">fees </w:t>
      </w:r>
      <w:r w:rsidR="0070081F">
        <w:t>incurred by CIM suppliers are in effect transfer payments to the WELS Regulator, so the actual cost to the Regulator is net of this income. Physical labelling costs are estimated at $0.50</w:t>
      </w:r>
      <w:r w:rsidR="00AE0BE2">
        <w:t xml:space="preserve"> per </w:t>
      </w:r>
      <w:r w:rsidR="0070081F">
        <w:t xml:space="preserve">applied </w:t>
      </w:r>
      <w:r w:rsidR="00054774">
        <w:t>label and</w:t>
      </w:r>
      <w:r w:rsidR="0070081F">
        <w:t xml:space="preserve"> make a negligible contribution to program costs.</w:t>
      </w:r>
    </w:p>
    <w:p w14:paraId="107E7157" w14:textId="77777777" w:rsidR="00E57452" w:rsidRDefault="00E57452" w:rsidP="00E57452"/>
    <w:p w14:paraId="031F12F3" w14:textId="27A24F58" w:rsidR="00DC3CDA" w:rsidRDefault="00DC3CDA" w:rsidP="00DC3CDA">
      <w:pPr>
        <w:pStyle w:val="Caption"/>
        <w:jc w:val="center"/>
      </w:pPr>
      <w:bookmarkStart w:id="93" w:name="_Ref189740028"/>
      <w:bookmarkStart w:id="94" w:name="_Ref191562736"/>
      <w:bookmarkStart w:id="95" w:name="_Toc196745472"/>
      <w:r>
        <w:t xml:space="preserve">Figure </w:t>
      </w:r>
      <w:r w:rsidR="0042496D">
        <w:fldChar w:fldCharType="begin"/>
      </w:r>
      <w:r w:rsidR="0042496D">
        <w:instrText xml:space="preserve"> SEQ Figure \* ARABIC </w:instrText>
      </w:r>
      <w:r w:rsidR="0042496D">
        <w:fldChar w:fldCharType="separate"/>
      </w:r>
      <w:r w:rsidR="002271EC">
        <w:rPr>
          <w:noProof/>
        </w:rPr>
        <w:t>10</w:t>
      </w:r>
      <w:r w:rsidR="0042496D">
        <w:rPr>
          <w:noProof/>
        </w:rPr>
        <w:fldChar w:fldCharType="end"/>
      </w:r>
      <w:bookmarkEnd w:id="91"/>
      <w:bookmarkEnd w:id="93"/>
      <w:r>
        <w:t xml:space="preserve"> </w:t>
      </w:r>
      <w:bookmarkStart w:id="96" w:name="_Hlk191636991"/>
      <w:r w:rsidRPr="00DC3CDA">
        <w:t>NPV of program costs, 2025-2040, Australia</w:t>
      </w:r>
      <w:bookmarkEnd w:id="92"/>
      <w:bookmarkEnd w:id="94"/>
      <w:bookmarkEnd w:id="96"/>
      <w:bookmarkEnd w:id="95"/>
    </w:p>
    <w:p w14:paraId="7FC172A4" w14:textId="4A3A8CE3" w:rsidR="00DC3CDA" w:rsidRDefault="00A71AA2" w:rsidP="00DC3CDA">
      <w:pPr>
        <w:jc w:val="center"/>
      </w:pPr>
      <w:r>
        <w:rPr>
          <w:noProof/>
        </w:rPr>
        <w:drawing>
          <wp:inline distT="0" distB="0" distL="0" distR="0" wp14:anchorId="2110AE69" wp14:editId="7E8976E1">
            <wp:extent cx="4038600" cy="2933989"/>
            <wp:effectExtent l="19050" t="19050" r="19050" b="19050"/>
            <wp:docPr id="16" name="Picture 16" descr="Bar chart of the net present value of the costs for each WELS option, divided into industry costs and WELS Regulator costs for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7426" cy="2976725"/>
                    </a:xfrm>
                    <a:prstGeom prst="rect">
                      <a:avLst/>
                    </a:prstGeom>
                    <a:noFill/>
                    <a:ln>
                      <a:solidFill>
                        <a:schemeClr val="accent1"/>
                      </a:solidFill>
                    </a:ln>
                  </pic:spPr>
                </pic:pic>
              </a:graphicData>
            </a:graphic>
          </wp:inline>
        </w:drawing>
      </w:r>
    </w:p>
    <w:p w14:paraId="417ABA56" w14:textId="3CCD9A52" w:rsidR="00981613" w:rsidRDefault="00981613" w:rsidP="00981613">
      <w:bookmarkStart w:id="97" w:name="_Ref189741384"/>
      <w:r>
        <w:lastRenderedPageBreak/>
        <w:t>Ultimately, it is assumed that all costs</w:t>
      </w:r>
      <w:r w:rsidR="00AE0BE2">
        <w:t>,</w:t>
      </w:r>
      <w:r>
        <w:t xml:space="preserve"> whether borne initially by industry or by the WELS Regulator are passed on to CIM purchasers as higher </w:t>
      </w:r>
      <w:r w:rsidR="00C9658D">
        <w:t xml:space="preserve">product </w:t>
      </w:r>
      <w:r>
        <w:t>prices (although technically the unrecovered share of WELS Regulator costs are borne by the taxpayer). All benefits accrue to CIM purchasers.</w:t>
      </w:r>
    </w:p>
    <w:p w14:paraId="13DBECA9" w14:textId="2819DC06" w:rsidR="00981613" w:rsidRDefault="009B7536" w:rsidP="00981613">
      <w:r>
        <w:fldChar w:fldCharType="begin"/>
      </w:r>
      <w:r>
        <w:instrText xml:space="preserve"> REF _Ref192502247 \h </w:instrText>
      </w:r>
      <w:r>
        <w:fldChar w:fldCharType="separate"/>
      </w:r>
      <w:r w:rsidR="002271EC">
        <w:t xml:space="preserve">Figure </w:t>
      </w:r>
      <w:r w:rsidR="002271EC">
        <w:rPr>
          <w:noProof/>
        </w:rPr>
        <w:t>11</w:t>
      </w:r>
      <w:r>
        <w:fldChar w:fldCharType="end"/>
      </w:r>
      <w:r>
        <w:t xml:space="preserve"> </w:t>
      </w:r>
      <w:r w:rsidR="00981613">
        <w:t>shows the stacked benefits for each option, starting with the lowest projected benefit (Option 2, $M 32.</w:t>
      </w:r>
      <w:r w:rsidR="00AE0BE2">
        <w:t>5</w:t>
      </w:r>
      <w:r w:rsidR="00981613">
        <w:t xml:space="preserve">) </w:t>
      </w:r>
      <w:r w:rsidR="00BA4CDE">
        <w:t xml:space="preserve">up </w:t>
      </w:r>
      <w:r w:rsidR="00981613">
        <w:t xml:space="preserve">to the highest benefit (Option 4A, $M 70.0). This is a visual indicator of the </w:t>
      </w:r>
      <w:r w:rsidR="00BA4CDE">
        <w:t xml:space="preserve">additional </w:t>
      </w:r>
      <w:r w:rsidR="00981613">
        <w:t xml:space="preserve">benefit </w:t>
      </w:r>
      <w:r w:rsidR="00BA4CDE">
        <w:t xml:space="preserve">from </w:t>
      </w:r>
      <w:r w:rsidR="00981613">
        <w:t>moving to progressively more stringent measures. It shows that:</w:t>
      </w:r>
    </w:p>
    <w:p w14:paraId="7712C664" w14:textId="0A330E91" w:rsidR="00981613" w:rsidRPr="00DC5884" w:rsidRDefault="00981613"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There is little difference in benefit between Option 2 (</w:t>
      </w:r>
      <w:r w:rsidR="00C45A67" w:rsidRPr="00DC5884">
        <w:rPr>
          <w:rFonts w:eastAsia="Calibri" w:cs="Times New Roman"/>
          <w:szCs w:val="22"/>
        </w:rPr>
        <w:t>V</w:t>
      </w:r>
      <w:r w:rsidRPr="00DC5884">
        <w:rPr>
          <w:rFonts w:eastAsia="Calibri" w:cs="Times New Roman"/>
          <w:szCs w:val="22"/>
        </w:rPr>
        <w:t xml:space="preserve">oluntary declaration </w:t>
      </w:r>
      <w:r w:rsidR="00C45A67" w:rsidRPr="00DC5884">
        <w:rPr>
          <w:rFonts w:eastAsia="Calibri" w:cs="Times New Roman"/>
          <w:szCs w:val="22"/>
        </w:rPr>
        <w:t>with WELS support</w:t>
      </w:r>
      <w:r w:rsidRPr="00DC5884">
        <w:rPr>
          <w:rFonts w:eastAsia="Calibri" w:cs="Times New Roman"/>
          <w:szCs w:val="22"/>
        </w:rPr>
        <w:t>) and Options 3A and 3B (</w:t>
      </w:r>
      <w:r w:rsidR="00C45A67" w:rsidRPr="00DC5884">
        <w:rPr>
          <w:rFonts w:eastAsia="Calibri" w:cs="Times New Roman"/>
          <w:szCs w:val="22"/>
        </w:rPr>
        <w:t xml:space="preserve">Product </w:t>
      </w:r>
      <w:r w:rsidR="00BA4CDE" w:rsidRPr="00DC5884">
        <w:rPr>
          <w:rFonts w:eastAsia="Calibri" w:cs="Times New Roman"/>
          <w:szCs w:val="22"/>
        </w:rPr>
        <w:t xml:space="preserve">registration and </w:t>
      </w:r>
      <w:r w:rsidR="00C45A67" w:rsidRPr="00DC5884">
        <w:rPr>
          <w:rFonts w:eastAsia="Calibri" w:cs="Times New Roman"/>
          <w:szCs w:val="22"/>
        </w:rPr>
        <w:t xml:space="preserve">information </w:t>
      </w:r>
      <w:r w:rsidRPr="00DC5884">
        <w:rPr>
          <w:rFonts w:eastAsia="Calibri" w:cs="Times New Roman"/>
          <w:szCs w:val="22"/>
        </w:rPr>
        <w:t>declaration)</w:t>
      </w:r>
      <w:r w:rsidR="00970D1A" w:rsidRPr="00DC5884">
        <w:rPr>
          <w:rFonts w:eastAsia="Calibri" w:cs="Times New Roman"/>
          <w:szCs w:val="22"/>
        </w:rPr>
        <w:t xml:space="preserve">, provided that </w:t>
      </w:r>
      <w:r w:rsidRPr="00DC5884">
        <w:rPr>
          <w:rFonts w:eastAsia="Calibri" w:cs="Times New Roman"/>
          <w:szCs w:val="22"/>
        </w:rPr>
        <w:t xml:space="preserve">Option 2 has high take-up by suppliers. If Option 2 </w:t>
      </w:r>
      <w:r w:rsidR="00BA4CDE" w:rsidRPr="00DC5884">
        <w:rPr>
          <w:rFonts w:eastAsia="Calibri" w:cs="Times New Roman"/>
          <w:szCs w:val="22"/>
        </w:rPr>
        <w:t>is not successful</w:t>
      </w:r>
      <w:r w:rsidRPr="00DC5884">
        <w:rPr>
          <w:rFonts w:eastAsia="Calibri" w:cs="Times New Roman"/>
          <w:szCs w:val="22"/>
        </w:rPr>
        <w:t xml:space="preserve"> then </w:t>
      </w:r>
      <w:r w:rsidR="00C45A67" w:rsidRPr="00DC5884">
        <w:rPr>
          <w:rFonts w:eastAsia="Calibri" w:cs="Times New Roman"/>
          <w:szCs w:val="22"/>
        </w:rPr>
        <w:t xml:space="preserve">Option </w:t>
      </w:r>
      <w:r w:rsidRPr="00DC5884">
        <w:rPr>
          <w:rFonts w:eastAsia="Calibri" w:cs="Times New Roman"/>
          <w:szCs w:val="22"/>
        </w:rPr>
        <w:t>3A would become more attractive.</w:t>
      </w:r>
    </w:p>
    <w:p w14:paraId="2651D09B" w14:textId="36A61747" w:rsidR="00981613" w:rsidRPr="00DC5884" w:rsidRDefault="00981613"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The </w:t>
      </w:r>
      <w:r w:rsidR="00C45A67" w:rsidRPr="00DC5884">
        <w:rPr>
          <w:rFonts w:eastAsia="Calibri" w:cs="Times New Roman"/>
          <w:szCs w:val="22"/>
        </w:rPr>
        <w:t>M</w:t>
      </w:r>
      <w:r w:rsidRPr="00DC5884">
        <w:rPr>
          <w:rFonts w:eastAsia="Calibri" w:cs="Times New Roman"/>
          <w:szCs w:val="22"/>
        </w:rPr>
        <w:t xml:space="preserve">inimum </w:t>
      </w:r>
      <w:r w:rsidR="00C45A67" w:rsidRPr="00DC5884">
        <w:rPr>
          <w:rFonts w:eastAsia="Calibri" w:cs="Times New Roman"/>
          <w:szCs w:val="22"/>
        </w:rPr>
        <w:t>W</w:t>
      </w:r>
      <w:r w:rsidR="00970D1A" w:rsidRPr="00DC5884">
        <w:rPr>
          <w:rFonts w:eastAsia="Calibri" w:cs="Times New Roman"/>
          <w:szCs w:val="22"/>
        </w:rPr>
        <w:t xml:space="preserve">ater </w:t>
      </w:r>
      <w:r w:rsidR="00C45A67" w:rsidRPr="00DC5884">
        <w:rPr>
          <w:rFonts w:eastAsia="Calibri" w:cs="Times New Roman"/>
          <w:szCs w:val="22"/>
        </w:rPr>
        <w:t>E</w:t>
      </w:r>
      <w:r w:rsidR="00970D1A" w:rsidRPr="00DC5884">
        <w:rPr>
          <w:rFonts w:eastAsia="Calibri" w:cs="Times New Roman"/>
          <w:szCs w:val="22"/>
        </w:rPr>
        <w:t xml:space="preserve">fficiency </w:t>
      </w:r>
      <w:r w:rsidR="00C45A67" w:rsidRPr="00DC5884">
        <w:rPr>
          <w:rFonts w:eastAsia="Calibri" w:cs="Times New Roman"/>
          <w:szCs w:val="22"/>
        </w:rPr>
        <w:t>S</w:t>
      </w:r>
      <w:r w:rsidRPr="00DC5884">
        <w:rPr>
          <w:rFonts w:eastAsia="Calibri" w:cs="Times New Roman"/>
          <w:szCs w:val="22"/>
        </w:rPr>
        <w:t>tandards options (4A</w:t>
      </w:r>
      <w:r w:rsidR="00970D1A" w:rsidRPr="00DC5884">
        <w:rPr>
          <w:rFonts w:eastAsia="Calibri" w:cs="Times New Roman"/>
          <w:szCs w:val="22"/>
        </w:rPr>
        <w:t xml:space="preserve"> and </w:t>
      </w:r>
      <w:r w:rsidRPr="00DC5884">
        <w:rPr>
          <w:rFonts w:eastAsia="Calibri" w:cs="Times New Roman"/>
          <w:szCs w:val="22"/>
        </w:rPr>
        <w:t>4B) lead to a near doubling of benefit, but at much lower B/C ratios.</w:t>
      </w:r>
    </w:p>
    <w:p w14:paraId="2BBCA1E7" w14:textId="7C683BA1" w:rsidR="00981613" w:rsidRPr="00DC5884" w:rsidRDefault="00981613"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Most of the benefits come from IMH models, because of their high average ice production, and from batch-production (cube ice) models, which have far greater scope to increase potable </w:t>
      </w:r>
      <w:r w:rsidR="00CE59EF" w:rsidRPr="00DC5884">
        <w:rPr>
          <w:rFonts w:eastAsia="Calibri" w:cs="Times New Roman"/>
          <w:szCs w:val="22"/>
        </w:rPr>
        <w:t>water efficiency</w:t>
      </w:r>
      <w:r w:rsidRPr="00DC5884">
        <w:rPr>
          <w:rFonts w:eastAsia="Calibri" w:cs="Times New Roman"/>
          <w:szCs w:val="22"/>
        </w:rPr>
        <w:t xml:space="preserve"> than continuous (flake</w:t>
      </w:r>
      <w:r w:rsidR="00C45A67" w:rsidRPr="00DC5884">
        <w:rPr>
          <w:rFonts w:eastAsia="Calibri" w:cs="Times New Roman"/>
          <w:szCs w:val="22"/>
        </w:rPr>
        <w:t>d</w:t>
      </w:r>
      <w:r w:rsidRPr="00DC5884">
        <w:rPr>
          <w:rFonts w:eastAsia="Calibri" w:cs="Times New Roman"/>
          <w:szCs w:val="22"/>
        </w:rPr>
        <w:t xml:space="preserve"> ice) models.</w:t>
      </w:r>
    </w:p>
    <w:p w14:paraId="615D8C5A" w14:textId="77BFC704" w:rsidR="00054774" w:rsidRPr="00DC5884" w:rsidRDefault="00981613"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Water</w:t>
      </w:r>
      <w:r w:rsidR="00885D64">
        <w:rPr>
          <w:rFonts w:eastAsia="Calibri" w:cs="Times New Roman"/>
          <w:szCs w:val="22"/>
        </w:rPr>
        <w:t>-</w:t>
      </w:r>
      <w:r w:rsidRPr="00DC5884">
        <w:rPr>
          <w:rFonts w:eastAsia="Calibri" w:cs="Times New Roman"/>
          <w:szCs w:val="22"/>
        </w:rPr>
        <w:t>cooled models deliver slightly more benefit than air-cooled models, but this depends on the assumed rate of recirculation of cooling water. This is discussed in the next section.</w:t>
      </w:r>
    </w:p>
    <w:p w14:paraId="048DA2CB" w14:textId="77777777" w:rsidR="009174E3" w:rsidRDefault="009174E3" w:rsidP="009174E3"/>
    <w:p w14:paraId="3A5C2BA5" w14:textId="65163EB3" w:rsidR="00DC3CDA" w:rsidRDefault="00A6086A" w:rsidP="00A6086A">
      <w:pPr>
        <w:pStyle w:val="Caption"/>
        <w:jc w:val="center"/>
      </w:pPr>
      <w:bookmarkStart w:id="98" w:name="_Ref192502247"/>
      <w:bookmarkStart w:id="99" w:name="_Toc196745473"/>
      <w:r>
        <w:t xml:space="preserve">Figure </w:t>
      </w:r>
      <w:r w:rsidR="0042496D">
        <w:fldChar w:fldCharType="begin"/>
      </w:r>
      <w:r w:rsidR="0042496D">
        <w:instrText xml:space="preserve"> SEQ Figure \* ARABIC </w:instrText>
      </w:r>
      <w:r w:rsidR="0042496D">
        <w:fldChar w:fldCharType="separate"/>
      </w:r>
      <w:r w:rsidR="002271EC">
        <w:rPr>
          <w:noProof/>
        </w:rPr>
        <w:t>11</w:t>
      </w:r>
      <w:r w:rsidR="0042496D">
        <w:rPr>
          <w:noProof/>
        </w:rPr>
        <w:fldChar w:fldCharType="end"/>
      </w:r>
      <w:bookmarkEnd w:id="97"/>
      <w:bookmarkEnd w:id="98"/>
      <w:r>
        <w:t xml:space="preserve"> </w:t>
      </w:r>
      <w:r w:rsidRPr="00A6086A">
        <w:t>Stacked benefits by stringency of WELS options by CIM configuration, Australia</w:t>
      </w:r>
      <w:bookmarkEnd w:id="99"/>
    </w:p>
    <w:p w14:paraId="09A0CB42" w14:textId="16C18B36" w:rsidR="00A6086A" w:rsidRDefault="001A4DA3" w:rsidP="00A6086A">
      <w:pPr>
        <w:jc w:val="center"/>
      </w:pPr>
      <w:r>
        <w:rPr>
          <w:noProof/>
        </w:rPr>
        <w:drawing>
          <wp:inline distT="0" distB="0" distL="0" distR="0" wp14:anchorId="465C9972" wp14:editId="68C9DC6E">
            <wp:extent cx="4798643" cy="3486150"/>
            <wp:effectExtent l="19050" t="19050" r="21590" b="19050"/>
            <wp:docPr id="34" name="Picture 34" descr="Monetary benefits of each WELS option for all commercial ice makers, and for different types: batch and continuous ice production. air and water cooled, ice maker head, self-contained unit and split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onetary benefits of each WELS option for all commercial ice makers, and for different types: batch and continuous ice production. air and water cooled, ice maker head, self-contained unit and split typ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28366" cy="3507743"/>
                    </a:xfrm>
                    <a:prstGeom prst="rect">
                      <a:avLst/>
                    </a:prstGeom>
                    <a:noFill/>
                    <a:ln>
                      <a:solidFill>
                        <a:schemeClr val="accent1"/>
                      </a:solidFill>
                    </a:ln>
                  </pic:spPr>
                </pic:pic>
              </a:graphicData>
            </a:graphic>
          </wp:inline>
        </w:drawing>
      </w:r>
    </w:p>
    <w:p w14:paraId="722EE6C4" w14:textId="786977FC" w:rsidR="00CA6F7F" w:rsidRDefault="00CA6F7F" w:rsidP="00CA6F7F">
      <w:pPr>
        <w:pStyle w:val="Heading3"/>
      </w:pPr>
      <w:bookmarkStart w:id="100" w:name="_Toc196745427"/>
      <w:r>
        <w:lastRenderedPageBreak/>
        <w:t xml:space="preserve">Uncertainty and </w:t>
      </w:r>
      <w:r w:rsidR="00777891">
        <w:t>s</w:t>
      </w:r>
      <w:r>
        <w:t>ensitivity</w:t>
      </w:r>
      <w:bookmarkEnd w:id="100"/>
    </w:p>
    <w:p w14:paraId="5BD6FE85" w14:textId="61CE4AAF" w:rsidR="00BD76D2" w:rsidRPr="009D4A58" w:rsidRDefault="00BD76D2" w:rsidP="00BD76D2">
      <w:r>
        <w:t>As with all projections, there are uncertainties due to both imperfect information about the present and assumptions about the future. It is impossible to calculate statistical uncertainties of the impacts of any given WELS option without having reliable information about the CIM models available on the Australian market</w:t>
      </w:r>
      <w:r w:rsidR="00777891">
        <w:t xml:space="preserve">, which will </w:t>
      </w:r>
      <w:r>
        <w:t xml:space="preserve">only become available once all </w:t>
      </w:r>
      <w:r w:rsidR="00777891">
        <w:t xml:space="preserve">CIMs </w:t>
      </w:r>
      <w:r>
        <w:t>on the market are tested to the same standard and their water use rates declared.</w:t>
      </w:r>
    </w:p>
    <w:p w14:paraId="5E768567" w14:textId="154626E3" w:rsidR="00C77765" w:rsidRDefault="009D4A58" w:rsidP="009D4A58">
      <w:r w:rsidRPr="009D4A58">
        <w:t xml:space="preserve">Calculating </w:t>
      </w:r>
      <w:r w:rsidR="00BD76D2">
        <w:t xml:space="preserve">the </w:t>
      </w:r>
      <w:r w:rsidRPr="009D4A58">
        <w:t>sensitivity</w:t>
      </w:r>
      <w:r w:rsidR="00BD76D2">
        <w:t xml:space="preserve"> of outcomes </w:t>
      </w:r>
      <w:r w:rsidRPr="009D4A58">
        <w:t xml:space="preserve">to </w:t>
      </w:r>
      <w:r w:rsidR="00BD76D2">
        <w:t xml:space="preserve">the </w:t>
      </w:r>
      <w:r w:rsidRPr="009D4A58">
        <w:t xml:space="preserve">discount rate assumptions is more straightforward. </w:t>
      </w:r>
      <w:r>
        <w:fldChar w:fldCharType="begin"/>
      </w:r>
      <w:r>
        <w:instrText xml:space="preserve"> REF _Ref189749943 \h </w:instrText>
      </w:r>
      <w:r>
        <w:fldChar w:fldCharType="separate"/>
      </w:r>
      <w:r w:rsidR="002271EC">
        <w:t xml:space="preserve">Table </w:t>
      </w:r>
      <w:r w:rsidR="002271EC">
        <w:rPr>
          <w:noProof/>
        </w:rPr>
        <w:t>9</w:t>
      </w:r>
      <w:r>
        <w:fldChar w:fldCharType="end"/>
      </w:r>
      <w:r>
        <w:t xml:space="preserve"> </w:t>
      </w:r>
      <w:r w:rsidRPr="009D4A58">
        <w:t xml:space="preserve">summarises the </w:t>
      </w:r>
      <w:r w:rsidR="00777891">
        <w:t>N</w:t>
      </w:r>
      <w:r w:rsidRPr="009D4A58">
        <w:t xml:space="preserve">PV of net benefits and B/C ratios for Australia, at discount rates of </w:t>
      </w:r>
      <w:r w:rsidR="00BD76D2">
        <w:t>3</w:t>
      </w:r>
      <w:r w:rsidRPr="009D4A58">
        <w:t xml:space="preserve">% and 10%, as well as the central rate of 7%. The lower the discount rate the higher the net benefit, because the value of future </w:t>
      </w:r>
      <w:r>
        <w:t xml:space="preserve">water </w:t>
      </w:r>
      <w:r w:rsidRPr="009D4A58">
        <w:t xml:space="preserve">savings are not discounted as heavily. </w:t>
      </w:r>
      <w:r w:rsidR="005D60BB">
        <w:t>On the other hand, f</w:t>
      </w:r>
      <w:r w:rsidRPr="009D4A58">
        <w:t xml:space="preserve">uture capital costs due to </w:t>
      </w:r>
      <w:r w:rsidR="00CE59EF">
        <w:t>water efficiency</w:t>
      </w:r>
      <w:r w:rsidRPr="009D4A58">
        <w:t xml:space="preserve"> increases are also discounted less and so have a higher PV</w:t>
      </w:r>
      <w:r>
        <w:t>.</w:t>
      </w:r>
    </w:p>
    <w:p w14:paraId="24369A48" w14:textId="4928514C" w:rsidR="00054774" w:rsidRDefault="009D4A58" w:rsidP="009174E3">
      <w:r w:rsidRPr="009D4A58">
        <w:t>The projected outcomes are moderately sensitive to discount rates, but B/C ratios are highly favourable even at the highest discount rate</w:t>
      </w:r>
      <w:r>
        <w:t xml:space="preserve"> (10%)</w:t>
      </w:r>
      <w:r w:rsidRPr="009D4A58">
        <w:t>.</w:t>
      </w:r>
      <w:r w:rsidR="00C77765">
        <w:t xml:space="preserve"> </w:t>
      </w:r>
      <w:r>
        <w:t xml:space="preserve">By way of comparison, the projected net benefit of the </w:t>
      </w:r>
      <w:r w:rsidR="00C77765">
        <w:t xml:space="preserve">CIM </w:t>
      </w:r>
      <w:r>
        <w:t xml:space="preserve">MEPS option implemented by GEMS was estimated at $M 246.6, with a </w:t>
      </w:r>
      <w:r w:rsidR="00C77765">
        <w:t>B/C ratio of 7.7 at the 7% discount rate (E3 2023).</w:t>
      </w:r>
    </w:p>
    <w:p w14:paraId="2AC3A7F8" w14:textId="77777777" w:rsidR="009174E3" w:rsidRDefault="009174E3" w:rsidP="009174E3"/>
    <w:p w14:paraId="4867BFAB" w14:textId="0BC704C9" w:rsidR="006B1B36" w:rsidRDefault="006B1B36" w:rsidP="009174E3">
      <w:pPr>
        <w:pStyle w:val="Caption"/>
        <w:jc w:val="center"/>
      </w:pPr>
      <w:bookmarkStart w:id="101" w:name="_Ref189749943"/>
      <w:bookmarkStart w:id="102" w:name="_Toc196745451"/>
      <w:r>
        <w:t xml:space="preserve">Table </w:t>
      </w:r>
      <w:r w:rsidR="0042496D">
        <w:fldChar w:fldCharType="begin"/>
      </w:r>
      <w:r w:rsidR="0042496D">
        <w:instrText xml:space="preserve"> SEQ Table \* ARABIC </w:instrText>
      </w:r>
      <w:r w:rsidR="0042496D">
        <w:fldChar w:fldCharType="separate"/>
      </w:r>
      <w:r w:rsidR="002271EC">
        <w:rPr>
          <w:noProof/>
        </w:rPr>
        <w:t>9</w:t>
      </w:r>
      <w:r w:rsidR="0042496D">
        <w:rPr>
          <w:noProof/>
        </w:rPr>
        <w:fldChar w:fldCharType="end"/>
      </w:r>
      <w:bookmarkEnd w:id="101"/>
      <w:r>
        <w:t xml:space="preserve"> Sensitivity to discount rate assumptions</w:t>
      </w:r>
      <w:r w:rsidR="00777891">
        <w:t>, Australia</w:t>
      </w:r>
      <w:bookmarkEnd w:id="102"/>
    </w:p>
    <w:tbl>
      <w:tblPr>
        <w:tblW w:w="7199" w:type="dxa"/>
        <w:jc w:val="center"/>
        <w:tblLook w:val="04A0" w:firstRow="1" w:lastRow="0" w:firstColumn="1" w:lastColumn="0" w:noHBand="0" w:noVBand="1"/>
      </w:tblPr>
      <w:tblGrid>
        <w:gridCol w:w="1391"/>
        <w:gridCol w:w="969"/>
        <w:gridCol w:w="959"/>
        <w:gridCol w:w="968"/>
        <w:gridCol w:w="968"/>
        <w:gridCol w:w="976"/>
        <w:gridCol w:w="968"/>
      </w:tblGrid>
      <w:tr w:rsidR="006B1B36" w:rsidRPr="000114E3" w14:paraId="2B651036" w14:textId="77777777" w:rsidTr="00C322DE">
        <w:trPr>
          <w:trHeight w:val="300"/>
          <w:jc w:val="center"/>
        </w:trPr>
        <w:tc>
          <w:tcPr>
            <w:tcW w:w="1391" w:type="dxa"/>
            <w:tcBorders>
              <w:top w:val="single" w:sz="4" w:space="0" w:color="auto"/>
              <w:left w:val="single" w:sz="4" w:space="0" w:color="auto"/>
              <w:bottom w:val="nil"/>
              <w:right w:val="nil"/>
            </w:tcBorders>
            <w:shd w:val="clear" w:color="auto" w:fill="auto"/>
            <w:noWrap/>
            <w:vAlign w:val="bottom"/>
            <w:hideMark/>
          </w:tcPr>
          <w:p w14:paraId="29DFC2C6" w14:textId="6F9D3975" w:rsidR="006B1B36" w:rsidRPr="000114E3" w:rsidRDefault="006B1B36" w:rsidP="006B1B36">
            <w:pPr>
              <w:spacing w:after="0" w:line="240" w:lineRule="auto"/>
              <w:jc w:val="center"/>
              <w:rPr>
                <w:rFonts w:ascii="Calibri" w:eastAsia="Times New Roman" w:hAnsi="Calibri" w:cs="Calibri"/>
                <w:color w:val="000000"/>
                <w:sz w:val="20"/>
                <w:szCs w:val="20"/>
                <w:lang w:eastAsia="en-AU"/>
              </w:rPr>
            </w:pPr>
          </w:p>
        </w:tc>
        <w:tc>
          <w:tcPr>
            <w:tcW w:w="2896" w:type="dxa"/>
            <w:gridSpan w:val="3"/>
            <w:tcBorders>
              <w:top w:val="single" w:sz="4" w:space="0" w:color="auto"/>
              <w:left w:val="single" w:sz="4" w:space="0" w:color="auto"/>
              <w:bottom w:val="nil"/>
              <w:right w:val="single" w:sz="4" w:space="0" w:color="auto"/>
            </w:tcBorders>
            <w:shd w:val="clear" w:color="auto" w:fill="auto"/>
            <w:noWrap/>
            <w:vAlign w:val="bottom"/>
            <w:hideMark/>
          </w:tcPr>
          <w:p w14:paraId="191627D2" w14:textId="7DB2390F" w:rsidR="006B1B36" w:rsidRPr="000114E3" w:rsidRDefault="006B1B36" w:rsidP="006B1B3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 NPV at discount rates</w:t>
            </w:r>
          </w:p>
        </w:tc>
        <w:tc>
          <w:tcPr>
            <w:tcW w:w="2912" w:type="dxa"/>
            <w:gridSpan w:val="3"/>
            <w:tcBorders>
              <w:top w:val="single" w:sz="4" w:space="0" w:color="auto"/>
              <w:left w:val="nil"/>
              <w:bottom w:val="nil"/>
              <w:right w:val="single" w:sz="4" w:space="0" w:color="auto"/>
            </w:tcBorders>
            <w:shd w:val="clear" w:color="auto" w:fill="auto"/>
            <w:noWrap/>
            <w:vAlign w:val="bottom"/>
            <w:hideMark/>
          </w:tcPr>
          <w:p w14:paraId="37A40BCA" w14:textId="3943E285" w:rsidR="006B1B36" w:rsidRPr="000114E3" w:rsidRDefault="006B1B36" w:rsidP="006B1B3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B/C ratio at discount rates</w:t>
            </w:r>
          </w:p>
        </w:tc>
      </w:tr>
      <w:tr w:rsidR="006B1B36" w:rsidRPr="000114E3" w14:paraId="271DC1D2" w14:textId="77777777" w:rsidTr="00BA4CDE">
        <w:trPr>
          <w:trHeight w:val="300"/>
          <w:jc w:val="center"/>
        </w:trPr>
        <w:tc>
          <w:tcPr>
            <w:tcW w:w="1391" w:type="dxa"/>
            <w:tcBorders>
              <w:top w:val="single" w:sz="4" w:space="0" w:color="auto"/>
              <w:left w:val="single" w:sz="4" w:space="0" w:color="auto"/>
              <w:bottom w:val="single" w:sz="4" w:space="0" w:color="auto"/>
              <w:right w:val="nil"/>
            </w:tcBorders>
            <w:shd w:val="clear" w:color="auto" w:fill="auto"/>
            <w:noWrap/>
            <w:vAlign w:val="bottom"/>
            <w:hideMark/>
          </w:tcPr>
          <w:p w14:paraId="5F2BBA90" w14:textId="77777777" w:rsidR="006B1B36" w:rsidRPr="000114E3" w:rsidRDefault="006B1B36" w:rsidP="006B1B36">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969" w:type="dxa"/>
            <w:tcBorders>
              <w:top w:val="single" w:sz="4" w:space="0" w:color="auto"/>
              <w:left w:val="single" w:sz="4" w:space="0" w:color="auto"/>
              <w:bottom w:val="single" w:sz="4" w:space="0" w:color="auto"/>
              <w:right w:val="nil"/>
            </w:tcBorders>
            <w:shd w:val="clear" w:color="auto" w:fill="auto"/>
            <w:noWrap/>
            <w:vAlign w:val="bottom"/>
            <w:hideMark/>
          </w:tcPr>
          <w:p w14:paraId="2BA10313" w14:textId="3B2EC9D4" w:rsidR="006B1B36" w:rsidRPr="000114E3" w:rsidRDefault="00BD76D2"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w:t>
            </w:r>
            <w:r w:rsidR="006B1B36" w:rsidRPr="000114E3">
              <w:rPr>
                <w:rFonts w:ascii="Calibri" w:eastAsia="Times New Roman" w:hAnsi="Calibri" w:cs="Calibri"/>
                <w:color w:val="000000"/>
                <w:sz w:val="20"/>
                <w:szCs w:val="20"/>
                <w:lang w:eastAsia="en-AU"/>
              </w:rPr>
              <w:t>%</w:t>
            </w:r>
          </w:p>
        </w:tc>
        <w:tc>
          <w:tcPr>
            <w:tcW w:w="959" w:type="dxa"/>
            <w:tcBorders>
              <w:top w:val="single" w:sz="4" w:space="0" w:color="auto"/>
              <w:left w:val="nil"/>
              <w:bottom w:val="single" w:sz="4" w:space="0" w:color="auto"/>
              <w:right w:val="nil"/>
            </w:tcBorders>
            <w:shd w:val="clear" w:color="auto" w:fill="D9D9D9" w:themeFill="background2" w:themeFillShade="D9"/>
            <w:noWrap/>
            <w:vAlign w:val="bottom"/>
            <w:hideMark/>
          </w:tcPr>
          <w:p w14:paraId="5AFFC4CB" w14:textId="77777777" w:rsidR="006B1B36" w:rsidRPr="000114E3" w:rsidRDefault="006B1B36"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12D983C" w14:textId="77777777" w:rsidR="006B1B36" w:rsidRPr="000114E3" w:rsidRDefault="006B1B36"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10%</w:t>
            </w:r>
          </w:p>
        </w:tc>
        <w:tc>
          <w:tcPr>
            <w:tcW w:w="968" w:type="dxa"/>
            <w:tcBorders>
              <w:top w:val="single" w:sz="4" w:space="0" w:color="auto"/>
              <w:left w:val="nil"/>
              <w:bottom w:val="single" w:sz="4" w:space="0" w:color="auto"/>
              <w:right w:val="nil"/>
            </w:tcBorders>
            <w:shd w:val="clear" w:color="auto" w:fill="auto"/>
            <w:noWrap/>
            <w:vAlign w:val="bottom"/>
            <w:hideMark/>
          </w:tcPr>
          <w:p w14:paraId="6D35EC44" w14:textId="0FD8BE30" w:rsidR="006B1B36" w:rsidRPr="000114E3" w:rsidRDefault="00BD76D2"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w:t>
            </w:r>
            <w:r w:rsidR="006B1B36" w:rsidRPr="000114E3">
              <w:rPr>
                <w:rFonts w:ascii="Calibri" w:eastAsia="Times New Roman" w:hAnsi="Calibri" w:cs="Calibri"/>
                <w:color w:val="000000"/>
                <w:sz w:val="20"/>
                <w:szCs w:val="20"/>
                <w:lang w:eastAsia="en-AU"/>
              </w:rPr>
              <w:t>%</w:t>
            </w:r>
          </w:p>
        </w:tc>
        <w:tc>
          <w:tcPr>
            <w:tcW w:w="976" w:type="dxa"/>
            <w:tcBorders>
              <w:top w:val="single" w:sz="4" w:space="0" w:color="auto"/>
              <w:left w:val="nil"/>
              <w:bottom w:val="single" w:sz="4" w:space="0" w:color="auto"/>
              <w:right w:val="nil"/>
            </w:tcBorders>
            <w:shd w:val="clear" w:color="auto" w:fill="D9D9D9" w:themeFill="background2" w:themeFillShade="D9"/>
            <w:noWrap/>
            <w:vAlign w:val="bottom"/>
            <w:hideMark/>
          </w:tcPr>
          <w:p w14:paraId="48B5EEEE" w14:textId="77777777" w:rsidR="006B1B36" w:rsidRPr="000114E3" w:rsidRDefault="006B1B36"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069BEE9D" w14:textId="77777777" w:rsidR="006B1B36" w:rsidRPr="000114E3" w:rsidRDefault="006B1B36"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10%</w:t>
            </w:r>
          </w:p>
        </w:tc>
      </w:tr>
      <w:tr w:rsidR="00BA4CDE" w:rsidRPr="000114E3" w14:paraId="4B03AA1C" w14:textId="77777777" w:rsidTr="00BA4CDE">
        <w:trPr>
          <w:trHeight w:val="300"/>
          <w:jc w:val="center"/>
        </w:trPr>
        <w:tc>
          <w:tcPr>
            <w:tcW w:w="1391" w:type="dxa"/>
            <w:tcBorders>
              <w:top w:val="nil"/>
              <w:left w:val="single" w:sz="4" w:space="0" w:color="auto"/>
              <w:bottom w:val="nil"/>
              <w:right w:val="nil"/>
            </w:tcBorders>
            <w:shd w:val="clear" w:color="auto" w:fill="auto"/>
            <w:noWrap/>
            <w:vAlign w:val="bottom"/>
            <w:hideMark/>
          </w:tcPr>
          <w:p w14:paraId="3BA16563" w14:textId="77777777" w:rsidR="00BA4CDE" w:rsidRPr="000114E3" w:rsidRDefault="00BA4CDE" w:rsidP="00BA4CDE">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2</w:t>
            </w:r>
          </w:p>
        </w:tc>
        <w:tc>
          <w:tcPr>
            <w:tcW w:w="969" w:type="dxa"/>
            <w:tcBorders>
              <w:top w:val="nil"/>
              <w:left w:val="single" w:sz="4" w:space="0" w:color="auto"/>
              <w:bottom w:val="nil"/>
              <w:right w:val="nil"/>
            </w:tcBorders>
            <w:shd w:val="clear" w:color="auto" w:fill="auto"/>
            <w:noWrap/>
            <w:vAlign w:val="bottom"/>
            <w:hideMark/>
          </w:tcPr>
          <w:p w14:paraId="39BB6779" w14:textId="6AA34BD7"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$47.2</w:t>
            </w:r>
          </w:p>
        </w:tc>
        <w:tc>
          <w:tcPr>
            <w:tcW w:w="959" w:type="dxa"/>
            <w:tcBorders>
              <w:top w:val="nil"/>
              <w:left w:val="nil"/>
              <w:bottom w:val="nil"/>
              <w:right w:val="nil"/>
            </w:tcBorders>
            <w:shd w:val="clear" w:color="auto" w:fill="D9D9D9" w:themeFill="background2" w:themeFillShade="D9"/>
            <w:noWrap/>
            <w:vAlign w:val="bottom"/>
            <w:hideMark/>
          </w:tcPr>
          <w:p w14:paraId="657D64FF" w14:textId="6D6B0EE1"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$28.7</w:t>
            </w:r>
          </w:p>
        </w:tc>
        <w:tc>
          <w:tcPr>
            <w:tcW w:w="968" w:type="dxa"/>
            <w:tcBorders>
              <w:top w:val="nil"/>
              <w:left w:val="nil"/>
              <w:bottom w:val="nil"/>
              <w:right w:val="single" w:sz="4" w:space="0" w:color="auto"/>
            </w:tcBorders>
            <w:shd w:val="clear" w:color="auto" w:fill="auto"/>
            <w:noWrap/>
            <w:vAlign w:val="bottom"/>
            <w:hideMark/>
          </w:tcPr>
          <w:p w14:paraId="169874E3" w14:textId="4C1F6619"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$20.5</w:t>
            </w:r>
          </w:p>
        </w:tc>
        <w:tc>
          <w:tcPr>
            <w:tcW w:w="968" w:type="dxa"/>
            <w:tcBorders>
              <w:top w:val="nil"/>
              <w:left w:val="nil"/>
              <w:bottom w:val="nil"/>
              <w:right w:val="nil"/>
            </w:tcBorders>
            <w:shd w:val="clear" w:color="auto" w:fill="auto"/>
            <w:noWrap/>
            <w:vAlign w:val="bottom"/>
            <w:hideMark/>
          </w:tcPr>
          <w:p w14:paraId="71C8F1AB" w14:textId="729A2A77"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9.7</w:t>
            </w:r>
          </w:p>
        </w:tc>
        <w:tc>
          <w:tcPr>
            <w:tcW w:w="976" w:type="dxa"/>
            <w:tcBorders>
              <w:top w:val="nil"/>
              <w:left w:val="nil"/>
              <w:bottom w:val="nil"/>
              <w:right w:val="nil"/>
            </w:tcBorders>
            <w:shd w:val="clear" w:color="auto" w:fill="D9D9D9" w:themeFill="background2" w:themeFillShade="D9"/>
            <w:noWrap/>
            <w:vAlign w:val="bottom"/>
            <w:hideMark/>
          </w:tcPr>
          <w:p w14:paraId="44EC18B8" w14:textId="2A1019AD"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8.5</w:t>
            </w:r>
          </w:p>
        </w:tc>
        <w:tc>
          <w:tcPr>
            <w:tcW w:w="968" w:type="dxa"/>
            <w:tcBorders>
              <w:top w:val="nil"/>
              <w:left w:val="nil"/>
              <w:bottom w:val="nil"/>
              <w:right w:val="single" w:sz="4" w:space="0" w:color="auto"/>
            </w:tcBorders>
            <w:shd w:val="clear" w:color="auto" w:fill="auto"/>
            <w:noWrap/>
            <w:vAlign w:val="bottom"/>
            <w:hideMark/>
          </w:tcPr>
          <w:p w14:paraId="307D1E64" w14:textId="499A2208"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7.8</w:t>
            </w:r>
          </w:p>
        </w:tc>
      </w:tr>
      <w:tr w:rsidR="00BA4CDE" w:rsidRPr="000114E3" w14:paraId="72A70E30" w14:textId="77777777" w:rsidTr="00BA4CDE">
        <w:trPr>
          <w:trHeight w:val="300"/>
          <w:jc w:val="center"/>
        </w:trPr>
        <w:tc>
          <w:tcPr>
            <w:tcW w:w="1391" w:type="dxa"/>
            <w:tcBorders>
              <w:top w:val="nil"/>
              <w:left w:val="single" w:sz="4" w:space="0" w:color="auto"/>
              <w:bottom w:val="nil"/>
              <w:right w:val="nil"/>
            </w:tcBorders>
            <w:shd w:val="clear" w:color="auto" w:fill="auto"/>
            <w:noWrap/>
            <w:vAlign w:val="bottom"/>
            <w:hideMark/>
          </w:tcPr>
          <w:p w14:paraId="66A1CE75" w14:textId="77777777" w:rsidR="00BA4CDE" w:rsidRPr="000114E3" w:rsidRDefault="00BA4CDE" w:rsidP="00BA4CDE">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3A</w:t>
            </w:r>
          </w:p>
        </w:tc>
        <w:tc>
          <w:tcPr>
            <w:tcW w:w="969" w:type="dxa"/>
            <w:tcBorders>
              <w:top w:val="nil"/>
              <w:left w:val="single" w:sz="4" w:space="0" w:color="auto"/>
              <w:bottom w:val="nil"/>
              <w:right w:val="nil"/>
            </w:tcBorders>
            <w:shd w:val="clear" w:color="auto" w:fill="auto"/>
            <w:noWrap/>
            <w:vAlign w:val="bottom"/>
            <w:hideMark/>
          </w:tcPr>
          <w:p w14:paraId="687A59FC" w14:textId="792493CE"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$47.3</w:t>
            </w:r>
          </w:p>
        </w:tc>
        <w:tc>
          <w:tcPr>
            <w:tcW w:w="959" w:type="dxa"/>
            <w:tcBorders>
              <w:top w:val="nil"/>
              <w:left w:val="nil"/>
              <w:bottom w:val="nil"/>
              <w:right w:val="nil"/>
            </w:tcBorders>
            <w:shd w:val="clear" w:color="auto" w:fill="D9D9D9" w:themeFill="background2" w:themeFillShade="D9"/>
            <w:noWrap/>
            <w:vAlign w:val="bottom"/>
            <w:hideMark/>
          </w:tcPr>
          <w:p w14:paraId="38DAFF93" w14:textId="4648B6F9"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$27.8</w:t>
            </w:r>
          </w:p>
        </w:tc>
        <w:tc>
          <w:tcPr>
            <w:tcW w:w="968" w:type="dxa"/>
            <w:tcBorders>
              <w:top w:val="nil"/>
              <w:left w:val="nil"/>
              <w:bottom w:val="nil"/>
              <w:right w:val="single" w:sz="4" w:space="0" w:color="auto"/>
            </w:tcBorders>
            <w:shd w:val="clear" w:color="auto" w:fill="auto"/>
            <w:noWrap/>
            <w:vAlign w:val="bottom"/>
            <w:hideMark/>
          </w:tcPr>
          <w:p w14:paraId="448B7AE0" w14:textId="13FA14B1"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$19.3</w:t>
            </w:r>
          </w:p>
        </w:tc>
        <w:tc>
          <w:tcPr>
            <w:tcW w:w="968" w:type="dxa"/>
            <w:tcBorders>
              <w:top w:val="nil"/>
              <w:left w:val="nil"/>
              <w:bottom w:val="nil"/>
              <w:right w:val="nil"/>
            </w:tcBorders>
            <w:shd w:val="clear" w:color="auto" w:fill="auto"/>
            <w:noWrap/>
            <w:vAlign w:val="bottom"/>
            <w:hideMark/>
          </w:tcPr>
          <w:p w14:paraId="35F5C05D" w14:textId="097C3042"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5.4</w:t>
            </w:r>
          </w:p>
        </w:tc>
        <w:tc>
          <w:tcPr>
            <w:tcW w:w="976" w:type="dxa"/>
            <w:tcBorders>
              <w:top w:val="nil"/>
              <w:left w:val="nil"/>
              <w:bottom w:val="nil"/>
              <w:right w:val="nil"/>
            </w:tcBorders>
            <w:shd w:val="clear" w:color="auto" w:fill="D9D9D9" w:themeFill="background2" w:themeFillShade="D9"/>
            <w:noWrap/>
            <w:vAlign w:val="bottom"/>
            <w:hideMark/>
          </w:tcPr>
          <w:p w14:paraId="2FE17339" w14:textId="3F7DB580"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4.7</w:t>
            </w:r>
          </w:p>
        </w:tc>
        <w:tc>
          <w:tcPr>
            <w:tcW w:w="968" w:type="dxa"/>
            <w:tcBorders>
              <w:top w:val="nil"/>
              <w:left w:val="nil"/>
              <w:bottom w:val="nil"/>
              <w:right w:val="single" w:sz="4" w:space="0" w:color="auto"/>
            </w:tcBorders>
            <w:shd w:val="clear" w:color="auto" w:fill="auto"/>
            <w:noWrap/>
            <w:vAlign w:val="bottom"/>
            <w:hideMark/>
          </w:tcPr>
          <w:p w14:paraId="770E1776" w14:textId="6BBC4F34"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4.3</w:t>
            </w:r>
          </w:p>
        </w:tc>
      </w:tr>
      <w:tr w:rsidR="00BA4CDE" w:rsidRPr="000114E3" w14:paraId="7502C29F" w14:textId="77777777" w:rsidTr="00BA4CDE">
        <w:trPr>
          <w:trHeight w:val="300"/>
          <w:jc w:val="center"/>
        </w:trPr>
        <w:tc>
          <w:tcPr>
            <w:tcW w:w="1391" w:type="dxa"/>
            <w:tcBorders>
              <w:top w:val="nil"/>
              <w:left w:val="single" w:sz="4" w:space="0" w:color="auto"/>
              <w:bottom w:val="nil"/>
              <w:right w:val="nil"/>
            </w:tcBorders>
            <w:shd w:val="clear" w:color="auto" w:fill="auto"/>
            <w:noWrap/>
            <w:vAlign w:val="bottom"/>
            <w:hideMark/>
          </w:tcPr>
          <w:p w14:paraId="0DD83F40" w14:textId="77777777" w:rsidR="00BA4CDE" w:rsidRPr="000114E3" w:rsidRDefault="00BA4CDE" w:rsidP="00BA4CDE">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3B</w:t>
            </w:r>
          </w:p>
        </w:tc>
        <w:tc>
          <w:tcPr>
            <w:tcW w:w="969" w:type="dxa"/>
            <w:tcBorders>
              <w:top w:val="nil"/>
              <w:left w:val="single" w:sz="4" w:space="0" w:color="auto"/>
              <w:bottom w:val="nil"/>
              <w:right w:val="nil"/>
            </w:tcBorders>
            <w:shd w:val="clear" w:color="auto" w:fill="auto"/>
            <w:noWrap/>
            <w:vAlign w:val="bottom"/>
            <w:hideMark/>
          </w:tcPr>
          <w:p w14:paraId="3BFF3ECF" w14:textId="14D37D24"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$50.0</w:t>
            </w:r>
          </w:p>
        </w:tc>
        <w:tc>
          <w:tcPr>
            <w:tcW w:w="959" w:type="dxa"/>
            <w:tcBorders>
              <w:top w:val="nil"/>
              <w:left w:val="nil"/>
              <w:bottom w:val="nil"/>
              <w:right w:val="nil"/>
            </w:tcBorders>
            <w:shd w:val="clear" w:color="auto" w:fill="D9D9D9" w:themeFill="background2" w:themeFillShade="D9"/>
            <w:noWrap/>
            <w:vAlign w:val="bottom"/>
            <w:hideMark/>
          </w:tcPr>
          <w:p w14:paraId="4A196CC1" w14:textId="649D2816"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$29.4</w:t>
            </w:r>
          </w:p>
        </w:tc>
        <w:tc>
          <w:tcPr>
            <w:tcW w:w="968" w:type="dxa"/>
            <w:tcBorders>
              <w:top w:val="nil"/>
              <w:left w:val="nil"/>
              <w:bottom w:val="nil"/>
              <w:right w:val="single" w:sz="4" w:space="0" w:color="auto"/>
            </w:tcBorders>
            <w:shd w:val="clear" w:color="auto" w:fill="auto"/>
            <w:noWrap/>
            <w:vAlign w:val="bottom"/>
            <w:hideMark/>
          </w:tcPr>
          <w:p w14:paraId="4C6E14FC" w14:textId="37208BC3"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$20.4</w:t>
            </w:r>
          </w:p>
        </w:tc>
        <w:tc>
          <w:tcPr>
            <w:tcW w:w="968" w:type="dxa"/>
            <w:tcBorders>
              <w:top w:val="nil"/>
              <w:left w:val="nil"/>
              <w:bottom w:val="nil"/>
              <w:right w:val="nil"/>
            </w:tcBorders>
            <w:shd w:val="clear" w:color="auto" w:fill="auto"/>
            <w:noWrap/>
            <w:vAlign w:val="bottom"/>
            <w:hideMark/>
          </w:tcPr>
          <w:p w14:paraId="3627DE77" w14:textId="3B7E5AF0"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5.2</w:t>
            </w:r>
          </w:p>
        </w:tc>
        <w:tc>
          <w:tcPr>
            <w:tcW w:w="976" w:type="dxa"/>
            <w:tcBorders>
              <w:top w:val="nil"/>
              <w:left w:val="nil"/>
              <w:bottom w:val="nil"/>
              <w:right w:val="nil"/>
            </w:tcBorders>
            <w:shd w:val="clear" w:color="auto" w:fill="D9D9D9" w:themeFill="background2" w:themeFillShade="D9"/>
            <w:noWrap/>
            <w:vAlign w:val="bottom"/>
            <w:hideMark/>
          </w:tcPr>
          <w:p w14:paraId="328E49AE" w14:textId="5CA215CE"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4.5</w:t>
            </w:r>
          </w:p>
        </w:tc>
        <w:tc>
          <w:tcPr>
            <w:tcW w:w="968" w:type="dxa"/>
            <w:tcBorders>
              <w:top w:val="nil"/>
              <w:left w:val="nil"/>
              <w:bottom w:val="nil"/>
              <w:right w:val="single" w:sz="4" w:space="0" w:color="auto"/>
            </w:tcBorders>
            <w:shd w:val="clear" w:color="auto" w:fill="auto"/>
            <w:noWrap/>
            <w:vAlign w:val="bottom"/>
            <w:hideMark/>
          </w:tcPr>
          <w:p w14:paraId="17AD78DF" w14:textId="07780F63"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4.1</w:t>
            </w:r>
          </w:p>
        </w:tc>
      </w:tr>
      <w:tr w:rsidR="00BA4CDE" w:rsidRPr="000114E3" w14:paraId="4DF76C49" w14:textId="77777777" w:rsidTr="00BA4CDE">
        <w:trPr>
          <w:trHeight w:val="300"/>
          <w:jc w:val="center"/>
        </w:trPr>
        <w:tc>
          <w:tcPr>
            <w:tcW w:w="1391" w:type="dxa"/>
            <w:tcBorders>
              <w:top w:val="nil"/>
              <w:left w:val="single" w:sz="4" w:space="0" w:color="auto"/>
              <w:bottom w:val="nil"/>
              <w:right w:val="nil"/>
            </w:tcBorders>
            <w:shd w:val="clear" w:color="auto" w:fill="auto"/>
            <w:noWrap/>
            <w:vAlign w:val="bottom"/>
            <w:hideMark/>
          </w:tcPr>
          <w:p w14:paraId="05F15623" w14:textId="77777777" w:rsidR="00BA4CDE" w:rsidRPr="000114E3" w:rsidRDefault="00BA4CDE" w:rsidP="00BA4CDE">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4A</w:t>
            </w:r>
          </w:p>
        </w:tc>
        <w:tc>
          <w:tcPr>
            <w:tcW w:w="969" w:type="dxa"/>
            <w:tcBorders>
              <w:top w:val="nil"/>
              <w:left w:val="single" w:sz="4" w:space="0" w:color="auto"/>
              <w:bottom w:val="nil"/>
              <w:right w:val="nil"/>
            </w:tcBorders>
            <w:shd w:val="clear" w:color="auto" w:fill="auto"/>
            <w:noWrap/>
            <w:vAlign w:val="bottom"/>
            <w:hideMark/>
          </w:tcPr>
          <w:p w14:paraId="1682204F" w14:textId="39362A78"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$89.8</w:t>
            </w:r>
          </w:p>
        </w:tc>
        <w:tc>
          <w:tcPr>
            <w:tcW w:w="959" w:type="dxa"/>
            <w:tcBorders>
              <w:top w:val="nil"/>
              <w:left w:val="nil"/>
              <w:bottom w:val="nil"/>
              <w:right w:val="nil"/>
            </w:tcBorders>
            <w:shd w:val="clear" w:color="auto" w:fill="D9D9D9" w:themeFill="background2" w:themeFillShade="D9"/>
            <w:noWrap/>
            <w:vAlign w:val="bottom"/>
            <w:hideMark/>
          </w:tcPr>
          <w:p w14:paraId="191E34E4" w14:textId="45B7632C"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$52.2</w:t>
            </w:r>
          </w:p>
        </w:tc>
        <w:tc>
          <w:tcPr>
            <w:tcW w:w="968" w:type="dxa"/>
            <w:tcBorders>
              <w:top w:val="nil"/>
              <w:left w:val="nil"/>
              <w:bottom w:val="nil"/>
              <w:right w:val="single" w:sz="4" w:space="0" w:color="auto"/>
            </w:tcBorders>
            <w:shd w:val="clear" w:color="auto" w:fill="auto"/>
            <w:noWrap/>
            <w:vAlign w:val="bottom"/>
            <w:hideMark/>
          </w:tcPr>
          <w:p w14:paraId="36DFDF87" w14:textId="50A648E1"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$35.9</w:t>
            </w:r>
          </w:p>
        </w:tc>
        <w:tc>
          <w:tcPr>
            <w:tcW w:w="968" w:type="dxa"/>
            <w:tcBorders>
              <w:top w:val="nil"/>
              <w:left w:val="nil"/>
              <w:bottom w:val="nil"/>
              <w:right w:val="nil"/>
            </w:tcBorders>
            <w:shd w:val="clear" w:color="auto" w:fill="auto"/>
            <w:noWrap/>
            <w:vAlign w:val="bottom"/>
            <w:hideMark/>
          </w:tcPr>
          <w:p w14:paraId="458F0992" w14:textId="30C905C5"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4.4</w:t>
            </w:r>
          </w:p>
        </w:tc>
        <w:tc>
          <w:tcPr>
            <w:tcW w:w="976" w:type="dxa"/>
            <w:tcBorders>
              <w:top w:val="nil"/>
              <w:left w:val="nil"/>
              <w:bottom w:val="nil"/>
              <w:right w:val="nil"/>
            </w:tcBorders>
            <w:shd w:val="clear" w:color="auto" w:fill="D9D9D9" w:themeFill="background2" w:themeFillShade="D9"/>
            <w:noWrap/>
            <w:vAlign w:val="bottom"/>
            <w:hideMark/>
          </w:tcPr>
          <w:p w14:paraId="1B6F037A" w14:textId="31948052"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3.9</w:t>
            </w:r>
          </w:p>
        </w:tc>
        <w:tc>
          <w:tcPr>
            <w:tcW w:w="968" w:type="dxa"/>
            <w:tcBorders>
              <w:top w:val="nil"/>
              <w:left w:val="nil"/>
              <w:bottom w:val="nil"/>
              <w:right w:val="single" w:sz="4" w:space="0" w:color="auto"/>
            </w:tcBorders>
            <w:shd w:val="clear" w:color="auto" w:fill="auto"/>
            <w:noWrap/>
            <w:vAlign w:val="bottom"/>
            <w:hideMark/>
          </w:tcPr>
          <w:p w14:paraId="0CE52635" w14:textId="3E2F6D8F"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3.6</w:t>
            </w:r>
          </w:p>
        </w:tc>
      </w:tr>
      <w:tr w:rsidR="00BA4CDE" w:rsidRPr="000114E3" w14:paraId="25873028" w14:textId="77777777" w:rsidTr="00BA4CDE">
        <w:trPr>
          <w:trHeight w:val="300"/>
          <w:jc w:val="center"/>
        </w:trPr>
        <w:tc>
          <w:tcPr>
            <w:tcW w:w="1391" w:type="dxa"/>
            <w:tcBorders>
              <w:top w:val="nil"/>
              <w:left w:val="single" w:sz="4" w:space="0" w:color="auto"/>
              <w:bottom w:val="single" w:sz="4" w:space="0" w:color="auto"/>
              <w:right w:val="nil"/>
            </w:tcBorders>
            <w:shd w:val="clear" w:color="auto" w:fill="auto"/>
            <w:noWrap/>
            <w:vAlign w:val="bottom"/>
            <w:hideMark/>
          </w:tcPr>
          <w:p w14:paraId="28020CBB" w14:textId="77777777" w:rsidR="00BA4CDE" w:rsidRPr="000114E3" w:rsidRDefault="00BA4CDE" w:rsidP="00BA4CDE">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4B</w:t>
            </w:r>
          </w:p>
        </w:tc>
        <w:tc>
          <w:tcPr>
            <w:tcW w:w="969" w:type="dxa"/>
            <w:tcBorders>
              <w:top w:val="nil"/>
              <w:left w:val="single" w:sz="4" w:space="0" w:color="auto"/>
              <w:bottom w:val="single" w:sz="4" w:space="0" w:color="auto"/>
              <w:right w:val="nil"/>
            </w:tcBorders>
            <w:shd w:val="clear" w:color="auto" w:fill="auto"/>
            <w:noWrap/>
            <w:vAlign w:val="bottom"/>
            <w:hideMark/>
          </w:tcPr>
          <w:p w14:paraId="71AF1E19" w14:textId="34CD8EDA"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$80.9</w:t>
            </w:r>
          </w:p>
        </w:tc>
        <w:tc>
          <w:tcPr>
            <w:tcW w:w="959" w:type="dxa"/>
            <w:tcBorders>
              <w:top w:val="nil"/>
              <w:left w:val="nil"/>
              <w:bottom w:val="single" w:sz="4" w:space="0" w:color="auto"/>
              <w:right w:val="nil"/>
            </w:tcBorders>
            <w:shd w:val="clear" w:color="auto" w:fill="D9D9D9" w:themeFill="background2" w:themeFillShade="D9"/>
            <w:noWrap/>
            <w:vAlign w:val="bottom"/>
            <w:hideMark/>
          </w:tcPr>
          <w:p w14:paraId="66229FD0" w14:textId="6425CA3C"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$47.4</w:t>
            </w:r>
          </w:p>
        </w:tc>
        <w:tc>
          <w:tcPr>
            <w:tcW w:w="968" w:type="dxa"/>
            <w:tcBorders>
              <w:top w:val="nil"/>
              <w:left w:val="nil"/>
              <w:bottom w:val="single" w:sz="4" w:space="0" w:color="auto"/>
              <w:right w:val="single" w:sz="4" w:space="0" w:color="auto"/>
            </w:tcBorders>
            <w:shd w:val="clear" w:color="auto" w:fill="auto"/>
            <w:noWrap/>
            <w:vAlign w:val="bottom"/>
            <w:hideMark/>
          </w:tcPr>
          <w:p w14:paraId="5959DCC8" w14:textId="70CE513A"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$32.8</w:t>
            </w:r>
          </w:p>
        </w:tc>
        <w:tc>
          <w:tcPr>
            <w:tcW w:w="968" w:type="dxa"/>
            <w:tcBorders>
              <w:top w:val="nil"/>
              <w:left w:val="nil"/>
              <w:bottom w:val="single" w:sz="4" w:space="0" w:color="auto"/>
              <w:right w:val="nil"/>
            </w:tcBorders>
            <w:shd w:val="clear" w:color="auto" w:fill="auto"/>
            <w:noWrap/>
            <w:vAlign w:val="bottom"/>
            <w:hideMark/>
          </w:tcPr>
          <w:p w14:paraId="6777C5E9" w14:textId="786EAA32"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4.5</w:t>
            </w:r>
          </w:p>
        </w:tc>
        <w:tc>
          <w:tcPr>
            <w:tcW w:w="976" w:type="dxa"/>
            <w:tcBorders>
              <w:top w:val="nil"/>
              <w:left w:val="nil"/>
              <w:bottom w:val="single" w:sz="4" w:space="0" w:color="auto"/>
              <w:right w:val="nil"/>
            </w:tcBorders>
            <w:shd w:val="clear" w:color="auto" w:fill="D9D9D9" w:themeFill="background2" w:themeFillShade="D9"/>
            <w:noWrap/>
            <w:vAlign w:val="bottom"/>
            <w:hideMark/>
          </w:tcPr>
          <w:p w14:paraId="78F07301" w14:textId="15DF79BA"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4.0</w:t>
            </w:r>
          </w:p>
        </w:tc>
        <w:tc>
          <w:tcPr>
            <w:tcW w:w="968" w:type="dxa"/>
            <w:tcBorders>
              <w:top w:val="nil"/>
              <w:left w:val="nil"/>
              <w:bottom w:val="single" w:sz="4" w:space="0" w:color="auto"/>
              <w:right w:val="single" w:sz="4" w:space="0" w:color="auto"/>
            </w:tcBorders>
            <w:shd w:val="clear" w:color="auto" w:fill="auto"/>
            <w:noWrap/>
            <w:vAlign w:val="bottom"/>
            <w:hideMark/>
          </w:tcPr>
          <w:p w14:paraId="3B78D4C4" w14:textId="70041389" w:rsidR="00BA4CDE" w:rsidRPr="000114E3" w:rsidRDefault="00BA4CDE" w:rsidP="00BA4CDE">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3.7</w:t>
            </w:r>
          </w:p>
        </w:tc>
      </w:tr>
    </w:tbl>
    <w:p w14:paraId="4DA2031A" w14:textId="0B624D52" w:rsidR="006B1B36" w:rsidRDefault="006B1B36" w:rsidP="006B1B36"/>
    <w:p w14:paraId="553CFEF5" w14:textId="419C0CC1" w:rsidR="00C77765" w:rsidRDefault="00C77765" w:rsidP="006B1B36">
      <w:r>
        <w:t>Another significant uncertainty is the value of cooling water savings. If water-cooled CIMs become more water</w:t>
      </w:r>
      <w:r w:rsidR="00A17AE2">
        <w:t xml:space="preserve"> </w:t>
      </w:r>
      <w:r>
        <w:t>efficient in their cooling water use, but all of their cooling water is effective</w:t>
      </w:r>
      <w:r w:rsidR="005D60BB">
        <w:t>ly</w:t>
      </w:r>
      <w:r>
        <w:t xml:space="preserve"> zero cost because it is recycled or obtained free from a non-potable supply, the value of cooling water savings would approach zero. Water-cooled CIMS would also be subject to measures aimed at improving their potable water use, so they </w:t>
      </w:r>
      <w:r w:rsidR="00BD76D2">
        <w:t xml:space="preserve">would still be expected to </w:t>
      </w:r>
      <w:r>
        <w:t>return some water savings.</w:t>
      </w:r>
    </w:p>
    <w:p w14:paraId="12C819EF" w14:textId="7E31F5F9" w:rsidR="00C77765" w:rsidRDefault="00C77765" w:rsidP="006B1B36">
      <w:r>
        <w:fldChar w:fldCharType="begin"/>
      </w:r>
      <w:r>
        <w:instrText xml:space="preserve"> REF _Ref189750565 \h </w:instrText>
      </w:r>
      <w:r>
        <w:fldChar w:fldCharType="separate"/>
      </w:r>
      <w:r w:rsidR="002271EC">
        <w:t xml:space="preserve">Table </w:t>
      </w:r>
      <w:r w:rsidR="002271EC">
        <w:rPr>
          <w:noProof/>
        </w:rPr>
        <w:t>10</w:t>
      </w:r>
      <w:r>
        <w:fldChar w:fldCharType="end"/>
      </w:r>
      <w:r>
        <w:t xml:space="preserve"> indicates the sensitivity of the findings to assumptions about the rate of cooling water reuse. The central assumption</w:t>
      </w:r>
      <w:r w:rsidR="00DF1D65">
        <w:t xml:space="preserve">, based on industry information, </w:t>
      </w:r>
      <w:r>
        <w:t>is that</w:t>
      </w:r>
      <w:r w:rsidR="00C90AEC">
        <w:t>:</w:t>
      </w:r>
    </w:p>
    <w:p w14:paraId="6F627430" w14:textId="37373281" w:rsidR="00C77765" w:rsidRPr="00DC5884" w:rsidRDefault="00C77765"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80% of </w:t>
      </w:r>
      <w:r w:rsidR="00A24C27" w:rsidRPr="00DC5884">
        <w:rPr>
          <w:rFonts w:eastAsia="Calibri" w:cs="Times New Roman"/>
          <w:szCs w:val="22"/>
        </w:rPr>
        <w:t xml:space="preserve">water-cooled </w:t>
      </w:r>
      <w:r w:rsidRPr="00DC5884">
        <w:rPr>
          <w:rFonts w:eastAsia="Calibri" w:cs="Times New Roman"/>
          <w:szCs w:val="22"/>
        </w:rPr>
        <w:t>ice maker head (IMH) units will be connected to water recirculation circuits, so only 20% will use single-pass cooling water supplied from the mains; and</w:t>
      </w:r>
    </w:p>
    <w:p w14:paraId="3B42D110" w14:textId="5B9942F9" w:rsidR="006B1B36" w:rsidRPr="00DC5884" w:rsidRDefault="00C77765"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70% of self-contained (SCU) units will be connected to water recirculation circuits, so only 30% will use single-pass cooling water supplied from the mains</w:t>
      </w:r>
      <w:r w:rsidR="00A24C27" w:rsidRPr="00DC5884">
        <w:rPr>
          <w:rFonts w:eastAsia="Calibri" w:cs="Times New Roman"/>
          <w:szCs w:val="22"/>
        </w:rPr>
        <w:t xml:space="preserve">. As the average SCU </w:t>
      </w:r>
      <w:r w:rsidR="00A24C27" w:rsidRPr="00DC5884">
        <w:rPr>
          <w:rFonts w:eastAsia="Calibri" w:cs="Times New Roman"/>
          <w:szCs w:val="22"/>
        </w:rPr>
        <w:lastRenderedPageBreak/>
        <w:t>produces much less ice than the average IMH, purchasers will be less concerned about high water use.</w:t>
      </w:r>
    </w:p>
    <w:p w14:paraId="7A771ABF" w14:textId="6D00DBEE" w:rsidR="006B1B36" w:rsidRDefault="00A24C27" w:rsidP="006B1B36">
      <w:r>
        <w:t>This combination is called the 75% reuse scenario</w:t>
      </w:r>
      <w:r w:rsidR="002D4393">
        <w:t>, being</w:t>
      </w:r>
      <w:r>
        <w:t xml:space="preserve"> the average of 80% </w:t>
      </w:r>
      <w:r w:rsidR="00C90AEC">
        <w:t xml:space="preserve">for IMH and </w:t>
      </w:r>
      <w:r>
        <w:t>70%</w:t>
      </w:r>
      <w:r w:rsidR="00C90AEC">
        <w:t xml:space="preserve"> for SCU</w:t>
      </w:r>
      <w:r>
        <w:t xml:space="preserve">. </w:t>
      </w:r>
      <w:r w:rsidR="002D4393">
        <w:t xml:space="preserve">Additional scenarios have also been modelled - </w:t>
      </w:r>
      <w:r>
        <w:t>65% reuse (70/60), 85% reuse (</w:t>
      </w:r>
      <w:r w:rsidR="00C90AEC">
        <w:t xml:space="preserve">90/80) and 100% reuse (100/100). The results are presented in </w:t>
      </w:r>
      <w:r w:rsidR="00C90AEC">
        <w:fldChar w:fldCharType="begin"/>
      </w:r>
      <w:r w:rsidR="00C90AEC">
        <w:instrText xml:space="preserve"> REF _Ref189750565 \h </w:instrText>
      </w:r>
      <w:r w:rsidR="00C90AEC">
        <w:fldChar w:fldCharType="separate"/>
      </w:r>
      <w:r w:rsidR="002271EC">
        <w:t xml:space="preserve">Table </w:t>
      </w:r>
      <w:r w:rsidR="002271EC">
        <w:rPr>
          <w:noProof/>
        </w:rPr>
        <w:t>10</w:t>
      </w:r>
      <w:r w:rsidR="00C90AEC">
        <w:fldChar w:fldCharType="end"/>
      </w:r>
      <w:r w:rsidR="00C90AEC">
        <w:t>.</w:t>
      </w:r>
    </w:p>
    <w:p w14:paraId="58E570F7" w14:textId="3D61BC50" w:rsidR="00C90AEC" w:rsidRDefault="00C90AEC" w:rsidP="006B1B36">
      <w:r>
        <w:t>The higher the cooling water reuse rate</w:t>
      </w:r>
      <w:r w:rsidR="002D4393">
        <w:t>,</w:t>
      </w:r>
      <w:r>
        <w:t xml:space="preserve"> the less the total value of mains water and wastewater saved</w:t>
      </w:r>
      <w:r w:rsidR="002D4393">
        <w:t>. However</w:t>
      </w:r>
      <w:r>
        <w:t xml:space="preserve">, </w:t>
      </w:r>
      <w:r w:rsidR="002D4393">
        <w:t>as</w:t>
      </w:r>
      <w:r>
        <w:t xml:space="preserve"> program costs </w:t>
      </w:r>
      <w:r w:rsidR="002D4393">
        <w:t>remain</w:t>
      </w:r>
      <w:r>
        <w:t xml:space="preserve"> the same</w:t>
      </w:r>
      <w:r w:rsidR="002D4393">
        <w:t>,</w:t>
      </w:r>
      <w:r>
        <w:t xml:space="preserve"> the B/C ratio falls. At 100% reuse the B/C ratio</w:t>
      </w:r>
      <w:r w:rsidR="00DF1D65">
        <w:t>s for all options are still greater than 1, indicating that all options are cost-effective even under the least favourable assumptions.</w:t>
      </w:r>
    </w:p>
    <w:p w14:paraId="53931105" w14:textId="57641BB9" w:rsidR="006B1B36" w:rsidRPr="006B1B36" w:rsidRDefault="006B1B36" w:rsidP="006B1B36">
      <w:pPr>
        <w:pStyle w:val="Caption"/>
        <w:jc w:val="center"/>
      </w:pPr>
      <w:bookmarkStart w:id="103" w:name="_Ref189750565"/>
      <w:bookmarkStart w:id="104" w:name="_Toc196745452"/>
      <w:r>
        <w:t xml:space="preserve">Table </w:t>
      </w:r>
      <w:r w:rsidR="0042496D">
        <w:fldChar w:fldCharType="begin"/>
      </w:r>
      <w:r w:rsidR="0042496D">
        <w:instrText xml:space="preserve"> SEQ Table \* ARABIC </w:instrText>
      </w:r>
      <w:r w:rsidR="0042496D">
        <w:fldChar w:fldCharType="separate"/>
      </w:r>
      <w:r w:rsidR="002271EC">
        <w:rPr>
          <w:noProof/>
        </w:rPr>
        <w:t>10</w:t>
      </w:r>
      <w:r w:rsidR="0042496D">
        <w:rPr>
          <w:noProof/>
        </w:rPr>
        <w:fldChar w:fldCharType="end"/>
      </w:r>
      <w:bookmarkEnd w:id="103"/>
      <w:r>
        <w:t xml:space="preserve"> sensitivity to cooling water reuse assumptions</w:t>
      </w:r>
      <w:bookmarkEnd w:id="104"/>
    </w:p>
    <w:tbl>
      <w:tblPr>
        <w:tblW w:w="9151" w:type="dxa"/>
        <w:jc w:val="center"/>
        <w:tblLook w:val="04A0" w:firstRow="1" w:lastRow="0" w:firstColumn="1" w:lastColumn="0" w:noHBand="0" w:noVBand="1"/>
      </w:tblPr>
      <w:tblGrid>
        <w:gridCol w:w="1391"/>
        <w:gridCol w:w="969"/>
        <w:gridCol w:w="959"/>
        <w:gridCol w:w="976"/>
        <w:gridCol w:w="968"/>
        <w:gridCol w:w="968"/>
        <w:gridCol w:w="976"/>
        <w:gridCol w:w="976"/>
        <w:gridCol w:w="968"/>
      </w:tblGrid>
      <w:tr w:rsidR="006B1B36" w:rsidRPr="000114E3" w14:paraId="6B373A06" w14:textId="77777777" w:rsidTr="006B1B36">
        <w:trPr>
          <w:trHeight w:val="300"/>
          <w:jc w:val="center"/>
        </w:trPr>
        <w:tc>
          <w:tcPr>
            <w:tcW w:w="1391" w:type="dxa"/>
            <w:tcBorders>
              <w:top w:val="single" w:sz="4" w:space="0" w:color="auto"/>
              <w:left w:val="single" w:sz="4" w:space="0" w:color="auto"/>
              <w:bottom w:val="nil"/>
              <w:right w:val="nil"/>
            </w:tcBorders>
            <w:shd w:val="clear" w:color="auto" w:fill="auto"/>
            <w:noWrap/>
            <w:vAlign w:val="bottom"/>
            <w:hideMark/>
          </w:tcPr>
          <w:p w14:paraId="769534DA" w14:textId="28E9493D" w:rsidR="006B1B36" w:rsidRPr="000114E3" w:rsidRDefault="006B1B36" w:rsidP="006B1B36">
            <w:pPr>
              <w:spacing w:after="0" w:line="240" w:lineRule="auto"/>
              <w:jc w:val="center"/>
              <w:rPr>
                <w:rFonts w:ascii="Calibri" w:eastAsia="Times New Roman" w:hAnsi="Calibri" w:cs="Calibri"/>
                <w:color w:val="000000"/>
                <w:sz w:val="20"/>
                <w:szCs w:val="20"/>
                <w:lang w:eastAsia="en-AU"/>
              </w:rPr>
            </w:pPr>
          </w:p>
        </w:tc>
        <w:tc>
          <w:tcPr>
            <w:tcW w:w="3872" w:type="dxa"/>
            <w:gridSpan w:val="4"/>
            <w:tcBorders>
              <w:top w:val="single" w:sz="4" w:space="0" w:color="auto"/>
              <w:left w:val="single" w:sz="4" w:space="0" w:color="auto"/>
              <w:bottom w:val="nil"/>
              <w:right w:val="nil"/>
            </w:tcBorders>
            <w:shd w:val="clear" w:color="auto" w:fill="auto"/>
            <w:noWrap/>
            <w:vAlign w:val="bottom"/>
            <w:hideMark/>
          </w:tcPr>
          <w:p w14:paraId="400A1D09" w14:textId="18AB6328" w:rsidR="006B1B36" w:rsidRPr="000114E3" w:rsidRDefault="006B1B36" w:rsidP="006B1B3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 NPV at 7% discount rate, at</w:t>
            </w:r>
            <w:r w:rsidRPr="000114E3">
              <w:rPr>
                <w:rFonts w:ascii="Calibri" w:eastAsia="Times New Roman" w:hAnsi="Calibri" w:cs="Calibri"/>
                <w:color w:val="000000"/>
                <w:sz w:val="20"/>
                <w:szCs w:val="20"/>
                <w:lang w:eastAsia="en-AU"/>
              </w:rPr>
              <w:br/>
              <w:t>various levels of cooling water reuse</w:t>
            </w:r>
          </w:p>
        </w:tc>
        <w:tc>
          <w:tcPr>
            <w:tcW w:w="3888" w:type="dxa"/>
            <w:gridSpan w:val="4"/>
            <w:tcBorders>
              <w:top w:val="single" w:sz="4" w:space="0" w:color="auto"/>
              <w:left w:val="single" w:sz="4" w:space="0" w:color="auto"/>
              <w:bottom w:val="nil"/>
              <w:right w:val="single" w:sz="4" w:space="0" w:color="auto"/>
            </w:tcBorders>
            <w:shd w:val="clear" w:color="auto" w:fill="auto"/>
            <w:noWrap/>
            <w:vAlign w:val="bottom"/>
            <w:hideMark/>
          </w:tcPr>
          <w:p w14:paraId="20189C77" w14:textId="0207BFA4" w:rsidR="006B1B36" w:rsidRPr="000114E3" w:rsidRDefault="006B1B36" w:rsidP="006B1B3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B/C ratio at</w:t>
            </w:r>
            <w:r w:rsidRPr="000114E3">
              <w:rPr>
                <w:rFonts w:ascii="Calibri" w:eastAsia="Times New Roman" w:hAnsi="Calibri" w:cs="Calibri"/>
                <w:color w:val="000000"/>
                <w:sz w:val="20"/>
                <w:szCs w:val="20"/>
                <w:lang w:eastAsia="en-AU"/>
              </w:rPr>
              <w:br/>
              <w:t>various levels of cooling water reuse</w:t>
            </w:r>
          </w:p>
        </w:tc>
      </w:tr>
      <w:tr w:rsidR="006B1B36" w:rsidRPr="000114E3" w14:paraId="63624D75" w14:textId="77777777" w:rsidTr="00407710">
        <w:trPr>
          <w:trHeight w:val="300"/>
          <w:jc w:val="center"/>
        </w:trPr>
        <w:tc>
          <w:tcPr>
            <w:tcW w:w="1391" w:type="dxa"/>
            <w:tcBorders>
              <w:top w:val="single" w:sz="4" w:space="0" w:color="auto"/>
              <w:left w:val="single" w:sz="4" w:space="0" w:color="auto"/>
              <w:bottom w:val="single" w:sz="4" w:space="0" w:color="auto"/>
              <w:right w:val="nil"/>
            </w:tcBorders>
            <w:shd w:val="clear" w:color="auto" w:fill="auto"/>
            <w:noWrap/>
            <w:vAlign w:val="bottom"/>
            <w:hideMark/>
          </w:tcPr>
          <w:p w14:paraId="40B9EC3E" w14:textId="77777777" w:rsidR="006B1B36" w:rsidRPr="000114E3" w:rsidRDefault="006B1B36" w:rsidP="006B1B36">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969" w:type="dxa"/>
            <w:tcBorders>
              <w:top w:val="single" w:sz="4" w:space="0" w:color="auto"/>
              <w:left w:val="single" w:sz="4" w:space="0" w:color="auto"/>
              <w:bottom w:val="nil"/>
              <w:right w:val="nil"/>
            </w:tcBorders>
            <w:shd w:val="clear" w:color="auto" w:fill="auto"/>
            <w:noWrap/>
            <w:vAlign w:val="bottom"/>
            <w:hideMark/>
          </w:tcPr>
          <w:p w14:paraId="37A8EE4D" w14:textId="77777777" w:rsidR="006B1B36" w:rsidRPr="000114E3" w:rsidRDefault="006B1B36"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65%</w:t>
            </w:r>
          </w:p>
        </w:tc>
        <w:tc>
          <w:tcPr>
            <w:tcW w:w="959" w:type="dxa"/>
            <w:tcBorders>
              <w:top w:val="single" w:sz="4" w:space="0" w:color="auto"/>
              <w:left w:val="nil"/>
              <w:bottom w:val="nil"/>
              <w:right w:val="nil"/>
            </w:tcBorders>
            <w:shd w:val="clear" w:color="auto" w:fill="D9D9D9" w:themeFill="background2" w:themeFillShade="D9"/>
            <w:noWrap/>
            <w:vAlign w:val="bottom"/>
            <w:hideMark/>
          </w:tcPr>
          <w:p w14:paraId="66CAC966" w14:textId="77777777" w:rsidR="006B1B36" w:rsidRPr="000114E3" w:rsidRDefault="006B1B36"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75%</w:t>
            </w:r>
          </w:p>
        </w:tc>
        <w:tc>
          <w:tcPr>
            <w:tcW w:w="976" w:type="dxa"/>
            <w:tcBorders>
              <w:top w:val="single" w:sz="4" w:space="0" w:color="auto"/>
              <w:left w:val="nil"/>
              <w:bottom w:val="nil"/>
              <w:right w:val="nil"/>
            </w:tcBorders>
            <w:shd w:val="clear" w:color="auto" w:fill="auto"/>
            <w:noWrap/>
            <w:vAlign w:val="bottom"/>
            <w:hideMark/>
          </w:tcPr>
          <w:p w14:paraId="0C9D4E8F" w14:textId="77777777" w:rsidR="006B1B36" w:rsidRPr="000114E3" w:rsidRDefault="006B1B36"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85%</w:t>
            </w:r>
          </w:p>
        </w:tc>
        <w:tc>
          <w:tcPr>
            <w:tcW w:w="968" w:type="dxa"/>
            <w:tcBorders>
              <w:top w:val="single" w:sz="4" w:space="0" w:color="auto"/>
              <w:left w:val="nil"/>
              <w:bottom w:val="nil"/>
              <w:right w:val="nil"/>
            </w:tcBorders>
            <w:shd w:val="clear" w:color="auto" w:fill="auto"/>
            <w:noWrap/>
            <w:vAlign w:val="bottom"/>
            <w:hideMark/>
          </w:tcPr>
          <w:p w14:paraId="09DB8B22" w14:textId="77777777" w:rsidR="006B1B36" w:rsidRPr="000114E3" w:rsidRDefault="006B1B36"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100%</w:t>
            </w:r>
          </w:p>
        </w:tc>
        <w:tc>
          <w:tcPr>
            <w:tcW w:w="968" w:type="dxa"/>
            <w:tcBorders>
              <w:top w:val="single" w:sz="4" w:space="0" w:color="auto"/>
              <w:left w:val="single" w:sz="4" w:space="0" w:color="auto"/>
              <w:bottom w:val="nil"/>
              <w:right w:val="nil"/>
            </w:tcBorders>
            <w:shd w:val="clear" w:color="auto" w:fill="auto"/>
            <w:noWrap/>
            <w:vAlign w:val="bottom"/>
            <w:hideMark/>
          </w:tcPr>
          <w:p w14:paraId="46756042" w14:textId="77777777" w:rsidR="006B1B36" w:rsidRPr="000114E3" w:rsidRDefault="006B1B36"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65%</w:t>
            </w:r>
          </w:p>
        </w:tc>
        <w:tc>
          <w:tcPr>
            <w:tcW w:w="976" w:type="dxa"/>
            <w:tcBorders>
              <w:top w:val="single" w:sz="4" w:space="0" w:color="auto"/>
              <w:left w:val="nil"/>
              <w:bottom w:val="nil"/>
              <w:right w:val="nil"/>
            </w:tcBorders>
            <w:shd w:val="clear" w:color="auto" w:fill="D9D9D9" w:themeFill="background2" w:themeFillShade="D9"/>
            <w:noWrap/>
            <w:vAlign w:val="bottom"/>
            <w:hideMark/>
          </w:tcPr>
          <w:p w14:paraId="1FFA93B4" w14:textId="77777777" w:rsidR="006B1B36" w:rsidRPr="000114E3" w:rsidRDefault="006B1B36"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75%</w:t>
            </w:r>
          </w:p>
        </w:tc>
        <w:tc>
          <w:tcPr>
            <w:tcW w:w="976" w:type="dxa"/>
            <w:tcBorders>
              <w:top w:val="single" w:sz="4" w:space="0" w:color="auto"/>
              <w:left w:val="nil"/>
              <w:bottom w:val="nil"/>
              <w:right w:val="nil"/>
            </w:tcBorders>
            <w:shd w:val="clear" w:color="auto" w:fill="auto"/>
            <w:noWrap/>
            <w:vAlign w:val="bottom"/>
            <w:hideMark/>
          </w:tcPr>
          <w:p w14:paraId="6B011E0E" w14:textId="77777777" w:rsidR="006B1B36" w:rsidRPr="000114E3" w:rsidRDefault="006B1B36"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85%</w:t>
            </w:r>
          </w:p>
        </w:tc>
        <w:tc>
          <w:tcPr>
            <w:tcW w:w="968" w:type="dxa"/>
            <w:tcBorders>
              <w:top w:val="single" w:sz="4" w:space="0" w:color="auto"/>
              <w:left w:val="nil"/>
              <w:bottom w:val="nil"/>
              <w:right w:val="single" w:sz="4" w:space="0" w:color="auto"/>
            </w:tcBorders>
            <w:shd w:val="clear" w:color="auto" w:fill="auto"/>
            <w:noWrap/>
            <w:vAlign w:val="bottom"/>
            <w:hideMark/>
          </w:tcPr>
          <w:p w14:paraId="24EAEBBC" w14:textId="77777777" w:rsidR="006B1B36" w:rsidRPr="000114E3" w:rsidRDefault="006B1B36" w:rsidP="006B1B3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100%</w:t>
            </w:r>
          </w:p>
        </w:tc>
      </w:tr>
      <w:tr w:rsidR="00DF1D65" w:rsidRPr="000114E3" w14:paraId="34652141" w14:textId="77777777" w:rsidTr="00DF1D65">
        <w:trPr>
          <w:trHeight w:val="300"/>
          <w:jc w:val="center"/>
        </w:trPr>
        <w:tc>
          <w:tcPr>
            <w:tcW w:w="1391" w:type="dxa"/>
            <w:tcBorders>
              <w:top w:val="nil"/>
              <w:left w:val="single" w:sz="4" w:space="0" w:color="auto"/>
              <w:bottom w:val="nil"/>
              <w:right w:val="nil"/>
            </w:tcBorders>
            <w:shd w:val="clear" w:color="auto" w:fill="auto"/>
            <w:noWrap/>
            <w:vAlign w:val="bottom"/>
            <w:hideMark/>
          </w:tcPr>
          <w:p w14:paraId="4D426A41" w14:textId="77777777" w:rsidR="00DF1D65" w:rsidRPr="000114E3" w:rsidRDefault="00DF1D65" w:rsidP="00DF1D65">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2</w:t>
            </w:r>
          </w:p>
        </w:tc>
        <w:tc>
          <w:tcPr>
            <w:tcW w:w="969" w:type="dxa"/>
            <w:tcBorders>
              <w:top w:val="single" w:sz="4" w:space="0" w:color="auto"/>
              <w:left w:val="single" w:sz="4" w:space="0" w:color="auto"/>
              <w:bottom w:val="nil"/>
              <w:right w:val="nil"/>
            </w:tcBorders>
            <w:shd w:val="clear" w:color="auto" w:fill="auto"/>
            <w:noWrap/>
            <w:vAlign w:val="bottom"/>
            <w:hideMark/>
          </w:tcPr>
          <w:p w14:paraId="07F316E9" w14:textId="492DDA30"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$40.0</w:t>
            </w:r>
          </w:p>
        </w:tc>
        <w:tc>
          <w:tcPr>
            <w:tcW w:w="959" w:type="dxa"/>
            <w:tcBorders>
              <w:top w:val="single" w:sz="4" w:space="0" w:color="auto"/>
              <w:left w:val="nil"/>
              <w:bottom w:val="nil"/>
              <w:right w:val="nil"/>
            </w:tcBorders>
            <w:shd w:val="clear" w:color="auto" w:fill="D9D9D9" w:themeFill="background2" w:themeFillShade="D9"/>
            <w:noWrap/>
            <w:vAlign w:val="bottom"/>
            <w:hideMark/>
          </w:tcPr>
          <w:p w14:paraId="13C28D36" w14:textId="5FB4614F"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$28.7</w:t>
            </w:r>
          </w:p>
        </w:tc>
        <w:tc>
          <w:tcPr>
            <w:tcW w:w="976" w:type="dxa"/>
            <w:tcBorders>
              <w:top w:val="single" w:sz="4" w:space="0" w:color="auto"/>
              <w:left w:val="nil"/>
              <w:bottom w:val="nil"/>
              <w:right w:val="nil"/>
            </w:tcBorders>
            <w:shd w:val="clear" w:color="auto" w:fill="auto"/>
            <w:noWrap/>
            <w:vAlign w:val="bottom"/>
            <w:hideMark/>
          </w:tcPr>
          <w:p w14:paraId="29B01CAC" w14:textId="4E7C0187"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$17.3</w:t>
            </w:r>
          </w:p>
        </w:tc>
        <w:tc>
          <w:tcPr>
            <w:tcW w:w="968" w:type="dxa"/>
            <w:tcBorders>
              <w:top w:val="single" w:sz="4" w:space="0" w:color="auto"/>
              <w:left w:val="nil"/>
              <w:bottom w:val="nil"/>
              <w:right w:val="nil"/>
            </w:tcBorders>
            <w:shd w:val="clear" w:color="auto" w:fill="auto"/>
            <w:noWrap/>
            <w:vAlign w:val="bottom"/>
            <w:hideMark/>
          </w:tcPr>
          <w:p w14:paraId="6448B3F8" w14:textId="484513CB"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$4.1</w:t>
            </w:r>
          </w:p>
        </w:tc>
        <w:tc>
          <w:tcPr>
            <w:tcW w:w="968" w:type="dxa"/>
            <w:tcBorders>
              <w:top w:val="single" w:sz="4" w:space="0" w:color="auto"/>
              <w:left w:val="single" w:sz="4" w:space="0" w:color="auto"/>
              <w:bottom w:val="nil"/>
              <w:right w:val="nil"/>
            </w:tcBorders>
            <w:shd w:val="clear" w:color="auto" w:fill="auto"/>
            <w:noWrap/>
            <w:vAlign w:val="bottom"/>
            <w:hideMark/>
          </w:tcPr>
          <w:p w14:paraId="542D27DB" w14:textId="50FD40EC"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11.5</w:t>
            </w:r>
          </w:p>
        </w:tc>
        <w:tc>
          <w:tcPr>
            <w:tcW w:w="976" w:type="dxa"/>
            <w:tcBorders>
              <w:top w:val="single" w:sz="4" w:space="0" w:color="auto"/>
              <w:left w:val="nil"/>
              <w:bottom w:val="nil"/>
              <w:right w:val="nil"/>
            </w:tcBorders>
            <w:shd w:val="clear" w:color="auto" w:fill="D9D9D9" w:themeFill="background2" w:themeFillShade="D9"/>
            <w:noWrap/>
            <w:vAlign w:val="bottom"/>
            <w:hideMark/>
          </w:tcPr>
          <w:p w14:paraId="635ED293" w14:textId="72BFD5E2"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8.5</w:t>
            </w:r>
          </w:p>
        </w:tc>
        <w:tc>
          <w:tcPr>
            <w:tcW w:w="976" w:type="dxa"/>
            <w:tcBorders>
              <w:top w:val="single" w:sz="4" w:space="0" w:color="auto"/>
              <w:left w:val="nil"/>
              <w:bottom w:val="nil"/>
              <w:right w:val="nil"/>
            </w:tcBorders>
            <w:shd w:val="clear" w:color="auto" w:fill="auto"/>
            <w:noWrap/>
            <w:vAlign w:val="bottom"/>
            <w:hideMark/>
          </w:tcPr>
          <w:p w14:paraId="47C13F52" w14:textId="110706B6"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5.5</w:t>
            </w:r>
          </w:p>
        </w:tc>
        <w:tc>
          <w:tcPr>
            <w:tcW w:w="968" w:type="dxa"/>
            <w:tcBorders>
              <w:top w:val="single" w:sz="4" w:space="0" w:color="auto"/>
              <w:left w:val="nil"/>
              <w:bottom w:val="nil"/>
              <w:right w:val="single" w:sz="4" w:space="0" w:color="auto"/>
            </w:tcBorders>
            <w:shd w:val="clear" w:color="auto" w:fill="auto"/>
            <w:noWrap/>
            <w:vAlign w:val="bottom"/>
            <w:hideMark/>
          </w:tcPr>
          <w:p w14:paraId="5BA71889" w14:textId="70235D4B"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2.1</w:t>
            </w:r>
          </w:p>
        </w:tc>
      </w:tr>
      <w:tr w:rsidR="00DF1D65" w:rsidRPr="000114E3" w14:paraId="2BCBA6A7" w14:textId="77777777" w:rsidTr="00DF1D65">
        <w:trPr>
          <w:trHeight w:val="300"/>
          <w:jc w:val="center"/>
        </w:trPr>
        <w:tc>
          <w:tcPr>
            <w:tcW w:w="1391" w:type="dxa"/>
            <w:tcBorders>
              <w:top w:val="nil"/>
              <w:left w:val="single" w:sz="4" w:space="0" w:color="auto"/>
              <w:bottom w:val="nil"/>
              <w:right w:val="nil"/>
            </w:tcBorders>
            <w:shd w:val="clear" w:color="auto" w:fill="auto"/>
            <w:noWrap/>
            <w:vAlign w:val="bottom"/>
            <w:hideMark/>
          </w:tcPr>
          <w:p w14:paraId="26B97A28" w14:textId="77777777" w:rsidR="00DF1D65" w:rsidRPr="000114E3" w:rsidRDefault="00DF1D65" w:rsidP="00DF1D65">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3A</w:t>
            </w:r>
          </w:p>
        </w:tc>
        <w:tc>
          <w:tcPr>
            <w:tcW w:w="969" w:type="dxa"/>
            <w:tcBorders>
              <w:top w:val="nil"/>
              <w:left w:val="single" w:sz="4" w:space="0" w:color="auto"/>
              <w:bottom w:val="nil"/>
              <w:right w:val="nil"/>
            </w:tcBorders>
            <w:shd w:val="clear" w:color="auto" w:fill="auto"/>
            <w:noWrap/>
            <w:vAlign w:val="bottom"/>
            <w:hideMark/>
          </w:tcPr>
          <w:p w14:paraId="34900535" w14:textId="1395BBEA"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$39.3</w:t>
            </w:r>
          </w:p>
        </w:tc>
        <w:tc>
          <w:tcPr>
            <w:tcW w:w="959" w:type="dxa"/>
            <w:tcBorders>
              <w:top w:val="nil"/>
              <w:left w:val="nil"/>
              <w:bottom w:val="nil"/>
              <w:right w:val="nil"/>
            </w:tcBorders>
            <w:shd w:val="clear" w:color="auto" w:fill="D9D9D9" w:themeFill="background2" w:themeFillShade="D9"/>
            <w:noWrap/>
            <w:vAlign w:val="bottom"/>
            <w:hideMark/>
          </w:tcPr>
          <w:p w14:paraId="14249055" w14:textId="02E890F5"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$27.8</w:t>
            </w:r>
          </w:p>
        </w:tc>
        <w:tc>
          <w:tcPr>
            <w:tcW w:w="976" w:type="dxa"/>
            <w:tcBorders>
              <w:top w:val="nil"/>
              <w:left w:val="nil"/>
              <w:bottom w:val="nil"/>
              <w:right w:val="nil"/>
            </w:tcBorders>
            <w:shd w:val="clear" w:color="auto" w:fill="auto"/>
            <w:noWrap/>
            <w:vAlign w:val="bottom"/>
            <w:hideMark/>
          </w:tcPr>
          <w:p w14:paraId="59C1CAB2" w14:textId="3ADAA7D4"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$16.3</w:t>
            </w:r>
          </w:p>
        </w:tc>
        <w:tc>
          <w:tcPr>
            <w:tcW w:w="968" w:type="dxa"/>
            <w:tcBorders>
              <w:top w:val="nil"/>
              <w:left w:val="nil"/>
              <w:bottom w:val="nil"/>
              <w:right w:val="nil"/>
            </w:tcBorders>
            <w:shd w:val="clear" w:color="auto" w:fill="auto"/>
            <w:noWrap/>
            <w:vAlign w:val="bottom"/>
            <w:hideMark/>
          </w:tcPr>
          <w:p w14:paraId="7A89E2E1" w14:textId="52796EA4"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$2.9</w:t>
            </w:r>
          </w:p>
        </w:tc>
        <w:tc>
          <w:tcPr>
            <w:tcW w:w="968" w:type="dxa"/>
            <w:tcBorders>
              <w:top w:val="nil"/>
              <w:left w:val="single" w:sz="4" w:space="0" w:color="auto"/>
              <w:bottom w:val="nil"/>
              <w:right w:val="nil"/>
            </w:tcBorders>
            <w:shd w:val="clear" w:color="auto" w:fill="auto"/>
            <w:noWrap/>
            <w:vAlign w:val="bottom"/>
            <w:hideMark/>
          </w:tcPr>
          <w:p w14:paraId="16D1D83D" w14:textId="7ED59886"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6.2</w:t>
            </w:r>
          </w:p>
        </w:tc>
        <w:tc>
          <w:tcPr>
            <w:tcW w:w="976" w:type="dxa"/>
            <w:tcBorders>
              <w:top w:val="nil"/>
              <w:left w:val="nil"/>
              <w:bottom w:val="nil"/>
              <w:right w:val="nil"/>
            </w:tcBorders>
            <w:shd w:val="clear" w:color="auto" w:fill="D9D9D9" w:themeFill="background2" w:themeFillShade="D9"/>
            <w:noWrap/>
            <w:vAlign w:val="bottom"/>
            <w:hideMark/>
          </w:tcPr>
          <w:p w14:paraId="0B615170" w14:textId="0CE0D9D2"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4.7</w:t>
            </w:r>
          </w:p>
        </w:tc>
        <w:tc>
          <w:tcPr>
            <w:tcW w:w="976" w:type="dxa"/>
            <w:tcBorders>
              <w:top w:val="nil"/>
              <w:left w:val="nil"/>
              <w:bottom w:val="nil"/>
              <w:right w:val="nil"/>
            </w:tcBorders>
            <w:shd w:val="clear" w:color="auto" w:fill="auto"/>
            <w:noWrap/>
            <w:vAlign w:val="bottom"/>
            <w:hideMark/>
          </w:tcPr>
          <w:p w14:paraId="2F7DEEC9" w14:textId="0B06E002"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3.2</w:t>
            </w:r>
          </w:p>
        </w:tc>
        <w:tc>
          <w:tcPr>
            <w:tcW w:w="968" w:type="dxa"/>
            <w:tcBorders>
              <w:top w:val="nil"/>
              <w:left w:val="nil"/>
              <w:bottom w:val="nil"/>
              <w:right w:val="single" w:sz="4" w:space="0" w:color="auto"/>
            </w:tcBorders>
            <w:shd w:val="clear" w:color="auto" w:fill="auto"/>
            <w:noWrap/>
            <w:vAlign w:val="bottom"/>
            <w:hideMark/>
          </w:tcPr>
          <w:p w14:paraId="0D3E583C" w14:textId="3BC6B7B5"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1.4</w:t>
            </w:r>
          </w:p>
        </w:tc>
      </w:tr>
      <w:tr w:rsidR="00DF1D65" w:rsidRPr="000114E3" w14:paraId="5463FF55" w14:textId="77777777" w:rsidTr="00DF1D65">
        <w:trPr>
          <w:trHeight w:val="300"/>
          <w:jc w:val="center"/>
        </w:trPr>
        <w:tc>
          <w:tcPr>
            <w:tcW w:w="1391" w:type="dxa"/>
            <w:tcBorders>
              <w:top w:val="nil"/>
              <w:left w:val="single" w:sz="4" w:space="0" w:color="auto"/>
              <w:bottom w:val="nil"/>
              <w:right w:val="nil"/>
            </w:tcBorders>
            <w:shd w:val="clear" w:color="auto" w:fill="auto"/>
            <w:noWrap/>
            <w:vAlign w:val="bottom"/>
            <w:hideMark/>
          </w:tcPr>
          <w:p w14:paraId="3EC518A1" w14:textId="77777777" w:rsidR="00DF1D65" w:rsidRPr="000114E3" w:rsidRDefault="00DF1D65" w:rsidP="00DF1D65">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3B</w:t>
            </w:r>
          </w:p>
        </w:tc>
        <w:tc>
          <w:tcPr>
            <w:tcW w:w="969" w:type="dxa"/>
            <w:tcBorders>
              <w:top w:val="nil"/>
              <w:left w:val="single" w:sz="4" w:space="0" w:color="auto"/>
              <w:bottom w:val="nil"/>
              <w:right w:val="nil"/>
            </w:tcBorders>
            <w:shd w:val="clear" w:color="auto" w:fill="auto"/>
            <w:noWrap/>
            <w:vAlign w:val="bottom"/>
            <w:hideMark/>
          </w:tcPr>
          <w:p w14:paraId="2A4EA8AA" w14:textId="11250668"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$41.0</w:t>
            </w:r>
          </w:p>
        </w:tc>
        <w:tc>
          <w:tcPr>
            <w:tcW w:w="959" w:type="dxa"/>
            <w:tcBorders>
              <w:top w:val="nil"/>
              <w:left w:val="nil"/>
              <w:bottom w:val="nil"/>
              <w:right w:val="nil"/>
            </w:tcBorders>
            <w:shd w:val="clear" w:color="auto" w:fill="D9D9D9" w:themeFill="background2" w:themeFillShade="D9"/>
            <w:noWrap/>
            <w:vAlign w:val="bottom"/>
            <w:hideMark/>
          </w:tcPr>
          <w:p w14:paraId="26A942DF" w14:textId="6F67B17A"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$29.4</w:t>
            </w:r>
          </w:p>
        </w:tc>
        <w:tc>
          <w:tcPr>
            <w:tcW w:w="976" w:type="dxa"/>
            <w:tcBorders>
              <w:top w:val="nil"/>
              <w:left w:val="nil"/>
              <w:bottom w:val="nil"/>
              <w:right w:val="nil"/>
            </w:tcBorders>
            <w:shd w:val="clear" w:color="auto" w:fill="auto"/>
            <w:noWrap/>
            <w:vAlign w:val="bottom"/>
            <w:hideMark/>
          </w:tcPr>
          <w:p w14:paraId="467738EE" w14:textId="2FD7A0E8"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$17.9</w:t>
            </w:r>
          </w:p>
        </w:tc>
        <w:tc>
          <w:tcPr>
            <w:tcW w:w="968" w:type="dxa"/>
            <w:tcBorders>
              <w:top w:val="nil"/>
              <w:left w:val="nil"/>
              <w:bottom w:val="nil"/>
              <w:right w:val="nil"/>
            </w:tcBorders>
            <w:shd w:val="clear" w:color="auto" w:fill="auto"/>
            <w:noWrap/>
            <w:vAlign w:val="bottom"/>
            <w:hideMark/>
          </w:tcPr>
          <w:p w14:paraId="66CFED15" w14:textId="2D868536"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$4.3</w:t>
            </w:r>
          </w:p>
        </w:tc>
        <w:tc>
          <w:tcPr>
            <w:tcW w:w="968" w:type="dxa"/>
            <w:tcBorders>
              <w:top w:val="nil"/>
              <w:left w:val="single" w:sz="4" w:space="0" w:color="auto"/>
              <w:bottom w:val="nil"/>
              <w:right w:val="nil"/>
            </w:tcBorders>
            <w:shd w:val="clear" w:color="auto" w:fill="auto"/>
            <w:noWrap/>
            <w:vAlign w:val="bottom"/>
            <w:hideMark/>
          </w:tcPr>
          <w:p w14:paraId="51C72AAD" w14:textId="568BDCF8"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5.8</w:t>
            </w:r>
          </w:p>
        </w:tc>
        <w:tc>
          <w:tcPr>
            <w:tcW w:w="976" w:type="dxa"/>
            <w:tcBorders>
              <w:top w:val="nil"/>
              <w:left w:val="nil"/>
              <w:bottom w:val="nil"/>
              <w:right w:val="nil"/>
            </w:tcBorders>
            <w:shd w:val="clear" w:color="auto" w:fill="D9D9D9" w:themeFill="background2" w:themeFillShade="D9"/>
            <w:noWrap/>
            <w:vAlign w:val="bottom"/>
            <w:hideMark/>
          </w:tcPr>
          <w:p w14:paraId="60BD05D6" w14:textId="43B8A219"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4.5</w:t>
            </w:r>
          </w:p>
        </w:tc>
        <w:tc>
          <w:tcPr>
            <w:tcW w:w="976" w:type="dxa"/>
            <w:tcBorders>
              <w:top w:val="nil"/>
              <w:left w:val="nil"/>
              <w:bottom w:val="nil"/>
              <w:right w:val="nil"/>
            </w:tcBorders>
            <w:shd w:val="clear" w:color="auto" w:fill="auto"/>
            <w:noWrap/>
            <w:vAlign w:val="bottom"/>
            <w:hideMark/>
          </w:tcPr>
          <w:p w14:paraId="4E95DE86" w14:textId="3FA0A1AF"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3.1</w:t>
            </w:r>
          </w:p>
        </w:tc>
        <w:tc>
          <w:tcPr>
            <w:tcW w:w="968" w:type="dxa"/>
            <w:tcBorders>
              <w:top w:val="nil"/>
              <w:left w:val="nil"/>
              <w:bottom w:val="nil"/>
              <w:right w:val="single" w:sz="4" w:space="0" w:color="auto"/>
            </w:tcBorders>
            <w:shd w:val="clear" w:color="auto" w:fill="auto"/>
            <w:noWrap/>
            <w:vAlign w:val="bottom"/>
            <w:hideMark/>
          </w:tcPr>
          <w:p w14:paraId="66869737" w14:textId="6F52CD3B"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1.5</w:t>
            </w:r>
          </w:p>
        </w:tc>
      </w:tr>
      <w:tr w:rsidR="00DF1D65" w:rsidRPr="000114E3" w14:paraId="2E1EC773" w14:textId="77777777" w:rsidTr="00DF1D65">
        <w:trPr>
          <w:trHeight w:val="300"/>
          <w:jc w:val="center"/>
        </w:trPr>
        <w:tc>
          <w:tcPr>
            <w:tcW w:w="1391" w:type="dxa"/>
            <w:tcBorders>
              <w:top w:val="nil"/>
              <w:left w:val="single" w:sz="4" w:space="0" w:color="auto"/>
              <w:bottom w:val="nil"/>
              <w:right w:val="nil"/>
            </w:tcBorders>
            <w:shd w:val="clear" w:color="auto" w:fill="auto"/>
            <w:noWrap/>
            <w:vAlign w:val="bottom"/>
            <w:hideMark/>
          </w:tcPr>
          <w:p w14:paraId="1B473E5E" w14:textId="77777777" w:rsidR="00DF1D65" w:rsidRPr="000114E3" w:rsidRDefault="00DF1D65" w:rsidP="00DF1D65">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4A</w:t>
            </w:r>
          </w:p>
        </w:tc>
        <w:tc>
          <w:tcPr>
            <w:tcW w:w="969" w:type="dxa"/>
            <w:tcBorders>
              <w:top w:val="nil"/>
              <w:left w:val="single" w:sz="4" w:space="0" w:color="auto"/>
              <w:bottom w:val="nil"/>
              <w:right w:val="nil"/>
            </w:tcBorders>
            <w:shd w:val="clear" w:color="auto" w:fill="auto"/>
            <w:noWrap/>
            <w:vAlign w:val="bottom"/>
            <w:hideMark/>
          </w:tcPr>
          <w:p w14:paraId="17305180" w14:textId="2985EF8E"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$64.7</w:t>
            </w:r>
          </w:p>
        </w:tc>
        <w:tc>
          <w:tcPr>
            <w:tcW w:w="959" w:type="dxa"/>
            <w:tcBorders>
              <w:top w:val="nil"/>
              <w:left w:val="nil"/>
              <w:bottom w:val="nil"/>
              <w:right w:val="nil"/>
            </w:tcBorders>
            <w:shd w:val="clear" w:color="auto" w:fill="D9D9D9" w:themeFill="background2" w:themeFillShade="D9"/>
            <w:noWrap/>
            <w:vAlign w:val="bottom"/>
            <w:hideMark/>
          </w:tcPr>
          <w:p w14:paraId="33B35B91" w14:textId="4FA69D94"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$52.2</w:t>
            </w:r>
          </w:p>
        </w:tc>
        <w:tc>
          <w:tcPr>
            <w:tcW w:w="976" w:type="dxa"/>
            <w:tcBorders>
              <w:top w:val="nil"/>
              <w:left w:val="nil"/>
              <w:bottom w:val="nil"/>
              <w:right w:val="nil"/>
            </w:tcBorders>
            <w:shd w:val="clear" w:color="auto" w:fill="auto"/>
            <w:noWrap/>
            <w:vAlign w:val="bottom"/>
            <w:hideMark/>
          </w:tcPr>
          <w:p w14:paraId="02CC88C5" w14:textId="57574ADA"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$39.7</w:t>
            </w:r>
          </w:p>
        </w:tc>
        <w:tc>
          <w:tcPr>
            <w:tcW w:w="968" w:type="dxa"/>
            <w:tcBorders>
              <w:top w:val="nil"/>
              <w:left w:val="nil"/>
              <w:bottom w:val="nil"/>
              <w:right w:val="nil"/>
            </w:tcBorders>
            <w:shd w:val="clear" w:color="auto" w:fill="auto"/>
            <w:noWrap/>
            <w:vAlign w:val="bottom"/>
            <w:hideMark/>
          </w:tcPr>
          <w:p w14:paraId="7BA79ECA" w14:textId="79779F4E"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$25.1</w:t>
            </w:r>
          </w:p>
        </w:tc>
        <w:tc>
          <w:tcPr>
            <w:tcW w:w="968" w:type="dxa"/>
            <w:tcBorders>
              <w:top w:val="nil"/>
              <w:left w:val="single" w:sz="4" w:space="0" w:color="auto"/>
              <w:bottom w:val="nil"/>
              <w:right w:val="nil"/>
            </w:tcBorders>
            <w:shd w:val="clear" w:color="auto" w:fill="auto"/>
            <w:noWrap/>
            <w:vAlign w:val="bottom"/>
            <w:hideMark/>
          </w:tcPr>
          <w:p w14:paraId="6883B88C" w14:textId="6E9F1A42"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4.6</w:t>
            </w:r>
          </w:p>
        </w:tc>
        <w:tc>
          <w:tcPr>
            <w:tcW w:w="976" w:type="dxa"/>
            <w:tcBorders>
              <w:top w:val="nil"/>
              <w:left w:val="nil"/>
              <w:bottom w:val="nil"/>
              <w:right w:val="nil"/>
            </w:tcBorders>
            <w:shd w:val="clear" w:color="auto" w:fill="D9D9D9" w:themeFill="background2" w:themeFillShade="D9"/>
            <w:noWrap/>
            <w:vAlign w:val="bottom"/>
            <w:hideMark/>
          </w:tcPr>
          <w:p w14:paraId="204BCBDF" w14:textId="0CE190EA"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3.9</w:t>
            </w:r>
          </w:p>
        </w:tc>
        <w:tc>
          <w:tcPr>
            <w:tcW w:w="976" w:type="dxa"/>
            <w:tcBorders>
              <w:top w:val="nil"/>
              <w:left w:val="nil"/>
              <w:bottom w:val="nil"/>
              <w:right w:val="nil"/>
            </w:tcBorders>
            <w:shd w:val="clear" w:color="auto" w:fill="auto"/>
            <w:noWrap/>
            <w:vAlign w:val="bottom"/>
            <w:hideMark/>
          </w:tcPr>
          <w:p w14:paraId="16D8EAE7" w14:textId="25D957C8"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3.2</w:t>
            </w:r>
          </w:p>
        </w:tc>
        <w:tc>
          <w:tcPr>
            <w:tcW w:w="968" w:type="dxa"/>
            <w:tcBorders>
              <w:top w:val="nil"/>
              <w:left w:val="nil"/>
              <w:bottom w:val="nil"/>
              <w:right w:val="single" w:sz="4" w:space="0" w:color="auto"/>
            </w:tcBorders>
            <w:shd w:val="clear" w:color="auto" w:fill="auto"/>
            <w:noWrap/>
            <w:vAlign w:val="bottom"/>
            <w:hideMark/>
          </w:tcPr>
          <w:p w14:paraId="1AB85EEF" w14:textId="69CBDD8A"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2.4</w:t>
            </w:r>
          </w:p>
        </w:tc>
      </w:tr>
      <w:tr w:rsidR="00DF1D65" w:rsidRPr="000114E3" w14:paraId="21023EB2" w14:textId="77777777" w:rsidTr="00DF1D65">
        <w:trPr>
          <w:trHeight w:val="300"/>
          <w:jc w:val="center"/>
        </w:trPr>
        <w:tc>
          <w:tcPr>
            <w:tcW w:w="1391" w:type="dxa"/>
            <w:tcBorders>
              <w:top w:val="nil"/>
              <w:left w:val="single" w:sz="4" w:space="0" w:color="auto"/>
              <w:bottom w:val="single" w:sz="4" w:space="0" w:color="auto"/>
              <w:right w:val="nil"/>
            </w:tcBorders>
            <w:shd w:val="clear" w:color="auto" w:fill="auto"/>
            <w:noWrap/>
            <w:vAlign w:val="bottom"/>
            <w:hideMark/>
          </w:tcPr>
          <w:p w14:paraId="6DD64B56" w14:textId="77777777" w:rsidR="00DF1D65" w:rsidRPr="000114E3" w:rsidRDefault="00DF1D65" w:rsidP="00DF1D65">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4B</w:t>
            </w:r>
          </w:p>
        </w:tc>
        <w:tc>
          <w:tcPr>
            <w:tcW w:w="969" w:type="dxa"/>
            <w:tcBorders>
              <w:top w:val="nil"/>
              <w:left w:val="single" w:sz="4" w:space="0" w:color="auto"/>
              <w:bottom w:val="single" w:sz="4" w:space="0" w:color="auto"/>
              <w:right w:val="nil"/>
            </w:tcBorders>
            <w:shd w:val="clear" w:color="auto" w:fill="auto"/>
            <w:noWrap/>
            <w:vAlign w:val="bottom"/>
            <w:hideMark/>
          </w:tcPr>
          <w:p w14:paraId="511503CC" w14:textId="6BD69640"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$59.1</w:t>
            </w:r>
          </w:p>
        </w:tc>
        <w:tc>
          <w:tcPr>
            <w:tcW w:w="959" w:type="dxa"/>
            <w:tcBorders>
              <w:top w:val="nil"/>
              <w:left w:val="nil"/>
              <w:bottom w:val="single" w:sz="4" w:space="0" w:color="auto"/>
              <w:right w:val="nil"/>
            </w:tcBorders>
            <w:shd w:val="clear" w:color="auto" w:fill="D9D9D9" w:themeFill="background2" w:themeFillShade="D9"/>
            <w:noWrap/>
            <w:vAlign w:val="bottom"/>
            <w:hideMark/>
          </w:tcPr>
          <w:p w14:paraId="2E3F9622" w14:textId="4AA9E658"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$47.4</w:t>
            </w:r>
          </w:p>
        </w:tc>
        <w:tc>
          <w:tcPr>
            <w:tcW w:w="976" w:type="dxa"/>
            <w:tcBorders>
              <w:top w:val="nil"/>
              <w:left w:val="nil"/>
              <w:bottom w:val="single" w:sz="4" w:space="0" w:color="auto"/>
              <w:right w:val="nil"/>
            </w:tcBorders>
            <w:shd w:val="clear" w:color="auto" w:fill="auto"/>
            <w:noWrap/>
            <w:vAlign w:val="bottom"/>
            <w:hideMark/>
          </w:tcPr>
          <w:p w14:paraId="586F54D7" w14:textId="79EB4934"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$35.7</w:t>
            </w:r>
          </w:p>
        </w:tc>
        <w:tc>
          <w:tcPr>
            <w:tcW w:w="968" w:type="dxa"/>
            <w:tcBorders>
              <w:top w:val="nil"/>
              <w:left w:val="nil"/>
              <w:bottom w:val="single" w:sz="4" w:space="0" w:color="auto"/>
              <w:right w:val="nil"/>
            </w:tcBorders>
            <w:shd w:val="clear" w:color="auto" w:fill="auto"/>
            <w:noWrap/>
            <w:vAlign w:val="bottom"/>
            <w:hideMark/>
          </w:tcPr>
          <w:p w14:paraId="4216A8AD" w14:textId="6C30C82C"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$21.9</w:t>
            </w:r>
          </w:p>
        </w:tc>
        <w:tc>
          <w:tcPr>
            <w:tcW w:w="968" w:type="dxa"/>
            <w:tcBorders>
              <w:top w:val="nil"/>
              <w:left w:val="single" w:sz="4" w:space="0" w:color="auto"/>
              <w:bottom w:val="single" w:sz="4" w:space="0" w:color="auto"/>
              <w:right w:val="nil"/>
            </w:tcBorders>
            <w:shd w:val="clear" w:color="auto" w:fill="auto"/>
            <w:noWrap/>
            <w:vAlign w:val="bottom"/>
            <w:hideMark/>
          </w:tcPr>
          <w:p w14:paraId="7A51D640" w14:textId="052AC078"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4.7</w:t>
            </w:r>
          </w:p>
        </w:tc>
        <w:tc>
          <w:tcPr>
            <w:tcW w:w="976" w:type="dxa"/>
            <w:tcBorders>
              <w:top w:val="nil"/>
              <w:left w:val="nil"/>
              <w:bottom w:val="single" w:sz="4" w:space="0" w:color="auto"/>
              <w:right w:val="nil"/>
            </w:tcBorders>
            <w:shd w:val="clear" w:color="auto" w:fill="D9D9D9" w:themeFill="background2" w:themeFillShade="D9"/>
            <w:noWrap/>
            <w:vAlign w:val="bottom"/>
            <w:hideMark/>
          </w:tcPr>
          <w:p w14:paraId="30955A8C" w14:textId="63A4DE82"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4.0</w:t>
            </w:r>
          </w:p>
        </w:tc>
        <w:tc>
          <w:tcPr>
            <w:tcW w:w="976" w:type="dxa"/>
            <w:tcBorders>
              <w:top w:val="nil"/>
              <w:left w:val="nil"/>
              <w:bottom w:val="single" w:sz="4" w:space="0" w:color="auto"/>
              <w:right w:val="nil"/>
            </w:tcBorders>
            <w:shd w:val="clear" w:color="auto" w:fill="auto"/>
            <w:noWrap/>
            <w:vAlign w:val="bottom"/>
            <w:hideMark/>
          </w:tcPr>
          <w:p w14:paraId="6CBF8C17" w14:textId="5B794DAE"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3.2</w:t>
            </w:r>
          </w:p>
        </w:tc>
        <w:tc>
          <w:tcPr>
            <w:tcW w:w="968" w:type="dxa"/>
            <w:tcBorders>
              <w:top w:val="nil"/>
              <w:left w:val="nil"/>
              <w:bottom w:val="single" w:sz="4" w:space="0" w:color="auto"/>
              <w:right w:val="single" w:sz="4" w:space="0" w:color="auto"/>
            </w:tcBorders>
            <w:shd w:val="clear" w:color="auto" w:fill="auto"/>
            <w:noWrap/>
            <w:vAlign w:val="bottom"/>
            <w:hideMark/>
          </w:tcPr>
          <w:p w14:paraId="0B6E4964" w14:textId="1309EBCD" w:rsidR="00DF1D65" w:rsidRPr="000114E3" w:rsidRDefault="00DF1D65" w:rsidP="00DF1D65">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2.4</w:t>
            </w:r>
          </w:p>
        </w:tc>
      </w:tr>
    </w:tbl>
    <w:p w14:paraId="043BC097" w14:textId="77777777" w:rsidR="009174E3" w:rsidRDefault="009174E3" w:rsidP="00DF0A7B"/>
    <w:p w14:paraId="56A76DA9" w14:textId="05A441FF" w:rsidR="00C83076" w:rsidRDefault="00373D74" w:rsidP="00DF0A7B">
      <w:r>
        <w:t xml:space="preserve">Finally, </w:t>
      </w:r>
      <w:r>
        <w:fldChar w:fldCharType="begin"/>
      </w:r>
      <w:r>
        <w:instrText xml:space="preserve"> REF _Ref194478429 \h </w:instrText>
      </w:r>
      <w:r>
        <w:fldChar w:fldCharType="separate"/>
      </w:r>
      <w:r w:rsidR="002271EC">
        <w:t xml:space="preserve">Table </w:t>
      </w:r>
      <w:r w:rsidR="002271EC">
        <w:rPr>
          <w:noProof/>
        </w:rPr>
        <w:t>11</w:t>
      </w:r>
      <w:r>
        <w:fldChar w:fldCharType="end"/>
      </w:r>
      <w:r>
        <w:t xml:space="preserve"> indicates the sensitivity of outcomes if the increases in CIM prices were twice as great as estimated in </w:t>
      </w:r>
      <w:r>
        <w:fldChar w:fldCharType="begin"/>
      </w:r>
      <w:r>
        <w:instrText xml:space="preserve"> REF _Ref189739212 \h </w:instrText>
      </w:r>
      <w:r>
        <w:fldChar w:fldCharType="separate"/>
      </w:r>
      <w:r w:rsidR="002271EC">
        <w:t xml:space="preserve">Table </w:t>
      </w:r>
      <w:r w:rsidR="002271EC">
        <w:rPr>
          <w:noProof/>
        </w:rPr>
        <w:t>8</w:t>
      </w:r>
      <w:r>
        <w:fldChar w:fldCharType="end"/>
      </w:r>
      <w:r>
        <w:t>. Th</w:t>
      </w:r>
      <w:r w:rsidR="00C83076">
        <w:t xml:space="preserve">is </w:t>
      </w:r>
      <w:r>
        <w:t xml:space="preserve">may occur if, for example, </w:t>
      </w:r>
      <w:r w:rsidR="00C83076">
        <w:t>some suppliers withdrew and so lessened price competition in the market</w:t>
      </w:r>
      <w:r w:rsidR="009A2343">
        <w:t>. This is very unlikely for the information</w:t>
      </w:r>
      <w:r w:rsidR="009779D6">
        <w:t xml:space="preserve"> </w:t>
      </w:r>
      <w:r w:rsidR="009A2343">
        <w:t xml:space="preserve">only options (2,3A and 3B) but is a risk for the </w:t>
      </w:r>
      <w:r w:rsidR="009779D6">
        <w:t>M</w:t>
      </w:r>
      <w:r w:rsidR="009A2343">
        <w:t xml:space="preserve">inimum </w:t>
      </w:r>
      <w:r w:rsidR="009779D6">
        <w:t>W</w:t>
      </w:r>
      <w:r w:rsidR="009A2343">
        <w:t>ater</w:t>
      </w:r>
      <w:r w:rsidR="006E586F">
        <w:t xml:space="preserve"> </w:t>
      </w:r>
      <w:r w:rsidR="009779D6">
        <w:t>E</w:t>
      </w:r>
      <w:r w:rsidR="009A2343">
        <w:t xml:space="preserve">fficiency </w:t>
      </w:r>
      <w:r w:rsidR="009779D6">
        <w:t>S</w:t>
      </w:r>
      <w:r w:rsidR="009A2343">
        <w:t xml:space="preserve">tandards options (4A, 4B). Even </w:t>
      </w:r>
      <w:r w:rsidR="009779D6">
        <w:t>with price-doubling,</w:t>
      </w:r>
      <w:r w:rsidR="009A2343">
        <w:t xml:space="preserve"> </w:t>
      </w:r>
      <w:r w:rsidR="009779D6">
        <w:t>a</w:t>
      </w:r>
      <w:r w:rsidR="009A2343">
        <w:t>ll options would remain cost</w:t>
      </w:r>
      <w:r w:rsidR="009779D6">
        <w:t xml:space="preserve"> </w:t>
      </w:r>
      <w:r w:rsidR="009A2343">
        <w:t>effective.</w:t>
      </w:r>
    </w:p>
    <w:p w14:paraId="5A0C4285" w14:textId="77777777" w:rsidR="000F2521" w:rsidRDefault="000F2521" w:rsidP="00DF0A7B"/>
    <w:p w14:paraId="57AAC4FF" w14:textId="0270AF6E" w:rsidR="00373D74" w:rsidRDefault="00373D74" w:rsidP="00373D74">
      <w:pPr>
        <w:pStyle w:val="Caption"/>
        <w:jc w:val="center"/>
      </w:pPr>
      <w:bookmarkStart w:id="105" w:name="_Ref194478429"/>
      <w:bookmarkStart w:id="106" w:name="_Toc196745453"/>
      <w:r>
        <w:t xml:space="preserve">Table </w:t>
      </w:r>
      <w:r w:rsidR="0042496D">
        <w:fldChar w:fldCharType="begin"/>
      </w:r>
      <w:r w:rsidR="0042496D">
        <w:instrText xml:space="preserve"> SEQ Table \* ARABIC </w:instrText>
      </w:r>
      <w:r w:rsidR="0042496D">
        <w:fldChar w:fldCharType="separate"/>
      </w:r>
      <w:r w:rsidR="002271EC">
        <w:rPr>
          <w:noProof/>
        </w:rPr>
        <w:t>11</w:t>
      </w:r>
      <w:r w:rsidR="0042496D">
        <w:rPr>
          <w:noProof/>
        </w:rPr>
        <w:fldChar w:fldCharType="end"/>
      </w:r>
      <w:bookmarkEnd w:id="105"/>
      <w:r>
        <w:t xml:space="preserve"> Summary of projected costs and benefits, Australia (Price doubled)</w:t>
      </w:r>
      <w:bookmarkEnd w:id="106"/>
    </w:p>
    <w:tbl>
      <w:tblPr>
        <w:tblW w:w="10201" w:type="dxa"/>
        <w:tblLayout w:type="fixed"/>
        <w:tblLook w:val="04A0" w:firstRow="1" w:lastRow="0" w:firstColumn="1" w:lastColumn="0" w:noHBand="0" w:noVBand="1"/>
      </w:tblPr>
      <w:tblGrid>
        <w:gridCol w:w="1413"/>
        <w:gridCol w:w="942"/>
        <w:gridCol w:w="1042"/>
        <w:gridCol w:w="844"/>
        <w:gridCol w:w="943"/>
        <w:gridCol w:w="943"/>
        <w:gridCol w:w="943"/>
        <w:gridCol w:w="943"/>
        <w:gridCol w:w="943"/>
        <w:gridCol w:w="1245"/>
      </w:tblGrid>
      <w:tr w:rsidR="00373D74" w:rsidRPr="000114E3" w14:paraId="77A7431B" w14:textId="77777777" w:rsidTr="00C83076">
        <w:trPr>
          <w:trHeight w:val="300"/>
        </w:trPr>
        <w:tc>
          <w:tcPr>
            <w:tcW w:w="1413" w:type="dxa"/>
            <w:tcBorders>
              <w:top w:val="single" w:sz="4" w:space="0" w:color="auto"/>
              <w:left w:val="single" w:sz="4" w:space="0" w:color="auto"/>
              <w:bottom w:val="nil"/>
              <w:right w:val="single" w:sz="4" w:space="0" w:color="auto"/>
            </w:tcBorders>
            <w:shd w:val="clear" w:color="auto" w:fill="auto"/>
            <w:noWrap/>
            <w:vAlign w:val="bottom"/>
            <w:hideMark/>
          </w:tcPr>
          <w:p w14:paraId="4D545F4D" w14:textId="77777777" w:rsidR="00373D74" w:rsidRPr="000114E3" w:rsidRDefault="00373D74" w:rsidP="00C83076">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2828" w:type="dxa"/>
            <w:gridSpan w:val="3"/>
            <w:tcBorders>
              <w:top w:val="single" w:sz="4" w:space="0" w:color="auto"/>
              <w:left w:val="nil"/>
              <w:bottom w:val="nil"/>
              <w:right w:val="nil"/>
            </w:tcBorders>
            <w:shd w:val="clear" w:color="auto" w:fill="auto"/>
            <w:noWrap/>
            <w:vAlign w:val="bottom"/>
            <w:hideMark/>
          </w:tcPr>
          <w:p w14:paraId="38D8DFB2"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Costs $M PV, 7% discount rate</w:t>
            </w:r>
          </w:p>
        </w:tc>
        <w:tc>
          <w:tcPr>
            <w:tcW w:w="2829" w:type="dxa"/>
            <w:gridSpan w:val="3"/>
            <w:tcBorders>
              <w:top w:val="single" w:sz="4" w:space="0" w:color="auto"/>
              <w:left w:val="single" w:sz="4" w:space="0" w:color="auto"/>
              <w:bottom w:val="nil"/>
              <w:right w:val="nil"/>
            </w:tcBorders>
            <w:shd w:val="clear" w:color="auto" w:fill="auto"/>
            <w:noWrap/>
            <w:vAlign w:val="bottom"/>
            <w:hideMark/>
          </w:tcPr>
          <w:p w14:paraId="730A7784"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Benefit $M PV, 7% discount rate</w:t>
            </w:r>
          </w:p>
        </w:tc>
        <w:tc>
          <w:tcPr>
            <w:tcW w:w="943" w:type="dxa"/>
            <w:tcBorders>
              <w:top w:val="single" w:sz="4" w:space="0" w:color="auto"/>
              <w:left w:val="single" w:sz="4" w:space="0" w:color="auto"/>
              <w:bottom w:val="nil"/>
              <w:right w:val="nil"/>
            </w:tcBorders>
            <w:shd w:val="clear" w:color="auto" w:fill="D9D9D9" w:themeFill="background2" w:themeFillShade="D9"/>
            <w:noWrap/>
            <w:vAlign w:val="bottom"/>
            <w:hideMark/>
          </w:tcPr>
          <w:p w14:paraId="73980A92"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Net</w:t>
            </w:r>
          </w:p>
        </w:tc>
        <w:tc>
          <w:tcPr>
            <w:tcW w:w="943" w:type="dxa"/>
            <w:tcBorders>
              <w:top w:val="single" w:sz="4" w:space="0" w:color="auto"/>
              <w:left w:val="nil"/>
              <w:bottom w:val="nil"/>
              <w:right w:val="nil"/>
            </w:tcBorders>
            <w:shd w:val="clear" w:color="auto" w:fill="D9D9D9" w:themeFill="background2" w:themeFillShade="D9"/>
            <w:noWrap/>
            <w:vAlign w:val="bottom"/>
            <w:hideMark/>
          </w:tcPr>
          <w:p w14:paraId="2ADA7A8D"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B/C</w:t>
            </w:r>
          </w:p>
        </w:tc>
        <w:tc>
          <w:tcPr>
            <w:tcW w:w="1245" w:type="dxa"/>
            <w:tcBorders>
              <w:top w:val="single" w:sz="4" w:space="0" w:color="auto"/>
              <w:left w:val="nil"/>
              <w:bottom w:val="nil"/>
              <w:right w:val="single" w:sz="4" w:space="0" w:color="auto"/>
            </w:tcBorders>
            <w:shd w:val="clear" w:color="auto" w:fill="auto"/>
            <w:noWrap/>
            <w:vAlign w:val="bottom"/>
            <w:hideMark/>
          </w:tcPr>
          <w:p w14:paraId="1A9C4246"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xml:space="preserve">% increase in </w:t>
            </w:r>
          </w:p>
        </w:tc>
      </w:tr>
      <w:tr w:rsidR="00373D74" w:rsidRPr="000114E3" w14:paraId="65AB6AA5" w14:textId="77777777" w:rsidTr="00C83076">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6C64E2E" w14:textId="77777777" w:rsidR="00373D74" w:rsidRPr="000114E3" w:rsidRDefault="00373D74" w:rsidP="00C83076">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942" w:type="dxa"/>
            <w:tcBorders>
              <w:top w:val="nil"/>
              <w:left w:val="nil"/>
              <w:bottom w:val="single" w:sz="4" w:space="0" w:color="auto"/>
              <w:right w:val="nil"/>
            </w:tcBorders>
            <w:shd w:val="clear" w:color="auto" w:fill="auto"/>
            <w:noWrap/>
            <w:vAlign w:val="bottom"/>
            <w:hideMark/>
          </w:tcPr>
          <w:p w14:paraId="60B21FCA"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Price</w:t>
            </w:r>
          </w:p>
        </w:tc>
        <w:tc>
          <w:tcPr>
            <w:tcW w:w="1042" w:type="dxa"/>
            <w:tcBorders>
              <w:top w:val="nil"/>
              <w:left w:val="nil"/>
              <w:bottom w:val="single" w:sz="4" w:space="0" w:color="auto"/>
              <w:right w:val="nil"/>
            </w:tcBorders>
            <w:shd w:val="clear" w:color="auto" w:fill="auto"/>
            <w:noWrap/>
            <w:vAlign w:val="bottom"/>
            <w:hideMark/>
          </w:tcPr>
          <w:p w14:paraId="2C7A637F"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Program</w:t>
            </w:r>
          </w:p>
        </w:tc>
        <w:tc>
          <w:tcPr>
            <w:tcW w:w="844" w:type="dxa"/>
            <w:tcBorders>
              <w:top w:val="nil"/>
              <w:left w:val="nil"/>
              <w:bottom w:val="single" w:sz="4" w:space="0" w:color="auto"/>
              <w:right w:val="nil"/>
            </w:tcBorders>
            <w:shd w:val="clear" w:color="auto" w:fill="auto"/>
            <w:noWrap/>
            <w:vAlign w:val="bottom"/>
            <w:hideMark/>
          </w:tcPr>
          <w:p w14:paraId="6E47D42E"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943" w:type="dxa"/>
            <w:tcBorders>
              <w:top w:val="nil"/>
              <w:left w:val="single" w:sz="4" w:space="0" w:color="auto"/>
              <w:bottom w:val="single" w:sz="4" w:space="0" w:color="auto"/>
              <w:right w:val="nil"/>
            </w:tcBorders>
            <w:shd w:val="clear" w:color="auto" w:fill="auto"/>
            <w:noWrap/>
            <w:vAlign w:val="bottom"/>
            <w:hideMark/>
          </w:tcPr>
          <w:p w14:paraId="54A3C8C5"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Potable</w:t>
            </w:r>
          </w:p>
        </w:tc>
        <w:tc>
          <w:tcPr>
            <w:tcW w:w="943" w:type="dxa"/>
            <w:tcBorders>
              <w:top w:val="nil"/>
              <w:left w:val="nil"/>
              <w:bottom w:val="single" w:sz="4" w:space="0" w:color="auto"/>
              <w:right w:val="nil"/>
            </w:tcBorders>
            <w:shd w:val="clear" w:color="auto" w:fill="auto"/>
            <w:noWrap/>
            <w:vAlign w:val="bottom"/>
            <w:hideMark/>
          </w:tcPr>
          <w:p w14:paraId="2A5A0250"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Cooling</w:t>
            </w:r>
          </w:p>
        </w:tc>
        <w:tc>
          <w:tcPr>
            <w:tcW w:w="943" w:type="dxa"/>
            <w:tcBorders>
              <w:top w:val="nil"/>
              <w:left w:val="nil"/>
              <w:bottom w:val="single" w:sz="4" w:space="0" w:color="auto"/>
              <w:right w:val="nil"/>
            </w:tcBorders>
            <w:shd w:val="clear" w:color="auto" w:fill="auto"/>
            <w:noWrap/>
            <w:vAlign w:val="bottom"/>
            <w:hideMark/>
          </w:tcPr>
          <w:p w14:paraId="5A177B3F"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943" w:type="dxa"/>
            <w:tcBorders>
              <w:top w:val="nil"/>
              <w:left w:val="single" w:sz="4" w:space="0" w:color="auto"/>
              <w:bottom w:val="single" w:sz="4" w:space="0" w:color="auto"/>
              <w:right w:val="nil"/>
            </w:tcBorders>
            <w:shd w:val="clear" w:color="auto" w:fill="D9D9D9" w:themeFill="background2" w:themeFillShade="D9"/>
            <w:noWrap/>
            <w:vAlign w:val="bottom"/>
            <w:hideMark/>
          </w:tcPr>
          <w:p w14:paraId="51E004F7"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Benefit</w:t>
            </w:r>
          </w:p>
        </w:tc>
        <w:tc>
          <w:tcPr>
            <w:tcW w:w="943" w:type="dxa"/>
            <w:tcBorders>
              <w:top w:val="nil"/>
              <w:left w:val="nil"/>
              <w:bottom w:val="single" w:sz="4" w:space="0" w:color="auto"/>
              <w:right w:val="nil"/>
            </w:tcBorders>
            <w:shd w:val="clear" w:color="auto" w:fill="D9D9D9" w:themeFill="background2" w:themeFillShade="D9"/>
            <w:noWrap/>
            <w:vAlign w:val="bottom"/>
            <w:hideMark/>
          </w:tcPr>
          <w:p w14:paraId="1A2B52D9"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ratio</w:t>
            </w:r>
          </w:p>
        </w:tc>
        <w:tc>
          <w:tcPr>
            <w:tcW w:w="1245" w:type="dxa"/>
            <w:tcBorders>
              <w:top w:val="nil"/>
              <w:left w:val="nil"/>
              <w:bottom w:val="single" w:sz="4" w:space="0" w:color="auto"/>
              <w:right w:val="single" w:sz="4" w:space="0" w:color="auto"/>
            </w:tcBorders>
            <w:shd w:val="clear" w:color="auto" w:fill="auto"/>
            <w:noWrap/>
            <w:vAlign w:val="bottom"/>
            <w:hideMark/>
          </w:tcPr>
          <w:p w14:paraId="0B15FD84" w14:textId="77777777" w:rsidR="00373D74" w:rsidRPr="000114E3" w:rsidRDefault="00373D74" w:rsidP="00C83076">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CIM prices</w:t>
            </w:r>
          </w:p>
        </w:tc>
      </w:tr>
      <w:tr w:rsidR="00DF0A7B" w:rsidRPr="000114E3" w14:paraId="77BFBE94" w14:textId="77777777" w:rsidTr="009A2343">
        <w:trPr>
          <w:trHeight w:val="300"/>
        </w:trPr>
        <w:tc>
          <w:tcPr>
            <w:tcW w:w="1413" w:type="dxa"/>
            <w:tcBorders>
              <w:top w:val="nil"/>
              <w:left w:val="single" w:sz="4" w:space="0" w:color="auto"/>
              <w:bottom w:val="nil"/>
              <w:right w:val="single" w:sz="4" w:space="0" w:color="auto"/>
            </w:tcBorders>
            <w:shd w:val="clear" w:color="auto" w:fill="auto"/>
            <w:noWrap/>
            <w:vAlign w:val="bottom"/>
            <w:hideMark/>
          </w:tcPr>
          <w:p w14:paraId="7C2736E5" w14:textId="77777777" w:rsidR="00373D74" w:rsidRPr="000114E3" w:rsidRDefault="00373D74" w:rsidP="00C83076">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2</w:t>
            </w:r>
          </w:p>
        </w:tc>
        <w:tc>
          <w:tcPr>
            <w:tcW w:w="942" w:type="dxa"/>
            <w:tcBorders>
              <w:top w:val="nil"/>
              <w:left w:val="nil"/>
              <w:bottom w:val="nil"/>
              <w:right w:val="nil"/>
            </w:tcBorders>
            <w:shd w:val="clear" w:color="auto" w:fill="auto"/>
            <w:noWrap/>
            <w:vAlign w:val="bottom"/>
            <w:hideMark/>
          </w:tcPr>
          <w:p w14:paraId="0771F22B" w14:textId="48BDFB00"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w:t>
            </w:r>
            <w:r w:rsidR="00C83076" w:rsidRPr="000114E3">
              <w:rPr>
                <w:rFonts w:ascii="Calibri" w:hAnsi="Calibri" w:cs="Calibri"/>
                <w:color w:val="000000"/>
                <w:sz w:val="20"/>
                <w:szCs w:val="20"/>
              </w:rPr>
              <w:t>4.4</w:t>
            </w:r>
          </w:p>
        </w:tc>
        <w:tc>
          <w:tcPr>
            <w:tcW w:w="1042" w:type="dxa"/>
            <w:tcBorders>
              <w:top w:val="nil"/>
              <w:left w:val="nil"/>
              <w:bottom w:val="nil"/>
              <w:right w:val="nil"/>
            </w:tcBorders>
            <w:shd w:val="clear" w:color="auto" w:fill="auto"/>
            <w:noWrap/>
            <w:vAlign w:val="bottom"/>
            <w:hideMark/>
          </w:tcPr>
          <w:p w14:paraId="39642294"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$1.6</w:t>
            </w:r>
          </w:p>
        </w:tc>
        <w:tc>
          <w:tcPr>
            <w:tcW w:w="844" w:type="dxa"/>
            <w:tcBorders>
              <w:top w:val="nil"/>
              <w:left w:val="nil"/>
              <w:bottom w:val="nil"/>
              <w:right w:val="single" w:sz="4" w:space="0" w:color="auto"/>
            </w:tcBorders>
            <w:shd w:val="clear" w:color="auto" w:fill="auto"/>
            <w:noWrap/>
            <w:vAlign w:val="bottom"/>
            <w:hideMark/>
          </w:tcPr>
          <w:p w14:paraId="518F6221" w14:textId="0FE5E931"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w:t>
            </w:r>
            <w:r w:rsidR="009A2343" w:rsidRPr="000114E3">
              <w:rPr>
                <w:rFonts w:ascii="Calibri" w:hAnsi="Calibri" w:cs="Calibri"/>
                <w:color w:val="000000"/>
                <w:sz w:val="20"/>
                <w:szCs w:val="20"/>
              </w:rPr>
              <w:t>6.0</w:t>
            </w:r>
          </w:p>
        </w:tc>
        <w:tc>
          <w:tcPr>
            <w:tcW w:w="943" w:type="dxa"/>
            <w:tcBorders>
              <w:top w:val="nil"/>
              <w:left w:val="single" w:sz="4" w:space="0" w:color="auto"/>
              <w:bottom w:val="nil"/>
              <w:right w:val="nil"/>
            </w:tcBorders>
            <w:shd w:val="clear" w:color="auto" w:fill="auto"/>
            <w:noWrap/>
            <w:vAlign w:val="bottom"/>
            <w:hideMark/>
          </w:tcPr>
          <w:p w14:paraId="04B46814"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$25.6</w:t>
            </w:r>
          </w:p>
        </w:tc>
        <w:tc>
          <w:tcPr>
            <w:tcW w:w="943" w:type="dxa"/>
            <w:tcBorders>
              <w:top w:val="nil"/>
              <w:left w:val="nil"/>
              <w:bottom w:val="nil"/>
              <w:right w:val="nil"/>
            </w:tcBorders>
            <w:shd w:val="clear" w:color="auto" w:fill="auto"/>
            <w:noWrap/>
            <w:vAlign w:val="bottom"/>
            <w:hideMark/>
          </w:tcPr>
          <w:p w14:paraId="180983CF"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$6.9</w:t>
            </w:r>
          </w:p>
        </w:tc>
        <w:tc>
          <w:tcPr>
            <w:tcW w:w="943" w:type="dxa"/>
            <w:tcBorders>
              <w:top w:val="nil"/>
              <w:left w:val="nil"/>
              <w:bottom w:val="nil"/>
              <w:right w:val="single" w:sz="4" w:space="0" w:color="auto"/>
            </w:tcBorders>
            <w:shd w:val="clear" w:color="auto" w:fill="auto"/>
            <w:noWrap/>
            <w:vAlign w:val="bottom"/>
            <w:hideMark/>
          </w:tcPr>
          <w:p w14:paraId="40126D0C"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$32.5</w:t>
            </w:r>
          </w:p>
        </w:tc>
        <w:tc>
          <w:tcPr>
            <w:tcW w:w="943" w:type="dxa"/>
            <w:tcBorders>
              <w:top w:val="nil"/>
              <w:left w:val="single" w:sz="4" w:space="0" w:color="auto"/>
              <w:bottom w:val="nil"/>
              <w:right w:val="nil"/>
            </w:tcBorders>
            <w:shd w:val="clear" w:color="auto" w:fill="D9D9D9" w:themeFill="background2" w:themeFillShade="D9"/>
            <w:noWrap/>
            <w:vAlign w:val="bottom"/>
            <w:hideMark/>
          </w:tcPr>
          <w:p w14:paraId="1DEE3ED3" w14:textId="7A29A988"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w:t>
            </w:r>
            <w:r w:rsidR="009A2343" w:rsidRPr="000114E3">
              <w:rPr>
                <w:rFonts w:ascii="Calibri" w:hAnsi="Calibri" w:cs="Calibri"/>
                <w:color w:val="000000"/>
                <w:sz w:val="20"/>
                <w:szCs w:val="20"/>
              </w:rPr>
              <w:t>6.5</w:t>
            </w:r>
          </w:p>
        </w:tc>
        <w:tc>
          <w:tcPr>
            <w:tcW w:w="943" w:type="dxa"/>
            <w:tcBorders>
              <w:top w:val="nil"/>
              <w:left w:val="nil"/>
              <w:bottom w:val="nil"/>
              <w:right w:val="nil"/>
            </w:tcBorders>
            <w:shd w:val="clear" w:color="auto" w:fill="D9D9D9" w:themeFill="background2" w:themeFillShade="D9"/>
            <w:noWrap/>
            <w:vAlign w:val="bottom"/>
          </w:tcPr>
          <w:p w14:paraId="57ECF9D8" w14:textId="3AE362D6" w:rsidR="00373D74" w:rsidRPr="000114E3" w:rsidRDefault="009A2343" w:rsidP="00C8307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5.4</w:t>
            </w:r>
          </w:p>
        </w:tc>
        <w:tc>
          <w:tcPr>
            <w:tcW w:w="1245" w:type="dxa"/>
            <w:tcBorders>
              <w:top w:val="nil"/>
              <w:left w:val="nil"/>
              <w:bottom w:val="nil"/>
              <w:right w:val="single" w:sz="4" w:space="0" w:color="auto"/>
            </w:tcBorders>
            <w:shd w:val="clear" w:color="auto" w:fill="auto"/>
            <w:noWrap/>
            <w:vAlign w:val="bottom"/>
            <w:hideMark/>
          </w:tcPr>
          <w:p w14:paraId="3939C177" w14:textId="1571EB05"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0.</w:t>
            </w:r>
            <w:r w:rsidR="009A2343" w:rsidRPr="000114E3">
              <w:rPr>
                <w:rFonts w:ascii="Calibri" w:hAnsi="Calibri" w:cs="Calibri"/>
                <w:color w:val="000000"/>
                <w:sz w:val="20"/>
                <w:szCs w:val="20"/>
              </w:rPr>
              <w:t>8</w:t>
            </w:r>
            <w:r w:rsidRPr="000114E3">
              <w:rPr>
                <w:rFonts w:ascii="Calibri" w:hAnsi="Calibri" w:cs="Calibri"/>
                <w:color w:val="000000"/>
                <w:sz w:val="20"/>
                <w:szCs w:val="20"/>
              </w:rPr>
              <w:t>%</w:t>
            </w:r>
          </w:p>
        </w:tc>
      </w:tr>
      <w:tr w:rsidR="00DF0A7B" w:rsidRPr="000114E3" w14:paraId="20A9CB2A" w14:textId="77777777" w:rsidTr="009A2343">
        <w:trPr>
          <w:trHeight w:val="300"/>
        </w:trPr>
        <w:tc>
          <w:tcPr>
            <w:tcW w:w="1413" w:type="dxa"/>
            <w:tcBorders>
              <w:top w:val="nil"/>
              <w:left w:val="single" w:sz="4" w:space="0" w:color="auto"/>
              <w:bottom w:val="nil"/>
              <w:right w:val="single" w:sz="4" w:space="0" w:color="auto"/>
            </w:tcBorders>
            <w:shd w:val="clear" w:color="auto" w:fill="auto"/>
            <w:noWrap/>
            <w:vAlign w:val="bottom"/>
            <w:hideMark/>
          </w:tcPr>
          <w:p w14:paraId="11FF377E" w14:textId="77777777" w:rsidR="00373D74" w:rsidRPr="000114E3" w:rsidRDefault="00373D74" w:rsidP="00C83076">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3A</w:t>
            </w:r>
          </w:p>
        </w:tc>
        <w:tc>
          <w:tcPr>
            <w:tcW w:w="942" w:type="dxa"/>
            <w:tcBorders>
              <w:top w:val="nil"/>
              <w:left w:val="nil"/>
              <w:bottom w:val="nil"/>
              <w:right w:val="nil"/>
            </w:tcBorders>
            <w:shd w:val="clear" w:color="auto" w:fill="auto"/>
            <w:noWrap/>
            <w:vAlign w:val="bottom"/>
            <w:hideMark/>
          </w:tcPr>
          <w:p w14:paraId="07009CD7" w14:textId="63F64983"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w:t>
            </w:r>
            <w:r w:rsidR="00C83076" w:rsidRPr="000114E3">
              <w:rPr>
                <w:rFonts w:ascii="Calibri" w:hAnsi="Calibri" w:cs="Calibri"/>
                <w:color w:val="000000"/>
                <w:sz w:val="20"/>
                <w:szCs w:val="20"/>
              </w:rPr>
              <w:t>7.2</w:t>
            </w:r>
          </w:p>
        </w:tc>
        <w:tc>
          <w:tcPr>
            <w:tcW w:w="1042" w:type="dxa"/>
            <w:tcBorders>
              <w:top w:val="nil"/>
              <w:left w:val="nil"/>
              <w:bottom w:val="nil"/>
              <w:right w:val="nil"/>
            </w:tcBorders>
            <w:shd w:val="clear" w:color="auto" w:fill="auto"/>
            <w:noWrap/>
            <w:vAlign w:val="bottom"/>
            <w:hideMark/>
          </w:tcPr>
          <w:p w14:paraId="3D8DA332"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$3.9</w:t>
            </w:r>
          </w:p>
        </w:tc>
        <w:tc>
          <w:tcPr>
            <w:tcW w:w="844" w:type="dxa"/>
            <w:tcBorders>
              <w:top w:val="nil"/>
              <w:left w:val="nil"/>
              <w:bottom w:val="nil"/>
              <w:right w:val="single" w:sz="4" w:space="0" w:color="auto"/>
            </w:tcBorders>
            <w:shd w:val="clear" w:color="auto" w:fill="auto"/>
            <w:noWrap/>
            <w:vAlign w:val="bottom"/>
            <w:hideMark/>
          </w:tcPr>
          <w:p w14:paraId="7DBA8CC0" w14:textId="02AD37AD"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w:t>
            </w:r>
            <w:r w:rsidR="009A2343" w:rsidRPr="000114E3">
              <w:rPr>
                <w:rFonts w:ascii="Calibri" w:hAnsi="Calibri" w:cs="Calibri"/>
                <w:color w:val="000000"/>
                <w:sz w:val="20"/>
                <w:szCs w:val="20"/>
              </w:rPr>
              <w:t>11.1</w:t>
            </w:r>
          </w:p>
        </w:tc>
        <w:tc>
          <w:tcPr>
            <w:tcW w:w="943" w:type="dxa"/>
            <w:tcBorders>
              <w:top w:val="nil"/>
              <w:left w:val="single" w:sz="4" w:space="0" w:color="auto"/>
              <w:bottom w:val="nil"/>
              <w:right w:val="nil"/>
            </w:tcBorders>
            <w:shd w:val="clear" w:color="auto" w:fill="auto"/>
            <w:noWrap/>
            <w:vAlign w:val="bottom"/>
            <w:hideMark/>
          </w:tcPr>
          <w:p w14:paraId="78B6AEE9"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$28.5</w:t>
            </w:r>
          </w:p>
        </w:tc>
        <w:tc>
          <w:tcPr>
            <w:tcW w:w="943" w:type="dxa"/>
            <w:tcBorders>
              <w:top w:val="nil"/>
              <w:left w:val="nil"/>
              <w:bottom w:val="nil"/>
              <w:right w:val="nil"/>
            </w:tcBorders>
            <w:shd w:val="clear" w:color="auto" w:fill="auto"/>
            <w:noWrap/>
            <w:vAlign w:val="bottom"/>
            <w:hideMark/>
          </w:tcPr>
          <w:p w14:paraId="136128F1"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$6.8</w:t>
            </w:r>
          </w:p>
        </w:tc>
        <w:tc>
          <w:tcPr>
            <w:tcW w:w="943" w:type="dxa"/>
            <w:tcBorders>
              <w:top w:val="nil"/>
              <w:left w:val="nil"/>
              <w:bottom w:val="nil"/>
              <w:right w:val="single" w:sz="4" w:space="0" w:color="auto"/>
            </w:tcBorders>
            <w:shd w:val="clear" w:color="auto" w:fill="auto"/>
            <w:noWrap/>
            <w:vAlign w:val="bottom"/>
            <w:hideMark/>
          </w:tcPr>
          <w:p w14:paraId="116C689D"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$35.3</w:t>
            </w:r>
          </w:p>
        </w:tc>
        <w:tc>
          <w:tcPr>
            <w:tcW w:w="943" w:type="dxa"/>
            <w:tcBorders>
              <w:top w:val="nil"/>
              <w:left w:val="single" w:sz="4" w:space="0" w:color="auto"/>
              <w:bottom w:val="nil"/>
              <w:right w:val="nil"/>
            </w:tcBorders>
            <w:shd w:val="clear" w:color="auto" w:fill="D9D9D9" w:themeFill="background2" w:themeFillShade="D9"/>
            <w:noWrap/>
            <w:vAlign w:val="bottom"/>
            <w:hideMark/>
          </w:tcPr>
          <w:p w14:paraId="06F61852" w14:textId="688B6473"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w:t>
            </w:r>
            <w:r w:rsidR="009A2343" w:rsidRPr="000114E3">
              <w:rPr>
                <w:rFonts w:ascii="Calibri" w:hAnsi="Calibri" w:cs="Calibri"/>
                <w:color w:val="000000"/>
                <w:sz w:val="20"/>
                <w:szCs w:val="20"/>
              </w:rPr>
              <w:t>4.2</w:t>
            </w:r>
          </w:p>
        </w:tc>
        <w:tc>
          <w:tcPr>
            <w:tcW w:w="943" w:type="dxa"/>
            <w:tcBorders>
              <w:top w:val="nil"/>
              <w:left w:val="nil"/>
              <w:bottom w:val="nil"/>
              <w:right w:val="nil"/>
            </w:tcBorders>
            <w:shd w:val="clear" w:color="auto" w:fill="D9D9D9" w:themeFill="background2" w:themeFillShade="D9"/>
            <w:noWrap/>
            <w:vAlign w:val="bottom"/>
          </w:tcPr>
          <w:p w14:paraId="2A0FA7A1" w14:textId="4201DC26" w:rsidR="00373D74" w:rsidRPr="000114E3" w:rsidRDefault="009A2343" w:rsidP="00C8307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w:t>
            </w:r>
          </w:p>
        </w:tc>
        <w:tc>
          <w:tcPr>
            <w:tcW w:w="1245" w:type="dxa"/>
            <w:tcBorders>
              <w:top w:val="nil"/>
              <w:left w:val="nil"/>
              <w:bottom w:val="nil"/>
              <w:right w:val="single" w:sz="4" w:space="0" w:color="auto"/>
            </w:tcBorders>
            <w:shd w:val="clear" w:color="auto" w:fill="auto"/>
            <w:noWrap/>
            <w:vAlign w:val="bottom"/>
            <w:hideMark/>
          </w:tcPr>
          <w:p w14:paraId="359E9AEA" w14:textId="1035838B" w:rsidR="00373D74" w:rsidRPr="000114E3" w:rsidRDefault="009A2343"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1.4</w:t>
            </w:r>
            <w:r w:rsidR="00373D74" w:rsidRPr="000114E3">
              <w:rPr>
                <w:rFonts w:ascii="Calibri" w:hAnsi="Calibri" w:cs="Calibri"/>
                <w:color w:val="000000"/>
                <w:sz w:val="20"/>
                <w:szCs w:val="20"/>
              </w:rPr>
              <w:t>%</w:t>
            </w:r>
          </w:p>
        </w:tc>
      </w:tr>
      <w:tr w:rsidR="00DF0A7B" w:rsidRPr="000114E3" w14:paraId="0C84BCBC" w14:textId="77777777" w:rsidTr="009A2343">
        <w:trPr>
          <w:trHeight w:val="300"/>
        </w:trPr>
        <w:tc>
          <w:tcPr>
            <w:tcW w:w="1413" w:type="dxa"/>
            <w:tcBorders>
              <w:top w:val="nil"/>
              <w:left w:val="single" w:sz="4" w:space="0" w:color="auto"/>
              <w:bottom w:val="nil"/>
              <w:right w:val="single" w:sz="4" w:space="0" w:color="auto"/>
            </w:tcBorders>
            <w:shd w:val="clear" w:color="auto" w:fill="auto"/>
            <w:noWrap/>
            <w:vAlign w:val="bottom"/>
            <w:hideMark/>
          </w:tcPr>
          <w:p w14:paraId="2CE3E107" w14:textId="77777777" w:rsidR="00373D74" w:rsidRPr="000114E3" w:rsidRDefault="00373D74" w:rsidP="00C83076">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3B</w:t>
            </w:r>
          </w:p>
        </w:tc>
        <w:tc>
          <w:tcPr>
            <w:tcW w:w="942" w:type="dxa"/>
            <w:tcBorders>
              <w:top w:val="nil"/>
              <w:left w:val="nil"/>
              <w:bottom w:val="nil"/>
              <w:right w:val="nil"/>
            </w:tcBorders>
            <w:shd w:val="clear" w:color="auto" w:fill="auto"/>
            <w:noWrap/>
            <w:vAlign w:val="bottom"/>
            <w:hideMark/>
          </w:tcPr>
          <w:p w14:paraId="3D3C8A0F" w14:textId="3CF348D9"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w:t>
            </w:r>
            <w:r w:rsidR="00C83076" w:rsidRPr="000114E3">
              <w:rPr>
                <w:rFonts w:ascii="Calibri" w:hAnsi="Calibri" w:cs="Calibri"/>
                <w:color w:val="000000"/>
                <w:sz w:val="20"/>
                <w:szCs w:val="20"/>
              </w:rPr>
              <w:t>8</w:t>
            </w:r>
            <w:r w:rsidRPr="000114E3">
              <w:rPr>
                <w:rFonts w:ascii="Calibri" w:hAnsi="Calibri" w:cs="Calibri"/>
                <w:color w:val="000000"/>
                <w:sz w:val="20"/>
                <w:szCs w:val="20"/>
              </w:rPr>
              <w:t>.</w:t>
            </w:r>
            <w:r w:rsidR="00C83076" w:rsidRPr="000114E3">
              <w:rPr>
                <w:rFonts w:ascii="Calibri" w:hAnsi="Calibri" w:cs="Calibri"/>
                <w:color w:val="000000"/>
                <w:sz w:val="20"/>
                <w:szCs w:val="20"/>
              </w:rPr>
              <w:t>2</w:t>
            </w:r>
          </w:p>
        </w:tc>
        <w:tc>
          <w:tcPr>
            <w:tcW w:w="1042" w:type="dxa"/>
            <w:tcBorders>
              <w:top w:val="nil"/>
              <w:left w:val="nil"/>
              <w:bottom w:val="nil"/>
              <w:right w:val="nil"/>
            </w:tcBorders>
            <w:shd w:val="clear" w:color="auto" w:fill="auto"/>
            <w:noWrap/>
            <w:vAlign w:val="bottom"/>
            <w:hideMark/>
          </w:tcPr>
          <w:p w14:paraId="568923FC"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$4.4</w:t>
            </w:r>
          </w:p>
        </w:tc>
        <w:tc>
          <w:tcPr>
            <w:tcW w:w="844" w:type="dxa"/>
            <w:tcBorders>
              <w:top w:val="nil"/>
              <w:left w:val="nil"/>
              <w:bottom w:val="nil"/>
              <w:right w:val="single" w:sz="4" w:space="0" w:color="auto"/>
            </w:tcBorders>
            <w:shd w:val="clear" w:color="auto" w:fill="auto"/>
            <w:noWrap/>
            <w:vAlign w:val="bottom"/>
            <w:hideMark/>
          </w:tcPr>
          <w:p w14:paraId="66365FC6" w14:textId="2ED5562C"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w:t>
            </w:r>
            <w:r w:rsidR="009A2343" w:rsidRPr="000114E3">
              <w:rPr>
                <w:rFonts w:ascii="Calibri" w:hAnsi="Calibri" w:cs="Calibri"/>
                <w:color w:val="000000"/>
                <w:sz w:val="20"/>
                <w:szCs w:val="20"/>
              </w:rPr>
              <w:t>12.6</w:t>
            </w:r>
          </w:p>
        </w:tc>
        <w:tc>
          <w:tcPr>
            <w:tcW w:w="943" w:type="dxa"/>
            <w:tcBorders>
              <w:top w:val="nil"/>
              <w:left w:val="single" w:sz="4" w:space="0" w:color="auto"/>
              <w:bottom w:val="nil"/>
              <w:right w:val="nil"/>
            </w:tcBorders>
            <w:shd w:val="clear" w:color="auto" w:fill="auto"/>
            <w:noWrap/>
            <w:vAlign w:val="bottom"/>
            <w:hideMark/>
          </w:tcPr>
          <w:p w14:paraId="4F0517FB"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$31.0</w:t>
            </w:r>
          </w:p>
        </w:tc>
        <w:tc>
          <w:tcPr>
            <w:tcW w:w="943" w:type="dxa"/>
            <w:tcBorders>
              <w:top w:val="nil"/>
              <w:left w:val="nil"/>
              <w:bottom w:val="nil"/>
              <w:right w:val="nil"/>
            </w:tcBorders>
            <w:shd w:val="clear" w:color="auto" w:fill="auto"/>
            <w:noWrap/>
            <w:vAlign w:val="bottom"/>
            <w:hideMark/>
          </w:tcPr>
          <w:p w14:paraId="1175C4FD"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$6.9</w:t>
            </w:r>
          </w:p>
        </w:tc>
        <w:tc>
          <w:tcPr>
            <w:tcW w:w="943" w:type="dxa"/>
            <w:tcBorders>
              <w:top w:val="nil"/>
              <w:left w:val="nil"/>
              <w:bottom w:val="nil"/>
              <w:right w:val="single" w:sz="4" w:space="0" w:color="auto"/>
            </w:tcBorders>
            <w:shd w:val="clear" w:color="auto" w:fill="auto"/>
            <w:noWrap/>
            <w:vAlign w:val="bottom"/>
            <w:hideMark/>
          </w:tcPr>
          <w:p w14:paraId="6E12D85A"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$37.9</w:t>
            </w:r>
          </w:p>
        </w:tc>
        <w:tc>
          <w:tcPr>
            <w:tcW w:w="943" w:type="dxa"/>
            <w:tcBorders>
              <w:top w:val="nil"/>
              <w:left w:val="single" w:sz="4" w:space="0" w:color="auto"/>
              <w:bottom w:val="nil"/>
              <w:right w:val="nil"/>
            </w:tcBorders>
            <w:shd w:val="clear" w:color="auto" w:fill="D9D9D9" w:themeFill="background2" w:themeFillShade="D9"/>
            <w:noWrap/>
            <w:vAlign w:val="bottom"/>
            <w:hideMark/>
          </w:tcPr>
          <w:p w14:paraId="6402E89C" w14:textId="082851F1"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w:t>
            </w:r>
            <w:r w:rsidR="009A2343" w:rsidRPr="000114E3">
              <w:rPr>
                <w:rFonts w:ascii="Calibri" w:hAnsi="Calibri" w:cs="Calibri"/>
                <w:color w:val="000000"/>
                <w:sz w:val="20"/>
                <w:szCs w:val="20"/>
              </w:rPr>
              <w:t>5.0</w:t>
            </w:r>
          </w:p>
        </w:tc>
        <w:tc>
          <w:tcPr>
            <w:tcW w:w="943" w:type="dxa"/>
            <w:tcBorders>
              <w:top w:val="nil"/>
              <w:left w:val="nil"/>
              <w:bottom w:val="nil"/>
              <w:right w:val="nil"/>
            </w:tcBorders>
            <w:shd w:val="clear" w:color="auto" w:fill="D9D9D9" w:themeFill="background2" w:themeFillShade="D9"/>
            <w:noWrap/>
            <w:vAlign w:val="bottom"/>
          </w:tcPr>
          <w:p w14:paraId="5EA28282" w14:textId="0A67A6DE" w:rsidR="00373D74" w:rsidRPr="000114E3" w:rsidRDefault="009A2343" w:rsidP="00C8307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3.0</w:t>
            </w:r>
          </w:p>
        </w:tc>
        <w:tc>
          <w:tcPr>
            <w:tcW w:w="1245" w:type="dxa"/>
            <w:tcBorders>
              <w:top w:val="nil"/>
              <w:left w:val="nil"/>
              <w:bottom w:val="nil"/>
              <w:right w:val="single" w:sz="4" w:space="0" w:color="auto"/>
            </w:tcBorders>
            <w:shd w:val="clear" w:color="auto" w:fill="auto"/>
            <w:noWrap/>
            <w:vAlign w:val="bottom"/>
            <w:hideMark/>
          </w:tcPr>
          <w:p w14:paraId="1B75AD44" w14:textId="2E5863B0" w:rsidR="00373D74" w:rsidRPr="000114E3" w:rsidRDefault="009A2343"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1.6</w:t>
            </w:r>
            <w:r w:rsidR="00373D74" w:rsidRPr="000114E3">
              <w:rPr>
                <w:rFonts w:ascii="Calibri" w:hAnsi="Calibri" w:cs="Calibri"/>
                <w:color w:val="000000"/>
                <w:sz w:val="20"/>
                <w:szCs w:val="20"/>
              </w:rPr>
              <w:t>%</w:t>
            </w:r>
          </w:p>
        </w:tc>
      </w:tr>
      <w:tr w:rsidR="00DF0A7B" w:rsidRPr="000114E3" w14:paraId="65ED51FF" w14:textId="77777777" w:rsidTr="009A2343">
        <w:trPr>
          <w:trHeight w:val="300"/>
        </w:trPr>
        <w:tc>
          <w:tcPr>
            <w:tcW w:w="1413" w:type="dxa"/>
            <w:tcBorders>
              <w:top w:val="nil"/>
              <w:left w:val="single" w:sz="4" w:space="0" w:color="auto"/>
              <w:bottom w:val="nil"/>
              <w:right w:val="single" w:sz="4" w:space="0" w:color="auto"/>
            </w:tcBorders>
            <w:shd w:val="clear" w:color="auto" w:fill="auto"/>
            <w:noWrap/>
            <w:vAlign w:val="bottom"/>
            <w:hideMark/>
          </w:tcPr>
          <w:p w14:paraId="5B492028" w14:textId="77777777" w:rsidR="00373D74" w:rsidRPr="000114E3" w:rsidRDefault="00373D74" w:rsidP="00C83076">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4A</w:t>
            </w:r>
          </w:p>
        </w:tc>
        <w:tc>
          <w:tcPr>
            <w:tcW w:w="942" w:type="dxa"/>
            <w:tcBorders>
              <w:top w:val="nil"/>
              <w:left w:val="nil"/>
              <w:bottom w:val="nil"/>
              <w:right w:val="nil"/>
            </w:tcBorders>
            <w:shd w:val="clear" w:color="auto" w:fill="auto"/>
            <w:noWrap/>
            <w:vAlign w:val="bottom"/>
            <w:hideMark/>
          </w:tcPr>
          <w:p w14:paraId="1F6390A6" w14:textId="57F89281"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w:t>
            </w:r>
            <w:r w:rsidR="00C83076" w:rsidRPr="000114E3">
              <w:rPr>
                <w:rFonts w:ascii="Calibri" w:hAnsi="Calibri" w:cs="Calibri"/>
                <w:color w:val="000000"/>
                <w:sz w:val="20"/>
                <w:szCs w:val="20"/>
              </w:rPr>
              <w:t>27.8</w:t>
            </w:r>
          </w:p>
        </w:tc>
        <w:tc>
          <w:tcPr>
            <w:tcW w:w="1042" w:type="dxa"/>
            <w:tcBorders>
              <w:top w:val="nil"/>
              <w:left w:val="nil"/>
              <w:bottom w:val="nil"/>
              <w:right w:val="nil"/>
            </w:tcBorders>
            <w:shd w:val="clear" w:color="auto" w:fill="auto"/>
            <w:noWrap/>
            <w:vAlign w:val="bottom"/>
            <w:hideMark/>
          </w:tcPr>
          <w:p w14:paraId="49B0FC48"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$3.9</w:t>
            </w:r>
          </w:p>
        </w:tc>
        <w:tc>
          <w:tcPr>
            <w:tcW w:w="844" w:type="dxa"/>
            <w:tcBorders>
              <w:top w:val="nil"/>
              <w:left w:val="nil"/>
              <w:bottom w:val="nil"/>
              <w:right w:val="single" w:sz="4" w:space="0" w:color="auto"/>
            </w:tcBorders>
            <w:shd w:val="clear" w:color="auto" w:fill="auto"/>
            <w:noWrap/>
            <w:vAlign w:val="bottom"/>
            <w:hideMark/>
          </w:tcPr>
          <w:p w14:paraId="25CB370A" w14:textId="39A4D08F"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w:t>
            </w:r>
            <w:r w:rsidR="009A2343" w:rsidRPr="000114E3">
              <w:rPr>
                <w:rFonts w:ascii="Calibri" w:hAnsi="Calibri" w:cs="Calibri"/>
                <w:color w:val="000000"/>
                <w:sz w:val="20"/>
                <w:szCs w:val="20"/>
              </w:rPr>
              <w:t>31.7</w:t>
            </w:r>
          </w:p>
        </w:tc>
        <w:tc>
          <w:tcPr>
            <w:tcW w:w="943" w:type="dxa"/>
            <w:tcBorders>
              <w:top w:val="nil"/>
              <w:left w:val="single" w:sz="4" w:space="0" w:color="auto"/>
              <w:bottom w:val="nil"/>
              <w:right w:val="nil"/>
            </w:tcBorders>
            <w:shd w:val="clear" w:color="auto" w:fill="auto"/>
            <w:noWrap/>
            <w:vAlign w:val="bottom"/>
            <w:hideMark/>
          </w:tcPr>
          <w:p w14:paraId="000B4F28"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$61.8</w:t>
            </w:r>
          </w:p>
        </w:tc>
        <w:tc>
          <w:tcPr>
            <w:tcW w:w="943" w:type="dxa"/>
            <w:tcBorders>
              <w:top w:val="nil"/>
              <w:left w:val="nil"/>
              <w:bottom w:val="nil"/>
              <w:right w:val="nil"/>
            </w:tcBorders>
            <w:shd w:val="clear" w:color="auto" w:fill="auto"/>
            <w:noWrap/>
            <w:vAlign w:val="bottom"/>
            <w:hideMark/>
          </w:tcPr>
          <w:p w14:paraId="4CE860CF"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$8.2</w:t>
            </w:r>
          </w:p>
        </w:tc>
        <w:tc>
          <w:tcPr>
            <w:tcW w:w="943" w:type="dxa"/>
            <w:tcBorders>
              <w:top w:val="nil"/>
              <w:left w:val="nil"/>
              <w:bottom w:val="nil"/>
              <w:right w:val="single" w:sz="4" w:space="0" w:color="auto"/>
            </w:tcBorders>
            <w:shd w:val="clear" w:color="auto" w:fill="auto"/>
            <w:noWrap/>
            <w:vAlign w:val="bottom"/>
            <w:hideMark/>
          </w:tcPr>
          <w:p w14:paraId="09D6D6A5"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$70.0</w:t>
            </w:r>
          </w:p>
        </w:tc>
        <w:tc>
          <w:tcPr>
            <w:tcW w:w="943" w:type="dxa"/>
            <w:tcBorders>
              <w:top w:val="nil"/>
              <w:left w:val="single" w:sz="4" w:space="0" w:color="auto"/>
              <w:bottom w:val="nil"/>
              <w:right w:val="nil"/>
            </w:tcBorders>
            <w:shd w:val="clear" w:color="auto" w:fill="D9D9D9" w:themeFill="background2" w:themeFillShade="D9"/>
            <w:noWrap/>
            <w:vAlign w:val="bottom"/>
            <w:hideMark/>
          </w:tcPr>
          <w:p w14:paraId="11F53935" w14:textId="00EFBD20"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w:t>
            </w:r>
            <w:r w:rsidR="009A2343" w:rsidRPr="000114E3">
              <w:rPr>
                <w:rFonts w:ascii="Calibri" w:hAnsi="Calibri" w:cs="Calibri"/>
                <w:color w:val="000000"/>
                <w:sz w:val="20"/>
                <w:szCs w:val="20"/>
              </w:rPr>
              <w:t>38.3</w:t>
            </w:r>
          </w:p>
        </w:tc>
        <w:tc>
          <w:tcPr>
            <w:tcW w:w="943" w:type="dxa"/>
            <w:tcBorders>
              <w:top w:val="nil"/>
              <w:left w:val="nil"/>
              <w:bottom w:val="nil"/>
              <w:right w:val="nil"/>
            </w:tcBorders>
            <w:shd w:val="clear" w:color="auto" w:fill="D9D9D9" w:themeFill="background2" w:themeFillShade="D9"/>
            <w:noWrap/>
            <w:vAlign w:val="bottom"/>
          </w:tcPr>
          <w:p w14:paraId="07A061C0" w14:textId="7A8FD921" w:rsidR="00373D74" w:rsidRPr="000114E3" w:rsidRDefault="009A2343" w:rsidP="00C8307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2.2</w:t>
            </w:r>
          </w:p>
        </w:tc>
        <w:tc>
          <w:tcPr>
            <w:tcW w:w="1245" w:type="dxa"/>
            <w:tcBorders>
              <w:top w:val="nil"/>
              <w:left w:val="nil"/>
              <w:bottom w:val="nil"/>
              <w:right w:val="single" w:sz="4" w:space="0" w:color="auto"/>
            </w:tcBorders>
            <w:shd w:val="clear" w:color="auto" w:fill="auto"/>
            <w:noWrap/>
            <w:vAlign w:val="bottom"/>
            <w:hideMark/>
          </w:tcPr>
          <w:p w14:paraId="2ED2BEC5" w14:textId="780F70E7" w:rsidR="00373D74" w:rsidRPr="000114E3" w:rsidRDefault="009A2343"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5.4</w:t>
            </w:r>
            <w:r w:rsidR="00373D74" w:rsidRPr="000114E3">
              <w:rPr>
                <w:rFonts w:ascii="Calibri" w:hAnsi="Calibri" w:cs="Calibri"/>
                <w:color w:val="000000"/>
                <w:sz w:val="20"/>
                <w:szCs w:val="20"/>
              </w:rPr>
              <w:t>%</w:t>
            </w:r>
          </w:p>
        </w:tc>
      </w:tr>
      <w:tr w:rsidR="00DF0A7B" w:rsidRPr="000114E3" w14:paraId="0120AE37" w14:textId="77777777" w:rsidTr="009A2343">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C6F99F2" w14:textId="77777777" w:rsidR="00373D74" w:rsidRPr="000114E3" w:rsidRDefault="00373D74" w:rsidP="00C83076">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Option 4B</w:t>
            </w:r>
          </w:p>
        </w:tc>
        <w:tc>
          <w:tcPr>
            <w:tcW w:w="942" w:type="dxa"/>
            <w:tcBorders>
              <w:top w:val="nil"/>
              <w:left w:val="nil"/>
              <w:bottom w:val="single" w:sz="4" w:space="0" w:color="auto"/>
              <w:right w:val="nil"/>
            </w:tcBorders>
            <w:shd w:val="clear" w:color="auto" w:fill="auto"/>
            <w:noWrap/>
            <w:vAlign w:val="bottom"/>
            <w:hideMark/>
          </w:tcPr>
          <w:p w14:paraId="4071D1D9" w14:textId="00DDBEC8"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w:t>
            </w:r>
            <w:r w:rsidR="00C83076" w:rsidRPr="000114E3">
              <w:rPr>
                <w:rFonts w:ascii="Calibri" w:hAnsi="Calibri" w:cs="Calibri"/>
                <w:color w:val="000000"/>
                <w:sz w:val="20"/>
                <w:szCs w:val="20"/>
              </w:rPr>
              <w:t>23</w:t>
            </w:r>
            <w:r w:rsidRPr="000114E3">
              <w:rPr>
                <w:rFonts w:ascii="Calibri" w:hAnsi="Calibri" w:cs="Calibri"/>
                <w:color w:val="000000"/>
                <w:sz w:val="20"/>
                <w:szCs w:val="20"/>
              </w:rPr>
              <w:t>.</w:t>
            </w:r>
            <w:r w:rsidR="00C83076" w:rsidRPr="000114E3">
              <w:rPr>
                <w:rFonts w:ascii="Calibri" w:hAnsi="Calibri" w:cs="Calibri"/>
                <w:color w:val="000000"/>
                <w:sz w:val="20"/>
                <w:szCs w:val="20"/>
              </w:rPr>
              <w:t>8</w:t>
            </w:r>
          </w:p>
        </w:tc>
        <w:tc>
          <w:tcPr>
            <w:tcW w:w="1042" w:type="dxa"/>
            <w:tcBorders>
              <w:top w:val="nil"/>
              <w:left w:val="nil"/>
              <w:bottom w:val="single" w:sz="4" w:space="0" w:color="auto"/>
              <w:right w:val="nil"/>
            </w:tcBorders>
            <w:shd w:val="clear" w:color="auto" w:fill="auto"/>
            <w:noWrap/>
            <w:vAlign w:val="bottom"/>
            <w:hideMark/>
          </w:tcPr>
          <w:p w14:paraId="698C521D"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$4.0</w:t>
            </w:r>
          </w:p>
        </w:tc>
        <w:tc>
          <w:tcPr>
            <w:tcW w:w="844" w:type="dxa"/>
            <w:tcBorders>
              <w:top w:val="nil"/>
              <w:left w:val="nil"/>
              <w:bottom w:val="single" w:sz="4" w:space="0" w:color="auto"/>
              <w:right w:val="single" w:sz="4" w:space="0" w:color="auto"/>
            </w:tcBorders>
            <w:shd w:val="clear" w:color="auto" w:fill="auto"/>
            <w:noWrap/>
            <w:vAlign w:val="bottom"/>
            <w:hideMark/>
          </w:tcPr>
          <w:p w14:paraId="47370C09" w14:textId="6A2EFE7C"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w:t>
            </w:r>
            <w:r w:rsidR="009A2343" w:rsidRPr="000114E3">
              <w:rPr>
                <w:rFonts w:ascii="Calibri" w:hAnsi="Calibri" w:cs="Calibri"/>
                <w:color w:val="000000"/>
                <w:sz w:val="20"/>
                <w:szCs w:val="20"/>
              </w:rPr>
              <w:t>27.8</w:t>
            </w:r>
          </w:p>
        </w:tc>
        <w:tc>
          <w:tcPr>
            <w:tcW w:w="943" w:type="dxa"/>
            <w:tcBorders>
              <w:top w:val="nil"/>
              <w:left w:val="single" w:sz="4" w:space="0" w:color="auto"/>
              <w:bottom w:val="single" w:sz="4" w:space="0" w:color="auto"/>
              <w:right w:val="nil"/>
            </w:tcBorders>
            <w:shd w:val="clear" w:color="auto" w:fill="auto"/>
            <w:noWrap/>
            <w:vAlign w:val="bottom"/>
            <w:hideMark/>
          </w:tcPr>
          <w:p w14:paraId="25D58585"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$58.0</w:t>
            </w:r>
          </w:p>
        </w:tc>
        <w:tc>
          <w:tcPr>
            <w:tcW w:w="943" w:type="dxa"/>
            <w:tcBorders>
              <w:top w:val="nil"/>
              <w:left w:val="nil"/>
              <w:bottom w:val="single" w:sz="4" w:space="0" w:color="auto"/>
              <w:right w:val="nil"/>
            </w:tcBorders>
            <w:shd w:val="clear" w:color="auto" w:fill="auto"/>
            <w:noWrap/>
            <w:vAlign w:val="bottom"/>
            <w:hideMark/>
          </w:tcPr>
          <w:p w14:paraId="0B700767"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$5.3</w:t>
            </w:r>
          </w:p>
        </w:tc>
        <w:tc>
          <w:tcPr>
            <w:tcW w:w="943" w:type="dxa"/>
            <w:tcBorders>
              <w:top w:val="nil"/>
              <w:left w:val="nil"/>
              <w:bottom w:val="single" w:sz="4" w:space="0" w:color="auto"/>
              <w:right w:val="single" w:sz="4" w:space="0" w:color="auto"/>
            </w:tcBorders>
            <w:shd w:val="clear" w:color="auto" w:fill="auto"/>
            <w:noWrap/>
            <w:vAlign w:val="bottom"/>
            <w:hideMark/>
          </w:tcPr>
          <w:p w14:paraId="63D8A3DA" w14:textId="77777777"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$63.3</w:t>
            </w:r>
          </w:p>
        </w:tc>
        <w:tc>
          <w:tcPr>
            <w:tcW w:w="943" w:type="dxa"/>
            <w:tcBorders>
              <w:top w:val="nil"/>
              <w:left w:val="single" w:sz="4" w:space="0" w:color="auto"/>
              <w:bottom w:val="single" w:sz="4" w:space="0" w:color="auto"/>
              <w:right w:val="nil"/>
            </w:tcBorders>
            <w:shd w:val="clear" w:color="auto" w:fill="D9D9D9" w:themeFill="background2" w:themeFillShade="D9"/>
            <w:noWrap/>
            <w:vAlign w:val="bottom"/>
            <w:hideMark/>
          </w:tcPr>
          <w:p w14:paraId="0912CD32" w14:textId="32A6F4E6" w:rsidR="00373D74" w:rsidRPr="000114E3" w:rsidRDefault="00373D74"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w:t>
            </w:r>
            <w:r w:rsidR="009A2343" w:rsidRPr="000114E3">
              <w:rPr>
                <w:rFonts w:ascii="Calibri" w:hAnsi="Calibri" w:cs="Calibri"/>
                <w:color w:val="000000"/>
                <w:sz w:val="20"/>
                <w:szCs w:val="20"/>
              </w:rPr>
              <w:t>35.5</w:t>
            </w:r>
          </w:p>
        </w:tc>
        <w:tc>
          <w:tcPr>
            <w:tcW w:w="943" w:type="dxa"/>
            <w:tcBorders>
              <w:top w:val="nil"/>
              <w:left w:val="nil"/>
              <w:bottom w:val="single" w:sz="4" w:space="0" w:color="auto"/>
              <w:right w:val="nil"/>
            </w:tcBorders>
            <w:shd w:val="clear" w:color="auto" w:fill="D9D9D9" w:themeFill="background2" w:themeFillShade="D9"/>
            <w:noWrap/>
            <w:vAlign w:val="bottom"/>
          </w:tcPr>
          <w:p w14:paraId="3156B954" w14:textId="09FC83F4" w:rsidR="00373D74" w:rsidRPr="000114E3" w:rsidRDefault="009A2343" w:rsidP="00C83076">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2.3</w:t>
            </w:r>
          </w:p>
        </w:tc>
        <w:tc>
          <w:tcPr>
            <w:tcW w:w="1245" w:type="dxa"/>
            <w:tcBorders>
              <w:top w:val="nil"/>
              <w:left w:val="nil"/>
              <w:bottom w:val="single" w:sz="4" w:space="0" w:color="auto"/>
              <w:right w:val="single" w:sz="4" w:space="0" w:color="auto"/>
            </w:tcBorders>
            <w:shd w:val="clear" w:color="auto" w:fill="auto"/>
            <w:noWrap/>
            <w:vAlign w:val="bottom"/>
            <w:hideMark/>
          </w:tcPr>
          <w:p w14:paraId="67108DE6" w14:textId="2A4FE3C6" w:rsidR="00373D74" w:rsidRPr="000114E3" w:rsidRDefault="009A2343" w:rsidP="00C83076">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4.6</w:t>
            </w:r>
            <w:r w:rsidR="00373D74" w:rsidRPr="000114E3">
              <w:rPr>
                <w:rFonts w:ascii="Calibri" w:hAnsi="Calibri" w:cs="Calibri"/>
                <w:color w:val="000000"/>
                <w:sz w:val="20"/>
                <w:szCs w:val="20"/>
              </w:rPr>
              <w:t>%</w:t>
            </w:r>
          </w:p>
        </w:tc>
      </w:tr>
    </w:tbl>
    <w:p w14:paraId="5DC8188B" w14:textId="291A3B0C" w:rsidR="00373D74" w:rsidRDefault="00373D74" w:rsidP="00373D74">
      <w:pPr>
        <w:jc w:val="center"/>
        <w:rPr>
          <w:sz w:val="18"/>
          <w:szCs w:val="18"/>
        </w:rPr>
      </w:pPr>
      <w:r w:rsidRPr="00680AC2">
        <w:rPr>
          <w:sz w:val="18"/>
          <w:szCs w:val="18"/>
        </w:rPr>
        <w:t>B/C ratio is total benefit</w:t>
      </w:r>
      <w:r>
        <w:rPr>
          <w:sz w:val="18"/>
          <w:szCs w:val="18"/>
        </w:rPr>
        <w:t>s</w:t>
      </w:r>
      <w:r w:rsidRPr="00680AC2">
        <w:rPr>
          <w:sz w:val="18"/>
          <w:szCs w:val="18"/>
        </w:rPr>
        <w:t xml:space="preserve"> divided by total cost</w:t>
      </w:r>
      <w:r>
        <w:rPr>
          <w:sz w:val="18"/>
          <w:szCs w:val="18"/>
        </w:rPr>
        <w:t>s</w:t>
      </w:r>
      <w:r w:rsidRPr="00680AC2">
        <w:rPr>
          <w:sz w:val="18"/>
          <w:szCs w:val="18"/>
        </w:rPr>
        <w:t>.</w:t>
      </w:r>
      <w:r>
        <w:rPr>
          <w:sz w:val="18"/>
          <w:szCs w:val="18"/>
        </w:rPr>
        <w:t xml:space="preserve"> PV is present value.</w:t>
      </w:r>
      <w:r w:rsidRPr="00373D74">
        <w:rPr>
          <w:sz w:val="18"/>
          <w:szCs w:val="18"/>
        </w:rPr>
        <w:t xml:space="preserve"> Note that price increases are additional to those projected to occur as a result of compliance with MEPS.</w:t>
      </w:r>
    </w:p>
    <w:p w14:paraId="2E445ADA" w14:textId="77777777" w:rsidR="000F2521" w:rsidRDefault="000F2521" w:rsidP="00373D74">
      <w:pPr>
        <w:jc w:val="center"/>
        <w:rPr>
          <w:sz w:val="18"/>
          <w:szCs w:val="18"/>
        </w:rPr>
      </w:pPr>
    </w:p>
    <w:p w14:paraId="7BE564D5" w14:textId="45632963" w:rsidR="00CA6F7F" w:rsidRPr="00CA6F7F" w:rsidRDefault="00CA6F7F" w:rsidP="00CA6F7F">
      <w:pPr>
        <w:pStyle w:val="Heading2"/>
        <w:jc w:val="left"/>
      </w:pPr>
      <w:bookmarkStart w:id="107" w:name="_Toc196745428"/>
      <w:r>
        <w:lastRenderedPageBreak/>
        <w:t>4.5 Stakeholder Impacts</w:t>
      </w:r>
      <w:bookmarkEnd w:id="107"/>
    </w:p>
    <w:p w14:paraId="246D79EB" w14:textId="1791293F" w:rsidR="00CA6F7F" w:rsidRDefault="004C300A" w:rsidP="004C300A">
      <w:pPr>
        <w:pStyle w:val="Heading3"/>
      </w:pPr>
      <w:bookmarkStart w:id="108" w:name="_Toc196745429"/>
      <w:r>
        <w:t>Suppliers</w:t>
      </w:r>
      <w:bookmarkEnd w:id="108"/>
    </w:p>
    <w:p w14:paraId="211B0442" w14:textId="7388D62B" w:rsidR="002523D4" w:rsidRDefault="005019EE" w:rsidP="00CA6F7F">
      <w:r>
        <w:t xml:space="preserve">There are about </w:t>
      </w:r>
      <w:r w:rsidR="00B34560">
        <w:t>3</w:t>
      </w:r>
      <w:r>
        <w:t>0 CIM importers</w:t>
      </w:r>
      <w:r w:rsidR="00B34560">
        <w:t xml:space="preserve">, </w:t>
      </w:r>
      <w:r w:rsidR="008779BF" w:rsidRPr="00574A07">
        <w:t xml:space="preserve">one </w:t>
      </w:r>
      <w:r>
        <w:t xml:space="preserve">Australian </w:t>
      </w:r>
      <w:r w:rsidR="008779BF" w:rsidRPr="00574A07">
        <w:t>manufacturer</w:t>
      </w:r>
      <w:r w:rsidR="00B34560">
        <w:t xml:space="preserve"> and about 40 secondary distributors</w:t>
      </w:r>
      <w:r w:rsidR="002D4393">
        <w:t xml:space="preserve">, who would need </w:t>
      </w:r>
      <w:r w:rsidR="008779BF" w:rsidRPr="00574A07">
        <w:t xml:space="preserve">to respond to </w:t>
      </w:r>
      <w:r w:rsidR="008779BF">
        <w:t>any new water</w:t>
      </w:r>
      <w:r w:rsidR="009779D6">
        <w:t xml:space="preserve"> </w:t>
      </w:r>
      <w:r w:rsidR="008779BF">
        <w:t>efficiency measures.</w:t>
      </w:r>
      <w:r w:rsidR="00CB0298">
        <w:rPr>
          <w:rStyle w:val="FootnoteReference"/>
        </w:rPr>
        <w:footnoteReference w:id="13"/>
      </w:r>
      <w:r w:rsidR="008779BF">
        <w:t xml:space="preserve"> The</w:t>
      </w:r>
      <w:r w:rsidR="00B34560">
        <w:t xml:space="preserve"> importers and manufacturer </w:t>
      </w:r>
      <w:r w:rsidR="008779BF">
        <w:t>will have to register their CIM models with the GEMS Regulator in accordance with the GEMS Determination</w:t>
      </w:r>
      <w:r w:rsidR="00D151E4">
        <w:t xml:space="preserve"> </w:t>
      </w:r>
      <w:r w:rsidR="0010708D">
        <w:t>that come</w:t>
      </w:r>
      <w:r w:rsidR="00B34560">
        <w:t>s</w:t>
      </w:r>
      <w:r w:rsidR="0010708D">
        <w:t xml:space="preserve"> into </w:t>
      </w:r>
      <w:r w:rsidR="008779BF">
        <w:t xml:space="preserve">effect in </w:t>
      </w:r>
      <w:r w:rsidR="0010708D">
        <w:t xml:space="preserve">March </w:t>
      </w:r>
      <w:r w:rsidR="008779BF">
        <w:t xml:space="preserve">2026. This will mainly </w:t>
      </w:r>
      <w:r w:rsidR="00B34560">
        <w:t xml:space="preserve">involve </w:t>
      </w:r>
      <w:r w:rsidR="008779BF">
        <w:t>obtain</w:t>
      </w:r>
      <w:r w:rsidR="00B34560">
        <w:t>ing</w:t>
      </w:r>
      <w:r w:rsidR="008779BF">
        <w:t xml:space="preserve"> energy and water consumption test results from overseas suppliers</w:t>
      </w:r>
      <w:r w:rsidR="00D151E4">
        <w:t xml:space="preserve">. </w:t>
      </w:r>
      <w:r w:rsidR="008779BF">
        <w:t>Local test laboratories have also shown interest in offering AS/NZS 4865 testing but will be reluctant to obtain the necessary accreditation until there is a demand</w:t>
      </w:r>
      <w:r w:rsidR="00D151E4">
        <w:t xml:space="preserve"> for the service</w:t>
      </w:r>
      <w:r w:rsidR="008779BF">
        <w:t>.</w:t>
      </w:r>
    </w:p>
    <w:p w14:paraId="377DA16B" w14:textId="41F778C7" w:rsidR="00D151E4" w:rsidRDefault="002523D4" w:rsidP="00CA6F7F">
      <w:r>
        <w:t xml:space="preserve">Models for which the necessary test data are not available by the time the GEMS Determination </w:t>
      </w:r>
      <w:r w:rsidR="005D60BB">
        <w:t xml:space="preserve">takes effect </w:t>
      </w:r>
      <w:r>
        <w:t xml:space="preserve">would have to be withdrawn from the market, either permanently or until thy can be tested in the country of manufacture or in Australia. </w:t>
      </w:r>
      <w:r w:rsidR="0010708D">
        <w:t xml:space="preserve">WELS </w:t>
      </w:r>
      <w:r>
        <w:t xml:space="preserve">adoption of the same </w:t>
      </w:r>
      <w:r w:rsidR="0010708D">
        <w:t xml:space="preserve">CIM definitions, </w:t>
      </w:r>
      <w:r>
        <w:t>categories</w:t>
      </w:r>
      <w:r w:rsidR="0010708D">
        <w:t xml:space="preserve">, </w:t>
      </w:r>
      <w:r>
        <w:t xml:space="preserve">test standards and </w:t>
      </w:r>
      <w:r w:rsidR="0010708D">
        <w:t xml:space="preserve">water and energy test </w:t>
      </w:r>
      <w:r>
        <w:t>methods</w:t>
      </w:r>
      <w:r w:rsidR="0010708D">
        <w:t xml:space="preserve"> means </w:t>
      </w:r>
      <w:r>
        <w:t>that there should be no extra costs to obtaining water performance data.</w:t>
      </w:r>
    </w:p>
    <w:p w14:paraId="5F7DCB9A" w14:textId="4DE14508" w:rsidR="0010708D" w:rsidRDefault="00B34560" w:rsidP="00CA6F7F">
      <w:r>
        <w:t xml:space="preserve">The WELS Regulator can leverage </w:t>
      </w:r>
      <w:r w:rsidR="0010708D" w:rsidRPr="0010708D">
        <w:t xml:space="preserve">the </w:t>
      </w:r>
      <w:r>
        <w:t xml:space="preserve">GEMS Determination and help </w:t>
      </w:r>
      <w:r w:rsidR="0010708D" w:rsidRPr="0010708D">
        <w:t xml:space="preserve">suppliers </w:t>
      </w:r>
      <w:r>
        <w:t xml:space="preserve">assess </w:t>
      </w:r>
      <w:r w:rsidR="0010708D" w:rsidRPr="0010708D">
        <w:t>how their decision</w:t>
      </w:r>
      <w:r>
        <w:t>s</w:t>
      </w:r>
      <w:r w:rsidR="0010708D" w:rsidRPr="0010708D">
        <w:t xml:space="preserve"> to declare water use rates to the GEMS Regulator might influence future WELS </w:t>
      </w:r>
      <w:r>
        <w:t>options</w:t>
      </w:r>
      <w:r w:rsidR="0010708D" w:rsidRPr="0010708D">
        <w:t>. If the WELS Regulator implements the non-regulatory Option 2 with the intention of moving to a regulatory option if there is insufficient voluntary take</w:t>
      </w:r>
      <w:r>
        <w:t>-</w:t>
      </w:r>
      <w:r w:rsidR="0010708D" w:rsidRPr="0010708D">
        <w:t>u</w:t>
      </w:r>
      <w:r>
        <w:t>p</w:t>
      </w:r>
      <w:r w:rsidR="0010708D" w:rsidRPr="0010708D">
        <w:t>, all parties would benefit from knowing what the trigger criteria would be (e.g. if fewer than 80% of suppliers and 80% of models participate voluntarily).</w:t>
      </w:r>
    </w:p>
    <w:p w14:paraId="1EB9E9C5" w14:textId="096E2CCA" w:rsidR="004B61D2" w:rsidRDefault="002523D4" w:rsidP="00CA6F7F">
      <w:r>
        <w:t xml:space="preserve">Options 2, 3A and 3B do not </w:t>
      </w:r>
      <w:r w:rsidR="002D4393">
        <w:t xml:space="preserve">impose </w:t>
      </w:r>
      <w:r>
        <w:t xml:space="preserve">any </w:t>
      </w:r>
      <w:r w:rsidR="002D4393">
        <w:t>restrictions on</w:t>
      </w:r>
      <w:r>
        <w:t xml:space="preserve"> </w:t>
      </w:r>
      <w:r w:rsidR="005E33A7">
        <w:t xml:space="preserve">the </w:t>
      </w:r>
      <w:r w:rsidR="002D4393">
        <w:t xml:space="preserve">CIM </w:t>
      </w:r>
      <w:r>
        <w:t xml:space="preserve">model range </w:t>
      </w:r>
      <w:r w:rsidR="001C11FD">
        <w:t xml:space="preserve">and leaves it to </w:t>
      </w:r>
      <w:r>
        <w:t xml:space="preserve">suppliers </w:t>
      </w:r>
      <w:r w:rsidR="001C11FD">
        <w:t xml:space="preserve">to </w:t>
      </w:r>
      <w:r>
        <w:t>make commercial decision</w:t>
      </w:r>
      <w:r w:rsidR="001C11FD">
        <w:t>s</w:t>
      </w:r>
      <w:r>
        <w:t xml:space="preserve"> </w:t>
      </w:r>
      <w:r w:rsidR="001C11FD">
        <w:t>about which models to promote</w:t>
      </w:r>
      <w:r w:rsidR="005E33A7">
        <w:t xml:space="preserve"> or remove</w:t>
      </w:r>
      <w:r w:rsidR="001C11FD">
        <w:t>.</w:t>
      </w:r>
      <w:r>
        <w:t xml:space="preserve"> </w:t>
      </w:r>
      <w:r w:rsidR="004B61D2">
        <w:t xml:space="preserve">These decisions will no doubt be informed by </w:t>
      </w:r>
      <w:r w:rsidR="005E33A7">
        <w:t xml:space="preserve">a </w:t>
      </w:r>
      <w:r w:rsidR="004B61D2">
        <w:t>supplier</w:t>
      </w:r>
      <w:r w:rsidR="005E33A7">
        <w:t>’</w:t>
      </w:r>
      <w:r w:rsidR="004B61D2">
        <w:t xml:space="preserve">s perception about how, or whether, </w:t>
      </w:r>
      <w:r w:rsidR="00057852">
        <w:rPr>
          <w:rFonts w:ascii="Calibri" w:eastAsia="Calibri" w:hAnsi="Calibri" w:cs="Times New Roman"/>
          <w:szCs w:val="22"/>
        </w:rPr>
        <w:t>purchasers</w:t>
      </w:r>
      <w:r w:rsidR="004B61D2">
        <w:t xml:space="preserve"> use the information made available to them.</w:t>
      </w:r>
    </w:p>
    <w:p w14:paraId="1B047CF9" w14:textId="73AE7E47" w:rsidR="008779BF" w:rsidRDefault="002523D4" w:rsidP="00CA6F7F">
      <w:r>
        <w:t xml:space="preserve">Options 4A and 4B would set limits on water consumption which </w:t>
      </w:r>
      <w:r w:rsidR="004B61D2">
        <w:t>c</w:t>
      </w:r>
      <w:r>
        <w:t>ould exclude a significant number of models</w:t>
      </w:r>
      <w:r w:rsidR="004B61D2">
        <w:t>.</w:t>
      </w:r>
      <w:r w:rsidR="001C11FD">
        <w:t xml:space="preserve"> Given the </w:t>
      </w:r>
      <w:r w:rsidR="004B61D2">
        <w:t xml:space="preserve">present </w:t>
      </w:r>
      <w:r w:rsidR="001C11FD">
        <w:t>limit</w:t>
      </w:r>
      <w:r w:rsidR="004B61D2">
        <w:t xml:space="preserve">ations </w:t>
      </w:r>
      <w:r>
        <w:t xml:space="preserve">on </w:t>
      </w:r>
      <w:r w:rsidR="005E33A7">
        <w:t xml:space="preserve">water use </w:t>
      </w:r>
      <w:r w:rsidR="004B61D2">
        <w:t xml:space="preserve">information </w:t>
      </w:r>
      <w:r w:rsidR="005E33A7">
        <w:t>for</w:t>
      </w:r>
      <w:r w:rsidR="001C11FD">
        <w:t xml:space="preserve"> </w:t>
      </w:r>
      <w:r>
        <w:t>CIMs on the Australian market</w:t>
      </w:r>
      <w:r w:rsidR="004B61D2">
        <w:t xml:space="preserve">, </w:t>
      </w:r>
      <w:r w:rsidR="001C11FD">
        <w:t xml:space="preserve">setting any </w:t>
      </w:r>
      <w:r w:rsidR="005E33A7">
        <w:t>M</w:t>
      </w:r>
      <w:r w:rsidR="001C11FD">
        <w:t xml:space="preserve">inimum </w:t>
      </w:r>
      <w:r w:rsidR="005E33A7">
        <w:t>W</w:t>
      </w:r>
      <w:r w:rsidR="001C11FD">
        <w:t xml:space="preserve">ater </w:t>
      </w:r>
      <w:r w:rsidR="005E33A7">
        <w:t>E</w:t>
      </w:r>
      <w:r w:rsidR="001C11FD">
        <w:t xml:space="preserve">fficiency </w:t>
      </w:r>
      <w:r w:rsidR="005E33A7">
        <w:t>S</w:t>
      </w:r>
      <w:r w:rsidR="001C11FD">
        <w:t>tandard carries risk</w:t>
      </w:r>
      <w:r w:rsidR="004B61D2">
        <w:t>. If set to</w:t>
      </w:r>
      <w:r w:rsidR="00B34560">
        <w:t>o</w:t>
      </w:r>
      <w:r w:rsidR="004B61D2">
        <w:t xml:space="preserve"> low, the </w:t>
      </w:r>
      <w:r w:rsidR="002D4393">
        <w:t>Minimum Water Efficiency S</w:t>
      </w:r>
      <w:r w:rsidR="004B61D2">
        <w:t xml:space="preserve">tandards will have no effect, and if set too high they could exclude so many models that the market would be </w:t>
      </w:r>
      <w:r w:rsidR="002D4393">
        <w:t>disrupted,</w:t>
      </w:r>
      <w:r w:rsidR="004B61D2">
        <w:t xml:space="preserve"> and some suppliers may have to exit the market entirely. T</w:t>
      </w:r>
      <w:r w:rsidR="001C11FD">
        <w:t xml:space="preserve">he </w:t>
      </w:r>
      <w:r w:rsidR="00F82B2B">
        <w:t xml:space="preserve">number of models excluded at any given </w:t>
      </w:r>
      <w:r w:rsidR="005E33A7">
        <w:t>M</w:t>
      </w:r>
      <w:r w:rsidR="004B61D2" w:rsidRPr="004B61D2">
        <w:t xml:space="preserve">inimum </w:t>
      </w:r>
      <w:r w:rsidR="005E33A7">
        <w:t>W</w:t>
      </w:r>
      <w:r w:rsidR="004B61D2" w:rsidRPr="004B61D2">
        <w:t xml:space="preserve">ater </w:t>
      </w:r>
      <w:r w:rsidR="005E33A7">
        <w:t>E</w:t>
      </w:r>
      <w:r w:rsidR="004B61D2" w:rsidRPr="004B61D2">
        <w:t xml:space="preserve">fficiency </w:t>
      </w:r>
      <w:r w:rsidR="005E33A7">
        <w:t>S</w:t>
      </w:r>
      <w:r w:rsidR="004B61D2" w:rsidRPr="004B61D2">
        <w:t xml:space="preserve">tandard </w:t>
      </w:r>
      <w:r w:rsidR="00CA7D4F">
        <w:t>cannot be known until all models are registered</w:t>
      </w:r>
      <w:r w:rsidR="002D4393">
        <w:t>.</w:t>
      </w:r>
      <w:r w:rsidR="00D260B9">
        <w:t xml:space="preserve"> </w:t>
      </w:r>
      <w:r w:rsidR="002D4393">
        <w:t>L</w:t>
      </w:r>
      <w:r w:rsidR="00F82B2B">
        <w:t xml:space="preserve">ogically, the more stringent the standard the more models </w:t>
      </w:r>
      <w:r w:rsidR="004B61D2">
        <w:t>excluded</w:t>
      </w:r>
      <w:r w:rsidR="00F82B2B">
        <w:t>.</w:t>
      </w:r>
    </w:p>
    <w:p w14:paraId="14D50748" w14:textId="58F51924" w:rsidR="00F67360" w:rsidRDefault="0093374E" w:rsidP="00CA6F7F">
      <w:r>
        <w:t>However, m</w:t>
      </w:r>
      <w:r w:rsidR="00F67360">
        <w:t>ost importers have access to a wide range of products, manufactured and sold in different part</w:t>
      </w:r>
      <w:r w:rsidR="005E33A7">
        <w:t>s</w:t>
      </w:r>
      <w:r w:rsidR="00F67360">
        <w:t xml:space="preserve"> of the world. Those intended for the </w:t>
      </w:r>
      <w:r>
        <w:t xml:space="preserve">US </w:t>
      </w:r>
      <w:r w:rsidR="00F67360">
        <w:t>market are likely to be the most water</w:t>
      </w:r>
      <w:r w:rsidR="00A17AE2">
        <w:t xml:space="preserve"> </w:t>
      </w:r>
      <w:r w:rsidR="00F67360">
        <w:t xml:space="preserve">efficient, </w:t>
      </w:r>
      <w:r w:rsidR="00F67360">
        <w:lastRenderedPageBreak/>
        <w:t xml:space="preserve">because </w:t>
      </w:r>
      <w:r w:rsidR="005E33A7">
        <w:t>o</w:t>
      </w:r>
      <w:r>
        <w:t>f the impacts of the USDOE mandatory cooling water</w:t>
      </w:r>
      <w:r w:rsidR="005E33A7">
        <w:t xml:space="preserve"> </w:t>
      </w:r>
      <w:r>
        <w:t>efficiency standards and the USEPA Energy Star program. The possibility of changing models from the existing global product range should enable most importers to meet a water efficiency standard that is equal to or less stringent than the USA levels, without a significant reduction in the range of products on offer in Australia.</w:t>
      </w:r>
    </w:p>
    <w:p w14:paraId="14F9FBBE" w14:textId="3AD8235C" w:rsidR="008E13D1" w:rsidRDefault="004C300A" w:rsidP="004C300A">
      <w:pPr>
        <w:pStyle w:val="Heading3"/>
      </w:pPr>
      <w:bookmarkStart w:id="109" w:name="_Toc196745430"/>
      <w:r>
        <w:t>Purchasers</w:t>
      </w:r>
      <w:bookmarkEnd w:id="109"/>
    </w:p>
    <w:p w14:paraId="48F96BAD" w14:textId="7676306D" w:rsidR="00F82B2B" w:rsidRDefault="00B34560" w:rsidP="009B14F8">
      <w:r>
        <w:t>P</w:t>
      </w:r>
      <w:r w:rsidR="009B14F8" w:rsidRPr="009B14F8">
        <w:t>urchas</w:t>
      </w:r>
      <w:r>
        <w:t xml:space="preserve">ers </w:t>
      </w:r>
      <w:r w:rsidR="005D60BB">
        <w:t xml:space="preserve">of </w:t>
      </w:r>
      <w:r>
        <w:t>CIM</w:t>
      </w:r>
      <w:r w:rsidR="005D60BB">
        <w:t xml:space="preserve">s from </w:t>
      </w:r>
      <w:r w:rsidR="009B14F8" w:rsidRPr="009B14F8">
        <w:t xml:space="preserve">importers </w:t>
      </w:r>
      <w:r w:rsidR="005D60BB">
        <w:t xml:space="preserve">or </w:t>
      </w:r>
      <w:r>
        <w:t xml:space="preserve">secondary suppliers </w:t>
      </w:r>
      <w:r w:rsidR="009B14F8" w:rsidRPr="009B14F8">
        <w:t xml:space="preserve">may face higher average prices but would benefit from a </w:t>
      </w:r>
      <w:r>
        <w:t xml:space="preserve">greater </w:t>
      </w:r>
      <w:r w:rsidR="009B14F8" w:rsidRPr="009B14F8">
        <w:t xml:space="preserve">saving in </w:t>
      </w:r>
      <w:r>
        <w:t xml:space="preserve">lifetime </w:t>
      </w:r>
      <w:r w:rsidR="009B14F8" w:rsidRPr="009B14F8">
        <w:t xml:space="preserve">costs. </w:t>
      </w:r>
      <w:r w:rsidR="009B14F8">
        <w:fldChar w:fldCharType="begin"/>
      </w:r>
      <w:r w:rsidR="009B14F8">
        <w:instrText xml:space="preserve"> REF _Ref189739212 \h </w:instrText>
      </w:r>
      <w:r w:rsidR="009B14F8">
        <w:fldChar w:fldCharType="separate"/>
      </w:r>
      <w:r w:rsidR="002271EC">
        <w:t xml:space="preserve">Table </w:t>
      </w:r>
      <w:r w:rsidR="002271EC">
        <w:rPr>
          <w:noProof/>
        </w:rPr>
        <w:t>8</w:t>
      </w:r>
      <w:r w:rsidR="009B14F8">
        <w:fldChar w:fldCharType="end"/>
      </w:r>
      <w:r w:rsidR="009B14F8" w:rsidRPr="009B14F8">
        <w:t xml:space="preserve"> indicates the </w:t>
      </w:r>
      <w:r w:rsidR="00F82B2B">
        <w:t xml:space="preserve">estimated </w:t>
      </w:r>
      <w:r>
        <w:t xml:space="preserve">price </w:t>
      </w:r>
      <w:r w:rsidR="009B14F8" w:rsidRPr="009B14F8">
        <w:t xml:space="preserve">increase </w:t>
      </w:r>
      <w:r w:rsidR="00F82B2B">
        <w:t xml:space="preserve">for </w:t>
      </w:r>
      <w:r w:rsidR="005D60BB">
        <w:t xml:space="preserve">each </w:t>
      </w:r>
      <w:r>
        <w:t xml:space="preserve">option as a result of </w:t>
      </w:r>
      <w:r w:rsidR="00F82B2B">
        <w:t>the relationship between water</w:t>
      </w:r>
      <w:r w:rsidR="00B91912">
        <w:t xml:space="preserve"> </w:t>
      </w:r>
      <w:r w:rsidR="00F82B2B">
        <w:t xml:space="preserve">efficiency and price described earlier. The </w:t>
      </w:r>
      <w:r>
        <w:t xml:space="preserve">mean price </w:t>
      </w:r>
      <w:r w:rsidR="00F82B2B">
        <w:t>increase ranges from 0.4% for Option 2 up to 2.7% for Option 4A, averaged over all CIMs projected to be purchased over the period 2025-2040.</w:t>
      </w:r>
    </w:p>
    <w:p w14:paraId="5700F71E" w14:textId="75AAD6DC" w:rsidR="00FF3BFB" w:rsidRDefault="00FF3BFB" w:rsidP="009B14F8">
      <w:r>
        <w:t xml:space="preserve">The </w:t>
      </w:r>
      <w:r w:rsidR="00B34560">
        <w:t>years required</w:t>
      </w:r>
      <w:r>
        <w:t xml:space="preserve"> for the savings in water </w:t>
      </w:r>
      <w:r w:rsidR="00B91912">
        <w:t xml:space="preserve">use </w:t>
      </w:r>
      <w:r>
        <w:t xml:space="preserve">costs to match the increase in capital costs is indicated in </w:t>
      </w:r>
      <w:r>
        <w:fldChar w:fldCharType="begin"/>
      </w:r>
      <w:r>
        <w:instrText xml:space="preserve"> REF _Ref189924632 \h </w:instrText>
      </w:r>
      <w:r>
        <w:fldChar w:fldCharType="separate"/>
      </w:r>
      <w:r w:rsidR="002271EC">
        <w:t xml:space="preserve">Table </w:t>
      </w:r>
      <w:r w:rsidR="002271EC">
        <w:rPr>
          <w:noProof/>
        </w:rPr>
        <w:t>12</w:t>
      </w:r>
      <w:r>
        <w:fldChar w:fldCharType="end"/>
      </w:r>
      <w:r>
        <w:t xml:space="preserve">. These </w:t>
      </w:r>
      <w:r w:rsidR="00B34560">
        <w:t xml:space="preserve">estimates </w:t>
      </w:r>
      <w:r>
        <w:t xml:space="preserve">are based on the average production capacity </w:t>
      </w:r>
      <w:r w:rsidR="00B91912">
        <w:t xml:space="preserve">by </w:t>
      </w:r>
      <w:r w:rsidR="005D60BB">
        <w:t xml:space="preserve">CIM </w:t>
      </w:r>
      <w:r w:rsidR="004A7007">
        <w:t>type</w:t>
      </w:r>
      <w:r>
        <w:t xml:space="preserve">: about 70 kg/24 hrs for </w:t>
      </w:r>
      <w:r w:rsidR="00B34560">
        <w:t>SCUs</w:t>
      </w:r>
      <w:r w:rsidR="005D60BB">
        <w:t xml:space="preserve">, </w:t>
      </w:r>
      <w:r>
        <w:t xml:space="preserve">300 kg/24 hrs for </w:t>
      </w:r>
      <w:r w:rsidR="00B34560">
        <w:t>IMHs</w:t>
      </w:r>
      <w:r w:rsidR="005D60BB">
        <w:t xml:space="preserve"> and 400 kg/24</w:t>
      </w:r>
      <w:r w:rsidR="00B91912">
        <w:t xml:space="preserve"> </w:t>
      </w:r>
      <w:r w:rsidR="005D60BB">
        <w:t>hrs for split units</w:t>
      </w:r>
      <w:r>
        <w:t>. The larger the capacity</w:t>
      </w:r>
      <w:r w:rsidR="002C6C63">
        <w:t>,</w:t>
      </w:r>
      <w:r>
        <w:t xml:space="preserve"> the higher the purchase price and the higher the savings in running costs</w:t>
      </w:r>
      <w:r w:rsidR="004A7007">
        <w:t>, all else being equal.</w:t>
      </w:r>
    </w:p>
    <w:p w14:paraId="523DBB06" w14:textId="1E5F7EE2" w:rsidR="000C12AE" w:rsidRDefault="004A7007" w:rsidP="009B14F8">
      <w:r>
        <w:t>Most of the payback period</w:t>
      </w:r>
      <w:r w:rsidR="00CA7D4F">
        <w:t>s</w:t>
      </w:r>
      <w:r>
        <w:t xml:space="preserve"> are </w:t>
      </w:r>
      <w:r w:rsidR="007D4F64">
        <w:t xml:space="preserve">less than two </w:t>
      </w:r>
      <w:r>
        <w:t>years</w:t>
      </w:r>
      <w:r w:rsidR="000C12AE">
        <w:t>.</w:t>
      </w:r>
      <w:r>
        <w:t xml:space="preserve"> </w:t>
      </w:r>
      <w:r w:rsidR="000C12AE" w:rsidRPr="009B14F8">
        <w:t>Commercial catering businesses surveyed by the NSW D</w:t>
      </w:r>
      <w:r w:rsidR="000C12AE">
        <w:t xml:space="preserve">epartment of Environment </w:t>
      </w:r>
      <w:r w:rsidR="000C12AE" w:rsidRPr="009B14F8">
        <w:t>in 2020 indicated that they would expect a 2 to 4-year payback for investment</w:t>
      </w:r>
      <w:r w:rsidR="000C12AE">
        <w:t>s</w:t>
      </w:r>
      <w:r w:rsidR="000C12AE" w:rsidRPr="009B14F8">
        <w:t xml:space="preserve"> in more efficient equipment </w:t>
      </w:r>
      <w:r w:rsidR="000C12AE">
        <w:t xml:space="preserve">(E3 2023). All of the proposed measures </w:t>
      </w:r>
      <w:r w:rsidR="000C12AE" w:rsidRPr="009B14F8">
        <w:t>would meet that criterion</w:t>
      </w:r>
      <w:r w:rsidR="000C12AE">
        <w:t xml:space="preserve"> for most types of CIM, with a few exceptions</w:t>
      </w:r>
      <w:r w:rsidR="00ED38C7">
        <w:t>.</w:t>
      </w:r>
    </w:p>
    <w:p w14:paraId="455C57C2" w14:textId="3BA967E3" w:rsidR="007D4F64" w:rsidRDefault="004A7007" w:rsidP="009B14F8">
      <w:r>
        <w:t xml:space="preserve">A payback period </w:t>
      </w:r>
      <w:r w:rsidR="0040278E">
        <w:t>longer than 8</w:t>
      </w:r>
      <w:r>
        <w:t xml:space="preserve"> years carries the risk that the unit will fail before payback. In general, the payback periods for batch-production models are signific</w:t>
      </w:r>
      <w:r w:rsidR="000C12AE">
        <w:t xml:space="preserve">antly shorter than </w:t>
      </w:r>
      <w:r>
        <w:t>for continuous-production models, because</w:t>
      </w:r>
      <w:r w:rsidR="000C12AE">
        <w:t xml:space="preserve"> the potable water consumption per k</w:t>
      </w:r>
      <w:r w:rsidR="002C6C63">
        <w:t>ilo</w:t>
      </w:r>
      <w:r w:rsidR="000C12AE">
        <w:t>g</w:t>
      </w:r>
      <w:r w:rsidR="002C6C63">
        <w:t>ram</w:t>
      </w:r>
      <w:r w:rsidR="000C12AE">
        <w:t xml:space="preserve"> of ice is much greater and there is more scope </w:t>
      </w:r>
      <w:r w:rsidR="007D4F64">
        <w:t>for water saving.</w:t>
      </w:r>
    </w:p>
    <w:p w14:paraId="51D9D462" w14:textId="453DCF26" w:rsidR="00FF3BFB" w:rsidRDefault="00BE17D3" w:rsidP="009B14F8">
      <w:r>
        <w:t xml:space="preserve">For water-cooled products, there will be a very short payback period if the unit is </w:t>
      </w:r>
      <w:r w:rsidR="007D4F64">
        <w:t xml:space="preserve">installed for </w:t>
      </w:r>
      <w:r>
        <w:t xml:space="preserve">single-pass cooling (0% reuse) but a very long payback </w:t>
      </w:r>
      <w:r w:rsidR="00B91912">
        <w:t>(</w:t>
      </w:r>
      <w:r>
        <w:t>exceeding the product lifetime</w:t>
      </w:r>
      <w:r w:rsidR="00B91912">
        <w:t>)</w:t>
      </w:r>
      <w:r>
        <w:t xml:space="preserve"> if it is connected to a cooling water recirculation system (100% reuse). </w:t>
      </w:r>
      <w:r w:rsidR="007D4F64">
        <w:t>T</w:t>
      </w:r>
      <w:r w:rsidR="004E0B51">
        <w:t xml:space="preserve">he high </w:t>
      </w:r>
      <w:r w:rsidR="007D4F64">
        <w:t xml:space="preserve">water </w:t>
      </w:r>
      <w:r w:rsidR="004E0B51">
        <w:t xml:space="preserve">costs of single-pass cooling (unless the cooling water is free) should </w:t>
      </w:r>
      <w:r w:rsidR="007D4F64">
        <w:t xml:space="preserve">be communicated as </w:t>
      </w:r>
      <w:r w:rsidR="004E0B51">
        <w:t>part of any</w:t>
      </w:r>
      <w:r w:rsidR="00CA7D4F">
        <w:t xml:space="preserve"> </w:t>
      </w:r>
      <w:r w:rsidR="007D4F64">
        <w:t xml:space="preserve">CIM </w:t>
      </w:r>
      <w:r w:rsidR="004E0B51">
        <w:t xml:space="preserve">information </w:t>
      </w:r>
      <w:r w:rsidR="00CA7D4F">
        <w:t>program</w:t>
      </w:r>
      <w:r w:rsidR="007D4F64">
        <w:t xml:space="preserve"> devised by the WELS Regulator, especially under Option 2.</w:t>
      </w:r>
    </w:p>
    <w:p w14:paraId="1EAC4CB9" w14:textId="23A17FAE" w:rsidR="00BE17D3" w:rsidRDefault="004E0B51" w:rsidP="009B14F8">
      <w:r>
        <w:t xml:space="preserve">Apart from the </w:t>
      </w:r>
      <w:r w:rsidR="007D4F64">
        <w:t xml:space="preserve">product </w:t>
      </w:r>
      <w:r>
        <w:t xml:space="preserve">price increases </w:t>
      </w:r>
      <w:r w:rsidR="007D4F64">
        <w:t xml:space="preserve">expected from </w:t>
      </w:r>
      <w:r>
        <w:t>a rise in average water</w:t>
      </w:r>
      <w:r w:rsidR="00B91912">
        <w:t xml:space="preserve"> </w:t>
      </w:r>
      <w:r>
        <w:t xml:space="preserve">efficiency of </w:t>
      </w:r>
      <w:r w:rsidR="0040278E">
        <w:t xml:space="preserve">the </w:t>
      </w:r>
      <w:r>
        <w:t xml:space="preserve">CIMs purchased, it is </w:t>
      </w:r>
      <w:r w:rsidR="0040278E">
        <w:t xml:space="preserve">assumed </w:t>
      </w:r>
      <w:r>
        <w:t xml:space="preserve">that </w:t>
      </w:r>
      <w:r w:rsidR="000C12AE">
        <w:t xml:space="preserve">the program costs </w:t>
      </w:r>
      <w:r>
        <w:t xml:space="preserve">initially </w:t>
      </w:r>
      <w:r w:rsidR="007D4F64">
        <w:t xml:space="preserve">borne </w:t>
      </w:r>
      <w:r w:rsidR="000C12AE">
        <w:t>by suppliers (administration, registration</w:t>
      </w:r>
      <w:r w:rsidR="007D4F64">
        <w:t xml:space="preserve"> a</w:t>
      </w:r>
      <w:r w:rsidR="002C6C63">
        <w:t>n</w:t>
      </w:r>
      <w:r w:rsidR="007D4F64">
        <w:t xml:space="preserve">d </w:t>
      </w:r>
      <w:r w:rsidR="000C12AE">
        <w:t xml:space="preserve">labelling) will also be passed on to purchasers. As these </w:t>
      </w:r>
      <w:r>
        <w:t xml:space="preserve">costs </w:t>
      </w:r>
      <w:r w:rsidR="000C12AE">
        <w:t>are not model or type-specific, it is difficult to know how they wi</w:t>
      </w:r>
      <w:r w:rsidR="00BE17D3">
        <w:t>l</w:t>
      </w:r>
      <w:r w:rsidR="000C12AE">
        <w:t>l be allocated. Suppliers</w:t>
      </w:r>
      <w:r w:rsidR="00BE17D3">
        <w:t xml:space="preserve"> </w:t>
      </w:r>
      <w:r w:rsidR="007D4F64">
        <w:t xml:space="preserve">may </w:t>
      </w:r>
      <w:r w:rsidR="00BE17D3">
        <w:t xml:space="preserve">adjust the </w:t>
      </w:r>
      <w:r w:rsidR="000C12AE">
        <w:t>price</w:t>
      </w:r>
      <w:r w:rsidR="00BE17D3">
        <w:t>s</w:t>
      </w:r>
      <w:r w:rsidR="000C12AE">
        <w:t xml:space="preserve"> of some models more than others. The second group of payback periods in </w:t>
      </w:r>
      <w:r w:rsidR="000C12AE">
        <w:fldChar w:fldCharType="begin"/>
      </w:r>
      <w:r w:rsidR="000C12AE">
        <w:instrText xml:space="preserve"> REF _Ref189924632 \h </w:instrText>
      </w:r>
      <w:r w:rsidR="000C12AE">
        <w:fldChar w:fldCharType="separate"/>
      </w:r>
      <w:r w:rsidR="002271EC">
        <w:t xml:space="preserve">Table </w:t>
      </w:r>
      <w:r w:rsidR="002271EC">
        <w:rPr>
          <w:noProof/>
        </w:rPr>
        <w:t>12</w:t>
      </w:r>
      <w:r w:rsidR="000C12AE">
        <w:fldChar w:fldCharType="end"/>
      </w:r>
      <w:r w:rsidR="000C12AE">
        <w:t xml:space="preserve"> </w:t>
      </w:r>
      <w:r w:rsidR="00BE17D3">
        <w:t xml:space="preserve">calculates </w:t>
      </w:r>
      <w:r w:rsidR="000C12AE">
        <w:t xml:space="preserve">payback periods </w:t>
      </w:r>
      <w:r w:rsidR="00BE17D3">
        <w:t>in the event that industry costs incurred in 2030 are allocated evenly to every model sold in 2030.</w:t>
      </w:r>
      <w:r>
        <w:t xml:space="preserve"> For Options 2, 3A and 3B, the recovery of supplier costs </w:t>
      </w:r>
      <w:r w:rsidR="003B45BB">
        <w:t xml:space="preserve">from purchasers </w:t>
      </w:r>
      <w:r>
        <w:t>can significantly lengthen the payback period.</w:t>
      </w:r>
    </w:p>
    <w:p w14:paraId="56088E9D" w14:textId="410A819D" w:rsidR="00054774" w:rsidRDefault="009B14F8" w:rsidP="00CA6F7F">
      <w:r w:rsidRPr="009B14F8">
        <w:lastRenderedPageBreak/>
        <w:t xml:space="preserve">Ice makers are essential equipment for restaurant, hospitality, foodservices, food retail and similar businesses, and it is unlikely that they would hesitate to purchase a new or replacement unit because </w:t>
      </w:r>
      <w:r w:rsidR="004E0B51">
        <w:t xml:space="preserve">the price of a typical $5,000 </w:t>
      </w:r>
      <w:r w:rsidR="00AE1959">
        <w:t xml:space="preserve">product </w:t>
      </w:r>
      <w:r w:rsidR="004E0B51">
        <w:t>increases by $20</w:t>
      </w:r>
      <w:r w:rsidR="00AE1959">
        <w:t xml:space="preserve"> (0.4%) </w:t>
      </w:r>
      <w:r w:rsidR="004E0B51">
        <w:t>to $</w:t>
      </w:r>
      <w:r w:rsidR="00AE1959">
        <w:t>135 (2.7%).</w:t>
      </w:r>
      <w:r w:rsidRPr="009B14F8">
        <w:t xml:space="preserve"> At the margins, however, some businesses that currently rely on bagged ice may defer purchasing an ice machine if they face higher purchase </w:t>
      </w:r>
      <w:r w:rsidR="00AE1959">
        <w:t>prices</w:t>
      </w:r>
      <w:r w:rsidRPr="009B14F8">
        <w:t>.</w:t>
      </w:r>
    </w:p>
    <w:p w14:paraId="4B1B2C7E" w14:textId="66BA3F69" w:rsidR="00054774" w:rsidRDefault="00F34B51" w:rsidP="006E586F">
      <w:r>
        <w:t>N</w:t>
      </w:r>
      <w:r w:rsidR="00CC785E">
        <w:t xml:space="preserve">one of the proposed options are expected to impact on the average service life of CIMs. According to suppliers, the </w:t>
      </w:r>
      <w:r>
        <w:t xml:space="preserve">most significant </w:t>
      </w:r>
      <w:r w:rsidR="00CC785E">
        <w:t xml:space="preserve">factors affecting service life are </w:t>
      </w:r>
      <w:r>
        <w:t xml:space="preserve">frequency of </w:t>
      </w:r>
      <w:r w:rsidR="00CC785E">
        <w:t>cleaning and servicing.</w:t>
      </w:r>
    </w:p>
    <w:p w14:paraId="121F7C6F" w14:textId="77777777" w:rsidR="009174E3" w:rsidRDefault="009174E3" w:rsidP="006E586F"/>
    <w:p w14:paraId="2DA01323" w14:textId="0D37427D" w:rsidR="0046197D" w:rsidRDefault="00666EC5" w:rsidP="00666EC5">
      <w:pPr>
        <w:pStyle w:val="Caption"/>
        <w:jc w:val="center"/>
      </w:pPr>
      <w:bookmarkStart w:id="110" w:name="_Ref189924632"/>
      <w:bookmarkStart w:id="111" w:name="_Toc196745454"/>
      <w:r>
        <w:t xml:space="preserve">Table </w:t>
      </w:r>
      <w:r w:rsidR="0042496D">
        <w:fldChar w:fldCharType="begin"/>
      </w:r>
      <w:r w:rsidR="0042496D">
        <w:instrText xml:space="preserve"> SEQ Table \* ARABIC </w:instrText>
      </w:r>
      <w:r w:rsidR="0042496D">
        <w:fldChar w:fldCharType="separate"/>
      </w:r>
      <w:r w:rsidR="002271EC">
        <w:rPr>
          <w:noProof/>
        </w:rPr>
        <w:t>12</w:t>
      </w:r>
      <w:r w:rsidR="0042496D">
        <w:rPr>
          <w:noProof/>
        </w:rPr>
        <w:fldChar w:fldCharType="end"/>
      </w:r>
      <w:bookmarkEnd w:id="110"/>
      <w:r>
        <w:t xml:space="preserve"> simple payback period (years) for cim purchasers</w:t>
      </w:r>
      <w:bookmarkEnd w:id="111"/>
    </w:p>
    <w:tbl>
      <w:tblPr>
        <w:tblW w:w="10352" w:type="dxa"/>
        <w:jc w:val="center"/>
        <w:tblLook w:val="04A0" w:firstRow="1" w:lastRow="0" w:firstColumn="1" w:lastColumn="0" w:noHBand="0" w:noVBand="1"/>
      </w:tblPr>
      <w:tblGrid>
        <w:gridCol w:w="1838"/>
        <w:gridCol w:w="825"/>
        <w:gridCol w:w="777"/>
        <w:gridCol w:w="777"/>
        <w:gridCol w:w="777"/>
        <w:gridCol w:w="777"/>
        <w:gridCol w:w="777"/>
        <w:gridCol w:w="777"/>
        <w:gridCol w:w="916"/>
        <w:gridCol w:w="777"/>
        <w:gridCol w:w="777"/>
        <w:gridCol w:w="777"/>
      </w:tblGrid>
      <w:tr w:rsidR="00666EC5" w:rsidRPr="008E13D1" w14:paraId="3EA63131" w14:textId="77777777" w:rsidTr="009B14F8">
        <w:trPr>
          <w:trHeight w:val="300"/>
          <w:jc w:val="center"/>
        </w:trPr>
        <w:tc>
          <w:tcPr>
            <w:tcW w:w="1838" w:type="dxa"/>
            <w:vMerge w:val="restart"/>
            <w:tcBorders>
              <w:top w:val="single" w:sz="4" w:space="0" w:color="auto"/>
              <w:left w:val="single" w:sz="4" w:space="0" w:color="auto"/>
              <w:right w:val="single" w:sz="4" w:space="0" w:color="auto"/>
            </w:tcBorders>
            <w:shd w:val="clear" w:color="auto" w:fill="auto"/>
            <w:noWrap/>
            <w:vAlign w:val="bottom"/>
          </w:tcPr>
          <w:p w14:paraId="3D4C3F6A" w14:textId="043FD4A0" w:rsidR="00666EC5" w:rsidRDefault="00666EC5" w:rsidP="00666EC5">
            <w:pPr>
              <w:spacing w:after="0" w:line="240" w:lineRule="auto"/>
              <w:jc w:val="lef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Category</w:t>
            </w:r>
          </w:p>
        </w:tc>
        <w:tc>
          <w:tcPr>
            <w:tcW w:w="738" w:type="dxa"/>
            <w:vMerge w:val="restart"/>
            <w:tcBorders>
              <w:top w:val="single" w:sz="4" w:space="0" w:color="auto"/>
              <w:left w:val="single" w:sz="4" w:space="0" w:color="auto"/>
              <w:right w:val="nil"/>
            </w:tcBorders>
            <w:shd w:val="clear" w:color="auto" w:fill="auto"/>
            <w:noWrap/>
            <w:vAlign w:val="bottom"/>
          </w:tcPr>
          <w:p w14:paraId="3129A56B" w14:textId="50ABD126" w:rsidR="00666EC5" w:rsidRDefault="00666EC5" w:rsidP="00666EC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Cooling water </w:t>
            </w:r>
            <w:r w:rsidRPr="008E13D1">
              <w:rPr>
                <w:rFonts w:ascii="Calibri" w:eastAsia="Times New Roman" w:hAnsi="Calibri" w:cs="Calibri"/>
                <w:color w:val="000000"/>
                <w:sz w:val="20"/>
                <w:szCs w:val="20"/>
                <w:lang w:eastAsia="en-AU"/>
              </w:rPr>
              <w:t>Reuse</w:t>
            </w:r>
          </w:p>
        </w:tc>
        <w:tc>
          <w:tcPr>
            <w:tcW w:w="381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1C301D2" w14:textId="6888AE6F" w:rsidR="00666EC5" w:rsidRPr="00F70769" w:rsidRDefault="009B14F8" w:rsidP="008E13D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Water</w:t>
            </w:r>
            <w:r w:rsidR="00CE59EF">
              <w:rPr>
                <w:rFonts w:ascii="Calibri" w:eastAsia="Times New Roman" w:hAnsi="Calibri" w:cs="Calibri"/>
                <w:color w:val="000000"/>
                <w:sz w:val="20"/>
                <w:szCs w:val="20"/>
                <w:lang w:eastAsia="en-AU"/>
              </w:rPr>
              <w:t xml:space="preserve"> </w:t>
            </w:r>
            <w:r>
              <w:rPr>
                <w:rFonts w:ascii="Calibri" w:eastAsia="Times New Roman" w:hAnsi="Calibri" w:cs="Calibri"/>
                <w:color w:val="000000"/>
                <w:sz w:val="20"/>
                <w:szCs w:val="20"/>
                <w:lang w:eastAsia="en-AU"/>
              </w:rPr>
              <w:t>e</w:t>
            </w:r>
            <w:r w:rsidR="00666EC5">
              <w:rPr>
                <w:rFonts w:ascii="Calibri" w:eastAsia="Times New Roman" w:hAnsi="Calibri" w:cs="Calibri"/>
                <w:color w:val="000000"/>
                <w:sz w:val="20"/>
                <w:szCs w:val="20"/>
                <w:lang w:eastAsia="en-AU"/>
              </w:rPr>
              <w:t>fficiency</w:t>
            </w:r>
            <w:r w:rsidR="00CE59EF">
              <w:rPr>
                <w:rFonts w:ascii="Calibri" w:eastAsia="Times New Roman" w:hAnsi="Calibri" w:cs="Calibri"/>
                <w:color w:val="000000"/>
                <w:sz w:val="20"/>
                <w:szCs w:val="20"/>
                <w:lang w:eastAsia="en-AU"/>
              </w:rPr>
              <w:t xml:space="preserve"> </w:t>
            </w:r>
            <w:r w:rsidR="00666EC5">
              <w:rPr>
                <w:rFonts w:ascii="Calibri" w:eastAsia="Times New Roman" w:hAnsi="Calibri" w:cs="Calibri"/>
                <w:color w:val="000000"/>
                <w:sz w:val="20"/>
                <w:szCs w:val="20"/>
                <w:lang w:eastAsia="en-AU"/>
              </w:rPr>
              <w:t>related price increases only</w:t>
            </w:r>
          </w:p>
        </w:tc>
        <w:tc>
          <w:tcPr>
            <w:tcW w:w="3965" w:type="dxa"/>
            <w:gridSpan w:val="5"/>
            <w:tcBorders>
              <w:top w:val="single" w:sz="4" w:space="0" w:color="auto"/>
              <w:left w:val="nil"/>
              <w:bottom w:val="single" w:sz="4" w:space="0" w:color="auto"/>
              <w:right w:val="single" w:sz="4" w:space="0" w:color="auto"/>
            </w:tcBorders>
            <w:shd w:val="clear" w:color="auto" w:fill="auto"/>
            <w:noWrap/>
            <w:vAlign w:val="bottom"/>
          </w:tcPr>
          <w:p w14:paraId="1A54B4BB" w14:textId="4438DC6B" w:rsidR="00666EC5" w:rsidRPr="00F70769" w:rsidRDefault="00666EC5" w:rsidP="008E13D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With industry costs equally distributed </w:t>
            </w:r>
          </w:p>
        </w:tc>
      </w:tr>
      <w:tr w:rsidR="00666EC5" w:rsidRPr="008E13D1" w14:paraId="2BF23DE7" w14:textId="77777777" w:rsidTr="009B14F8">
        <w:trPr>
          <w:trHeight w:val="300"/>
          <w:jc w:val="center"/>
        </w:trPr>
        <w:tc>
          <w:tcPr>
            <w:tcW w:w="1838" w:type="dxa"/>
            <w:vMerge/>
            <w:tcBorders>
              <w:left w:val="single" w:sz="4" w:space="0" w:color="auto"/>
              <w:bottom w:val="single" w:sz="4" w:space="0" w:color="auto"/>
              <w:right w:val="single" w:sz="4" w:space="0" w:color="auto"/>
            </w:tcBorders>
            <w:shd w:val="clear" w:color="auto" w:fill="auto"/>
            <w:noWrap/>
            <w:vAlign w:val="bottom"/>
            <w:hideMark/>
          </w:tcPr>
          <w:p w14:paraId="1661D7CF" w14:textId="6C75F4DE" w:rsidR="00666EC5" w:rsidRPr="00F70769" w:rsidRDefault="00666EC5" w:rsidP="00666EC5">
            <w:pPr>
              <w:spacing w:after="0" w:line="240" w:lineRule="auto"/>
              <w:jc w:val="left"/>
              <w:rPr>
                <w:rFonts w:ascii="Calibri" w:eastAsia="Times New Roman" w:hAnsi="Calibri" w:cs="Calibri"/>
                <w:color w:val="000000"/>
                <w:sz w:val="20"/>
                <w:szCs w:val="20"/>
                <w:lang w:eastAsia="en-AU"/>
              </w:rPr>
            </w:pPr>
          </w:p>
        </w:tc>
        <w:tc>
          <w:tcPr>
            <w:tcW w:w="738" w:type="dxa"/>
            <w:vMerge/>
            <w:tcBorders>
              <w:left w:val="single" w:sz="4" w:space="0" w:color="auto"/>
              <w:bottom w:val="single" w:sz="4" w:space="0" w:color="auto"/>
              <w:right w:val="nil"/>
            </w:tcBorders>
            <w:shd w:val="clear" w:color="auto" w:fill="auto"/>
            <w:noWrap/>
            <w:vAlign w:val="bottom"/>
            <w:hideMark/>
          </w:tcPr>
          <w:p w14:paraId="2DFC8FFF" w14:textId="692648AC" w:rsidR="00666EC5" w:rsidRPr="00F70769" w:rsidRDefault="00666EC5" w:rsidP="00666EC5">
            <w:pPr>
              <w:spacing w:after="0" w:line="240" w:lineRule="auto"/>
              <w:jc w:val="center"/>
              <w:rPr>
                <w:rFonts w:ascii="Calibri" w:eastAsia="Times New Roman" w:hAnsi="Calibri" w:cs="Calibri"/>
                <w:color w:val="000000"/>
                <w:sz w:val="20"/>
                <w:szCs w:val="20"/>
                <w:lang w:eastAsia="en-AU"/>
              </w:rPr>
            </w:pPr>
          </w:p>
        </w:tc>
        <w:tc>
          <w:tcPr>
            <w:tcW w:w="762" w:type="dxa"/>
            <w:tcBorders>
              <w:top w:val="single" w:sz="4" w:space="0" w:color="auto"/>
              <w:left w:val="single" w:sz="4" w:space="0" w:color="auto"/>
              <w:bottom w:val="single" w:sz="4" w:space="0" w:color="auto"/>
              <w:right w:val="nil"/>
            </w:tcBorders>
            <w:shd w:val="clear" w:color="auto" w:fill="auto"/>
            <w:noWrap/>
            <w:vAlign w:val="bottom"/>
            <w:hideMark/>
          </w:tcPr>
          <w:p w14:paraId="4D2CF790" w14:textId="7322EC34" w:rsidR="00666EC5" w:rsidRPr="00F70769" w:rsidRDefault="00666EC5" w:rsidP="008E13D1">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Opt</w:t>
            </w:r>
            <w:r w:rsidR="009B14F8">
              <w:rPr>
                <w:rFonts w:ascii="Calibri" w:eastAsia="Times New Roman" w:hAnsi="Calibri" w:cs="Calibri"/>
                <w:color w:val="000000"/>
                <w:sz w:val="20"/>
                <w:szCs w:val="20"/>
                <w:lang w:eastAsia="en-AU"/>
              </w:rPr>
              <w:t>ion</w:t>
            </w:r>
            <w:r w:rsidRPr="00F70769">
              <w:rPr>
                <w:rFonts w:ascii="Calibri" w:eastAsia="Times New Roman" w:hAnsi="Calibri" w:cs="Calibri"/>
                <w:color w:val="000000"/>
                <w:sz w:val="20"/>
                <w:szCs w:val="20"/>
                <w:lang w:eastAsia="en-AU"/>
              </w:rPr>
              <w:t xml:space="preserve"> </w:t>
            </w:r>
            <w:r w:rsidRPr="008E13D1">
              <w:rPr>
                <w:rFonts w:ascii="Calibri" w:eastAsia="Times New Roman" w:hAnsi="Calibri" w:cs="Calibri"/>
                <w:color w:val="000000"/>
                <w:sz w:val="20"/>
                <w:szCs w:val="20"/>
                <w:lang w:eastAsia="en-AU"/>
              </w:rPr>
              <w:br/>
            </w:r>
            <w:r w:rsidRPr="00F70769">
              <w:rPr>
                <w:rFonts w:ascii="Calibri" w:eastAsia="Times New Roman" w:hAnsi="Calibri" w:cs="Calibri"/>
                <w:color w:val="000000"/>
                <w:sz w:val="20"/>
                <w:szCs w:val="20"/>
                <w:lang w:eastAsia="en-AU"/>
              </w:rPr>
              <w:t>2</w:t>
            </w:r>
          </w:p>
        </w:tc>
        <w:tc>
          <w:tcPr>
            <w:tcW w:w="762" w:type="dxa"/>
            <w:tcBorders>
              <w:top w:val="single" w:sz="4" w:space="0" w:color="auto"/>
              <w:left w:val="nil"/>
              <w:bottom w:val="single" w:sz="4" w:space="0" w:color="auto"/>
              <w:right w:val="nil"/>
            </w:tcBorders>
            <w:shd w:val="clear" w:color="auto" w:fill="auto"/>
            <w:noWrap/>
            <w:vAlign w:val="bottom"/>
            <w:hideMark/>
          </w:tcPr>
          <w:p w14:paraId="5122258E" w14:textId="3934BF31" w:rsidR="00666EC5" w:rsidRPr="00F70769" w:rsidRDefault="00666EC5" w:rsidP="008E13D1">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Opt</w:t>
            </w:r>
            <w:r w:rsidR="009B14F8">
              <w:rPr>
                <w:rFonts w:ascii="Calibri" w:eastAsia="Times New Roman" w:hAnsi="Calibri" w:cs="Calibri"/>
                <w:color w:val="000000"/>
                <w:sz w:val="20"/>
                <w:szCs w:val="20"/>
                <w:lang w:eastAsia="en-AU"/>
              </w:rPr>
              <w:t>ion</w:t>
            </w:r>
            <w:r w:rsidRPr="00F70769">
              <w:rPr>
                <w:rFonts w:ascii="Calibri" w:eastAsia="Times New Roman" w:hAnsi="Calibri" w:cs="Calibri"/>
                <w:color w:val="000000"/>
                <w:sz w:val="20"/>
                <w:szCs w:val="20"/>
                <w:lang w:eastAsia="en-AU"/>
              </w:rPr>
              <w:t xml:space="preserve"> </w:t>
            </w:r>
            <w:r>
              <w:rPr>
                <w:rFonts w:ascii="Calibri" w:eastAsia="Times New Roman" w:hAnsi="Calibri" w:cs="Calibri"/>
                <w:color w:val="000000"/>
                <w:sz w:val="20"/>
                <w:szCs w:val="20"/>
                <w:lang w:eastAsia="en-AU"/>
              </w:rPr>
              <w:br/>
            </w:r>
            <w:r w:rsidRPr="00F70769">
              <w:rPr>
                <w:rFonts w:ascii="Calibri" w:eastAsia="Times New Roman" w:hAnsi="Calibri" w:cs="Calibri"/>
                <w:color w:val="000000"/>
                <w:sz w:val="20"/>
                <w:szCs w:val="20"/>
                <w:lang w:eastAsia="en-AU"/>
              </w:rPr>
              <w:t>3A</w:t>
            </w:r>
          </w:p>
        </w:tc>
        <w:tc>
          <w:tcPr>
            <w:tcW w:w="762" w:type="dxa"/>
            <w:tcBorders>
              <w:top w:val="single" w:sz="4" w:space="0" w:color="auto"/>
              <w:left w:val="nil"/>
              <w:bottom w:val="single" w:sz="4" w:space="0" w:color="auto"/>
              <w:right w:val="nil"/>
            </w:tcBorders>
            <w:shd w:val="clear" w:color="auto" w:fill="auto"/>
            <w:noWrap/>
            <w:vAlign w:val="bottom"/>
            <w:hideMark/>
          </w:tcPr>
          <w:p w14:paraId="2607950D" w14:textId="0C7FCC4E" w:rsidR="00666EC5" w:rsidRPr="00F70769" w:rsidRDefault="00666EC5" w:rsidP="008E13D1">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Opt</w:t>
            </w:r>
            <w:r w:rsidR="009B14F8">
              <w:rPr>
                <w:rFonts w:ascii="Calibri" w:eastAsia="Times New Roman" w:hAnsi="Calibri" w:cs="Calibri"/>
                <w:color w:val="000000"/>
                <w:sz w:val="20"/>
                <w:szCs w:val="20"/>
                <w:lang w:eastAsia="en-AU"/>
              </w:rPr>
              <w:t>ion</w:t>
            </w:r>
            <w:r w:rsidRPr="00F70769">
              <w:rPr>
                <w:rFonts w:ascii="Calibri" w:eastAsia="Times New Roman" w:hAnsi="Calibri" w:cs="Calibri"/>
                <w:color w:val="000000"/>
                <w:sz w:val="20"/>
                <w:szCs w:val="20"/>
                <w:lang w:eastAsia="en-AU"/>
              </w:rPr>
              <w:t xml:space="preserve"> </w:t>
            </w:r>
            <w:r>
              <w:rPr>
                <w:rFonts w:ascii="Calibri" w:eastAsia="Times New Roman" w:hAnsi="Calibri" w:cs="Calibri"/>
                <w:color w:val="000000"/>
                <w:sz w:val="20"/>
                <w:szCs w:val="20"/>
                <w:lang w:eastAsia="en-AU"/>
              </w:rPr>
              <w:br/>
            </w:r>
            <w:r w:rsidRPr="00F70769">
              <w:rPr>
                <w:rFonts w:ascii="Calibri" w:eastAsia="Times New Roman" w:hAnsi="Calibri" w:cs="Calibri"/>
                <w:color w:val="000000"/>
                <w:sz w:val="20"/>
                <w:szCs w:val="20"/>
                <w:lang w:eastAsia="en-AU"/>
              </w:rPr>
              <w:t>3B</w:t>
            </w:r>
          </w:p>
        </w:tc>
        <w:tc>
          <w:tcPr>
            <w:tcW w:w="763" w:type="dxa"/>
            <w:tcBorders>
              <w:top w:val="single" w:sz="4" w:space="0" w:color="auto"/>
              <w:left w:val="nil"/>
              <w:bottom w:val="single" w:sz="4" w:space="0" w:color="auto"/>
              <w:right w:val="nil"/>
            </w:tcBorders>
            <w:shd w:val="clear" w:color="auto" w:fill="auto"/>
            <w:noWrap/>
            <w:vAlign w:val="bottom"/>
            <w:hideMark/>
          </w:tcPr>
          <w:p w14:paraId="0BEDCCBF" w14:textId="520CE36B" w:rsidR="00666EC5" w:rsidRPr="00F70769" w:rsidRDefault="00666EC5" w:rsidP="008E13D1">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Opt</w:t>
            </w:r>
            <w:r w:rsidR="009B14F8">
              <w:rPr>
                <w:rFonts w:ascii="Calibri" w:eastAsia="Times New Roman" w:hAnsi="Calibri" w:cs="Calibri"/>
                <w:color w:val="000000"/>
                <w:sz w:val="20"/>
                <w:szCs w:val="20"/>
                <w:lang w:eastAsia="en-AU"/>
              </w:rPr>
              <w:t>ion</w:t>
            </w:r>
            <w:r w:rsidRPr="00F70769">
              <w:rPr>
                <w:rFonts w:ascii="Calibri" w:eastAsia="Times New Roman" w:hAnsi="Calibri" w:cs="Calibri"/>
                <w:color w:val="000000"/>
                <w:sz w:val="20"/>
                <w:szCs w:val="20"/>
                <w:lang w:eastAsia="en-AU"/>
              </w:rPr>
              <w:t xml:space="preserve"> </w:t>
            </w:r>
            <w:r>
              <w:rPr>
                <w:rFonts w:ascii="Calibri" w:eastAsia="Times New Roman" w:hAnsi="Calibri" w:cs="Calibri"/>
                <w:color w:val="000000"/>
                <w:sz w:val="20"/>
                <w:szCs w:val="20"/>
                <w:lang w:eastAsia="en-AU"/>
              </w:rPr>
              <w:br/>
            </w:r>
            <w:r w:rsidRPr="00F70769">
              <w:rPr>
                <w:rFonts w:ascii="Calibri" w:eastAsia="Times New Roman" w:hAnsi="Calibri" w:cs="Calibri"/>
                <w:color w:val="000000"/>
                <w:sz w:val="20"/>
                <w:szCs w:val="20"/>
                <w:lang w:eastAsia="en-AU"/>
              </w:rPr>
              <w:t>4A</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14:paraId="3CD477A1" w14:textId="6F1322E6" w:rsidR="00666EC5" w:rsidRPr="00F70769" w:rsidRDefault="00666EC5" w:rsidP="008E13D1">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Opt</w:t>
            </w:r>
            <w:r w:rsidR="009B14F8">
              <w:rPr>
                <w:rFonts w:ascii="Calibri" w:eastAsia="Times New Roman" w:hAnsi="Calibri" w:cs="Calibri"/>
                <w:color w:val="000000"/>
                <w:sz w:val="20"/>
                <w:szCs w:val="20"/>
                <w:lang w:eastAsia="en-AU"/>
              </w:rPr>
              <w:t>ion</w:t>
            </w:r>
            <w:r w:rsidRPr="00F70769">
              <w:rPr>
                <w:rFonts w:ascii="Calibri" w:eastAsia="Times New Roman" w:hAnsi="Calibri" w:cs="Calibri"/>
                <w:color w:val="000000"/>
                <w:sz w:val="20"/>
                <w:szCs w:val="20"/>
                <w:lang w:eastAsia="en-AU"/>
              </w:rPr>
              <w:t xml:space="preserve"> </w:t>
            </w:r>
            <w:r>
              <w:rPr>
                <w:rFonts w:ascii="Calibri" w:eastAsia="Times New Roman" w:hAnsi="Calibri" w:cs="Calibri"/>
                <w:color w:val="000000"/>
                <w:sz w:val="20"/>
                <w:szCs w:val="20"/>
                <w:lang w:eastAsia="en-AU"/>
              </w:rPr>
              <w:br/>
            </w:r>
            <w:r w:rsidRPr="00F70769">
              <w:rPr>
                <w:rFonts w:ascii="Calibri" w:eastAsia="Times New Roman" w:hAnsi="Calibri" w:cs="Calibri"/>
                <w:color w:val="000000"/>
                <w:sz w:val="20"/>
                <w:szCs w:val="20"/>
                <w:lang w:eastAsia="en-AU"/>
              </w:rPr>
              <w:t>4B</w:t>
            </w:r>
          </w:p>
        </w:tc>
        <w:tc>
          <w:tcPr>
            <w:tcW w:w="762" w:type="dxa"/>
            <w:tcBorders>
              <w:top w:val="single" w:sz="4" w:space="0" w:color="auto"/>
              <w:left w:val="nil"/>
              <w:bottom w:val="single" w:sz="4" w:space="0" w:color="auto"/>
              <w:right w:val="nil"/>
            </w:tcBorders>
            <w:shd w:val="clear" w:color="auto" w:fill="auto"/>
            <w:noWrap/>
            <w:vAlign w:val="bottom"/>
            <w:hideMark/>
          </w:tcPr>
          <w:p w14:paraId="3DFE36D4" w14:textId="0C92B2A9" w:rsidR="00666EC5" w:rsidRPr="00F70769" w:rsidRDefault="00666EC5" w:rsidP="008E13D1">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Opt</w:t>
            </w:r>
            <w:r w:rsidR="009B14F8">
              <w:rPr>
                <w:rFonts w:ascii="Calibri" w:eastAsia="Times New Roman" w:hAnsi="Calibri" w:cs="Calibri"/>
                <w:color w:val="000000"/>
                <w:sz w:val="20"/>
                <w:szCs w:val="20"/>
                <w:lang w:eastAsia="en-AU"/>
              </w:rPr>
              <w:t>ion</w:t>
            </w:r>
            <w:r w:rsidRPr="00F70769">
              <w:rPr>
                <w:rFonts w:ascii="Calibri" w:eastAsia="Times New Roman" w:hAnsi="Calibri" w:cs="Calibri"/>
                <w:color w:val="000000"/>
                <w:sz w:val="20"/>
                <w:szCs w:val="20"/>
                <w:lang w:eastAsia="en-AU"/>
              </w:rPr>
              <w:t xml:space="preserve"> </w:t>
            </w:r>
            <w:r w:rsidRPr="008E13D1">
              <w:rPr>
                <w:rFonts w:ascii="Calibri" w:eastAsia="Times New Roman" w:hAnsi="Calibri" w:cs="Calibri"/>
                <w:color w:val="000000"/>
                <w:sz w:val="20"/>
                <w:szCs w:val="20"/>
                <w:lang w:eastAsia="en-AU"/>
              </w:rPr>
              <w:br/>
            </w:r>
            <w:r w:rsidRPr="00F70769">
              <w:rPr>
                <w:rFonts w:ascii="Calibri" w:eastAsia="Times New Roman" w:hAnsi="Calibri" w:cs="Calibri"/>
                <w:color w:val="000000"/>
                <w:sz w:val="20"/>
                <w:szCs w:val="20"/>
                <w:lang w:eastAsia="en-AU"/>
              </w:rPr>
              <w:t>2</w:t>
            </w:r>
          </w:p>
        </w:tc>
        <w:tc>
          <w:tcPr>
            <w:tcW w:w="916" w:type="dxa"/>
            <w:tcBorders>
              <w:top w:val="single" w:sz="4" w:space="0" w:color="auto"/>
              <w:left w:val="nil"/>
              <w:bottom w:val="single" w:sz="4" w:space="0" w:color="auto"/>
              <w:right w:val="nil"/>
            </w:tcBorders>
            <w:shd w:val="clear" w:color="auto" w:fill="auto"/>
            <w:noWrap/>
            <w:vAlign w:val="bottom"/>
            <w:hideMark/>
          </w:tcPr>
          <w:p w14:paraId="5C8A2699" w14:textId="60AA70DC" w:rsidR="00666EC5" w:rsidRPr="00F70769" w:rsidRDefault="00666EC5" w:rsidP="008E13D1">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Opt</w:t>
            </w:r>
            <w:r w:rsidR="009B14F8">
              <w:rPr>
                <w:rFonts w:ascii="Calibri" w:eastAsia="Times New Roman" w:hAnsi="Calibri" w:cs="Calibri"/>
                <w:color w:val="000000"/>
                <w:sz w:val="20"/>
                <w:szCs w:val="20"/>
                <w:lang w:eastAsia="en-AU"/>
              </w:rPr>
              <w:t>ion</w:t>
            </w:r>
            <w:r w:rsidRPr="00F70769">
              <w:rPr>
                <w:rFonts w:ascii="Calibri" w:eastAsia="Times New Roman" w:hAnsi="Calibri" w:cs="Calibri"/>
                <w:color w:val="000000"/>
                <w:sz w:val="20"/>
                <w:szCs w:val="20"/>
                <w:lang w:eastAsia="en-AU"/>
              </w:rPr>
              <w:t xml:space="preserve"> </w:t>
            </w:r>
            <w:r>
              <w:rPr>
                <w:rFonts w:ascii="Calibri" w:eastAsia="Times New Roman" w:hAnsi="Calibri" w:cs="Calibri"/>
                <w:color w:val="000000"/>
                <w:sz w:val="20"/>
                <w:szCs w:val="20"/>
                <w:lang w:eastAsia="en-AU"/>
              </w:rPr>
              <w:br/>
            </w:r>
            <w:r w:rsidRPr="00F70769">
              <w:rPr>
                <w:rFonts w:ascii="Calibri" w:eastAsia="Times New Roman" w:hAnsi="Calibri" w:cs="Calibri"/>
                <w:color w:val="000000"/>
                <w:sz w:val="20"/>
                <w:szCs w:val="20"/>
                <w:lang w:eastAsia="en-AU"/>
              </w:rPr>
              <w:t>3A</w:t>
            </w:r>
          </w:p>
        </w:tc>
        <w:tc>
          <w:tcPr>
            <w:tcW w:w="762" w:type="dxa"/>
            <w:tcBorders>
              <w:top w:val="single" w:sz="4" w:space="0" w:color="auto"/>
              <w:left w:val="nil"/>
              <w:bottom w:val="single" w:sz="4" w:space="0" w:color="auto"/>
              <w:right w:val="nil"/>
            </w:tcBorders>
            <w:shd w:val="clear" w:color="auto" w:fill="auto"/>
            <w:noWrap/>
            <w:vAlign w:val="bottom"/>
            <w:hideMark/>
          </w:tcPr>
          <w:p w14:paraId="3AF7B5A4" w14:textId="1C55E95C" w:rsidR="00666EC5" w:rsidRPr="00F70769" w:rsidRDefault="00666EC5" w:rsidP="008E13D1">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Opt</w:t>
            </w:r>
            <w:r w:rsidR="009B14F8">
              <w:rPr>
                <w:rFonts w:ascii="Calibri" w:eastAsia="Times New Roman" w:hAnsi="Calibri" w:cs="Calibri"/>
                <w:color w:val="000000"/>
                <w:sz w:val="20"/>
                <w:szCs w:val="20"/>
                <w:lang w:eastAsia="en-AU"/>
              </w:rPr>
              <w:t>ion</w:t>
            </w:r>
            <w:r w:rsidRPr="00F70769">
              <w:rPr>
                <w:rFonts w:ascii="Calibri" w:eastAsia="Times New Roman" w:hAnsi="Calibri" w:cs="Calibri"/>
                <w:color w:val="000000"/>
                <w:sz w:val="20"/>
                <w:szCs w:val="20"/>
                <w:lang w:eastAsia="en-AU"/>
              </w:rPr>
              <w:t xml:space="preserve"> 3B</w:t>
            </w:r>
          </w:p>
        </w:tc>
        <w:tc>
          <w:tcPr>
            <w:tcW w:w="762" w:type="dxa"/>
            <w:tcBorders>
              <w:top w:val="single" w:sz="4" w:space="0" w:color="auto"/>
              <w:left w:val="nil"/>
              <w:bottom w:val="single" w:sz="4" w:space="0" w:color="auto"/>
              <w:right w:val="nil"/>
            </w:tcBorders>
            <w:shd w:val="clear" w:color="auto" w:fill="auto"/>
            <w:noWrap/>
            <w:vAlign w:val="bottom"/>
            <w:hideMark/>
          </w:tcPr>
          <w:p w14:paraId="4C002A4C" w14:textId="4EF44C37" w:rsidR="00666EC5" w:rsidRPr="00F70769" w:rsidRDefault="00666EC5" w:rsidP="008E13D1">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Opt</w:t>
            </w:r>
            <w:r w:rsidR="009B14F8">
              <w:rPr>
                <w:rFonts w:ascii="Calibri" w:eastAsia="Times New Roman" w:hAnsi="Calibri" w:cs="Calibri"/>
                <w:color w:val="000000"/>
                <w:sz w:val="20"/>
                <w:szCs w:val="20"/>
                <w:lang w:eastAsia="en-AU"/>
              </w:rPr>
              <w:t>ion</w:t>
            </w:r>
            <w:r w:rsidRPr="00F70769">
              <w:rPr>
                <w:rFonts w:ascii="Calibri" w:eastAsia="Times New Roman" w:hAnsi="Calibri" w:cs="Calibri"/>
                <w:color w:val="000000"/>
                <w:sz w:val="20"/>
                <w:szCs w:val="20"/>
                <w:lang w:eastAsia="en-AU"/>
              </w:rPr>
              <w:t xml:space="preserve"> 4A</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3D6377A8" w14:textId="7E5F8474" w:rsidR="00666EC5" w:rsidRPr="00F70769" w:rsidRDefault="00666EC5" w:rsidP="008E13D1">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Opt</w:t>
            </w:r>
            <w:r w:rsidR="009B14F8">
              <w:rPr>
                <w:rFonts w:ascii="Calibri" w:eastAsia="Times New Roman" w:hAnsi="Calibri" w:cs="Calibri"/>
                <w:color w:val="000000"/>
                <w:sz w:val="20"/>
                <w:szCs w:val="20"/>
                <w:lang w:eastAsia="en-AU"/>
              </w:rPr>
              <w:t>ion</w:t>
            </w:r>
            <w:r w:rsidRPr="00F70769">
              <w:rPr>
                <w:rFonts w:ascii="Calibri" w:eastAsia="Times New Roman" w:hAnsi="Calibri" w:cs="Calibri"/>
                <w:color w:val="000000"/>
                <w:sz w:val="20"/>
                <w:szCs w:val="20"/>
                <w:lang w:eastAsia="en-AU"/>
              </w:rPr>
              <w:t xml:space="preserve"> 4B</w:t>
            </w:r>
          </w:p>
        </w:tc>
      </w:tr>
      <w:tr w:rsidR="008E13D1" w:rsidRPr="00666EC5" w14:paraId="077DF240" w14:textId="77777777" w:rsidTr="00666EC5">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73D808B" w14:textId="6929DC42"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IM</w:t>
            </w:r>
            <w:r w:rsidR="00666EC5">
              <w:rPr>
                <w:rFonts w:ascii="Calibri" w:eastAsia="Times New Roman" w:hAnsi="Calibri" w:cs="Calibri"/>
                <w:color w:val="000000"/>
                <w:sz w:val="20"/>
                <w:szCs w:val="20"/>
                <w:lang w:eastAsia="en-AU"/>
              </w:rPr>
              <w:t>H</w:t>
            </w:r>
            <w:r w:rsidRPr="00F70769">
              <w:rPr>
                <w:rFonts w:ascii="Calibri" w:eastAsia="Times New Roman" w:hAnsi="Calibri" w:cs="Calibri"/>
                <w:color w:val="000000"/>
                <w:sz w:val="20"/>
                <w:szCs w:val="20"/>
                <w:lang w:eastAsia="en-AU"/>
              </w:rPr>
              <w:t>-Air-Batch</w:t>
            </w:r>
          </w:p>
        </w:tc>
        <w:tc>
          <w:tcPr>
            <w:tcW w:w="738" w:type="dxa"/>
            <w:tcBorders>
              <w:top w:val="nil"/>
              <w:left w:val="single" w:sz="4" w:space="0" w:color="auto"/>
              <w:bottom w:val="single" w:sz="4" w:space="0" w:color="auto"/>
              <w:right w:val="nil"/>
            </w:tcBorders>
            <w:shd w:val="clear" w:color="auto" w:fill="auto"/>
            <w:noWrap/>
            <w:vAlign w:val="bottom"/>
            <w:hideMark/>
          </w:tcPr>
          <w:p w14:paraId="055F2237" w14:textId="18D4BC12" w:rsidR="008E13D1" w:rsidRPr="00F70769" w:rsidRDefault="00666EC5" w:rsidP="00666EC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NA</w:t>
            </w:r>
          </w:p>
        </w:tc>
        <w:tc>
          <w:tcPr>
            <w:tcW w:w="762" w:type="dxa"/>
            <w:tcBorders>
              <w:top w:val="nil"/>
              <w:left w:val="single" w:sz="4" w:space="0" w:color="auto"/>
              <w:bottom w:val="single" w:sz="4" w:space="0" w:color="auto"/>
              <w:right w:val="nil"/>
            </w:tcBorders>
            <w:shd w:val="clear" w:color="auto" w:fill="auto"/>
            <w:noWrap/>
            <w:vAlign w:val="bottom"/>
            <w:hideMark/>
          </w:tcPr>
          <w:p w14:paraId="2DB03833"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0.8</w:t>
            </w:r>
          </w:p>
        </w:tc>
        <w:tc>
          <w:tcPr>
            <w:tcW w:w="762" w:type="dxa"/>
            <w:tcBorders>
              <w:top w:val="nil"/>
              <w:left w:val="nil"/>
              <w:bottom w:val="single" w:sz="4" w:space="0" w:color="auto"/>
              <w:right w:val="nil"/>
            </w:tcBorders>
            <w:shd w:val="clear" w:color="auto" w:fill="auto"/>
            <w:noWrap/>
            <w:vAlign w:val="bottom"/>
            <w:hideMark/>
          </w:tcPr>
          <w:p w14:paraId="5C68DA69"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1.0</w:t>
            </w:r>
          </w:p>
        </w:tc>
        <w:tc>
          <w:tcPr>
            <w:tcW w:w="762" w:type="dxa"/>
            <w:tcBorders>
              <w:top w:val="nil"/>
              <w:left w:val="nil"/>
              <w:bottom w:val="single" w:sz="4" w:space="0" w:color="auto"/>
              <w:right w:val="nil"/>
            </w:tcBorders>
            <w:shd w:val="clear" w:color="auto" w:fill="auto"/>
            <w:noWrap/>
            <w:vAlign w:val="bottom"/>
            <w:hideMark/>
          </w:tcPr>
          <w:p w14:paraId="3D8FDED6"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0.9</w:t>
            </w:r>
          </w:p>
        </w:tc>
        <w:tc>
          <w:tcPr>
            <w:tcW w:w="763" w:type="dxa"/>
            <w:tcBorders>
              <w:top w:val="nil"/>
              <w:left w:val="nil"/>
              <w:bottom w:val="single" w:sz="4" w:space="0" w:color="auto"/>
              <w:right w:val="nil"/>
            </w:tcBorders>
            <w:shd w:val="clear" w:color="auto" w:fill="auto"/>
            <w:noWrap/>
            <w:vAlign w:val="bottom"/>
            <w:hideMark/>
          </w:tcPr>
          <w:p w14:paraId="536498C6"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1.1</w:t>
            </w:r>
          </w:p>
        </w:tc>
        <w:tc>
          <w:tcPr>
            <w:tcW w:w="762" w:type="dxa"/>
            <w:tcBorders>
              <w:top w:val="nil"/>
              <w:left w:val="nil"/>
              <w:bottom w:val="single" w:sz="4" w:space="0" w:color="auto"/>
              <w:right w:val="single" w:sz="4" w:space="0" w:color="auto"/>
            </w:tcBorders>
            <w:shd w:val="clear" w:color="auto" w:fill="auto"/>
            <w:noWrap/>
            <w:vAlign w:val="bottom"/>
            <w:hideMark/>
          </w:tcPr>
          <w:p w14:paraId="5545C662"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1.0</w:t>
            </w:r>
          </w:p>
        </w:tc>
        <w:tc>
          <w:tcPr>
            <w:tcW w:w="762" w:type="dxa"/>
            <w:tcBorders>
              <w:top w:val="nil"/>
              <w:left w:val="nil"/>
              <w:bottom w:val="single" w:sz="4" w:space="0" w:color="auto"/>
              <w:right w:val="nil"/>
            </w:tcBorders>
            <w:shd w:val="clear" w:color="auto" w:fill="auto"/>
            <w:noWrap/>
            <w:vAlign w:val="bottom"/>
            <w:hideMark/>
          </w:tcPr>
          <w:p w14:paraId="70D8915D"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1.2</w:t>
            </w:r>
          </w:p>
        </w:tc>
        <w:tc>
          <w:tcPr>
            <w:tcW w:w="916" w:type="dxa"/>
            <w:tcBorders>
              <w:top w:val="nil"/>
              <w:left w:val="nil"/>
              <w:bottom w:val="single" w:sz="4" w:space="0" w:color="auto"/>
              <w:right w:val="nil"/>
            </w:tcBorders>
            <w:shd w:val="clear" w:color="auto" w:fill="auto"/>
            <w:noWrap/>
            <w:vAlign w:val="bottom"/>
            <w:hideMark/>
          </w:tcPr>
          <w:p w14:paraId="3F4D8EFA"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2.5</w:t>
            </w:r>
          </w:p>
        </w:tc>
        <w:tc>
          <w:tcPr>
            <w:tcW w:w="762" w:type="dxa"/>
            <w:tcBorders>
              <w:top w:val="nil"/>
              <w:left w:val="nil"/>
              <w:bottom w:val="single" w:sz="4" w:space="0" w:color="auto"/>
              <w:right w:val="nil"/>
            </w:tcBorders>
            <w:shd w:val="clear" w:color="auto" w:fill="auto"/>
            <w:noWrap/>
            <w:vAlign w:val="bottom"/>
            <w:hideMark/>
          </w:tcPr>
          <w:p w14:paraId="1D72DFC5"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2.2</w:t>
            </w:r>
          </w:p>
        </w:tc>
        <w:tc>
          <w:tcPr>
            <w:tcW w:w="762" w:type="dxa"/>
            <w:tcBorders>
              <w:top w:val="nil"/>
              <w:left w:val="nil"/>
              <w:bottom w:val="single" w:sz="4" w:space="0" w:color="auto"/>
              <w:right w:val="nil"/>
            </w:tcBorders>
            <w:shd w:val="clear" w:color="auto" w:fill="auto"/>
            <w:noWrap/>
            <w:vAlign w:val="bottom"/>
            <w:hideMark/>
          </w:tcPr>
          <w:p w14:paraId="5AFF3EF7"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1.4</w:t>
            </w:r>
          </w:p>
        </w:tc>
        <w:tc>
          <w:tcPr>
            <w:tcW w:w="763" w:type="dxa"/>
            <w:tcBorders>
              <w:top w:val="nil"/>
              <w:left w:val="nil"/>
              <w:bottom w:val="single" w:sz="4" w:space="0" w:color="auto"/>
              <w:right w:val="single" w:sz="4" w:space="0" w:color="auto"/>
            </w:tcBorders>
            <w:shd w:val="clear" w:color="auto" w:fill="auto"/>
            <w:noWrap/>
            <w:vAlign w:val="bottom"/>
            <w:hideMark/>
          </w:tcPr>
          <w:p w14:paraId="0D1F5EA1"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1.4</w:t>
            </w:r>
          </w:p>
        </w:tc>
      </w:tr>
      <w:tr w:rsidR="008E13D1" w:rsidRPr="00666EC5" w14:paraId="13C4F06B" w14:textId="77777777" w:rsidTr="00666EC5">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5C337BA" w14:textId="4C2EBAC1"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IM</w:t>
            </w:r>
            <w:r w:rsidR="00666EC5">
              <w:rPr>
                <w:rFonts w:ascii="Calibri" w:eastAsia="Times New Roman" w:hAnsi="Calibri" w:cs="Calibri"/>
                <w:color w:val="000000"/>
                <w:sz w:val="20"/>
                <w:szCs w:val="20"/>
                <w:lang w:eastAsia="en-AU"/>
              </w:rPr>
              <w:t>H</w:t>
            </w:r>
            <w:r w:rsidRPr="00F70769">
              <w:rPr>
                <w:rFonts w:ascii="Calibri" w:eastAsia="Times New Roman" w:hAnsi="Calibri" w:cs="Calibri"/>
                <w:color w:val="000000"/>
                <w:sz w:val="20"/>
                <w:szCs w:val="20"/>
                <w:lang w:eastAsia="en-AU"/>
              </w:rPr>
              <w:t>-Air-Cont</w:t>
            </w:r>
          </w:p>
        </w:tc>
        <w:tc>
          <w:tcPr>
            <w:tcW w:w="738" w:type="dxa"/>
            <w:tcBorders>
              <w:top w:val="nil"/>
              <w:left w:val="single" w:sz="4" w:space="0" w:color="auto"/>
              <w:bottom w:val="single" w:sz="4" w:space="0" w:color="auto"/>
              <w:right w:val="nil"/>
            </w:tcBorders>
            <w:shd w:val="clear" w:color="auto" w:fill="auto"/>
            <w:noWrap/>
            <w:vAlign w:val="bottom"/>
            <w:hideMark/>
          </w:tcPr>
          <w:p w14:paraId="2DCCD08A" w14:textId="343FB995" w:rsidR="008E13D1" w:rsidRPr="00F70769" w:rsidRDefault="00666EC5" w:rsidP="00666EC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NA</w:t>
            </w:r>
          </w:p>
        </w:tc>
        <w:tc>
          <w:tcPr>
            <w:tcW w:w="762" w:type="dxa"/>
            <w:tcBorders>
              <w:top w:val="nil"/>
              <w:left w:val="single" w:sz="4" w:space="0" w:color="auto"/>
              <w:bottom w:val="single" w:sz="4" w:space="0" w:color="auto"/>
              <w:right w:val="nil"/>
            </w:tcBorders>
            <w:shd w:val="clear" w:color="auto" w:fill="auto"/>
            <w:noWrap/>
            <w:vAlign w:val="bottom"/>
            <w:hideMark/>
          </w:tcPr>
          <w:p w14:paraId="25691B58"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2.7</w:t>
            </w:r>
          </w:p>
        </w:tc>
        <w:tc>
          <w:tcPr>
            <w:tcW w:w="762" w:type="dxa"/>
            <w:tcBorders>
              <w:top w:val="nil"/>
              <w:left w:val="nil"/>
              <w:bottom w:val="single" w:sz="4" w:space="0" w:color="auto"/>
              <w:right w:val="nil"/>
            </w:tcBorders>
            <w:shd w:val="clear" w:color="auto" w:fill="auto"/>
            <w:noWrap/>
            <w:vAlign w:val="bottom"/>
            <w:hideMark/>
          </w:tcPr>
          <w:p w14:paraId="4C4AD74F"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1.4</w:t>
            </w:r>
          </w:p>
        </w:tc>
        <w:tc>
          <w:tcPr>
            <w:tcW w:w="762" w:type="dxa"/>
            <w:tcBorders>
              <w:top w:val="nil"/>
              <w:left w:val="nil"/>
              <w:bottom w:val="single" w:sz="4" w:space="0" w:color="auto"/>
              <w:right w:val="nil"/>
            </w:tcBorders>
            <w:shd w:val="clear" w:color="auto" w:fill="auto"/>
            <w:noWrap/>
            <w:vAlign w:val="bottom"/>
            <w:hideMark/>
          </w:tcPr>
          <w:p w14:paraId="6E32D175"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2.1</w:t>
            </w:r>
          </w:p>
        </w:tc>
        <w:tc>
          <w:tcPr>
            <w:tcW w:w="763" w:type="dxa"/>
            <w:tcBorders>
              <w:top w:val="nil"/>
              <w:left w:val="nil"/>
              <w:bottom w:val="single" w:sz="4" w:space="0" w:color="auto"/>
              <w:right w:val="nil"/>
            </w:tcBorders>
            <w:shd w:val="clear" w:color="auto" w:fill="auto"/>
            <w:noWrap/>
            <w:vAlign w:val="bottom"/>
            <w:hideMark/>
          </w:tcPr>
          <w:p w14:paraId="2E9A5497"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2.2</w:t>
            </w:r>
          </w:p>
        </w:tc>
        <w:tc>
          <w:tcPr>
            <w:tcW w:w="762" w:type="dxa"/>
            <w:tcBorders>
              <w:top w:val="nil"/>
              <w:left w:val="nil"/>
              <w:bottom w:val="single" w:sz="4" w:space="0" w:color="auto"/>
              <w:right w:val="single" w:sz="4" w:space="0" w:color="auto"/>
            </w:tcBorders>
            <w:shd w:val="clear" w:color="auto" w:fill="auto"/>
            <w:noWrap/>
            <w:vAlign w:val="bottom"/>
            <w:hideMark/>
          </w:tcPr>
          <w:p w14:paraId="71ABEBA9"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2.2</w:t>
            </w:r>
          </w:p>
        </w:tc>
        <w:tc>
          <w:tcPr>
            <w:tcW w:w="762" w:type="dxa"/>
            <w:tcBorders>
              <w:top w:val="nil"/>
              <w:left w:val="nil"/>
              <w:bottom w:val="single" w:sz="4" w:space="0" w:color="auto"/>
              <w:right w:val="nil"/>
            </w:tcBorders>
            <w:shd w:val="clear" w:color="auto" w:fill="auto"/>
            <w:noWrap/>
            <w:vAlign w:val="bottom"/>
            <w:hideMark/>
          </w:tcPr>
          <w:p w14:paraId="6B7CA52F"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7.3</w:t>
            </w:r>
          </w:p>
        </w:tc>
        <w:tc>
          <w:tcPr>
            <w:tcW w:w="916" w:type="dxa"/>
            <w:tcBorders>
              <w:top w:val="nil"/>
              <w:left w:val="nil"/>
              <w:bottom w:val="single" w:sz="4" w:space="0" w:color="auto"/>
              <w:right w:val="nil"/>
            </w:tcBorders>
            <w:shd w:val="clear" w:color="auto" w:fill="auto"/>
            <w:noWrap/>
            <w:vAlign w:val="bottom"/>
            <w:hideMark/>
          </w:tcPr>
          <w:p w14:paraId="27D9E068"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6.1</w:t>
            </w:r>
          </w:p>
        </w:tc>
        <w:tc>
          <w:tcPr>
            <w:tcW w:w="762" w:type="dxa"/>
            <w:tcBorders>
              <w:top w:val="nil"/>
              <w:left w:val="nil"/>
              <w:bottom w:val="single" w:sz="4" w:space="0" w:color="auto"/>
              <w:right w:val="nil"/>
            </w:tcBorders>
            <w:shd w:val="clear" w:color="000000" w:fill="FFFF00"/>
            <w:noWrap/>
            <w:vAlign w:val="bottom"/>
            <w:hideMark/>
          </w:tcPr>
          <w:p w14:paraId="6C82B1A6"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8.2</w:t>
            </w:r>
          </w:p>
        </w:tc>
        <w:tc>
          <w:tcPr>
            <w:tcW w:w="762" w:type="dxa"/>
            <w:tcBorders>
              <w:top w:val="nil"/>
              <w:left w:val="nil"/>
              <w:bottom w:val="single" w:sz="4" w:space="0" w:color="auto"/>
              <w:right w:val="nil"/>
            </w:tcBorders>
            <w:shd w:val="clear" w:color="auto" w:fill="auto"/>
            <w:noWrap/>
            <w:vAlign w:val="bottom"/>
            <w:hideMark/>
          </w:tcPr>
          <w:p w14:paraId="6CE60C29"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3.2</w:t>
            </w:r>
          </w:p>
        </w:tc>
        <w:tc>
          <w:tcPr>
            <w:tcW w:w="763" w:type="dxa"/>
            <w:tcBorders>
              <w:top w:val="nil"/>
              <w:left w:val="nil"/>
              <w:bottom w:val="single" w:sz="4" w:space="0" w:color="auto"/>
              <w:right w:val="single" w:sz="4" w:space="0" w:color="auto"/>
            </w:tcBorders>
            <w:shd w:val="clear" w:color="auto" w:fill="auto"/>
            <w:noWrap/>
            <w:vAlign w:val="bottom"/>
            <w:hideMark/>
          </w:tcPr>
          <w:p w14:paraId="506D7F99"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3.2</w:t>
            </w:r>
          </w:p>
        </w:tc>
      </w:tr>
      <w:tr w:rsidR="008E13D1" w:rsidRPr="00666EC5" w14:paraId="734F3553" w14:textId="77777777" w:rsidTr="00666EC5">
        <w:trPr>
          <w:trHeight w:val="300"/>
          <w:jc w:val="center"/>
        </w:trPr>
        <w:tc>
          <w:tcPr>
            <w:tcW w:w="1838" w:type="dxa"/>
            <w:tcBorders>
              <w:top w:val="nil"/>
              <w:left w:val="single" w:sz="4" w:space="0" w:color="auto"/>
              <w:bottom w:val="nil"/>
              <w:right w:val="single" w:sz="4" w:space="0" w:color="auto"/>
            </w:tcBorders>
            <w:shd w:val="clear" w:color="auto" w:fill="auto"/>
            <w:noWrap/>
            <w:vAlign w:val="bottom"/>
            <w:hideMark/>
          </w:tcPr>
          <w:p w14:paraId="0547F890" w14:textId="05F3D068"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IM</w:t>
            </w:r>
            <w:r w:rsidR="00666EC5">
              <w:rPr>
                <w:rFonts w:ascii="Calibri" w:eastAsia="Times New Roman" w:hAnsi="Calibri" w:cs="Calibri"/>
                <w:color w:val="000000"/>
                <w:sz w:val="20"/>
                <w:szCs w:val="20"/>
                <w:lang w:eastAsia="en-AU"/>
              </w:rPr>
              <w:t>H</w:t>
            </w:r>
            <w:r w:rsidRPr="00F70769">
              <w:rPr>
                <w:rFonts w:ascii="Calibri" w:eastAsia="Times New Roman" w:hAnsi="Calibri" w:cs="Calibri"/>
                <w:color w:val="000000"/>
                <w:sz w:val="20"/>
                <w:szCs w:val="20"/>
                <w:lang w:eastAsia="en-AU"/>
              </w:rPr>
              <w:t>-Water-Batch</w:t>
            </w:r>
          </w:p>
        </w:tc>
        <w:tc>
          <w:tcPr>
            <w:tcW w:w="738" w:type="dxa"/>
            <w:tcBorders>
              <w:top w:val="nil"/>
              <w:left w:val="single" w:sz="4" w:space="0" w:color="auto"/>
              <w:bottom w:val="nil"/>
              <w:right w:val="nil"/>
            </w:tcBorders>
            <w:shd w:val="clear" w:color="auto" w:fill="auto"/>
            <w:noWrap/>
            <w:vAlign w:val="bottom"/>
            <w:hideMark/>
          </w:tcPr>
          <w:p w14:paraId="5F073FEE" w14:textId="007406BA" w:rsidR="008E13D1" w:rsidRPr="00F70769" w:rsidRDefault="001A4DA3" w:rsidP="00666EC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10</w:t>
            </w:r>
            <w:r w:rsidR="008E13D1" w:rsidRPr="00F70769">
              <w:rPr>
                <w:rFonts w:ascii="Calibri" w:eastAsia="Times New Roman" w:hAnsi="Calibri" w:cs="Calibri"/>
                <w:color w:val="000000"/>
                <w:sz w:val="20"/>
                <w:szCs w:val="20"/>
                <w:lang w:eastAsia="en-AU"/>
              </w:rPr>
              <w:t>0%</w:t>
            </w:r>
          </w:p>
        </w:tc>
        <w:tc>
          <w:tcPr>
            <w:tcW w:w="762" w:type="dxa"/>
            <w:tcBorders>
              <w:top w:val="nil"/>
              <w:left w:val="single" w:sz="4" w:space="0" w:color="auto"/>
              <w:bottom w:val="nil"/>
              <w:right w:val="nil"/>
            </w:tcBorders>
            <w:shd w:val="clear" w:color="auto" w:fill="auto"/>
            <w:noWrap/>
            <w:vAlign w:val="bottom"/>
            <w:hideMark/>
          </w:tcPr>
          <w:p w14:paraId="342C7264"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1.9</w:t>
            </w:r>
          </w:p>
        </w:tc>
        <w:tc>
          <w:tcPr>
            <w:tcW w:w="762" w:type="dxa"/>
            <w:tcBorders>
              <w:top w:val="nil"/>
              <w:left w:val="nil"/>
              <w:bottom w:val="nil"/>
              <w:right w:val="nil"/>
            </w:tcBorders>
            <w:shd w:val="clear" w:color="auto" w:fill="auto"/>
            <w:noWrap/>
            <w:vAlign w:val="bottom"/>
            <w:hideMark/>
          </w:tcPr>
          <w:p w14:paraId="282D3382"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2.1</w:t>
            </w:r>
          </w:p>
        </w:tc>
        <w:tc>
          <w:tcPr>
            <w:tcW w:w="762" w:type="dxa"/>
            <w:tcBorders>
              <w:top w:val="nil"/>
              <w:left w:val="nil"/>
              <w:bottom w:val="nil"/>
              <w:right w:val="nil"/>
            </w:tcBorders>
            <w:shd w:val="clear" w:color="auto" w:fill="auto"/>
            <w:noWrap/>
            <w:vAlign w:val="bottom"/>
            <w:hideMark/>
          </w:tcPr>
          <w:p w14:paraId="691DB926"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2.0</w:t>
            </w:r>
          </w:p>
        </w:tc>
        <w:tc>
          <w:tcPr>
            <w:tcW w:w="763" w:type="dxa"/>
            <w:tcBorders>
              <w:top w:val="nil"/>
              <w:left w:val="nil"/>
              <w:bottom w:val="nil"/>
              <w:right w:val="nil"/>
            </w:tcBorders>
            <w:shd w:val="clear" w:color="auto" w:fill="auto"/>
            <w:noWrap/>
            <w:vAlign w:val="bottom"/>
            <w:hideMark/>
          </w:tcPr>
          <w:p w14:paraId="3454C61D"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1.1</w:t>
            </w:r>
          </w:p>
        </w:tc>
        <w:tc>
          <w:tcPr>
            <w:tcW w:w="762" w:type="dxa"/>
            <w:tcBorders>
              <w:top w:val="nil"/>
              <w:left w:val="nil"/>
              <w:bottom w:val="nil"/>
              <w:right w:val="single" w:sz="4" w:space="0" w:color="auto"/>
            </w:tcBorders>
            <w:shd w:val="clear" w:color="auto" w:fill="auto"/>
            <w:noWrap/>
            <w:vAlign w:val="bottom"/>
            <w:hideMark/>
          </w:tcPr>
          <w:p w14:paraId="3341222C"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1.5</w:t>
            </w:r>
          </w:p>
        </w:tc>
        <w:tc>
          <w:tcPr>
            <w:tcW w:w="762" w:type="dxa"/>
            <w:tcBorders>
              <w:top w:val="nil"/>
              <w:left w:val="nil"/>
              <w:bottom w:val="nil"/>
              <w:right w:val="nil"/>
            </w:tcBorders>
            <w:shd w:val="clear" w:color="auto" w:fill="auto"/>
            <w:noWrap/>
            <w:vAlign w:val="bottom"/>
            <w:hideMark/>
          </w:tcPr>
          <w:p w14:paraId="64C8D171"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2.2</w:t>
            </w:r>
          </w:p>
        </w:tc>
        <w:tc>
          <w:tcPr>
            <w:tcW w:w="916" w:type="dxa"/>
            <w:tcBorders>
              <w:top w:val="nil"/>
              <w:left w:val="nil"/>
              <w:bottom w:val="nil"/>
              <w:right w:val="nil"/>
            </w:tcBorders>
            <w:shd w:val="clear" w:color="auto" w:fill="auto"/>
            <w:noWrap/>
            <w:vAlign w:val="bottom"/>
            <w:hideMark/>
          </w:tcPr>
          <w:p w14:paraId="0717C5A1"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3.4</w:t>
            </w:r>
          </w:p>
        </w:tc>
        <w:tc>
          <w:tcPr>
            <w:tcW w:w="762" w:type="dxa"/>
            <w:tcBorders>
              <w:top w:val="nil"/>
              <w:left w:val="nil"/>
              <w:bottom w:val="nil"/>
              <w:right w:val="nil"/>
            </w:tcBorders>
            <w:shd w:val="clear" w:color="auto" w:fill="auto"/>
            <w:noWrap/>
            <w:vAlign w:val="bottom"/>
            <w:hideMark/>
          </w:tcPr>
          <w:p w14:paraId="36056258"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3.1</w:t>
            </w:r>
          </w:p>
        </w:tc>
        <w:tc>
          <w:tcPr>
            <w:tcW w:w="762" w:type="dxa"/>
            <w:tcBorders>
              <w:top w:val="nil"/>
              <w:left w:val="nil"/>
              <w:bottom w:val="nil"/>
              <w:right w:val="nil"/>
            </w:tcBorders>
            <w:shd w:val="clear" w:color="auto" w:fill="auto"/>
            <w:noWrap/>
            <w:vAlign w:val="bottom"/>
            <w:hideMark/>
          </w:tcPr>
          <w:p w14:paraId="079A8DEF"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1.3</w:t>
            </w:r>
          </w:p>
        </w:tc>
        <w:tc>
          <w:tcPr>
            <w:tcW w:w="763" w:type="dxa"/>
            <w:tcBorders>
              <w:top w:val="nil"/>
              <w:left w:val="nil"/>
              <w:bottom w:val="nil"/>
              <w:right w:val="single" w:sz="4" w:space="0" w:color="auto"/>
            </w:tcBorders>
            <w:shd w:val="clear" w:color="auto" w:fill="auto"/>
            <w:noWrap/>
            <w:vAlign w:val="bottom"/>
            <w:hideMark/>
          </w:tcPr>
          <w:p w14:paraId="4F43B3A2"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1.8</w:t>
            </w:r>
          </w:p>
        </w:tc>
      </w:tr>
      <w:tr w:rsidR="008E13D1" w:rsidRPr="00666EC5" w14:paraId="6FF7CE57" w14:textId="77777777" w:rsidTr="00666EC5">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0BDAB70" w14:textId="77777777"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 </w:t>
            </w:r>
          </w:p>
        </w:tc>
        <w:tc>
          <w:tcPr>
            <w:tcW w:w="738" w:type="dxa"/>
            <w:tcBorders>
              <w:top w:val="nil"/>
              <w:left w:val="single" w:sz="4" w:space="0" w:color="auto"/>
              <w:bottom w:val="single" w:sz="4" w:space="0" w:color="auto"/>
              <w:right w:val="nil"/>
            </w:tcBorders>
            <w:shd w:val="clear" w:color="auto" w:fill="auto"/>
            <w:noWrap/>
            <w:vAlign w:val="bottom"/>
            <w:hideMark/>
          </w:tcPr>
          <w:p w14:paraId="48DF4EF6" w14:textId="0EB5F921" w:rsidR="008E13D1" w:rsidRPr="00F70769" w:rsidRDefault="008E13D1" w:rsidP="00666EC5">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w:t>
            </w:r>
          </w:p>
        </w:tc>
        <w:tc>
          <w:tcPr>
            <w:tcW w:w="762" w:type="dxa"/>
            <w:tcBorders>
              <w:top w:val="nil"/>
              <w:left w:val="single" w:sz="4" w:space="0" w:color="auto"/>
              <w:bottom w:val="single" w:sz="4" w:space="0" w:color="auto"/>
              <w:right w:val="nil"/>
            </w:tcBorders>
            <w:shd w:val="clear" w:color="auto" w:fill="auto"/>
            <w:noWrap/>
            <w:vAlign w:val="bottom"/>
            <w:hideMark/>
          </w:tcPr>
          <w:p w14:paraId="39E50A5C"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0.1</w:t>
            </w:r>
          </w:p>
        </w:tc>
        <w:tc>
          <w:tcPr>
            <w:tcW w:w="762" w:type="dxa"/>
            <w:tcBorders>
              <w:top w:val="nil"/>
              <w:left w:val="nil"/>
              <w:bottom w:val="single" w:sz="4" w:space="0" w:color="auto"/>
              <w:right w:val="nil"/>
            </w:tcBorders>
            <w:shd w:val="clear" w:color="auto" w:fill="auto"/>
            <w:noWrap/>
            <w:vAlign w:val="bottom"/>
            <w:hideMark/>
          </w:tcPr>
          <w:p w14:paraId="22CB40D8"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0.2</w:t>
            </w:r>
          </w:p>
        </w:tc>
        <w:tc>
          <w:tcPr>
            <w:tcW w:w="762" w:type="dxa"/>
            <w:tcBorders>
              <w:top w:val="nil"/>
              <w:left w:val="nil"/>
              <w:bottom w:val="single" w:sz="4" w:space="0" w:color="auto"/>
              <w:right w:val="nil"/>
            </w:tcBorders>
            <w:shd w:val="clear" w:color="auto" w:fill="auto"/>
            <w:noWrap/>
            <w:vAlign w:val="bottom"/>
            <w:hideMark/>
          </w:tcPr>
          <w:p w14:paraId="6A8354A4"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0.2</w:t>
            </w:r>
          </w:p>
        </w:tc>
        <w:tc>
          <w:tcPr>
            <w:tcW w:w="763" w:type="dxa"/>
            <w:tcBorders>
              <w:top w:val="nil"/>
              <w:left w:val="nil"/>
              <w:bottom w:val="single" w:sz="4" w:space="0" w:color="auto"/>
              <w:right w:val="nil"/>
            </w:tcBorders>
            <w:shd w:val="clear" w:color="auto" w:fill="auto"/>
            <w:noWrap/>
            <w:vAlign w:val="bottom"/>
            <w:hideMark/>
          </w:tcPr>
          <w:p w14:paraId="4B52FDEE"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0.2</w:t>
            </w:r>
          </w:p>
        </w:tc>
        <w:tc>
          <w:tcPr>
            <w:tcW w:w="762" w:type="dxa"/>
            <w:tcBorders>
              <w:top w:val="nil"/>
              <w:left w:val="nil"/>
              <w:bottom w:val="single" w:sz="4" w:space="0" w:color="auto"/>
              <w:right w:val="single" w:sz="4" w:space="0" w:color="auto"/>
            </w:tcBorders>
            <w:shd w:val="clear" w:color="auto" w:fill="auto"/>
            <w:noWrap/>
            <w:vAlign w:val="bottom"/>
            <w:hideMark/>
          </w:tcPr>
          <w:p w14:paraId="49E471F2"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0.2</w:t>
            </w:r>
          </w:p>
        </w:tc>
        <w:tc>
          <w:tcPr>
            <w:tcW w:w="762" w:type="dxa"/>
            <w:tcBorders>
              <w:top w:val="nil"/>
              <w:left w:val="nil"/>
              <w:bottom w:val="single" w:sz="4" w:space="0" w:color="auto"/>
              <w:right w:val="nil"/>
            </w:tcBorders>
            <w:shd w:val="clear" w:color="auto" w:fill="auto"/>
            <w:noWrap/>
            <w:vAlign w:val="bottom"/>
            <w:hideMark/>
          </w:tcPr>
          <w:p w14:paraId="5BF42CA0"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0.2</w:t>
            </w:r>
          </w:p>
        </w:tc>
        <w:tc>
          <w:tcPr>
            <w:tcW w:w="916" w:type="dxa"/>
            <w:tcBorders>
              <w:top w:val="nil"/>
              <w:left w:val="nil"/>
              <w:bottom w:val="single" w:sz="4" w:space="0" w:color="auto"/>
              <w:right w:val="nil"/>
            </w:tcBorders>
            <w:shd w:val="clear" w:color="auto" w:fill="auto"/>
            <w:noWrap/>
            <w:vAlign w:val="bottom"/>
            <w:hideMark/>
          </w:tcPr>
          <w:p w14:paraId="4160DC8D"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0.3</w:t>
            </w:r>
          </w:p>
        </w:tc>
        <w:tc>
          <w:tcPr>
            <w:tcW w:w="762" w:type="dxa"/>
            <w:tcBorders>
              <w:top w:val="nil"/>
              <w:left w:val="nil"/>
              <w:bottom w:val="single" w:sz="4" w:space="0" w:color="auto"/>
              <w:right w:val="nil"/>
            </w:tcBorders>
            <w:shd w:val="clear" w:color="auto" w:fill="auto"/>
            <w:noWrap/>
            <w:vAlign w:val="bottom"/>
            <w:hideMark/>
          </w:tcPr>
          <w:p w14:paraId="3BF9F2AD"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0.3</w:t>
            </w:r>
          </w:p>
        </w:tc>
        <w:tc>
          <w:tcPr>
            <w:tcW w:w="762" w:type="dxa"/>
            <w:tcBorders>
              <w:top w:val="nil"/>
              <w:left w:val="nil"/>
              <w:bottom w:val="single" w:sz="4" w:space="0" w:color="auto"/>
              <w:right w:val="nil"/>
            </w:tcBorders>
            <w:shd w:val="clear" w:color="auto" w:fill="auto"/>
            <w:noWrap/>
            <w:vAlign w:val="bottom"/>
            <w:hideMark/>
          </w:tcPr>
          <w:p w14:paraId="7EDFAE6F"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0.2</w:t>
            </w:r>
          </w:p>
        </w:tc>
        <w:tc>
          <w:tcPr>
            <w:tcW w:w="763" w:type="dxa"/>
            <w:tcBorders>
              <w:top w:val="nil"/>
              <w:left w:val="nil"/>
              <w:bottom w:val="single" w:sz="4" w:space="0" w:color="auto"/>
              <w:right w:val="single" w:sz="4" w:space="0" w:color="auto"/>
            </w:tcBorders>
            <w:shd w:val="clear" w:color="auto" w:fill="auto"/>
            <w:noWrap/>
            <w:vAlign w:val="bottom"/>
            <w:hideMark/>
          </w:tcPr>
          <w:p w14:paraId="6633E57D"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0.2</w:t>
            </w:r>
          </w:p>
        </w:tc>
      </w:tr>
      <w:tr w:rsidR="008E13D1" w:rsidRPr="00666EC5" w14:paraId="3F1D65AC" w14:textId="77777777" w:rsidTr="00666EC5">
        <w:trPr>
          <w:trHeight w:val="300"/>
          <w:jc w:val="center"/>
        </w:trPr>
        <w:tc>
          <w:tcPr>
            <w:tcW w:w="1838" w:type="dxa"/>
            <w:tcBorders>
              <w:top w:val="nil"/>
              <w:left w:val="single" w:sz="4" w:space="0" w:color="auto"/>
              <w:bottom w:val="nil"/>
              <w:right w:val="single" w:sz="4" w:space="0" w:color="auto"/>
            </w:tcBorders>
            <w:shd w:val="clear" w:color="auto" w:fill="auto"/>
            <w:noWrap/>
            <w:vAlign w:val="bottom"/>
            <w:hideMark/>
          </w:tcPr>
          <w:p w14:paraId="10B3C8F5" w14:textId="15C64C5D"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IM</w:t>
            </w:r>
            <w:r w:rsidR="00666EC5">
              <w:rPr>
                <w:rFonts w:ascii="Calibri" w:eastAsia="Times New Roman" w:hAnsi="Calibri" w:cs="Calibri"/>
                <w:color w:val="000000"/>
                <w:sz w:val="20"/>
                <w:szCs w:val="20"/>
                <w:lang w:eastAsia="en-AU"/>
              </w:rPr>
              <w:t>H</w:t>
            </w:r>
            <w:r w:rsidRPr="00F70769">
              <w:rPr>
                <w:rFonts w:ascii="Calibri" w:eastAsia="Times New Roman" w:hAnsi="Calibri" w:cs="Calibri"/>
                <w:color w:val="000000"/>
                <w:sz w:val="20"/>
                <w:szCs w:val="20"/>
                <w:lang w:eastAsia="en-AU"/>
              </w:rPr>
              <w:t>-Water-Cont</w:t>
            </w:r>
          </w:p>
        </w:tc>
        <w:tc>
          <w:tcPr>
            <w:tcW w:w="738" w:type="dxa"/>
            <w:tcBorders>
              <w:top w:val="nil"/>
              <w:left w:val="single" w:sz="4" w:space="0" w:color="auto"/>
              <w:bottom w:val="nil"/>
              <w:right w:val="nil"/>
            </w:tcBorders>
            <w:shd w:val="clear" w:color="auto" w:fill="auto"/>
            <w:noWrap/>
            <w:vAlign w:val="bottom"/>
            <w:hideMark/>
          </w:tcPr>
          <w:p w14:paraId="63DDB07D" w14:textId="594397D5" w:rsidR="008E13D1" w:rsidRPr="00F70769" w:rsidRDefault="001A4DA3" w:rsidP="00666EC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10</w:t>
            </w:r>
            <w:r w:rsidR="008E13D1" w:rsidRPr="00F70769">
              <w:rPr>
                <w:rFonts w:ascii="Calibri" w:eastAsia="Times New Roman" w:hAnsi="Calibri" w:cs="Calibri"/>
                <w:color w:val="000000"/>
                <w:sz w:val="20"/>
                <w:szCs w:val="20"/>
                <w:lang w:eastAsia="en-AU"/>
              </w:rPr>
              <w:t>0%</w:t>
            </w:r>
          </w:p>
        </w:tc>
        <w:tc>
          <w:tcPr>
            <w:tcW w:w="762" w:type="dxa"/>
            <w:tcBorders>
              <w:top w:val="nil"/>
              <w:left w:val="single" w:sz="4" w:space="0" w:color="auto"/>
              <w:bottom w:val="nil"/>
              <w:right w:val="nil"/>
            </w:tcBorders>
            <w:shd w:val="clear" w:color="000000" w:fill="FFFF00"/>
            <w:noWrap/>
            <w:vAlign w:val="bottom"/>
            <w:hideMark/>
          </w:tcPr>
          <w:p w14:paraId="4AC89895"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8.6</w:t>
            </w:r>
          </w:p>
        </w:tc>
        <w:tc>
          <w:tcPr>
            <w:tcW w:w="762" w:type="dxa"/>
            <w:tcBorders>
              <w:top w:val="nil"/>
              <w:left w:val="nil"/>
              <w:bottom w:val="nil"/>
              <w:right w:val="nil"/>
            </w:tcBorders>
            <w:shd w:val="clear" w:color="auto" w:fill="auto"/>
            <w:noWrap/>
            <w:vAlign w:val="bottom"/>
            <w:hideMark/>
          </w:tcPr>
          <w:p w14:paraId="0C92588F"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4.6</w:t>
            </w:r>
          </w:p>
        </w:tc>
        <w:tc>
          <w:tcPr>
            <w:tcW w:w="762" w:type="dxa"/>
            <w:tcBorders>
              <w:top w:val="nil"/>
              <w:left w:val="nil"/>
              <w:bottom w:val="nil"/>
              <w:right w:val="nil"/>
            </w:tcBorders>
            <w:shd w:val="clear" w:color="auto" w:fill="auto"/>
            <w:noWrap/>
            <w:vAlign w:val="bottom"/>
            <w:hideMark/>
          </w:tcPr>
          <w:p w14:paraId="655C23EA"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6.6</w:t>
            </w:r>
          </w:p>
        </w:tc>
        <w:tc>
          <w:tcPr>
            <w:tcW w:w="763" w:type="dxa"/>
            <w:tcBorders>
              <w:top w:val="nil"/>
              <w:left w:val="nil"/>
              <w:bottom w:val="nil"/>
              <w:right w:val="nil"/>
            </w:tcBorders>
            <w:shd w:val="clear" w:color="auto" w:fill="auto"/>
            <w:noWrap/>
            <w:vAlign w:val="bottom"/>
            <w:hideMark/>
          </w:tcPr>
          <w:p w14:paraId="1ADAAA2B"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3.9</w:t>
            </w:r>
          </w:p>
        </w:tc>
        <w:tc>
          <w:tcPr>
            <w:tcW w:w="762" w:type="dxa"/>
            <w:tcBorders>
              <w:top w:val="nil"/>
              <w:left w:val="nil"/>
              <w:bottom w:val="nil"/>
              <w:right w:val="single" w:sz="4" w:space="0" w:color="auto"/>
            </w:tcBorders>
            <w:shd w:val="clear" w:color="auto" w:fill="auto"/>
            <w:noWrap/>
            <w:vAlign w:val="bottom"/>
            <w:hideMark/>
          </w:tcPr>
          <w:p w14:paraId="51BEE526"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3.0</w:t>
            </w:r>
          </w:p>
        </w:tc>
        <w:tc>
          <w:tcPr>
            <w:tcW w:w="762" w:type="dxa"/>
            <w:tcBorders>
              <w:top w:val="nil"/>
              <w:left w:val="nil"/>
              <w:bottom w:val="nil"/>
              <w:right w:val="nil"/>
            </w:tcBorders>
            <w:shd w:val="clear" w:color="000000" w:fill="FF0000"/>
            <w:noWrap/>
            <w:vAlign w:val="bottom"/>
            <w:hideMark/>
          </w:tcPr>
          <w:p w14:paraId="2369BF1E"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12.5</w:t>
            </w:r>
          </w:p>
        </w:tc>
        <w:tc>
          <w:tcPr>
            <w:tcW w:w="916" w:type="dxa"/>
            <w:tcBorders>
              <w:top w:val="nil"/>
              <w:left w:val="nil"/>
              <w:bottom w:val="nil"/>
              <w:right w:val="nil"/>
            </w:tcBorders>
            <w:shd w:val="clear" w:color="000000" w:fill="FFFF00"/>
            <w:noWrap/>
            <w:vAlign w:val="bottom"/>
            <w:hideMark/>
          </w:tcPr>
          <w:p w14:paraId="2AD5B359"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8.5</w:t>
            </w:r>
          </w:p>
        </w:tc>
        <w:tc>
          <w:tcPr>
            <w:tcW w:w="762" w:type="dxa"/>
            <w:tcBorders>
              <w:top w:val="nil"/>
              <w:left w:val="nil"/>
              <w:bottom w:val="nil"/>
              <w:right w:val="nil"/>
            </w:tcBorders>
            <w:shd w:val="clear" w:color="000000" w:fill="FF0000"/>
            <w:noWrap/>
            <w:vAlign w:val="bottom"/>
            <w:hideMark/>
          </w:tcPr>
          <w:p w14:paraId="634E21D1"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11.7</w:t>
            </w:r>
          </w:p>
        </w:tc>
        <w:tc>
          <w:tcPr>
            <w:tcW w:w="762" w:type="dxa"/>
            <w:tcBorders>
              <w:top w:val="nil"/>
              <w:left w:val="nil"/>
              <w:bottom w:val="nil"/>
              <w:right w:val="nil"/>
            </w:tcBorders>
            <w:shd w:val="clear" w:color="auto" w:fill="auto"/>
            <w:noWrap/>
            <w:vAlign w:val="bottom"/>
            <w:hideMark/>
          </w:tcPr>
          <w:p w14:paraId="47742984"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4.7</w:t>
            </w:r>
          </w:p>
        </w:tc>
        <w:tc>
          <w:tcPr>
            <w:tcW w:w="763" w:type="dxa"/>
            <w:tcBorders>
              <w:top w:val="nil"/>
              <w:left w:val="nil"/>
              <w:bottom w:val="nil"/>
              <w:right w:val="single" w:sz="4" w:space="0" w:color="auto"/>
            </w:tcBorders>
            <w:shd w:val="clear" w:color="auto" w:fill="auto"/>
            <w:noWrap/>
            <w:vAlign w:val="bottom"/>
            <w:hideMark/>
          </w:tcPr>
          <w:p w14:paraId="4E697795"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3.8</w:t>
            </w:r>
          </w:p>
        </w:tc>
      </w:tr>
      <w:tr w:rsidR="008E13D1" w:rsidRPr="00666EC5" w14:paraId="2755105B" w14:textId="77777777" w:rsidTr="00666EC5">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5D24974" w14:textId="77777777"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 </w:t>
            </w:r>
          </w:p>
        </w:tc>
        <w:tc>
          <w:tcPr>
            <w:tcW w:w="738" w:type="dxa"/>
            <w:tcBorders>
              <w:top w:val="nil"/>
              <w:left w:val="single" w:sz="4" w:space="0" w:color="auto"/>
              <w:bottom w:val="single" w:sz="4" w:space="0" w:color="auto"/>
              <w:right w:val="nil"/>
            </w:tcBorders>
            <w:shd w:val="clear" w:color="auto" w:fill="auto"/>
            <w:noWrap/>
            <w:vAlign w:val="bottom"/>
            <w:hideMark/>
          </w:tcPr>
          <w:p w14:paraId="1F0C3F86" w14:textId="762326F9" w:rsidR="008E13D1" w:rsidRPr="00F70769" w:rsidRDefault="008E13D1" w:rsidP="00666EC5">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w:t>
            </w:r>
          </w:p>
        </w:tc>
        <w:tc>
          <w:tcPr>
            <w:tcW w:w="762" w:type="dxa"/>
            <w:tcBorders>
              <w:top w:val="nil"/>
              <w:left w:val="single" w:sz="4" w:space="0" w:color="auto"/>
              <w:bottom w:val="single" w:sz="4" w:space="0" w:color="auto"/>
              <w:right w:val="nil"/>
            </w:tcBorders>
            <w:shd w:val="clear" w:color="auto" w:fill="auto"/>
            <w:noWrap/>
            <w:vAlign w:val="bottom"/>
            <w:hideMark/>
          </w:tcPr>
          <w:p w14:paraId="33EDC4EF"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0.2</w:t>
            </w:r>
          </w:p>
        </w:tc>
        <w:tc>
          <w:tcPr>
            <w:tcW w:w="762" w:type="dxa"/>
            <w:tcBorders>
              <w:top w:val="nil"/>
              <w:left w:val="nil"/>
              <w:bottom w:val="single" w:sz="4" w:space="0" w:color="auto"/>
              <w:right w:val="nil"/>
            </w:tcBorders>
            <w:shd w:val="clear" w:color="auto" w:fill="auto"/>
            <w:noWrap/>
            <w:vAlign w:val="bottom"/>
            <w:hideMark/>
          </w:tcPr>
          <w:p w14:paraId="43A8C2B7"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0.2</w:t>
            </w:r>
          </w:p>
        </w:tc>
        <w:tc>
          <w:tcPr>
            <w:tcW w:w="762" w:type="dxa"/>
            <w:tcBorders>
              <w:top w:val="nil"/>
              <w:left w:val="nil"/>
              <w:bottom w:val="single" w:sz="4" w:space="0" w:color="auto"/>
              <w:right w:val="nil"/>
            </w:tcBorders>
            <w:shd w:val="clear" w:color="auto" w:fill="auto"/>
            <w:noWrap/>
            <w:vAlign w:val="bottom"/>
            <w:hideMark/>
          </w:tcPr>
          <w:p w14:paraId="3C42C1AB"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0.2</w:t>
            </w:r>
          </w:p>
        </w:tc>
        <w:tc>
          <w:tcPr>
            <w:tcW w:w="763" w:type="dxa"/>
            <w:tcBorders>
              <w:top w:val="nil"/>
              <w:left w:val="nil"/>
              <w:bottom w:val="single" w:sz="4" w:space="0" w:color="auto"/>
              <w:right w:val="nil"/>
            </w:tcBorders>
            <w:shd w:val="clear" w:color="auto" w:fill="auto"/>
            <w:noWrap/>
            <w:vAlign w:val="bottom"/>
            <w:hideMark/>
          </w:tcPr>
          <w:p w14:paraId="680C9922"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0.4</w:t>
            </w:r>
          </w:p>
        </w:tc>
        <w:tc>
          <w:tcPr>
            <w:tcW w:w="762" w:type="dxa"/>
            <w:tcBorders>
              <w:top w:val="nil"/>
              <w:left w:val="nil"/>
              <w:bottom w:val="single" w:sz="4" w:space="0" w:color="auto"/>
              <w:right w:val="single" w:sz="4" w:space="0" w:color="auto"/>
            </w:tcBorders>
            <w:shd w:val="clear" w:color="auto" w:fill="auto"/>
            <w:noWrap/>
            <w:vAlign w:val="bottom"/>
            <w:hideMark/>
          </w:tcPr>
          <w:p w14:paraId="465B894A"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0.4</w:t>
            </w:r>
          </w:p>
        </w:tc>
        <w:tc>
          <w:tcPr>
            <w:tcW w:w="762" w:type="dxa"/>
            <w:tcBorders>
              <w:top w:val="nil"/>
              <w:left w:val="nil"/>
              <w:bottom w:val="single" w:sz="4" w:space="0" w:color="auto"/>
              <w:right w:val="nil"/>
            </w:tcBorders>
            <w:shd w:val="clear" w:color="auto" w:fill="auto"/>
            <w:noWrap/>
            <w:vAlign w:val="bottom"/>
            <w:hideMark/>
          </w:tcPr>
          <w:p w14:paraId="40AEB0DA"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0.3</w:t>
            </w:r>
          </w:p>
        </w:tc>
        <w:tc>
          <w:tcPr>
            <w:tcW w:w="916" w:type="dxa"/>
            <w:tcBorders>
              <w:top w:val="nil"/>
              <w:left w:val="nil"/>
              <w:bottom w:val="single" w:sz="4" w:space="0" w:color="auto"/>
              <w:right w:val="nil"/>
            </w:tcBorders>
            <w:shd w:val="clear" w:color="auto" w:fill="auto"/>
            <w:noWrap/>
            <w:vAlign w:val="bottom"/>
            <w:hideMark/>
          </w:tcPr>
          <w:p w14:paraId="08C3744A"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0.3</w:t>
            </w:r>
          </w:p>
        </w:tc>
        <w:tc>
          <w:tcPr>
            <w:tcW w:w="762" w:type="dxa"/>
            <w:tcBorders>
              <w:top w:val="nil"/>
              <w:left w:val="nil"/>
              <w:bottom w:val="single" w:sz="4" w:space="0" w:color="auto"/>
              <w:right w:val="nil"/>
            </w:tcBorders>
            <w:shd w:val="clear" w:color="auto" w:fill="auto"/>
            <w:noWrap/>
            <w:vAlign w:val="bottom"/>
            <w:hideMark/>
          </w:tcPr>
          <w:p w14:paraId="4D50ED3C"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0.3</w:t>
            </w:r>
          </w:p>
        </w:tc>
        <w:tc>
          <w:tcPr>
            <w:tcW w:w="762" w:type="dxa"/>
            <w:tcBorders>
              <w:top w:val="nil"/>
              <w:left w:val="nil"/>
              <w:bottom w:val="single" w:sz="4" w:space="0" w:color="auto"/>
              <w:right w:val="nil"/>
            </w:tcBorders>
            <w:shd w:val="clear" w:color="auto" w:fill="auto"/>
            <w:noWrap/>
            <w:vAlign w:val="bottom"/>
            <w:hideMark/>
          </w:tcPr>
          <w:p w14:paraId="34A9F309"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0.5</w:t>
            </w:r>
          </w:p>
        </w:tc>
        <w:tc>
          <w:tcPr>
            <w:tcW w:w="763" w:type="dxa"/>
            <w:tcBorders>
              <w:top w:val="nil"/>
              <w:left w:val="nil"/>
              <w:bottom w:val="single" w:sz="4" w:space="0" w:color="auto"/>
              <w:right w:val="single" w:sz="4" w:space="0" w:color="auto"/>
            </w:tcBorders>
            <w:shd w:val="clear" w:color="auto" w:fill="auto"/>
            <w:noWrap/>
            <w:vAlign w:val="bottom"/>
            <w:hideMark/>
          </w:tcPr>
          <w:p w14:paraId="76DD6ABF"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0.6</w:t>
            </w:r>
          </w:p>
        </w:tc>
      </w:tr>
      <w:tr w:rsidR="008E13D1" w:rsidRPr="00666EC5" w14:paraId="7D73268E" w14:textId="77777777" w:rsidTr="00666EC5">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5614D5A" w14:textId="61BD27F3"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SC</w:t>
            </w:r>
            <w:r w:rsidR="00666EC5">
              <w:rPr>
                <w:rFonts w:ascii="Calibri" w:eastAsia="Times New Roman" w:hAnsi="Calibri" w:cs="Calibri"/>
                <w:color w:val="000000"/>
                <w:sz w:val="20"/>
                <w:szCs w:val="20"/>
                <w:lang w:eastAsia="en-AU"/>
              </w:rPr>
              <w:t>U</w:t>
            </w:r>
            <w:r w:rsidRPr="00F70769">
              <w:rPr>
                <w:rFonts w:ascii="Calibri" w:eastAsia="Times New Roman" w:hAnsi="Calibri" w:cs="Calibri"/>
                <w:color w:val="000000"/>
                <w:sz w:val="20"/>
                <w:szCs w:val="20"/>
                <w:lang w:eastAsia="en-AU"/>
              </w:rPr>
              <w:t>-Ai</w:t>
            </w:r>
            <w:r w:rsidR="00666EC5">
              <w:rPr>
                <w:rFonts w:ascii="Calibri" w:eastAsia="Times New Roman" w:hAnsi="Calibri" w:cs="Calibri"/>
                <w:color w:val="000000"/>
                <w:sz w:val="20"/>
                <w:szCs w:val="20"/>
                <w:lang w:eastAsia="en-AU"/>
              </w:rPr>
              <w:t>r</w:t>
            </w:r>
            <w:r w:rsidRPr="00F70769">
              <w:rPr>
                <w:rFonts w:ascii="Calibri" w:eastAsia="Times New Roman" w:hAnsi="Calibri" w:cs="Calibri"/>
                <w:color w:val="000000"/>
                <w:sz w:val="20"/>
                <w:szCs w:val="20"/>
                <w:lang w:eastAsia="en-AU"/>
              </w:rPr>
              <w:t>-Batch</w:t>
            </w:r>
          </w:p>
        </w:tc>
        <w:tc>
          <w:tcPr>
            <w:tcW w:w="738" w:type="dxa"/>
            <w:tcBorders>
              <w:top w:val="nil"/>
              <w:left w:val="single" w:sz="4" w:space="0" w:color="auto"/>
              <w:bottom w:val="single" w:sz="4" w:space="0" w:color="auto"/>
              <w:right w:val="nil"/>
            </w:tcBorders>
            <w:shd w:val="clear" w:color="auto" w:fill="auto"/>
            <w:noWrap/>
            <w:vAlign w:val="bottom"/>
            <w:hideMark/>
          </w:tcPr>
          <w:p w14:paraId="584036CD" w14:textId="28E9383C" w:rsidR="008E13D1" w:rsidRPr="00F70769" w:rsidRDefault="00666EC5" w:rsidP="00666EC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NA</w:t>
            </w:r>
          </w:p>
        </w:tc>
        <w:tc>
          <w:tcPr>
            <w:tcW w:w="762" w:type="dxa"/>
            <w:tcBorders>
              <w:top w:val="nil"/>
              <w:left w:val="single" w:sz="4" w:space="0" w:color="auto"/>
              <w:bottom w:val="single" w:sz="4" w:space="0" w:color="auto"/>
              <w:right w:val="nil"/>
            </w:tcBorders>
            <w:shd w:val="clear" w:color="auto" w:fill="auto"/>
            <w:noWrap/>
            <w:vAlign w:val="bottom"/>
            <w:hideMark/>
          </w:tcPr>
          <w:p w14:paraId="32834D50"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2.5</w:t>
            </w:r>
          </w:p>
        </w:tc>
        <w:tc>
          <w:tcPr>
            <w:tcW w:w="762" w:type="dxa"/>
            <w:tcBorders>
              <w:top w:val="nil"/>
              <w:left w:val="nil"/>
              <w:bottom w:val="single" w:sz="4" w:space="0" w:color="auto"/>
              <w:right w:val="nil"/>
            </w:tcBorders>
            <w:shd w:val="clear" w:color="auto" w:fill="auto"/>
            <w:noWrap/>
            <w:vAlign w:val="bottom"/>
            <w:hideMark/>
          </w:tcPr>
          <w:p w14:paraId="7239B826"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2.9</w:t>
            </w:r>
          </w:p>
        </w:tc>
        <w:tc>
          <w:tcPr>
            <w:tcW w:w="762" w:type="dxa"/>
            <w:tcBorders>
              <w:top w:val="nil"/>
              <w:left w:val="nil"/>
              <w:bottom w:val="single" w:sz="4" w:space="0" w:color="auto"/>
              <w:right w:val="nil"/>
            </w:tcBorders>
            <w:shd w:val="clear" w:color="auto" w:fill="auto"/>
            <w:noWrap/>
            <w:vAlign w:val="bottom"/>
            <w:hideMark/>
          </w:tcPr>
          <w:p w14:paraId="2B5A6B96"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2.9</w:t>
            </w:r>
          </w:p>
        </w:tc>
        <w:tc>
          <w:tcPr>
            <w:tcW w:w="763" w:type="dxa"/>
            <w:tcBorders>
              <w:top w:val="nil"/>
              <w:left w:val="nil"/>
              <w:bottom w:val="single" w:sz="4" w:space="0" w:color="auto"/>
              <w:right w:val="nil"/>
            </w:tcBorders>
            <w:shd w:val="clear" w:color="auto" w:fill="auto"/>
            <w:noWrap/>
            <w:vAlign w:val="bottom"/>
            <w:hideMark/>
          </w:tcPr>
          <w:p w14:paraId="46DE34FB"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3.9</w:t>
            </w:r>
          </w:p>
        </w:tc>
        <w:tc>
          <w:tcPr>
            <w:tcW w:w="762" w:type="dxa"/>
            <w:tcBorders>
              <w:top w:val="nil"/>
              <w:left w:val="nil"/>
              <w:bottom w:val="single" w:sz="4" w:space="0" w:color="auto"/>
              <w:right w:val="single" w:sz="4" w:space="0" w:color="auto"/>
            </w:tcBorders>
            <w:shd w:val="clear" w:color="auto" w:fill="auto"/>
            <w:noWrap/>
            <w:vAlign w:val="bottom"/>
            <w:hideMark/>
          </w:tcPr>
          <w:p w14:paraId="55A352B4"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3.7</w:t>
            </w:r>
          </w:p>
        </w:tc>
        <w:tc>
          <w:tcPr>
            <w:tcW w:w="762" w:type="dxa"/>
            <w:tcBorders>
              <w:top w:val="nil"/>
              <w:left w:val="nil"/>
              <w:bottom w:val="single" w:sz="4" w:space="0" w:color="auto"/>
              <w:right w:val="nil"/>
            </w:tcBorders>
            <w:shd w:val="clear" w:color="auto" w:fill="auto"/>
            <w:noWrap/>
            <w:vAlign w:val="bottom"/>
            <w:hideMark/>
          </w:tcPr>
          <w:p w14:paraId="75A8B534"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3.6</w:t>
            </w:r>
          </w:p>
        </w:tc>
        <w:tc>
          <w:tcPr>
            <w:tcW w:w="916" w:type="dxa"/>
            <w:tcBorders>
              <w:top w:val="nil"/>
              <w:left w:val="nil"/>
              <w:bottom w:val="single" w:sz="4" w:space="0" w:color="auto"/>
              <w:right w:val="nil"/>
            </w:tcBorders>
            <w:shd w:val="clear" w:color="auto" w:fill="auto"/>
            <w:noWrap/>
            <w:vAlign w:val="bottom"/>
            <w:hideMark/>
          </w:tcPr>
          <w:p w14:paraId="643C88B8"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7.4</w:t>
            </w:r>
          </w:p>
        </w:tc>
        <w:tc>
          <w:tcPr>
            <w:tcW w:w="762" w:type="dxa"/>
            <w:tcBorders>
              <w:top w:val="nil"/>
              <w:left w:val="nil"/>
              <w:bottom w:val="single" w:sz="4" w:space="0" w:color="auto"/>
              <w:right w:val="nil"/>
            </w:tcBorders>
            <w:shd w:val="clear" w:color="auto" w:fill="auto"/>
            <w:noWrap/>
            <w:vAlign w:val="bottom"/>
            <w:hideMark/>
          </w:tcPr>
          <w:p w14:paraId="0155EC5D"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6.8</w:t>
            </w:r>
          </w:p>
        </w:tc>
        <w:tc>
          <w:tcPr>
            <w:tcW w:w="762" w:type="dxa"/>
            <w:tcBorders>
              <w:top w:val="nil"/>
              <w:left w:val="nil"/>
              <w:bottom w:val="single" w:sz="4" w:space="0" w:color="auto"/>
              <w:right w:val="nil"/>
            </w:tcBorders>
            <w:shd w:val="clear" w:color="auto" w:fill="auto"/>
            <w:noWrap/>
            <w:vAlign w:val="bottom"/>
            <w:hideMark/>
          </w:tcPr>
          <w:p w14:paraId="58596661"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4.9</w:t>
            </w:r>
          </w:p>
        </w:tc>
        <w:tc>
          <w:tcPr>
            <w:tcW w:w="763" w:type="dxa"/>
            <w:tcBorders>
              <w:top w:val="nil"/>
              <w:left w:val="nil"/>
              <w:bottom w:val="single" w:sz="4" w:space="0" w:color="auto"/>
              <w:right w:val="single" w:sz="4" w:space="0" w:color="auto"/>
            </w:tcBorders>
            <w:shd w:val="clear" w:color="auto" w:fill="auto"/>
            <w:noWrap/>
            <w:vAlign w:val="bottom"/>
            <w:hideMark/>
          </w:tcPr>
          <w:p w14:paraId="78B972B9"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4.9</w:t>
            </w:r>
          </w:p>
        </w:tc>
      </w:tr>
      <w:tr w:rsidR="008E13D1" w:rsidRPr="00666EC5" w14:paraId="0F653E49" w14:textId="77777777" w:rsidTr="00666EC5">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59AFF76" w14:textId="3591B37A"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SC</w:t>
            </w:r>
            <w:r w:rsidR="00666EC5">
              <w:rPr>
                <w:rFonts w:ascii="Calibri" w:eastAsia="Times New Roman" w:hAnsi="Calibri" w:cs="Calibri"/>
                <w:color w:val="000000"/>
                <w:sz w:val="20"/>
                <w:szCs w:val="20"/>
                <w:lang w:eastAsia="en-AU"/>
              </w:rPr>
              <w:t>U</w:t>
            </w:r>
            <w:r w:rsidRPr="00F70769">
              <w:rPr>
                <w:rFonts w:ascii="Calibri" w:eastAsia="Times New Roman" w:hAnsi="Calibri" w:cs="Calibri"/>
                <w:color w:val="000000"/>
                <w:sz w:val="20"/>
                <w:szCs w:val="20"/>
                <w:lang w:eastAsia="en-AU"/>
              </w:rPr>
              <w:t>-Air-Cont</w:t>
            </w:r>
          </w:p>
        </w:tc>
        <w:tc>
          <w:tcPr>
            <w:tcW w:w="738" w:type="dxa"/>
            <w:tcBorders>
              <w:top w:val="nil"/>
              <w:left w:val="single" w:sz="4" w:space="0" w:color="auto"/>
              <w:bottom w:val="single" w:sz="4" w:space="0" w:color="auto"/>
              <w:right w:val="nil"/>
            </w:tcBorders>
            <w:shd w:val="clear" w:color="auto" w:fill="auto"/>
            <w:noWrap/>
            <w:vAlign w:val="bottom"/>
            <w:hideMark/>
          </w:tcPr>
          <w:p w14:paraId="517066ED" w14:textId="161F1843" w:rsidR="008E13D1" w:rsidRPr="00F70769" w:rsidRDefault="00666EC5" w:rsidP="00666EC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NA</w:t>
            </w:r>
          </w:p>
        </w:tc>
        <w:tc>
          <w:tcPr>
            <w:tcW w:w="762" w:type="dxa"/>
            <w:tcBorders>
              <w:top w:val="nil"/>
              <w:left w:val="single" w:sz="4" w:space="0" w:color="auto"/>
              <w:bottom w:val="single" w:sz="4" w:space="0" w:color="auto"/>
              <w:right w:val="nil"/>
            </w:tcBorders>
            <w:shd w:val="clear" w:color="auto" w:fill="auto"/>
            <w:noWrap/>
            <w:vAlign w:val="bottom"/>
            <w:hideMark/>
          </w:tcPr>
          <w:p w14:paraId="60298603"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4.9</w:t>
            </w:r>
          </w:p>
        </w:tc>
        <w:tc>
          <w:tcPr>
            <w:tcW w:w="762" w:type="dxa"/>
            <w:tcBorders>
              <w:top w:val="nil"/>
              <w:left w:val="nil"/>
              <w:bottom w:val="single" w:sz="4" w:space="0" w:color="auto"/>
              <w:right w:val="nil"/>
            </w:tcBorders>
            <w:shd w:val="clear" w:color="auto" w:fill="auto"/>
            <w:noWrap/>
            <w:vAlign w:val="bottom"/>
            <w:hideMark/>
          </w:tcPr>
          <w:p w14:paraId="3406FADB"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5.7</w:t>
            </w:r>
          </w:p>
        </w:tc>
        <w:tc>
          <w:tcPr>
            <w:tcW w:w="762" w:type="dxa"/>
            <w:tcBorders>
              <w:top w:val="nil"/>
              <w:left w:val="nil"/>
              <w:bottom w:val="single" w:sz="4" w:space="0" w:color="auto"/>
              <w:right w:val="nil"/>
            </w:tcBorders>
            <w:shd w:val="clear" w:color="auto" w:fill="auto"/>
            <w:noWrap/>
            <w:vAlign w:val="bottom"/>
            <w:hideMark/>
          </w:tcPr>
          <w:p w14:paraId="0AD26E44"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5.3</w:t>
            </w:r>
          </w:p>
        </w:tc>
        <w:tc>
          <w:tcPr>
            <w:tcW w:w="763" w:type="dxa"/>
            <w:tcBorders>
              <w:top w:val="nil"/>
              <w:left w:val="nil"/>
              <w:bottom w:val="single" w:sz="4" w:space="0" w:color="auto"/>
              <w:right w:val="nil"/>
            </w:tcBorders>
            <w:shd w:val="clear" w:color="auto" w:fill="auto"/>
            <w:noWrap/>
            <w:vAlign w:val="bottom"/>
            <w:hideMark/>
          </w:tcPr>
          <w:p w14:paraId="45DCDDDA"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6.7</w:t>
            </w:r>
          </w:p>
        </w:tc>
        <w:tc>
          <w:tcPr>
            <w:tcW w:w="762" w:type="dxa"/>
            <w:tcBorders>
              <w:top w:val="nil"/>
              <w:left w:val="nil"/>
              <w:bottom w:val="single" w:sz="4" w:space="0" w:color="auto"/>
              <w:right w:val="single" w:sz="4" w:space="0" w:color="auto"/>
            </w:tcBorders>
            <w:shd w:val="clear" w:color="auto" w:fill="auto"/>
            <w:noWrap/>
            <w:vAlign w:val="bottom"/>
            <w:hideMark/>
          </w:tcPr>
          <w:p w14:paraId="4537C20C"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6.4</w:t>
            </w:r>
          </w:p>
        </w:tc>
        <w:tc>
          <w:tcPr>
            <w:tcW w:w="762" w:type="dxa"/>
            <w:tcBorders>
              <w:top w:val="nil"/>
              <w:left w:val="nil"/>
              <w:bottom w:val="single" w:sz="4" w:space="0" w:color="auto"/>
              <w:right w:val="nil"/>
            </w:tcBorders>
            <w:shd w:val="clear" w:color="000000" w:fill="FF0000"/>
            <w:noWrap/>
            <w:vAlign w:val="bottom"/>
            <w:hideMark/>
          </w:tcPr>
          <w:p w14:paraId="071C15A3"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11.7</w:t>
            </w:r>
          </w:p>
        </w:tc>
        <w:tc>
          <w:tcPr>
            <w:tcW w:w="916" w:type="dxa"/>
            <w:tcBorders>
              <w:top w:val="nil"/>
              <w:left w:val="nil"/>
              <w:bottom w:val="single" w:sz="4" w:space="0" w:color="auto"/>
              <w:right w:val="nil"/>
            </w:tcBorders>
            <w:shd w:val="clear" w:color="000000" w:fill="FF0000"/>
            <w:noWrap/>
            <w:vAlign w:val="bottom"/>
            <w:hideMark/>
          </w:tcPr>
          <w:p w14:paraId="5B76C86F"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26.0</w:t>
            </w:r>
          </w:p>
        </w:tc>
        <w:tc>
          <w:tcPr>
            <w:tcW w:w="762" w:type="dxa"/>
            <w:tcBorders>
              <w:top w:val="nil"/>
              <w:left w:val="nil"/>
              <w:bottom w:val="single" w:sz="4" w:space="0" w:color="auto"/>
              <w:right w:val="nil"/>
            </w:tcBorders>
            <w:shd w:val="clear" w:color="000000" w:fill="FF0000"/>
            <w:noWrap/>
            <w:vAlign w:val="bottom"/>
            <w:hideMark/>
          </w:tcPr>
          <w:p w14:paraId="76F42955"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22.6</w:t>
            </w:r>
          </w:p>
        </w:tc>
        <w:tc>
          <w:tcPr>
            <w:tcW w:w="762" w:type="dxa"/>
            <w:tcBorders>
              <w:top w:val="nil"/>
              <w:left w:val="nil"/>
              <w:bottom w:val="single" w:sz="4" w:space="0" w:color="auto"/>
              <w:right w:val="nil"/>
            </w:tcBorders>
            <w:shd w:val="clear" w:color="000000" w:fill="FF0000"/>
            <w:noWrap/>
            <w:vAlign w:val="bottom"/>
            <w:hideMark/>
          </w:tcPr>
          <w:p w14:paraId="0FE28802"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9.6</w:t>
            </w:r>
          </w:p>
        </w:tc>
        <w:tc>
          <w:tcPr>
            <w:tcW w:w="763" w:type="dxa"/>
            <w:tcBorders>
              <w:top w:val="nil"/>
              <w:left w:val="nil"/>
              <w:bottom w:val="single" w:sz="4" w:space="0" w:color="auto"/>
              <w:right w:val="single" w:sz="4" w:space="0" w:color="auto"/>
            </w:tcBorders>
            <w:shd w:val="clear" w:color="000000" w:fill="FF0000"/>
            <w:noWrap/>
            <w:vAlign w:val="bottom"/>
            <w:hideMark/>
          </w:tcPr>
          <w:p w14:paraId="00887E63"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10.4</w:t>
            </w:r>
          </w:p>
        </w:tc>
      </w:tr>
      <w:tr w:rsidR="008E13D1" w:rsidRPr="00666EC5" w14:paraId="4B89AB3C" w14:textId="77777777" w:rsidTr="00666EC5">
        <w:trPr>
          <w:trHeight w:val="300"/>
          <w:jc w:val="center"/>
        </w:trPr>
        <w:tc>
          <w:tcPr>
            <w:tcW w:w="1838" w:type="dxa"/>
            <w:tcBorders>
              <w:top w:val="nil"/>
              <w:left w:val="single" w:sz="4" w:space="0" w:color="auto"/>
              <w:bottom w:val="nil"/>
              <w:right w:val="single" w:sz="4" w:space="0" w:color="auto"/>
            </w:tcBorders>
            <w:shd w:val="clear" w:color="auto" w:fill="auto"/>
            <w:noWrap/>
            <w:vAlign w:val="bottom"/>
            <w:hideMark/>
          </w:tcPr>
          <w:p w14:paraId="3A133157" w14:textId="185E2336"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SC</w:t>
            </w:r>
            <w:r w:rsidR="00666EC5">
              <w:rPr>
                <w:rFonts w:ascii="Calibri" w:eastAsia="Times New Roman" w:hAnsi="Calibri" w:cs="Calibri"/>
                <w:color w:val="000000"/>
                <w:sz w:val="20"/>
                <w:szCs w:val="20"/>
                <w:lang w:eastAsia="en-AU"/>
              </w:rPr>
              <w:t>U</w:t>
            </w:r>
            <w:r w:rsidRPr="00F70769">
              <w:rPr>
                <w:rFonts w:ascii="Calibri" w:eastAsia="Times New Roman" w:hAnsi="Calibri" w:cs="Calibri"/>
                <w:color w:val="000000"/>
                <w:sz w:val="20"/>
                <w:szCs w:val="20"/>
                <w:lang w:eastAsia="en-AU"/>
              </w:rPr>
              <w:t>-Water-Batch</w:t>
            </w:r>
          </w:p>
        </w:tc>
        <w:tc>
          <w:tcPr>
            <w:tcW w:w="738" w:type="dxa"/>
            <w:tcBorders>
              <w:top w:val="nil"/>
              <w:left w:val="single" w:sz="4" w:space="0" w:color="auto"/>
              <w:bottom w:val="nil"/>
              <w:right w:val="nil"/>
            </w:tcBorders>
            <w:shd w:val="clear" w:color="auto" w:fill="auto"/>
            <w:noWrap/>
            <w:vAlign w:val="bottom"/>
            <w:hideMark/>
          </w:tcPr>
          <w:p w14:paraId="1DD08E7D" w14:textId="2EA9383C" w:rsidR="008E13D1" w:rsidRPr="00F70769" w:rsidRDefault="001A4DA3" w:rsidP="00666EC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10</w:t>
            </w:r>
            <w:r w:rsidR="008E13D1" w:rsidRPr="00F70769">
              <w:rPr>
                <w:rFonts w:ascii="Calibri" w:eastAsia="Times New Roman" w:hAnsi="Calibri" w:cs="Calibri"/>
                <w:color w:val="000000"/>
                <w:sz w:val="20"/>
                <w:szCs w:val="20"/>
                <w:lang w:eastAsia="en-AU"/>
              </w:rPr>
              <w:t>0%</w:t>
            </w:r>
          </w:p>
        </w:tc>
        <w:tc>
          <w:tcPr>
            <w:tcW w:w="762" w:type="dxa"/>
            <w:tcBorders>
              <w:top w:val="nil"/>
              <w:left w:val="single" w:sz="4" w:space="0" w:color="auto"/>
              <w:bottom w:val="nil"/>
              <w:right w:val="nil"/>
            </w:tcBorders>
            <w:shd w:val="clear" w:color="auto" w:fill="auto"/>
            <w:noWrap/>
            <w:vAlign w:val="bottom"/>
            <w:hideMark/>
          </w:tcPr>
          <w:p w14:paraId="64F707BB"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4.5</w:t>
            </w:r>
          </w:p>
        </w:tc>
        <w:tc>
          <w:tcPr>
            <w:tcW w:w="762" w:type="dxa"/>
            <w:tcBorders>
              <w:top w:val="nil"/>
              <w:left w:val="nil"/>
              <w:bottom w:val="nil"/>
              <w:right w:val="nil"/>
            </w:tcBorders>
            <w:shd w:val="clear" w:color="auto" w:fill="auto"/>
            <w:noWrap/>
            <w:vAlign w:val="bottom"/>
            <w:hideMark/>
          </w:tcPr>
          <w:p w14:paraId="73F08538"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5.2</w:t>
            </w:r>
          </w:p>
        </w:tc>
        <w:tc>
          <w:tcPr>
            <w:tcW w:w="762" w:type="dxa"/>
            <w:tcBorders>
              <w:top w:val="nil"/>
              <w:left w:val="nil"/>
              <w:bottom w:val="nil"/>
              <w:right w:val="nil"/>
            </w:tcBorders>
            <w:shd w:val="clear" w:color="auto" w:fill="auto"/>
            <w:noWrap/>
            <w:vAlign w:val="bottom"/>
            <w:hideMark/>
          </w:tcPr>
          <w:p w14:paraId="6D33B1F2"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5.6</w:t>
            </w:r>
          </w:p>
        </w:tc>
        <w:tc>
          <w:tcPr>
            <w:tcW w:w="763" w:type="dxa"/>
            <w:tcBorders>
              <w:top w:val="nil"/>
              <w:left w:val="nil"/>
              <w:bottom w:val="nil"/>
              <w:right w:val="nil"/>
            </w:tcBorders>
            <w:shd w:val="clear" w:color="auto" w:fill="auto"/>
            <w:noWrap/>
            <w:vAlign w:val="bottom"/>
            <w:hideMark/>
          </w:tcPr>
          <w:p w14:paraId="733E93D0"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2.4</w:t>
            </w:r>
          </w:p>
        </w:tc>
        <w:tc>
          <w:tcPr>
            <w:tcW w:w="762" w:type="dxa"/>
            <w:tcBorders>
              <w:top w:val="nil"/>
              <w:left w:val="nil"/>
              <w:bottom w:val="nil"/>
              <w:right w:val="single" w:sz="4" w:space="0" w:color="auto"/>
            </w:tcBorders>
            <w:shd w:val="clear" w:color="auto" w:fill="auto"/>
            <w:noWrap/>
            <w:vAlign w:val="bottom"/>
            <w:hideMark/>
          </w:tcPr>
          <w:p w14:paraId="42B978FD"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3.3</w:t>
            </w:r>
          </w:p>
        </w:tc>
        <w:tc>
          <w:tcPr>
            <w:tcW w:w="762" w:type="dxa"/>
            <w:tcBorders>
              <w:top w:val="nil"/>
              <w:left w:val="nil"/>
              <w:bottom w:val="nil"/>
              <w:right w:val="nil"/>
            </w:tcBorders>
            <w:shd w:val="clear" w:color="auto" w:fill="auto"/>
            <w:noWrap/>
            <w:vAlign w:val="bottom"/>
            <w:hideMark/>
          </w:tcPr>
          <w:p w14:paraId="60636770"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5.3</w:t>
            </w:r>
          </w:p>
        </w:tc>
        <w:tc>
          <w:tcPr>
            <w:tcW w:w="916" w:type="dxa"/>
            <w:tcBorders>
              <w:top w:val="nil"/>
              <w:left w:val="nil"/>
              <w:bottom w:val="nil"/>
              <w:right w:val="nil"/>
            </w:tcBorders>
            <w:shd w:val="clear" w:color="000000" w:fill="FFFF00"/>
            <w:noWrap/>
            <w:vAlign w:val="bottom"/>
            <w:hideMark/>
          </w:tcPr>
          <w:p w14:paraId="6084123F"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8.5</w:t>
            </w:r>
          </w:p>
        </w:tc>
        <w:tc>
          <w:tcPr>
            <w:tcW w:w="762" w:type="dxa"/>
            <w:tcBorders>
              <w:top w:val="nil"/>
              <w:left w:val="nil"/>
              <w:bottom w:val="nil"/>
              <w:right w:val="nil"/>
            </w:tcBorders>
            <w:shd w:val="clear" w:color="000000" w:fill="FFFF00"/>
            <w:noWrap/>
            <w:vAlign w:val="bottom"/>
            <w:hideMark/>
          </w:tcPr>
          <w:p w14:paraId="45BCDD91"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8.5</w:t>
            </w:r>
          </w:p>
        </w:tc>
        <w:tc>
          <w:tcPr>
            <w:tcW w:w="762" w:type="dxa"/>
            <w:tcBorders>
              <w:top w:val="nil"/>
              <w:left w:val="nil"/>
              <w:bottom w:val="nil"/>
              <w:right w:val="nil"/>
            </w:tcBorders>
            <w:shd w:val="clear" w:color="auto" w:fill="auto"/>
            <w:noWrap/>
            <w:vAlign w:val="bottom"/>
            <w:hideMark/>
          </w:tcPr>
          <w:p w14:paraId="798CE5FA"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3.2</w:t>
            </w:r>
          </w:p>
        </w:tc>
        <w:tc>
          <w:tcPr>
            <w:tcW w:w="763" w:type="dxa"/>
            <w:tcBorders>
              <w:top w:val="nil"/>
              <w:left w:val="nil"/>
              <w:bottom w:val="nil"/>
              <w:right w:val="single" w:sz="4" w:space="0" w:color="auto"/>
            </w:tcBorders>
            <w:shd w:val="clear" w:color="auto" w:fill="auto"/>
            <w:noWrap/>
            <w:vAlign w:val="bottom"/>
            <w:hideMark/>
          </w:tcPr>
          <w:p w14:paraId="2D5FB403"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4.2</w:t>
            </w:r>
          </w:p>
        </w:tc>
      </w:tr>
      <w:tr w:rsidR="008E13D1" w:rsidRPr="00666EC5" w14:paraId="7DAA4547" w14:textId="77777777" w:rsidTr="00666EC5">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B7AF5F5" w14:textId="77777777"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 </w:t>
            </w:r>
          </w:p>
        </w:tc>
        <w:tc>
          <w:tcPr>
            <w:tcW w:w="738" w:type="dxa"/>
            <w:tcBorders>
              <w:top w:val="nil"/>
              <w:left w:val="single" w:sz="4" w:space="0" w:color="auto"/>
              <w:bottom w:val="single" w:sz="4" w:space="0" w:color="auto"/>
              <w:right w:val="nil"/>
            </w:tcBorders>
            <w:shd w:val="clear" w:color="auto" w:fill="auto"/>
            <w:noWrap/>
            <w:vAlign w:val="bottom"/>
            <w:hideMark/>
          </w:tcPr>
          <w:p w14:paraId="6399D0E9" w14:textId="3D9B234E" w:rsidR="008E13D1" w:rsidRPr="00F70769" w:rsidRDefault="008E13D1" w:rsidP="00666EC5">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w:t>
            </w:r>
          </w:p>
        </w:tc>
        <w:tc>
          <w:tcPr>
            <w:tcW w:w="762" w:type="dxa"/>
            <w:tcBorders>
              <w:top w:val="nil"/>
              <w:left w:val="single" w:sz="4" w:space="0" w:color="auto"/>
              <w:bottom w:val="single" w:sz="4" w:space="0" w:color="auto"/>
              <w:right w:val="nil"/>
            </w:tcBorders>
            <w:shd w:val="clear" w:color="auto" w:fill="auto"/>
            <w:noWrap/>
            <w:vAlign w:val="bottom"/>
            <w:hideMark/>
          </w:tcPr>
          <w:p w14:paraId="1EF072D5"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0.7</w:t>
            </w:r>
          </w:p>
        </w:tc>
        <w:tc>
          <w:tcPr>
            <w:tcW w:w="762" w:type="dxa"/>
            <w:tcBorders>
              <w:top w:val="nil"/>
              <w:left w:val="nil"/>
              <w:bottom w:val="single" w:sz="4" w:space="0" w:color="auto"/>
              <w:right w:val="nil"/>
            </w:tcBorders>
            <w:shd w:val="clear" w:color="auto" w:fill="auto"/>
            <w:noWrap/>
            <w:vAlign w:val="bottom"/>
            <w:hideMark/>
          </w:tcPr>
          <w:p w14:paraId="09721658"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0.9</w:t>
            </w:r>
          </w:p>
        </w:tc>
        <w:tc>
          <w:tcPr>
            <w:tcW w:w="762" w:type="dxa"/>
            <w:tcBorders>
              <w:top w:val="nil"/>
              <w:left w:val="nil"/>
              <w:bottom w:val="single" w:sz="4" w:space="0" w:color="auto"/>
              <w:right w:val="nil"/>
            </w:tcBorders>
            <w:shd w:val="clear" w:color="auto" w:fill="auto"/>
            <w:noWrap/>
            <w:vAlign w:val="bottom"/>
            <w:hideMark/>
          </w:tcPr>
          <w:p w14:paraId="78CFF3F3"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0.9</w:t>
            </w:r>
          </w:p>
        </w:tc>
        <w:tc>
          <w:tcPr>
            <w:tcW w:w="763" w:type="dxa"/>
            <w:tcBorders>
              <w:top w:val="nil"/>
              <w:left w:val="nil"/>
              <w:bottom w:val="single" w:sz="4" w:space="0" w:color="auto"/>
              <w:right w:val="nil"/>
            </w:tcBorders>
            <w:shd w:val="clear" w:color="auto" w:fill="auto"/>
            <w:noWrap/>
            <w:vAlign w:val="bottom"/>
            <w:hideMark/>
          </w:tcPr>
          <w:p w14:paraId="5CCEA424"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0.7</w:t>
            </w:r>
          </w:p>
        </w:tc>
        <w:tc>
          <w:tcPr>
            <w:tcW w:w="762" w:type="dxa"/>
            <w:tcBorders>
              <w:top w:val="nil"/>
              <w:left w:val="nil"/>
              <w:bottom w:val="single" w:sz="4" w:space="0" w:color="auto"/>
              <w:right w:val="single" w:sz="4" w:space="0" w:color="auto"/>
            </w:tcBorders>
            <w:shd w:val="clear" w:color="auto" w:fill="auto"/>
            <w:noWrap/>
            <w:vAlign w:val="bottom"/>
            <w:hideMark/>
          </w:tcPr>
          <w:p w14:paraId="7E7BE472"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0.9</w:t>
            </w:r>
          </w:p>
        </w:tc>
        <w:tc>
          <w:tcPr>
            <w:tcW w:w="762" w:type="dxa"/>
            <w:tcBorders>
              <w:top w:val="nil"/>
              <w:left w:val="nil"/>
              <w:bottom w:val="single" w:sz="4" w:space="0" w:color="auto"/>
              <w:right w:val="nil"/>
            </w:tcBorders>
            <w:shd w:val="clear" w:color="auto" w:fill="auto"/>
            <w:noWrap/>
            <w:vAlign w:val="bottom"/>
            <w:hideMark/>
          </w:tcPr>
          <w:p w14:paraId="71F7F4C7"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0.9</w:t>
            </w:r>
          </w:p>
        </w:tc>
        <w:tc>
          <w:tcPr>
            <w:tcW w:w="916" w:type="dxa"/>
            <w:tcBorders>
              <w:top w:val="nil"/>
              <w:left w:val="nil"/>
              <w:bottom w:val="single" w:sz="4" w:space="0" w:color="auto"/>
              <w:right w:val="nil"/>
            </w:tcBorders>
            <w:shd w:val="clear" w:color="auto" w:fill="auto"/>
            <w:noWrap/>
            <w:vAlign w:val="bottom"/>
            <w:hideMark/>
          </w:tcPr>
          <w:p w14:paraId="507670CD"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1.4</w:t>
            </w:r>
          </w:p>
        </w:tc>
        <w:tc>
          <w:tcPr>
            <w:tcW w:w="762" w:type="dxa"/>
            <w:tcBorders>
              <w:top w:val="nil"/>
              <w:left w:val="nil"/>
              <w:bottom w:val="single" w:sz="4" w:space="0" w:color="auto"/>
              <w:right w:val="nil"/>
            </w:tcBorders>
            <w:shd w:val="clear" w:color="auto" w:fill="auto"/>
            <w:noWrap/>
            <w:vAlign w:val="bottom"/>
            <w:hideMark/>
          </w:tcPr>
          <w:p w14:paraId="6AD241B6"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1.4</w:t>
            </w:r>
          </w:p>
        </w:tc>
        <w:tc>
          <w:tcPr>
            <w:tcW w:w="762" w:type="dxa"/>
            <w:tcBorders>
              <w:top w:val="nil"/>
              <w:left w:val="nil"/>
              <w:bottom w:val="single" w:sz="4" w:space="0" w:color="auto"/>
              <w:right w:val="nil"/>
            </w:tcBorders>
            <w:shd w:val="clear" w:color="auto" w:fill="auto"/>
            <w:noWrap/>
            <w:vAlign w:val="bottom"/>
            <w:hideMark/>
          </w:tcPr>
          <w:p w14:paraId="1F2FC9C5"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0.9</w:t>
            </w:r>
          </w:p>
        </w:tc>
        <w:tc>
          <w:tcPr>
            <w:tcW w:w="763" w:type="dxa"/>
            <w:tcBorders>
              <w:top w:val="nil"/>
              <w:left w:val="nil"/>
              <w:bottom w:val="single" w:sz="4" w:space="0" w:color="auto"/>
              <w:right w:val="single" w:sz="4" w:space="0" w:color="auto"/>
            </w:tcBorders>
            <w:shd w:val="clear" w:color="auto" w:fill="auto"/>
            <w:noWrap/>
            <w:vAlign w:val="bottom"/>
            <w:hideMark/>
          </w:tcPr>
          <w:p w14:paraId="075C5EB7"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1.1</w:t>
            </w:r>
          </w:p>
        </w:tc>
      </w:tr>
      <w:tr w:rsidR="008E13D1" w:rsidRPr="00666EC5" w14:paraId="10EBE9D7" w14:textId="77777777" w:rsidTr="00666EC5">
        <w:trPr>
          <w:trHeight w:val="300"/>
          <w:jc w:val="center"/>
        </w:trPr>
        <w:tc>
          <w:tcPr>
            <w:tcW w:w="1838" w:type="dxa"/>
            <w:tcBorders>
              <w:top w:val="nil"/>
              <w:left w:val="single" w:sz="4" w:space="0" w:color="auto"/>
              <w:bottom w:val="nil"/>
              <w:right w:val="single" w:sz="4" w:space="0" w:color="auto"/>
            </w:tcBorders>
            <w:shd w:val="clear" w:color="auto" w:fill="auto"/>
            <w:noWrap/>
            <w:vAlign w:val="bottom"/>
            <w:hideMark/>
          </w:tcPr>
          <w:p w14:paraId="0830BAD8" w14:textId="28E8EC27"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SC</w:t>
            </w:r>
            <w:r w:rsidR="00666EC5">
              <w:rPr>
                <w:rFonts w:ascii="Calibri" w:eastAsia="Times New Roman" w:hAnsi="Calibri" w:cs="Calibri"/>
                <w:color w:val="000000"/>
                <w:sz w:val="20"/>
                <w:szCs w:val="20"/>
                <w:lang w:eastAsia="en-AU"/>
              </w:rPr>
              <w:t>U</w:t>
            </w:r>
            <w:r w:rsidRPr="00F70769">
              <w:rPr>
                <w:rFonts w:ascii="Calibri" w:eastAsia="Times New Roman" w:hAnsi="Calibri" w:cs="Calibri"/>
                <w:color w:val="000000"/>
                <w:sz w:val="20"/>
                <w:szCs w:val="20"/>
                <w:lang w:eastAsia="en-AU"/>
              </w:rPr>
              <w:t>-Water-Cont</w:t>
            </w:r>
          </w:p>
        </w:tc>
        <w:tc>
          <w:tcPr>
            <w:tcW w:w="738" w:type="dxa"/>
            <w:tcBorders>
              <w:top w:val="nil"/>
              <w:left w:val="single" w:sz="4" w:space="0" w:color="auto"/>
              <w:bottom w:val="nil"/>
              <w:right w:val="nil"/>
            </w:tcBorders>
            <w:shd w:val="clear" w:color="auto" w:fill="auto"/>
            <w:noWrap/>
            <w:vAlign w:val="bottom"/>
            <w:hideMark/>
          </w:tcPr>
          <w:p w14:paraId="586B0F6E" w14:textId="4C72C35F" w:rsidR="008E13D1" w:rsidRPr="00F70769" w:rsidRDefault="001A4DA3" w:rsidP="00666EC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10</w:t>
            </w:r>
            <w:r w:rsidR="008E13D1" w:rsidRPr="00F70769">
              <w:rPr>
                <w:rFonts w:ascii="Calibri" w:eastAsia="Times New Roman" w:hAnsi="Calibri" w:cs="Calibri"/>
                <w:color w:val="000000"/>
                <w:sz w:val="20"/>
                <w:szCs w:val="20"/>
                <w:lang w:eastAsia="en-AU"/>
              </w:rPr>
              <w:t>0%</w:t>
            </w:r>
          </w:p>
        </w:tc>
        <w:tc>
          <w:tcPr>
            <w:tcW w:w="762" w:type="dxa"/>
            <w:tcBorders>
              <w:top w:val="nil"/>
              <w:left w:val="single" w:sz="4" w:space="0" w:color="auto"/>
              <w:bottom w:val="nil"/>
              <w:right w:val="nil"/>
            </w:tcBorders>
            <w:shd w:val="clear" w:color="000000" w:fill="FF0000"/>
            <w:noWrap/>
            <w:vAlign w:val="bottom"/>
            <w:hideMark/>
          </w:tcPr>
          <w:p w14:paraId="1E3BD64A"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21.2</w:t>
            </w:r>
          </w:p>
        </w:tc>
        <w:tc>
          <w:tcPr>
            <w:tcW w:w="762" w:type="dxa"/>
            <w:tcBorders>
              <w:top w:val="nil"/>
              <w:left w:val="nil"/>
              <w:bottom w:val="nil"/>
              <w:right w:val="nil"/>
            </w:tcBorders>
            <w:shd w:val="clear" w:color="000000" w:fill="FF0000"/>
            <w:noWrap/>
            <w:vAlign w:val="bottom"/>
            <w:hideMark/>
          </w:tcPr>
          <w:p w14:paraId="78989ADD"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18.7</w:t>
            </w:r>
          </w:p>
        </w:tc>
        <w:tc>
          <w:tcPr>
            <w:tcW w:w="762" w:type="dxa"/>
            <w:tcBorders>
              <w:top w:val="nil"/>
              <w:left w:val="nil"/>
              <w:bottom w:val="nil"/>
              <w:right w:val="nil"/>
            </w:tcBorders>
            <w:shd w:val="clear" w:color="000000" w:fill="FF0000"/>
            <w:noWrap/>
            <w:vAlign w:val="bottom"/>
            <w:hideMark/>
          </w:tcPr>
          <w:p w14:paraId="117A0327"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18.1</w:t>
            </w:r>
          </w:p>
        </w:tc>
        <w:tc>
          <w:tcPr>
            <w:tcW w:w="763" w:type="dxa"/>
            <w:tcBorders>
              <w:top w:val="nil"/>
              <w:left w:val="nil"/>
              <w:bottom w:val="nil"/>
              <w:right w:val="nil"/>
            </w:tcBorders>
            <w:shd w:val="clear" w:color="000000" w:fill="FF0000"/>
            <w:noWrap/>
            <w:vAlign w:val="bottom"/>
            <w:hideMark/>
          </w:tcPr>
          <w:p w14:paraId="10D7B42E"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16.4</w:t>
            </w:r>
          </w:p>
        </w:tc>
        <w:tc>
          <w:tcPr>
            <w:tcW w:w="762" w:type="dxa"/>
            <w:tcBorders>
              <w:top w:val="nil"/>
              <w:left w:val="nil"/>
              <w:bottom w:val="nil"/>
              <w:right w:val="single" w:sz="4" w:space="0" w:color="auto"/>
            </w:tcBorders>
            <w:shd w:val="clear" w:color="000000" w:fill="FF0000"/>
            <w:noWrap/>
            <w:vAlign w:val="bottom"/>
            <w:hideMark/>
          </w:tcPr>
          <w:p w14:paraId="3E28075A"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11.7</w:t>
            </w:r>
          </w:p>
        </w:tc>
        <w:tc>
          <w:tcPr>
            <w:tcW w:w="762" w:type="dxa"/>
            <w:tcBorders>
              <w:top w:val="nil"/>
              <w:left w:val="nil"/>
              <w:bottom w:val="nil"/>
              <w:right w:val="nil"/>
            </w:tcBorders>
            <w:shd w:val="clear" w:color="000000" w:fill="FF0000"/>
            <w:noWrap/>
            <w:vAlign w:val="bottom"/>
            <w:hideMark/>
          </w:tcPr>
          <w:p w14:paraId="20AEDBD8"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26.5</w:t>
            </w:r>
          </w:p>
        </w:tc>
        <w:tc>
          <w:tcPr>
            <w:tcW w:w="916" w:type="dxa"/>
            <w:tcBorders>
              <w:top w:val="nil"/>
              <w:left w:val="nil"/>
              <w:bottom w:val="nil"/>
              <w:right w:val="nil"/>
            </w:tcBorders>
            <w:shd w:val="clear" w:color="000000" w:fill="FF0000"/>
            <w:noWrap/>
            <w:vAlign w:val="bottom"/>
            <w:hideMark/>
          </w:tcPr>
          <w:p w14:paraId="6F34A045"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34.4</w:t>
            </w:r>
          </w:p>
        </w:tc>
        <w:tc>
          <w:tcPr>
            <w:tcW w:w="762" w:type="dxa"/>
            <w:tcBorders>
              <w:top w:val="nil"/>
              <w:left w:val="nil"/>
              <w:bottom w:val="nil"/>
              <w:right w:val="nil"/>
            </w:tcBorders>
            <w:shd w:val="clear" w:color="000000" w:fill="FF0000"/>
            <w:noWrap/>
            <w:vAlign w:val="bottom"/>
            <w:hideMark/>
          </w:tcPr>
          <w:p w14:paraId="50F556C0"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31.4</w:t>
            </w:r>
          </w:p>
        </w:tc>
        <w:tc>
          <w:tcPr>
            <w:tcW w:w="762" w:type="dxa"/>
            <w:tcBorders>
              <w:top w:val="nil"/>
              <w:left w:val="nil"/>
              <w:bottom w:val="nil"/>
              <w:right w:val="nil"/>
            </w:tcBorders>
            <w:shd w:val="clear" w:color="000000" w:fill="FF0000"/>
            <w:noWrap/>
            <w:vAlign w:val="bottom"/>
            <w:hideMark/>
          </w:tcPr>
          <w:p w14:paraId="6F0DDBF0"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18.5</w:t>
            </w:r>
          </w:p>
        </w:tc>
        <w:tc>
          <w:tcPr>
            <w:tcW w:w="763" w:type="dxa"/>
            <w:tcBorders>
              <w:top w:val="nil"/>
              <w:left w:val="nil"/>
              <w:bottom w:val="nil"/>
              <w:right w:val="single" w:sz="4" w:space="0" w:color="auto"/>
            </w:tcBorders>
            <w:shd w:val="clear" w:color="000000" w:fill="FF0000"/>
            <w:noWrap/>
            <w:vAlign w:val="bottom"/>
            <w:hideMark/>
          </w:tcPr>
          <w:p w14:paraId="01BB7E60"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14.8</w:t>
            </w:r>
          </w:p>
        </w:tc>
      </w:tr>
      <w:tr w:rsidR="008E13D1" w:rsidRPr="00666EC5" w14:paraId="3C492613" w14:textId="77777777" w:rsidTr="00666EC5">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576A317" w14:textId="77777777"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 </w:t>
            </w:r>
          </w:p>
        </w:tc>
        <w:tc>
          <w:tcPr>
            <w:tcW w:w="738" w:type="dxa"/>
            <w:tcBorders>
              <w:top w:val="nil"/>
              <w:left w:val="single" w:sz="4" w:space="0" w:color="auto"/>
              <w:bottom w:val="single" w:sz="4" w:space="0" w:color="auto"/>
              <w:right w:val="nil"/>
            </w:tcBorders>
            <w:shd w:val="clear" w:color="auto" w:fill="auto"/>
            <w:noWrap/>
            <w:vAlign w:val="bottom"/>
            <w:hideMark/>
          </w:tcPr>
          <w:p w14:paraId="1A37B628" w14:textId="03A64321" w:rsidR="008E13D1" w:rsidRPr="00F70769" w:rsidRDefault="008E13D1" w:rsidP="00666EC5">
            <w:pPr>
              <w:spacing w:after="0" w:line="240" w:lineRule="auto"/>
              <w:jc w:val="center"/>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w:t>
            </w:r>
          </w:p>
        </w:tc>
        <w:tc>
          <w:tcPr>
            <w:tcW w:w="762" w:type="dxa"/>
            <w:tcBorders>
              <w:top w:val="nil"/>
              <w:left w:val="single" w:sz="4" w:space="0" w:color="auto"/>
              <w:bottom w:val="single" w:sz="4" w:space="0" w:color="auto"/>
              <w:right w:val="nil"/>
            </w:tcBorders>
            <w:shd w:val="clear" w:color="auto" w:fill="auto"/>
            <w:noWrap/>
            <w:vAlign w:val="bottom"/>
            <w:hideMark/>
          </w:tcPr>
          <w:p w14:paraId="6653D51A"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0.6</w:t>
            </w:r>
          </w:p>
        </w:tc>
        <w:tc>
          <w:tcPr>
            <w:tcW w:w="762" w:type="dxa"/>
            <w:tcBorders>
              <w:top w:val="nil"/>
              <w:left w:val="nil"/>
              <w:bottom w:val="single" w:sz="4" w:space="0" w:color="auto"/>
              <w:right w:val="nil"/>
            </w:tcBorders>
            <w:shd w:val="clear" w:color="auto" w:fill="auto"/>
            <w:noWrap/>
            <w:vAlign w:val="bottom"/>
            <w:hideMark/>
          </w:tcPr>
          <w:p w14:paraId="3923259B"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0.7</w:t>
            </w:r>
          </w:p>
        </w:tc>
        <w:tc>
          <w:tcPr>
            <w:tcW w:w="762" w:type="dxa"/>
            <w:tcBorders>
              <w:top w:val="nil"/>
              <w:left w:val="nil"/>
              <w:bottom w:val="single" w:sz="4" w:space="0" w:color="auto"/>
              <w:right w:val="nil"/>
            </w:tcBorders>
            <w:shd w:val="clear" w:color="auto" w:fill="auto"/>
            <w:noWrap/>
            <w:vAlign w:val="bottom"/>
            <w:hideMark/>
          </w:tcPr>
          <w:p w14:paraId="14667903"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0.7</w:t>
            </w:r>
          </w:p>
        </w:tc>
        <w:tc>
          <w:tcPr>
            <w:tcW w:w="763" w:type="dxa"/>
            <w:tcBorders>
              <w:top w:val="nil"/>
              <w:left w:val="nil"/>
              <w:bottom w:val="single" w:sz="4" w:space="0" w:color="auto"/>
              <w:right w:val="nil"/>
            </w:tcBorders>
            <w:shd w:val="clear" w:color="auto" w:fill="auto"/>
            <w:noWrap/>
            <w:vAlign w:val="bottom"/>
            <w:hideMark/>
          </w:tcPr>
          <w:p w14:paraId="3A3D296E"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1.2</w:t>
            </w:r>
          </w:p>
        </w:tc>
        <w:tc>
          <w:tcPr>
            <w:tcW w:w="762" w:type="dxa"/>
            <w:tcBorders>
              <w:top w:val="nil"/>
              <w:left w:val="nil"/>
              <w:bottom w:val="single" w:sz="4" w:space="0" w:color="auto"/>
              <w:right w:val="single" w:sz="4" w:space="0" w:color="auto"/>
            </w:tcBorders>
            <w:shd w:val="clear" w:color="auto" w:fill="auto"/>
            <w:noWrap/>
            <w:vAlign w:val="bottom"/>
            <w:hideMark/>
          </w:tcPr>
          <w:p w14:paraId="576B236C"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0.8</w:t>
            </w:r>
          </w:p>
        </w:tc>
        <w:tc>
          <w:tcPr>
            <w:tcW w:w="762" w:type="dxa"/>
            <w:tcBorders>
              <w:top w:val="nil"/>
              <w:left w:val="nil"/>
              <w:bottom w:val="single" w:sz="4" w:space="0" w:color="auto"/>
              <w:right w:val="nil"/>
            </w:tcBorders>
            <w:shd w:val="clear" w:color="auto" w:fill="auto"/>
            <w:noWrap/>
            <w:vAlign w:val="bottom"/>
            <w:hideMark/>
          </w:tcPr>
          <w:p w14:paraId="443AC47F"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0.7</w:t>
            </w:r>
          </w:p>
        </w:tc>
        <w:tc>
          <w:tcPr>
            <w:tcW w:w="916" w:type="dxa"/>
            <w:tcBorders>
              <w:top w:val="nil"/>
              <w:left w:val="nil"/>
              <w:bottom w:val="single" w:sz="4" w:space="0" w:color="auto"/>
              <w:right w:val="nil"/>
            </w:tcBorders>
            <w:shd w:val="clear" w:color="auto" w:fill="auto"/>
            <w:noWrap/>
            <w:vAlign w:val="bottom"/>
            <w:hideMark/>
          </w:tcPr>
          <w:p w14:paraId="1D9102F2"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1.3</w:t>
            </w:r>
          </w:p>
        </w:tc>
        <w:tc>
          <w:tcPr>
            <w:tcW w:w="762" w:type="dxa"/>
            <w:tcBorders>
              <w:top w:val="nil"/>
              <w:left w:val="nil"/>
              <w:bottom w:val="single" w:sz="4" w:space="0" w:color="auto"/>
              <w:right w:val="nil"/>
            </w:tcBorders>
            <w:shd w:val="clear" w:color="auto" w:fill="auto"/>
            <w:noWrap/>
            <w:vAlign w:val="bottom"/>
            <w:hideMark/>
          </w:tcPr>
          <w:p w14:paraId="5F2ACA57"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1.2</w:t>
            </w:r>
          </w:p>
        </w:tc>
        <w:tc>
          <w:tcPr>
            <w:tcW w:w="762" w:type="dxa"/>
            <w:tcBorders>
              <w:top w:val="nil"/>
              <w:left w:val="nil"/>
              <w:bottom w:val="single" w:sz="4" w:space="0" w:color="auto"/>
              <w:right w:val="nil"/>
            </w:tcBorders>
            <w:shd w:val="clear" w:color="auto" w:fill="auto"/>
            <w:noWrap/>
            <w:vAlign w:val="bottom"/>
            <w:hideMark/>
          </w:tcPr>
          <w:p w14:paraId="07A14FF0"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1.3</w:t>
            </w:r>
          </w:p>
        </w:tc>
        <w:tc>
          <w:tcPr>
            <w:tcW w:w="763" w:type="dxa"/>
            <w:tcBorders>
              <w:top w:val="nil"/>
              <w:left w:val="nil"/>
              <w:bottom w:val="single" w:sz="4" w:space="0" w:color="auto"/>
              <w:right w:val="single" w:sz="4" w:space="0" w:color="auto"/>
            </w:tcBorders>
            <w:shd w:val="clear" w:color="auto" w:fill="auto"/>
            <w:noWrap/>
            <w:vAlign w:val="bottom"/>
            <w:hideMark/>
          </w:tcPr>
          <w:p w14:paraId="528465FB"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1.0</w:t>
            </w:r>
          </w:p>
        </w:tc>
      </w:tr>
      <w:tr w:rsidR="008E13D1" w:rsidRPr="00666EC5" w14:paraId="773BB170" w14:textId="77777777" w:rsidTr="00666EC5">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D468336" w14:textId="18E38512"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RCU-Air-Batch</w:t>
            </w:r>
          </w:p>
        </w:tc>
        <w:tc>
          <w:tcPr>
            <w:tcW w:w="738" w:type="dxa"/>
            <w:tcBorders>
              <w:top w:val="nil"/>
              <w:left w:val="single" w:sz="4" w:space="0" w:color="auto"/>
              <w:bottom w:val="single" w:sz="4" w:space="0" w:color="auto"/>
              <w:right w:val="nil"/>
            </w:tcBorders>
            <w:shd w:val="clear" w:color="auto" w:fill="auto"/>
            <w:noWrap/>
            <w:vAlign w:val="bottom"/>
            <w:hideMark/>
          </w:tcPr>
          <w:p w14:paraId="1A118E73" w14:textId="68D61F95" w:rsidR="008E13D1" w:rsidRPr="00F70769" w:rsidRDefault="00666EC5" w:rsidP="00666EC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NA</w:t>
            </w:r>
          </w:p>
        </w:tc>
        <w:tc>
          <w:tcPr>
            <w:tcW w:w="762" w:type="dxa"/>
            <w:tcBorders>
              <w:top w:val="nil"/>
              <w:left w:val="single" w:sz="4" w:space="0" w:color="auto"/>
              <w:bottom w:val="single" w:sz="4" w:space="0" w:color="auto"/>
              <w:right w:val="nil"/>
            </w:tcBorders>
            <w:shd w:val="clear" w:color="auto" w:fill="auto"/>
            <w:noWrap/>
            <w:vAlign w:val="bottom"/>
            <w:hideMark/>
          </w:tcPr>
          <w:p w14:paraId="2E928627"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0.7</w:t>
            </w:r>
          </w:p>
        </w:tc>
        <w:tc>
          <w:tcPr>
            <w:tcW w:w="762" w:type="dxa"/>
            <w:tcBorders>
              <w:top w:val="nil"/>
              <w:left w:val="nil"/>
              <w:bottom w:val="single" w:sz="4" w:space="0" w:color="auto"/>
              <w:right w:val="nil"/>
            </w:tcBorders>
            <w:shd w:val="clear" w:color="auto" w:fill="auto"/>
            <w:noWrap/>
            <w:vAlign w:val="bottom"/>
            <w:hideMark/>
          </w:tcPr>
          <w:p w14:paraId="46315EBC"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0.8</w:t>
            </w:r>
          </w:p>
        </w:tc>
        <w:tc>
          <w:tcPr>
            <w:tcW w:w="762" w:type="dxa"/>
            <w:tcBorders>
              <w:top w:val="nil"/>
              <w:left w:val="nil"/>
              <w:bottom w:val="single" w:sz="4" w:space="0" w:color="auto"/>
              <w:right w:val="nil"/>
            </w:tcBorders>
            <w:shd w:val="clear" w:color="auto" w:fill="auto"/>
            <w:noWrap/>
            <w:vAlign w:val="bottom"/>
            <w:hideMark/>
          </w:tcPr>
          <w:p w14:paraId="6F0C2098"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0.8</w:t>
            </w:r>
          </w:p>
        </w:tc>
        <w:tc>
          <w:tcPr>
            <w:tcW w:w="763" w:type="dxa"/>
            <w:tcBorders>
              <w:top w:val="nil"/>
              <w:left w:val="nil"/>
              <w:bottom w:val="single" w:sz="4" w:space="0" w:color="auto"/>
              <w:right w:val="nil"/>
            </w:tcBorders>
            <w:shd w:val="clear" w:color="auto" w:fill="auto"/>
            <w:noWrap/>
            <w:vAlign w:val="bottom"/>
            <w:hideMark/>
          </w:tcPr>
          <w:p w14:paraId="3F4B604E"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0.7</w:t>
            </w:r>
          </w:p>
        </w:tc>
        <w:tc>
          <w:tcPr>
            <w:tcW w:w="762" w:type="dxa"/>
            <w:tcBorders>
              <w:top w:val="nil"/>
              <w:left w:val="nil"/>
              <w:bottom w:val="single" w:sz="4" w:space="0" w:color="auto"/>
              <w:right w:val="single" w:sz="4" w:space="0" w:color="auto"/>
            </w:tcBorders>
            <w:shd w:val="clear" w:color="auto" w:fill="auto"/>
            <w:noWrap/>
            <w:vAlign w:val="bottom"/>
            <w:hideMark/>
          </w:tcPr>
          <w:p w14:paraId="49BA5831"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0.7</w:t>
            </w:r>
          </w:p>
        </w:tc>
        <w:tc>
          <w:tcPr>
            <w:tcW w:w="762" w:type="dxa"/>
            <w:tcBorders>
              <w:top w:val="nil"/>
              <w:left w:val="nil"/>
              <w:bottom w:val="single" w:sz="4" w:space="0" w:color="auto"/>
              <w:right w:val="nil"/>
            </w:tcBorders>
            <w:shd w:val="clear" w:color="auto" w:fill="auto"/>
            <w:noWrap/>
            <w:vAlign w:val="bottom"/>
            <w:hideMark/>
          </w:tcPr>
          <w:p w14:paraId="0CD63110"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0.8</w:t>
            </w:r>
          </w:p>
        </w:tc>
        <w:tc>
          <w:tcPr>
            <w:tcW w:w="916" w:type="dxa"/>
            <w:tcBorders>
              <w:top w:val="nil"/>
              <w:left w:val="nil"/>
              <w:bottom w:val="single" w:sz="4" w:space="0" w:color="auto"/>
              <w:right w:val="nil"/>
            </w:tcBorders>
            <w:shd w:val="clear" w:color="auto" w:fill="auto"/>
            <w:noWrap/>
            <w:vAlign w:val="bottom"/>
            <w:hideMark/>
          </w:tcPr>
          <w:p w14:paraId="1024DD73"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1.4</w:t>
            </w:r>
          </w:p>
        </w:tc>
        <w:tc>
          <w:tcPr>
            <w:tcW w:w="762" w:type="dxa"/>
            <w:tcBorders>
              <w:top w:val="nil"/>
              <w:left w:val="nil"/>
              <w:bottom w:val="single" w:sz="4" w:space="0" w:color="auto"/>
              <w:right w:val="nil"/>
            </w:tcBorders>
            <w:shd w:val="clear" w:color="auto" w:fill="auto"/>
            <w:noWrap/>
            <w:vAlign w:val="bottom"/>
            <w:hideMark/>
          </w:tcPr>
          <w:p w14:paraId="715045D0"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1.3</w:t>
            </w:r>
          </w:p>
        </w:tc>
        <w:tc>
          <w:tcPr>
            <w:tcW w:w="762" w:type="dxa"/>
            <w:tcBorders>
              <w:top w:val="nil"/>
              <w:left w:val="nil"/>
              <w:bottom w:val="single" w:sz="4" w:space="0" w:color="auto"/>
              <w:right w:val="nil"/>
            </w:tcBorders>
            <w:shd w:val="clear" w:color="auto" w:fill="auto"/>
            <w:noWrap/>
            <w:vAlign w:val="bottom"/>
            <w:hideMark/>
          </w:tcPr>
          <w:p w14:paraId="2F932FE1"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0.9</w:t>
            </w:r>
          </w:p>
        </w:tc>
        <w:tc>
          <w:tcPr>
            <w:tcW w:w="763" w:type="dxa"/>
            <w:tcBorders>
              <w:top w:val="nil"/>
              <w:left w:val="nil"/>
              <w:bottom w:val="single" w:sz="4" w:space="0" w:color="auto"/>
              <w:right w:val="single" w:sz="4" w:space="0" w:color="auto"/>
            </w:tcBorders>
            <w:shd w:val="clear" w:color="auto" w:fill="auto"/>
            <w:noWrap/>
            <w:vAlign w:val="bottom"/>
            <w:hideMark/>
          </w:tcPr>
          <w:p w14:paraId="3CA09332"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0.9</w:t>
            </w:r>
          </w:p>
        </w:tc>
      </w:tr>
      <w:tr w:rsidR="008E13D1" w:rsidRPr="00666EC5" w14:paraId="374CB635" w14:textId="77777777" w:rsidTr="00666EC5">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8131271" w14:textId="5F0EDC16"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RCU</w:t>
            </w:r>
            <w:r w:rsidR="00666EC5">
              <w:rPr>
                <w:rFonts w:ascii="Calibri" w:eastAsia="Times New Roman" w:hAnsi="Calibri" w:cs="Calibri"/>
                <w:color w:val="000000"/>
                <w:sz w:val="20"/>
                <w:szCs w:val="20"/>
                <w:lang w:eastAsia="en-AU"/>
              </w:rPr>
              <w:t>-</w:t>
            </w:r>
            <w:r w:rsidRPr="00F70769">
              <w:rPr>
                <w:rFonts w:ascii="Calibri" w:eastAsia="Times New Roman" w:hAnsi="Calibri" w:cs="Calibri"/>
                <w:color w:val="000000"/>
                <w:sz w:val="20"/>
                <w:szCs w:val="20"/>
                <w:lang w:eastAsia="en-AU"/>
              </w:rPr>
              <w:t>Air-Cont</w:t>
            </w:r>
          </w:p>
        </w:tc>
        <w:tc>
          <w:tcPr>
            <w:tcW w:w="738" w:type="dxa"/>
            <w:tcBorders>
              <w:top w:val="nil"/>
              <w:left w:val="single" w:sz="4" w:space="0" w:color="auto"/>
              <w:bottom w:val="single" w:sz="4" w:space="0" w:color="auto"/>
              <w:right w:val="nil"/>
            </w:tcBorders>
            <w:shd w:val="clear" w:color="auto" w:fill="auto"/>
            <w:noWrap/>
            <w:vAlign w:val="bottom"/>
            <w:hideMark/>
          </w:tcPr>
          <w:p w14:paraId="7C71E9C9" w14:textId="465F3819" w:rsidR="008E13D1" w:rsidRPr="00F70769" w:rsidRDefault="00666EC5" w:rsidP="00666EC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NA</w:t>
            </w:r>
          </w:p>
        </w:tc>
        <w:tc>
          <w:tcPr>
            <w:tcW w:w="762" w:type="dxa"/>
            <w:tcBorders>
              <w:top w:val="nil"/>
              <w:left w:val="single" w:sz="4" w:space="0" w:color="auto"/>
              <w:bottom w:val="single" w:sz="4" w:space="0" w:color="auto"/>
              <w:right w:val="nil"/>
            </w:tcBorders>
            <w:shd w:val="clear" w:color="auto" w:fill="auto"/>
            <w:noWrap/>
            <w:vAlign w:val="bottom"/>
            <w:hideMark/>
          </w:tcPr>
          <w:p w14:paraId="3922C99E"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2.0</w:t>
            </w:r>
          </w:p>
        </w:tc>
        <w:tc>
          <w:tcPr>
            <w:tcW w:w="762" w:type="dxa"/>
            <w:tcBorders>
              <w:top w:val="nil"/>
              <w:left w:val="nil"/>
              <w:bottom w:val="single" w:sz="4" w:space="0" w:color="auto"/>
              <w:right w:val="nil"/>
            </w:tcBorders>
            <w:shd w:val="clear" w:color="auto" w:fill="auto"/>
            <w:noWrap/>
            <w:vAlign w:val="bottom"/>
            <w:hideMark/>
          </w:tcPr>
          <w:p w14:paraId="069D8725"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1.5</w:t>
            </w:r>
          </w:p>
        </w:tc>
        <w:tc>
          <w:tcPr>
            <w:tcW w:w="762" w:type="dxa"/>
            <w:tcBorders>
              <w:top w:val="nil"/>
              <w:left w:val="nil"/>
              <w:bottom w:val="single" w:sz="4" w:space="0" w:color="auto"/>
              <w:right w:val="nil"/>
            </w:tcBorders>
            <w:shd w:val="clear" w:color="auto" w:fill="auto"/>
            <w:noWrap/>
            <w:vAlign w:val="bottom"/>
            <w:hideMark/>
          </w:tcPr>
          <w:p w14:paraId="64565AA0"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1.9</w:t>
            </w:r>
          </w:p>
        </w:tc>
        <w:tc>
          <w:tcPr>
            <w:tcW w:w="763" w:type="dxa"/>
            <w:tcBorders>
              <w:top w:val="nil"/>
              <w:left w:val="nil"/>
              <w:bottom w:val="single" w:sz="4" w:space="0" w:color="auto"/>
              <w:right w:val="nil"/>
            </w:tcBorders>
            <w:shd w:val="clear" w:color="auto" w:fill="auto"/>
            <w:noWrap/>
            <w:vAlign w:val="bottom"/>
            <w:hideMark/>
          </w:tcPr>
          <w:p w14:paraId="5FDF9134"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1.5</w:t>
            </w:r>
          </w:p>
        </w:tc>
        <w:tc>
          <w:tcPr>
            <w:tcW w:w="762" w:type="dxa"/>
            <w:tcBorders>
              <w:top w:val="nil"/>
              <w:left w:val="nil"/>
              <w:bottom w:val="single" w:sz="4" w:space="0" w:color="auto"/>
              <w:right w:val="single" w:sz="4" w:space="0" w:color="auto"/>
            </w:tcBorders>
            <w:shd w:val="clear" w:color="auto" w:fill="auto"/>
            <w:noWrap/>
            <w:vAlign w:val="bottom"/>
            <w:hideMark/>
          </w:tcPr>
          <w:p w14:paraId="1ED25301"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1.5</w:t>
            </w:r>
          </w:p>
        </w:tc>
        <w:tc>
          <w:tcPr>
            <w:tcW w:w="762" w:type="dxa"/>
            <w:tcBorders>
              <w:top w:val="nil"/>
              <w:left w:val="nil"/>
              <w:bottom w:val="single" w:sz="4" w:space="0" w:color="auto"/>
              <w:right w:val="nil"/>
            </w:tcBorders>
            <w:shd w:val="clear" w:color="auto" w:fill="auto"/>
            <w:noWrap/>
            <w:vAlign w:val="bottom"/>
            <w:hideMark/>
          </w:tcPr>
          <w:p w14:paraId="05C72269"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3.9</w:t>
            </w:r>
          </w:p>
        </w:tc>
        <w:tc>
          <w:tcPr>
            <w:tcW w:w="916" w:type="dxa"/>
            <w:tcBorders>
              <w:top w:val="nil"/>
              <w:left w:val="nil"/>
              <w:bottom w:val="single" w:sz="4" w:space="0" w:color="auto"/>
              <w:right w:val="nil"/>
            </w:tcBorders>
            <w:shd w:val="clear" w:color="auto" w:fill="auto"/>
            <w:noWrap/>
            <w:vAlign w:val="bottom"/>
            <w:hideMark/>
          </w:tcPr>
          <w:p w14:paraId="437FCFD7"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4.6</w:t>
            </w:r>
          </w:p>
        </w:tc>
        <w:tc>
          <w:tcPr>
            <w:tcW w:w="762" w:type="dxa"/>
            <w:tcBorders>
              <w:top w:val="nil"/>
              <w:left w:val="nil"/>
              <w:bottom w:val="single" w:sz="4" w:space="0" w:color="auto"/>
              <w:right w:val="nil"/>
            </w:tcBorders>
            <w:shd w:val="clear" w:color="auto" w:fill="auto"/>
            <w:noWrap/>
            <w:vAlign w:val="bottom"/>
            <w:hideMark/>
          </w:tcPr>
          <w:p w14:paraId="19553FB4"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5.3</w:t>
            </w:r>
          </w:p>
        </w:tc>
        <w:tc>
          <w:tcPr>
            <w:tcW w:w="762" w:type="dxa"/>
            <w:tcBorders>
              <w:top w:val="nil"/>
              <w:left w:val="nil"/>
              <w:bottom w:val="single" w:sz="4" w:space="0" w:color="auto"/>
              <w:right w:val="nil"/>
            </w:tcBorders>
            <w:shd w:val="clear" w:color="auto" w:fill="auto"/>
            <w:noWrap/>
            <w:vAlign w:val="bottom"/>
            <w:hideMark/>
          </w:tcPr>
          <w:p w14:paraId="767992A3"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2.1</w:t>
            </w:r>
          </w:p>
        </w:tc>
        <w:tc>
          <w:tcPr>
            <w:tcW w:w="763" w:type="dxa"/>
            <w:tcBorders>
              <w:top w:val="nil"/>
              <w:left w:val="nil"/>
              <w:bottom w:val="single" w:sz="4" w:space="0" w:color="auto"/>
              <w:right w:val="single" w:sz="4" w:space="0" w:color="auto"/>
            </w:tcBorders>
            <w:shd w:val="clear" w:color="auto" w:fill="auto"/>
            <w:noWrap/>
            <w:vAlign w:val="bottom"/>
            <w:hideMark/>
          </w:tcPr>
          <w:p w14:paraId="30FB6489"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2.1</w:t>
            </w:r>
          </w:p>
        </w:tc>
      </w:tr>
      <w:tr w:rsidR="008E13D1" w:rsidRPr="00666EC5" w14:paraId="42D9FCE4" w14:textId="77777777" w:rsidTr="00666EC5">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4F6F250" w14:textId="28AE203C"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RCR</w:t>
            </w:r>
            <w:r w:rsidR="00666EC5">
              <w:rPr>
                <w:rFonts w:ascii="Calibri" w:eastAsia="Times New Roman" w:hAnsi="Calibri" w:cs="Calibri"/>
                <w:color w:val="000000"/>
                <w:sz w:val="20"/>
                <w:szCs w:val="20"/>
                <w:lang w:eastAsia="en-AU"/>
              </w:rPr>
              <w:t>C</w:t>
            </w:r>
            <w:r w:rsidRPr="00F70769">
              <w:rPr>
                <w:rFonts w:ascii="Calibri" w:eastAsia="Times New Roman" w:hAnsi="Calibri" w:cs="Calibri"/>
                <w:color w:val="000000"/>
                <w:sz w:val="20"/>
                <w:szCs w:val="20"/>
                <w:lang w:eastAsia="en-AU"/>
              </w:rPr>
              <w:t>- Air-Batch</w:t>
            </w:r>
          </w:p>
        </w:tc>
        <w:tc>
          <w:tcPr>
            <w:tcW w:w="738" w:type="dxa"/>
            <w:tcBorders>
              <w:top w:val="nil"/>
              <w:left w:val="single" w:sz="4" w:space="0" w:color="auto"/>
              <w:bottom w:val="single" w:sz="4" w:space="0" w:color="auto"/>
              <w:right w:val="nil"/>
            </w:tcBorders>
            <w:shd w:val="clear" w:color="auto" w:fill="auto"/>
            <w:noWrap/>
            <w:vAlign w:val="bottom"/>
            <w:hideMark/>
          </w:tcPr>
          <w:p w14:paraId="72852944" w14:textId="4DF7EEF9" w:rsidR="008E13D1" w:rsidRPr="00F70769" w:rsidRDefault="00666EC5" w:rsidP="00666EC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NA</w:t>
            </w:r>
          </w:p>
        </w:tc>
        <w:tc>
          <w:tcPr>
            <w:tcW w:w="762" w:type="dxa"/>
            <w:tcBorders>
              <w:top w:val="nil"/>
              <w:left w:val="single" w:sz="4" w:space="0" w:color="auto"/>
              <w:bottom w:val="single" w:sz="4" w:space="0" w:color="auto"/>
              <w:right w:val="nil"/>
            </w:tcBorders>
            <w:shd w:val="clear" w:color="auto" w:fill="auto"/>
            <w:noWrap/>
            <w:vAlign w:val="bottom"/>
            <w:hideMark/>
          </w:tcPr>
          <w:p w14:paraId="798D1202"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0.7</w:t>
            </w:r>
          </w:p>
        </w:tc>
        <w:tc>
          <w:tcPr>
            <w:tcW w:w="762" w:type="dxa"/>
            <w:tcBorders>
              <w:top w:val="nil"/>
              <w:left w:val="nil"/>
              <w:bottom w:val="single" w:sz="4" w:space="0" w:color="auto"/>
              <w:right w:val="nil"/>
            </w:tcBorders>
            <w:shd w:val="clear" w:color="auto" w:fill="auto"/>
            <w:noWrap/>
            <w:vAlign w:val="bottom"/>
            <w:hideMark/>
          </w:tcPr>
          <w:p w14:paraId="33F8BDC1"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0.8</w:t>
            </w:r>
          </w:p>
        </w:tc>
        <w:tc>
          <w:tcPr>
            <w:tcW w:w="762" w:type="dxa"/>
            <w:tcBorders>
              <w:top w:val="nil"/>
              <w:left w:val="nil"/>
              <w:bottom w:val="single" w:sz="4" w:space="0" w:color="auto"/>
              <w:right w:val="nil"/>
            </w:tcBorders>
            <w:shd w:val="clear" w:color="auto" w:fill="auto"/>
            <w:noWrap/>
            <w:vAlign w:val="bottom"/>
            <w:hideMark/>
          </w:tcPr>
          <w:p w14:paraId="689465A9"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0.8</w:t>
            </w:r>
          </w:p>
        </w:tc>
        <w:tc>
          <w:tcPr>
            <w:tcW w:w="763" w:type="dxa"/>
            <w:tcBorders>
              <w:top w:val="nil"/>
              <w:left w:val="nil"/>
              <w:bottom w:val="single" w:sz="4" w:space="0" w:color="auto"/>
              <w:right w:val="nil"/>
            </w:tcBorders>
            <w:shd w:val="clear" w:color="auto" w:fill="auto"/>
            <w:noWrap/>
            <w:vAlign w:val="bottom"/>
            <w:hideMark/>
          </w:tcPr>
          <w:p w14:paraId="200CE85A"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0.7</w:t>
            </w:r>
          </w:p>
        </w:tc>
        <w:tc>
          <w:tcPr>
            <w:tcW w:w="762" w:type="dxa"/>
            <w:tcBorders>
              <w:top w:val="nil"/>
              <w:left w:val="nil"/>
              <w:bottom w:val="single" w:sz="4" w:space="0" w:color="auto"/>
              <w:right w:val="single" w:sz="4" w:space="0" w:color="auto"/>
            </w:tcBorders>
            <w:shd w:val="clear" w:color="auto" w:fill="auto"/>
            <w:noWrap/>
            <w:vAlign w:val="bottom"/>
            <w:hideMark/>
          </w:tcPr>
          <w:p w14:paraId="2A3A8403"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0.7</w:t>
            </w:r>
          </w:p>
        </w:tc>
        <w:tc>
          <w:tcPr>
            <w:tcW w:w="762" w:type="dxa"/>
            <w:tcBorders>
              <w:top w:val="nil"/>
              <w:left w:val="nil"/>
              <w:bottom w:val="single" w:sz="4" w:space="0" w:color="auto"/>
              <w:right w:val="nil"/>
            </w:tcBorders>
            <w:shd w:val="clear" w:color="auto" w:fill="auto"/>
            <w:noWrap/>
            <w:vAlign w:val="bottom"/>
            <w:hideMark/>
          </w:tcPr>
          <w:p w14:paraId="21E72D3A"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0.8</w:t>
            </w:r>
          </w:p>
        </w:tc>
        <w:tc>
          <w:tcPr>
            <w:tcW w:w="916" w:type="dxa"/>
            <w:tcBorders>
              <w:top w:val="nil"/>
              <w:left w:val="nil"/>
              <w:bottom w:val="single" w:sz="4" w:space="0" w:color="auto"/>
              <w:right w:val="nil"/>
            </w:tcBorders>
            <w:shd w:val="clear" w:color="auto" w:fill="auto"/>
            <w:noWrap/>
            <w:vAlign w:val="bottom"/>
            <w:hideMark/>
          </w:tcPr>
          <w:p w14:paraId="3CBEBE25"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1.4</w:t>
            </w:r>
          </w:p>
        </w:tc>
        <w:tc>
          <w:tcPr>
            <w:tcW w:w="762" w:type="dxa"/>
            <w:tcBorders>
              <w:top w:val="nil"/>
              <w:left w:val="nil"/>
              <w:bottom w:val="single" w:sz="4" w:space="0" w:color="auto"/>
              <w:right w:val="nil"/>
            </w:tcBorders>
            <w:shd w:val="clear" w:color="auto" w:fill="auto"/>
            <w:noWrap/>
            <w:vAlign w:val="bottom"/>
            <w:hideMark/>
          </w:tcPr>
          <w:p w14:paraId="7C91747E"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1.3</w:t>
            </w:r>
          </w:p>
        </w:tc>
        <w:tc>
          <w:tcPr>
            <w:tcW w:w="762" w:type="dxa"/>
            <w:tcBorders>
              <w:top w:val="nil"/>
              <w:left w:val="nil"/>
              <w:bottom w:val="single" w:sz="4" w:space="0" w:color="auto"/>
              <w:right w:val="nil"/>
            </w:tcBorders>
            <w:shd w:val="clear" w:color="auto" w:fill="auto"/>
            <w:noWrap/>
            <w:vAlign w:val="bottom"/>
            <w:hideMark/>
          </w:tcPr>
          <w:p w14:paraId="732F0AEB"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0.9</w:t>
            </w:r>
          </w:p>
        </w:tc>
        <w:tc>
          <w:tcPr>
            <w:tcW w:w="763" w:type="dxa"/>
            <w:tcBorders>
              <w:top w:val="nil"/>
              <w:left w:val="nil"/>
              <w:bottom w:val="single" w:sz="4" w:space="0" w:color="auto"/>
              <w:right w:val="single" w:sz="4" w:space="0" w:color="auto"/>
            </w:tcBorders>
            <w:shd w:val="clear" w:color="auto" w:fill="auto"/>
            <w:noWrap/>
            <w:vAlign w:val="bottom"/>
            <w:hideMark/>
          </w:tcPr>
          <w:p w14:paraId="6EC2D107"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0.9</w:t>
            </w:r>
          </w:p>
        </w:tc>
      </w:tr>
      <w:tr w:rsidR="008E13D1" w:rsidRPr="00666EC5" w14:paraId="537C69E6" w14:textId="77777777" w:rsidTr="00666EC5">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FC7A0B4" w14:textId="61256F67" w:rsidR="008E13D1" w:rsidRPr="00F70769" w:rsidRDefault="008E13D1" w:rsidP="00F70769">
            <w:pPr>
              <w:spacing w:after="0" w:line="240" w:lineRule="auto"/>
              <w:jc w:val="lef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RCRC-Air-Cont</w:t>
            </w:r>
          </w:p>
        </w:tc>
        <w:tc>
          <w:tcPr>
            <w:tcW w:w="738" w:type="dxa"/>
            <w:tcBorders>
              <w:top w:val="nil"/>
              <w:left w:val="single" w:sz="4" w:space="0" w:color="auto"/>
              <w:bottom w:val="single" w:sz="4" w:space="0" w:color="auto"/>
              <w:right w:val="nil"/>
            </w:tcBorders>
            <w:shd w:val="clear" w:color="auto" w:fill="auto"/>
            <w:noWrap/>
            <w:vAlign w:val="bottom"/>
            <w:hideMark/>
          </w:tcPr>
          <w:p w14:paraId="34C4E6BD" w14:textId="3B97A2C5" w:rsidR="008E13D1" w:rsidRPr="00F70769" w:rsidRDefault="00666EC5" w:rsidP="00666EC5">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NA</w:t>
            </w:r>
          </w:p>
        </w:tc>
        <w:tc>
          <w:tcPr>
            <w:tcW w:w="762" w:type="dxa"/>
            <w:tcBorders>
              <w:top w:val="nil"/>
              <w:left w:val="single" w:sz="4" w:space="0" w:color="auto"/>
              <w:bottom w:val="single" w:sz="4" w:space="0" w:color="auto"/>
              <w:right w:val="nil"/>
            </w:tcBorders>
            <w:shd w:val="clear" w:color="auto" w:fill="auto"/>
            <w:noWrap/>
            <w:vAlign w:val="bottom"/>
            <w:hideMark/>
          </w:tcPr>
          <w:p w14:paraId="00D4B256"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2.0</w:t>
            </w:r>
          </w:p>
        </w:tc>
        <w:tc>
          <w:tcPr>
            <w:tcW w:w="762" w:type="dxa"/>
            <w:tcBorders>
              <w:top w:val="nil"/>
              <w:left w:val="nil"/>
              <w:bottom w:val="single" w:sz="4" w:space="0" w:color="auto"/>
              <w:right w:val="nil"/>
            </w:tcBorders>
            <w:shd w:val="clear" w:color="auto" w:fill="auto"/>
            <w:noWrap/>
            <w:vAlign w:val="bottom"/>
            <w:hideMark/>
          </w:tcPr>
          <w:p w14:paraId="7ACA4044"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1.5</w:t>
            </w:r>
          </w:p>
        </w:tc>
        <w:tc>
          <w:tcPr>
            <w:tcW w:w="762" w:type="dxa"/>
            <w:tcBorders>
              <w:top w:val="nil"/>
              <w:left w:val="nil"/>
              <w:bottom w:val="single" w:sz="4" w:space="0" w:color="auto"/>
              <w:right w:val="nil"/>
            </w:tcBorders>
            <w:shd w:val="clear" w:color="auto" w:fill="auto"/>
            <w:noWrap/>
            <w:vAlign w:val="bottom"/>
            <w:hideMark/>
          </w:tcPr>
          <w:p w14:paraId="3C10654B"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1.9</w:t>
            </w:r>
          </w:p>
        </w:tc>
        <w:tc>
          <w:tcPr>
            <w:tcW w:w="763" w:type="dxa"/>
            <w:tcBorders>
              <w:top w:val="nil"/>
              <w:left w:val="nil"/>
              <w:bottom w:val="single" w:sz="4" w:space="0" w:color="auto"/>
              <w:right w:val="nil"/>
            </w:tcBorders>
            <w:shd w:val="clear" w:color="auto" w:fill="auto"/>
            <w:noWrap/>
            <w:vAlign w:val="bottom"/>
            <w:hideMark/>
          </w:tcPr>
          <w:p w14:paraId="5C0AC589"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1.4</w:t>
            </w:r>
          </w:p>
        </w:tc>
        <w:tc>
          <w:tcPr>
            <w:tcW w:w="762" w:type="dxa"/>
            <w:tcBorders>
              <w:top w:val="nil"/>
              <w:left w:val="nil"/>
              <w:bottom w:val="single" w:sz="4" w:space="0" w:color="auto"/>
              <w:right w:val="single" w:sz="4" w:space="0" w:color="auto"/>
            </w:tcBorders>
            <w:shd w:val="clear" w:color="auto" w:fill="auto"/>
            <w:noWrap/>
            <w:vAlign w:val="bottom"/>
            <w:hideMark/>
          </w:tcPr>
          <w:p w14:paraId="24490A10"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1.4</w:t>
            </w:r>
          </w:p>
        </w:tc>
        <w:tc>
          <w:tcPr>
            <w:tcW w:w="762" w:type="dxa"/>
            <w:tcBorders>
              <w:top w:val="nil"/>
              <w:left w:val="nil"/>
              <w:bottom w:val="single" w:sz="4" w:space="0" w:color="auto"/>
              <w:right w:val="nil"/>
            </w:tcBorders>
            <w:shd w:val="clear" w:color="auto" w:fill="auto"/>
            <w:noWrap/>
            <w:vAlign w:val="bottom"/>
            <w:hideMark/>
          </w:tcPr>
          <w:p w14:paraId="2113D3DE"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3.9</w:t>
            </w:r>
          </w:p>
        </w:tc>
        <w:tc>
          <w:tcPr>
            <w:tcW w:w="916" w:type="dxa"/>
            <w:tcBorders>
              <w:top w:val="nil"/>
              <w:left w:val="nil"/>
              <w:bottom w:val="single" w:sz="4" w:space="0" w:color="auto"/>
              <w:right w:val="nil"/>
            </w:tcBorders>
            <w:shd w:val="clear" w:color="auto" w:fill="auto"/>
            <w:noWrap/>
            <w:vAlign w:val="bottom"/>
            <w:hideMark/>
          </w:tcPr>
          <w:p w14:paraId="10B3AD24"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4.6</w:t>
            </w:r>
          </w:p>
        </w:tc>
        <w:tc>
          <w:tcPr>
            <w:tcW w:w="762" w:type="dxa"/>
            <w:tcBorders>
              <w:top w:val="nil"/>
              <w:left w:val="nil"/>
              <w:bottom w:val="single" w:sz="4" w:space="0" w:color="auto"/>
              <w:right w:val="nil"/>
            </w:tcBorders>
            <w:shd w:val="clear" w:color="auto" w:fill="auto"/>
            <w:noWrap/>
            <w:vAlign w:val="bottom"/>
            <w:hideMark/>
          </w:tcPr>
          <w:p w14:paraId="5805E81D"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5.4</w:t>
            </w:r>
          </w:p>
        </w:tc>
        <w:tc>
          <w:tcPr>
            <w:tcW w:w="762" w:type="dxa"/>
            <w:tcBorders>
              <w:top w:val="nil"/>
              <w:left w:val="nil"/>
              <w:bottom w:val="single" w:sz="4" w:space="0" w:color="auto"/>
              <w:right w:val="nil"/>
            </w:tcBorders>
            <w:shd w:val="clear" w:color="auto" w:fill="auto"/>
            <w:noWrap/>
            <w:vAlign w:val="bottom"/>
            <w:hideMark/>
          </w:tcPr>
          <w:p w14:paraId="75A6768D"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2.1</w:t>
            </w:r>
          </w:p>
        </w:tc>
        <w:tc>
          <w:tcPr>
            <w:tcW w:w="763" w:type="dxa"/>
            <w:tcBorders>
              <w:top w:val="nil"/>
              <w:left w:val="nil"/>
              <w:bottom w:val="single" w:sz="4" w:space="0" w:color="auto"/>
              <w:right w:val="single" w:sz="4" w:space="0" w:color="auto"/>
            </w:tcBorders>
            <w:shd w:val="clear" w:color="auto" w:fill="auto"/>
            <w:noWrap/>
            <w:vAlign w:val="bottom"/>
            <w:hideMark/>
          </w:tcPr>
          <w:p w14:paraId="0E1EED25" w14:textId="77777777" w:rsidR="008E13D1" w:rsidRPr="00F70769" w:rsidRDefault="008E13D1" w:rsidP="00F70769">
            <w:pPr>
              <w:spacing w:after="0" w:line="240" w:lineRule="auto"/>
              <w:jc w:val="right"/>
              <w:rPr>
                <w:rFonts w:ascii="Calibri" w:eastAsia="Times New Roman" w:hAnsi="Calibri" w:cs="Calibri"/>
                <w:color w:val="000000"/>
                <w:sz w:val="20"/>
                <w:szCs w:val="20"/>
                <w:lang w:eastAsia="en-AU"/>
              </w:rPr>
            </w:pPr>
            <w:r w:rsidRPr="00F70769">
              <w:rPr>
                <w:rFonts w:ascii="Calibri" w:eastAsia="Times New Roman" w:hAnsi="Calibri" w:cs="Calibri"/>
                <w:color w:val="000000"/>
                <w:sz w:val="20"/>
                <w:szCs w:val="20"/>
                <w:lang w:eastAsia="en-AU"/>
              </w:rPr>
              <w:t>2.1</w:t>
            </w:r>
          </w:p>
        </w:tc>
      </w:tr>
    </w:tbl>
    <w:p w14:paraId="3FB716FA" w14:textId="6C86AA0C" w:rsidR="0046197D" w:rsidRDefault="00BE17D3" w:rsidP="00CA6F7F">
      <w:pPr>
        <w:rPr>
          <w:sz w:val="20"/>
          <w:szCs w:val="20"/>
        </w:rPr>
      </w:pPr>
      <w:r>
        <w:rPr>
          <w:sz w:val="20"/>
          <w:szCs w:val="20"/>
        </w:rPr>
        <w:t>Cases highlighted yellow may exceed the service life of the product, and those highlighted red do exceed it.</w:t>
      </w:r>
    </w:p>
    <w:p w14:paraId="4EA175ED" w14:textId="77777777" w:rsidR="000F2521" w:rsidRPr="00666EC5" w:rsidRDefault="000F2521" w:rsidP="00CA6F7F">
      <w:pPr>
        <w:rPr>
          <w:sz w:val="20"/>
          <w:szCs w:val="20"/>
        </w:rPr>
      </w:pPr>
    </w:p>
    <w:p w14:paraId="44C6D0B3" w14:textId="6B127788" w:rsidR="0046197D" w:rsidRDefault="004E0B51" w:rsidP="00AE1959">
      <w:pPr>
        <w:pStyle w:val="Heading3"/>
      </w:pPr>
      <w:bookmarkStart w:id="112" w:name="_Toc196745431"/>
      <w:r>
        <w:t xml:space="preserve">The </w:t>
      </w:r>
      <w:r w:rsidR="003B45BB">
        <w:t xml:space="preserve">WELS </w:t>
      </w:r>
      <w:r>
        <w:t>Regulator</w:t>
      </w:r>
      <w:bookmarkEnd w:id="112"/>
    </w:p>
    <w:p w14:paraId="6D937B01" w14:textId="641ECFE3" w:rsidR="009D314B" w:rsidRDefault="009D314B" w:rsidP="003B45BB">
      <w:pPr>
        <w:rPr>
          <w:rFonts w:eastAsia="Calibri"/>
        </w:rPr>
      </w:pPr>
      <w:r>
        <w:rPr>
          <w:rFonts w:eastAsia="Calibri"/>
        </w:rPr>
        <w:t>In both Option 1 (</w:t>
      </w:r>
      <w:r w:rsidR="005D5E85">
        <w:rPr>
          <w:rFonts w:eastAsia="Calibri"/>
        </w:rPr>
        <w:t>s</w:t>
      </w:r>
      <w:r w:rsidR="00EA4542">
        <w:rPr>
          <w:rFonts w:eastAsia="Calibri"/>
        </w:rPr>
        <w:t xml:space="preserve">tatus </w:t>
      </w:r>
      <w:r w:rsidR="005D5E85">
        <w:rPr>
          <w:rFonts w:eastAsia="Calibri"/>
        </w:rPr>
        <w:t>q</w:t>
      </w:r>
      <w:r w:rsidR="00EA4542">
        <w:rPr>
          <w:rFonts w:eastAsia="Calibri"/>
        </w:rPr>
        <w:t>uo</w:t>
      </w:r>
      <w:r>
        <w:rPr>
          <w:rFonts w:eastAsia="Calibri"/>
        </w:rPr>
        <w:t>) and Option 2 (</w:t>
      </w:r>
      <w:r w:rsidR="00EA4542">
        <w:rPr>
          <w:rFonts w:eastAsia="Calibri"/>
        </w:rPr>
        <w:t>Voluntary declaration with WELS support</w:t>
      </w:r>
      <w:r>
        <w:rPr>
          <w:rFonts w:eastAsia="Calibri"/>
        </w:rPr>
        <w:t>) the GEMS Regulator is responsible for registering products and checking compliance. In Option 2</w:t>
      </w:r>
      <w:r w:rsidR="00EA4542">
        <w:rPr>
          <w:rFonts w:eastAsia="Calibri"/>
        </w:rPr>
        <w:t>,</w:t>
      </w:r>
      <w:r>
        <w:rPr>
          <w:rFonts w:eastAsia="Calibri"/>
        </w:rPr>
        <w:t xml:space="preserve"> the WELS </w:t>
      </w:r>
      <w:r w:rsidR="0061014C">
        <w:rPr>
          <w:rFonts w:eastAsia="Calibri"/>
        </w:rPr>
        <w:t xml:space="preserve">Regulator </w:t>
      </w:r>
      <w:r>
        <w:rPr>
          <w:rFonts w:eastAsia="Calibri"/>
        </w:rPr>
        <w:t xml:space="preserve">encourages suppliers to </w:t>
      </w:r>
      <w:r w:rsidR="004D237B">
        <w:rPr>
          <w:rFonts w:eastAsia="Calibri"/>
        </w:rPr>
        <w:t>declare</w:t>
      </w:r>
      <w:r>
        <w:rPr>
          <w:rFonts w:eastAsia="Calibri"/>
        </w:rPr>
        <w:t xml:space="preserve"> water </w:t>
      </w:r>
      <w:r w:rsidR="0061014C">
        <w:rPr>
          <w:rFonts w:eastAsia="Calibri"/>
        </w:rPr>
        <w:t xml:space="preserve">use rates </w:t>
      </w:r>
      <w:r>
        <w:rPr>
          <w:rFonts w:eastAsia="Calibri"/>
        </w:rPr>
        <w:t>through a range of information measures directed at purchasers of CIMs</w:t>
      </w:r>
      <w:r w:rsidR="0061014C">
        <w:rPr>
          <w:rFonts w:eastAsia="Calibri"/>
        </w:rPr>
        <w:t>.</w:t>
      </w:r>
    </w:p>
    <w:p w14:paraId="061074DD" w14:textId="0A5BC4C2" w:rsidR="00831E87" w:rsidRDefault="009D314B" w:rsidP="003B45BB">
      <w:pPr>
        <w:rPr>
          <w:rFonts w:eastAsia="Calibri"/>
        </w:rPr>
      </w:pPr>
      <w:r>
        <w:rPr>
          <w:rFonts w:eastAsia="Calibri"/>
        </w:rPr>
        <w:t>Options 3A,</w:t>
      </w:r>
      <w:r w:rsidR="0040278E">
        <w:rPr>
          <w:rFonts w:eastAsia="Calibri"/>
        </w:rPr>
        <w:t xml:space="preserve"> </w:t>
      </w:r>
      <w:r>
        <w:rPr>
          <w:rFonts w:eastAsia="Calibri"/>
        </w:rPr>
        <w:t>3B,</w:t>
      </w:r>
      <w:r w:rsidR="0040278E">
        <w:rPr>
          <w:rFonts w:eastAsia="Calibri"/>
        </w:rPr>
        <w:t xml:space="preserve"> </w:t>
      </w:r>
      <w:r>
        <w:rPr>
          <w:rFonts w:eastAsia="Calibri"/>
        </w:rPr>
        <w:t xml:space="preserve">4A and 4B </w:t>
      </w:r>
      <w:r w:rsidR="00831E87">
        <w:rPr>
          <w:rFonts w:eastAsia="Calibri"/>
        </w:rPr>
        <w:t xml:space="preserve">would formally </w:t>
      </w:r>
      <w:r>
        <w:rPr>
          <w:rFonts w:eastAsia="Calibri"/>
        </w:rPr>
        <w:t xml:space="preserve">include CIMs within </w:t>
      </w:r>
      <w:r w:rsidR="00831E87">
        <w:rPr>
          <w:rFonts w:eastAsia="Calibri"/>
        </w:rPr>
        <w:t xml:space="preserve">the </w:t>
      </w:r>
      <w:r>
        <w:rPr>
          <w:rFonts w:eastAsia="Calibri"/>
        </w:rPr>
        <w:t xml:space="preserve">WELS </w:t>
      </w:r>
      <w:r w:rsidR="0061014C">
        <w:rPr>
          <w:rFonts w:eastAsia="Calibri"/>
        </w:rPr>
        <w:t>scheme</w:t>
      </w:r>
      <w:r w:rsidR="00831E87">
        <w:rPr>
          <w:rFonts w:eastAsia="Calibri"/>
        </w:rPr>
        <w:t>. This would involve:</w:t>
      </w:r>
    </w:p>
    <w:p w14:paraId="7A3BCC6F" w14:textId="1883C203" w:rsidR="00831E87" w:rsidRPr="00DC5884" w:rsidRDefault="00EA4542"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lastRenderedPageBreak/>
        <w:t xml:space="preserve">Working </w:t>
      </w:r>
      <w:r w:rsidR="00831E87" w:rsidRPr="00DC5884">
        <w:rPr>
          <w:rFonts w:eastAsia="Calibri" w:cs="Times New Roman"/>
          <w:szCs w:val="22"/>
        </w:rPr>
        <w:t xml:space="preserve">with Standards Australia to amend AS/NZS 6400 to </w:t>
      </w:r>
      <w:r w:rsidR="0063411D" w:rsidRPr="00DC5884">
        <w:rPr>
          <w:rFonts w:eastAsia="Calibri" w:cs="Times New Roman"/>
          <w:szCs w:val="22"/>
        </w:rPr>
        <w:t xml:space="preserve">include </w:t>
      </w:r>
      <w:r w:rsidRPr="00DC5884">
        <w:rPr>
          <w:rFonts w:eastAsia="Calibri" w:cs="Times New Roman"/>
          <w:szCs w:val="22"/>
        </w:rPr>
        <w:t xml:space="preserve">CIM </w:t>
      </w:r>
      <w:r w:rsidR="0063411D" w:rsidRPr="00DC5884">
        <w:rPr>
          <w:rFonts w:eastAsia="Calibri" w:cs="Times New Roman"/>
          <w:szCs w:val="22"/>
        </w:rPr>
        <w:t>water</w:t>
      </w:r>
      <w:r w:rsidR="0061014C" w:rsidRPr="00DC5884">
        <w:rPr>
          <w:rFonts w:eastAsia="Calibri" w:cs="Times New Roman"/>
          <w:szCs w:val="22"/>
        </w:rPr>
        <w:t xml:space="preserve"> consumption </w:t>
      </w:r>
      <w:r w:rsidR="0063411D" w:rsidRPr="00DC5884">
        <w:rPr>
          <w:rFonts w:eastAsia="Calibri" w:cs="Times New Roman"/>
          <w:szCs w:val="22"/>
        </w:rPr>
        <w:t>tests (which would be those already specified in the GEMS Determination)</w:t>
      </w:r>
      <w:r w:rsidR="0061014C" w:rsidRPr="00DC5884">
        <w:rPr>
          <w:rFonts w:eastAsia="Calibri" w:cs="Times New Roman"/>
          <w:szCs w:val="22"/>
        </w:rPr>
        <w:t xml:space="preserve"> and possibly a </w:t>
      </w:r>
      <w:r w:rsidR="00831E87" w:rsidRPr="00DC5884">
        <w:rPr>
          <w:rFonts w:eastAsia="Calibri" w:cs="Times New Roman"/>
          <w:szCs w:val="22"/>
        </w:rPr>
        <w:t xml:space="preserve">WELS label and </w:t>
      </w:r>
      <w:r w:rsidRPr="00DC5884">
        <w:rPr>
          <w:rFonts w:eastAsia="Calibri" w:cs="Times New Roman"/>
          <w:szCs w:val="22"/>
        </w:rPr>
        <w:t>M</w:t>
      </w:r>
      <w:r w:rsidR="0061014C" w:rsidRPr="00DC5884">
        <w:rPr>
          <w:rFonts w:eastAsia="Calibri" w:cs="Times New Roman"/>
          <w:szCs w:val="22"/>
        </w:rPr>
        <w:t xml:space="preserve">inimum </w:t>
      </w:r>
      <w:r w:rsidRPr="00DC5884">
        <w:rPr>
          <w:rFonts w:eastAsia="Calibri" w:cs="Times New Roman"/>
          <w:szCs w:val="22"/>
        </w:rPr>
        <w:t>W</w:t>
      </w:r>
      <w:r w:rsidR="00831E87" w:rsidRPr="00DC5884">
        <w:rPr>
          <w:rFonts w:eastAsia="Calibri" w:cs="Times New Roman"/>
          <w:szCs w:val="22"/>
        </w:rPr>
        <w:t>ater</w:t>
      </w:r>
      <w:r w:rsidR="0061014C" w:rsidRPr="00DC5884">
        <w:rPr>
          <w:rFonts w:eastAsia="Calibri" w:cs="Times New Roman"/>
          <w:szCs w:val="22"/>
        </w:rPr>
        <w:t xml:space="preserve"> </w:t>
      </w:r>
      <w:r w:rsidRPr="00DC5884">
        <w:rPr>
          <w:rFonts w:eastAsia="Calibri" w:cs="Times New Roman"/>
          <w:szCs w:val="22"/>
        </w:rPr>
        <w:t>E</w:t>
      </w:r>
      <w:r w:rsidR="0061014C" w:rsidRPr="00DC5884">
        <w:rPr>
          <w:rFonts w:eastAsia="Calibri" w:cs="Times New Roman"/>
          <w:szCs w:val="22"/>
        </w:rPr>
        <w:t xml:space="preserve">fficiency </w:t>
      </w:r>
      <w:r w:rsidRPr="00DC5884">
        <w:rPr>
          <w:rFonts w:eastAsia="Calibri" w:cs="Times New Roman"/>
          <w:szCs w:val="22"/>
        </w:rPr>
        <w:t>S</w:t>
      </w:r>
      <w:r w:rsidR="0061014C" w:rsidRPr="00DC5884">
        <w:rPr>
          <w:rFonts w:eastAsia="Calibri" w:cs="Times New Roman"/>
          <w:szCs w:val="22"/>
        </w:rPr>
        <w:t xml:space="preserve">tandards </w:t>
      </w:r>
      <w:r w:rsidR="00831E87" w:rsidRPr="00DC5884">
        <w:rPr>
          <w:rFonts w:eastAsia="Calibri" w:cs="Times New Roman"/>
          <w:szCs w:val="22"/>
        </w:rPr>
        <w:t>for CIMs</w:t>
      </w:r>
      <w:r w:rsidRPr="00DC5884">
        <w:rPr>
          <w:rFonts w:eastAsia="Calibri" w:cs="Times New Roman"/>
          <w:szCs w:val="22"/>
        </w:rPr>
        <w:t>.</w:t>
      </w:r>
    </w:p>
    <w:p w14:paraId="2DF52FDF" w14:textId="26DE84FA" w:rsidR="0061014C" w:rsidRPr="00DC5884" w:rsidRDefault="0061014C"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Amending Section 6 of the Water Efficiency Labelling and Standards Determination 2013 (No. 2) to add CIMs (with definition</w:t>
      </w:r>
      <w:r w:rsidR="0040278E" w:rsidRPr="00DC5884">
        <w:rPr>
          <w:rFonts w:eastAsia="Calibri" w:cs="Times New Roman"/>
          <w:szCs w:val="22"/>
        </w:rPr>
        <w:t>s</w:t>
      </w:r>
      <w:r w:rsidRPr="00DC5884">
        <w:rPr>
          <w:rFonts w:eastAsia="Calibri" w:cs="Times New Roman"/>
          <w:szCs w:val="22"/>
        </w:rPr>
        <w:t>) as a WELS product; and amending Section 7 to reference the amended version of AS/NZS 6400 (the current reference is to the 2016 edition).</w:t>
      </w:r>
    </w:p>
    <w:p w14:paraId="40C934DB" w14:textId="7EBE5FE5" w:rsidR="00EA4542" w:rsidRPr="00DC5884" w:rsidRDefault="00EA4542"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Amending the WELS Registration system to enable CIM product registration and charging.</w:t>
      </w:r>
    </w:p>
    <w:p w14:paraId="2C0E10A8" w14:textId="198C0D7A" w:rsidR="00AE1959" w:rsidRPr="00AE1959" w:rsidRDefault="00AE1959" w:rsidP="003B45BB">
      <w:pPr>
        <w:rPr>
          <w:rFonts w:eastAsia="Calibri"/>
        </w:rPr>
      </w:pPr>
      <w:r w:rsidRPr="00AE1959">
        <w:rPr>
          <w:rFonts w:eastAsia="Calibri"/>
        </w:rPr>
        <w:t xml:space="preserve">As with all other products subject to </w:t>
      </w:r>
      <w:r w:rsidR="00501055">
        <w:rPr>
          <w:rFonts w:eastAsia="Calibri"/>
        </w:rPr>
        <w:t xml:space="preserve">WELS </w:t>
      </w:r>
      <w:r w:rsidRPr="00AE1959">
        <w:rPr>
          <w:rFonts w:eastAsia="Calibri"/>
        </w:rPr>
        <w:t>labelling</w:t>
      </w:r>
      <w:r w:rsidR="00501055">
        <w:rPr>
          <w:rFonts w:eastAsia="Calibri"/>
        </w:rPr>
        <w:t xml:space="preserve"> and standards</w:t>
      </w:r>
      <w:r w:rsidRPr="00AE1959">
        <w:rPr>
          <w:rFonts w:eastAsia="Calibri"/>
        </w:rPr>
        <w:t xml:space="preserve">, there will be administrative costs for </w:t>
      </w:r>
      <w:r w:rsidR="0061014C">
        <w:rPr>
          <w:rFonts w:eastAsia="Calibri"/>
        </w:rPr>
        <w:t xml:space="preserve">assessing </w:t>
      </w:r>
      <w:r w:rsidRPr="00AE1959">
        <w:rPr>
          <w:rFonts w:eastAsia="Calibri"/>
        </w:rPr>
        <w:t>registration</w:t>
      </w:r>
      <w:r w:rsidR="0061014C">
        <w:rPr>
          <w:rFonts w:eastAsia="Calibri"/>
        </w:rPr>
        <w:t xml:space="preserve"> applications</w:t>
      </w:r>
      <w:r w:rsidRPr="00AE1959">
        <w:rPr>
          <w:rFonts w:eastAsia="Calibri"/>
        </w:rPr>
        <w:t xml:space="preserve">, operating </w:t>
      </w:r>
      <w:r w:rsidR="00BC7806">
        <w:rPr>
          <w:rFonts w:eastAsia="Calibri"/>
        </w:rPr>
        <w:t>a registration system, maintaining a public registration database</w:t>
      </w:r>
      <w:r w:rsidR="00EA4542">
        <w:rPr>
          <w:rFonts w:eastAsia="Calibri"/>
        </w:rPr>
        <w:t>, enforcing compliance</w:t>
      </w:r>
      <w:r w:rsidR="00BC7806">
        <w:rPr>
          <w:rFonts w:eastAsia="Calibri"/>
        </w:rPr>
        <w:t xml:space="preserve"> and </w:t>
      </w:r>
      <w:r w:rsidR="00EA4542">
        <w:rPr>
          <w:rFonts w:eastAsia="Calibri"/>
        </w:rPr>
        <w:t>maintaining</w:t>
      </w:r>
      <w:r w:rsidR="00D260B9">
        <w:rPr>
          <w:rFonts w:eastAsia="Calibri"/>
        </w:rPr>
        <w:t xml:space="preserve"> </w:t>
      </w:r>
      <w:r w:rsidR="00BC7806">
        <w:rPr>
          <w:rFonts w:eastAsia="Calibri"/>
        </w:rPr>
        <w:t xml:space="preserve">the </w:t>
      </w:r>
      <w:r w:rsidR="00EA4542">
        <w:rPr>
          <w:rFonts w:eastAsia="Calibri"/>
        </w:rPr>
        <w:t xml:space="preserve">Water Rating </w:t>
      </w:r>
      <w:r w:rsidRPr="00AE1959">
        <w:rPr>
          <w:rFonts w:eastAsia="Calibri"/>
        </w:rPr>
        <w:t>website</w:t>
      </w:r>
      <w:r w:rsidR="00BC7806">
        <w:rPr>
          <w:rFonts w:eastAsia="Calibri"/>
        </w:rPr>
        <w:t xml:space="preserve"> </w:t>
      </w:r>
      <w:r w:rsidR="00EA4542">
        <w:rPr>
          <w:rFonts w:eastAsia="Calibri"/>
        </w:rPr>
        <w:t>to support stakeholder education</w:t>
      </w:r>
      <w:r w:rsidRPr="00AE1959">
        <w:rPr>
          <w:rFonts w:eastAsia="Calibri"/>
        </w:rPr>
        <w:t xml:space="preserve">. These are projected to cost the </w:t>
      </w:r>
      <w:r w:rsidR="00501055">
        <w:rPr>
          <w:rFonts w:eastAsia="Calibri"/>
        </w:rPr>
        <w:t xml:space="preserve">WELS </w:t>
      </w:r>
      <w:r w:rsidRPr="00AE1959">
        <w:rPr>
          <w:rFonts w:eastAsia="Calibri"/>
        </w:rPr>
        <w:t>Regulator an average of AUD $</w:t>
      </w:r>
      <w:r w:rsidR="00501055">
        <w:rPr>
          <w:rFonts w:eastAsia="Calibri"/>
        </w:rPr>
        <w:t>1</w:t>
      </w:r>
      <w:r w:rsidR="000F10E7">
        <w:rPr>
          <w:rFonts w:eastAsia="Calibri"/>
        </w:rPr>
        <w:t>5</w:t>
      </w:r>
      <w:r w:rsidR="00501055">
        <w:rPr>
          <w:rFonts w:eastAsia="Calibri"/>
        </w:rPr>
        <w:t>0,</w:t>
      </w:r>
      <w:r w:rsidRPr="00AE1959">
        <w:rPr>
          <w:rFonts w:eastAsia="Calibri"/>
        </w:rPr>
        <w:t>000 per year between 202</w:t>
      </w:r>
      <w:r w:rsidR="00501055">
        <w:rPr>
          <w:rFonts w:eastAsia="Calibri"/>
        </w:rPr>
        <w:t>5</w:t>
      </w:r>
      <w:r w:rsidRPr="00AE1959">
        <w:rPr>
          <w:rFonts w:eastAsia="Calibri"/>
        </w:rPr>
        <w:t xml:space="preserve"> and 20</w:t>
      </w:r>
      <w:r w:rsidR="00501055">
        <w:rPr>
          <w:rFonts w:eastAsia="Calibri"/>
        </w:rPr>
        <w:t>40</w:t>
      </w:r>
      <w:r w:rsidR="0040278E">
        <w:rPr>
          <w:rFonts w:eastAsia="Calibri"/>
        </w:rPr>
        <w:t xml:space="preserve"> (equivalent to the salary and on-costs for one full-time AP</w:t>
      </w:r>
      <w:r w:rsidR="00EA4542">
        <w:rPr>
          <w:rFonts w:eastAsia="Calibri"/>
        </w:rPr>
        <w:t>S</w:t>
      </w:r>
      <w:r w:rsidR="00B21660">
        <w:rPr>
          <w:rFonts w:eastAsia="Calibri"/>
        </w:rPr>
        <w:t xml:space="preserve"> </w:t>
      </w:r>
      <w:r w:rsidR="0040278E">
        <w:rPr>
          <w:rFonts w:eastAsia="Calibri"/>
        </w:rPr>
        <w:t>6 officer)</w:t>
      </w:r>
      <w:r w:rsidRPr="00AE1959">
        <w:rPr>
          <w:rFonts w:eastAsia="Calibri"/>
        </w:rPr>
        <w:t xml:space="preserve">. It is estimated that </w:t>
      </w:r>
      <w:r w:rsidR="00501055">
        <w:rPr>
          <w:rFonts w:eastAsia="Calibri"/>
        </w:rPr>
        <w:t xml:space="preserve">about half </w:t>
      </w:r>
      <w:r w:rsidRPr="00AE1959">
        <w:rPr>
          <w:rFonts w:eastAsia="Calibri"/>
        </w:rPr>
        <w:t xml:space="preserve">the costs will be covered from </w:t>
      </w:r>
      <w:r w:rsidR="0063411D">
        <w:rPr>
          <w:rFonts w:eastAsia="Calibri"/>
        </w:rPr>
        <w:t xml:space="preserve">WELS </w:t>
      </w:r>
      <w:r w:rsidRPr="00AE1959">
        <w:rPr>
          <w:rFonts w:eastAsia="Calibri"/>
        </w:rPr>
        <w:t xml:space="preserve">registration fee income and </w:t>
      </w:r>
      <w:r w:rsidR="00501055">
        <w:rPr>
          <w:rFonts w:eastAsia="Calibri"/>
        </w:rPr>
        <w:t xml:space="preserve">the rest </w:t>
      </w:r>
      <w:r w:rsidRPr="00AE1959">
        <w:rPr>
          <w:rFonts w:eastAsia="Calibri"/>
        </w:rPr>
        <w:t xml:space="preserve">will need to be made up from Government </w:t>
      </w:r>
      <w:r w:rsidR="00BC7806">
        <w:rPr>
          <w:rFonts w:eastAsia="Calibri"/>
        </w:rPr>
        <w:t>contributions</w:t>
      </w:r>
      <w:r w:rsidRPr="00AE1959">
        <w:rPr>
          <w:rFonts w:eastAsia="Calibri"/>
        </w:rPr>
        <w:t>.</w:t>
      </w:r>
    </w:p>
    <w:p w14:paraId="32A1C0B1" w14:textId="77CE1055" w:rsidR="00AE1959" w:rsidRPr="00AE1959" w:rsidRDefault="0063411D" w:rsidP="003B45BB">
      <w:pPr>
        <w:rPr>
          <w:rFonts w:eastAsia="Calibri"/>
        </w:rPr>
      </w:pPr>
      <w:r>
        <w:rPr>
          <w:rFonts w:eastAsia="Calibri"/>
        </w:rPr>
        <w:t>T</w:t>
      </w:r>
      <w:r w:rsidR="00501055">
        <w:rPr>
          <w:rFonts w:eastAsia="Calibri"/>
        </w:rPr>
        <w:t xml:space="preserve">he </w:t>
      </w:r>
      <w:r>
        <w:rPr>
          <w:rFonts w:eastAsia="Calibri"/>
        </w:rPr>
        <w:t>criteria for accepting test results for registration would need to be aligned with the GEMS Determination, to minimise cost</w:t>
      </w:r>
      <w:r w:rsidR="00CA7D4F">
        <w:rPr>
          <w:rFonts w:eastAsia="Calibri"/>
        </w:rPr>
        <w:t>s</w:t>
      </w:r>
      <w:r>
        <w:rPr>
          <w:rFonts w:eastAsia="Calibri"/>
        </w:rPr>
        <w:t xml:space="preserve"> to both registrants and the WELS Regulator. Any c</w:t>
      </w:r>
      <w:r w:rsidR="00AE1959" w:rsidRPr="00AE1959">
        <w:rPr>
          <w:rFonts w:eastAsia="Calibri"/>
        </w:rPr>
        <w:t xml:space="preserve">heck testing </w:t>
      </w:r>
      <w:r>
        <w:rPr>
          <w:rFonts w:eastAsia="Calibri"/>
        </w:rPr>
        <w:t xml:space="preserve">of water </w:t>
      </w:r>
      <w:r w:rsidR="00B21660">
        <w:rPr>
          <w:rFonts w:eastAsia="Calibri"/>
        </w:rPr>
        <w:t xml:space="preserve">use </w:t>
      </w:r>
      <w:r>
        <w:rPr>
          <w:rFonts w:eastAsia="Calibri"/>
        </w:rPr>
        <w:t xml:space="preserve">by the WELS Regulator </w:t>
      </w:r>
      <w:r w:rsidR="00B21660">
        <w:rPr>
          <w:rFonts w:eastAsia="Calibri"/>
        </w:rPr>
        <w:t>would</w:t>
      </w:r>
      <w:r w:rsidR="00B21660" w:rsidRPr="00AE1959">
        <w:rPr>
          <w:rFonts w:eastAsia="Calibri"/>
        </w:rPr>
        <w:t xml:space="preserve"> </w:t>
      </w:r>
      <w:r w:rsidR="00AE1959" w:rsidRPr="00AE1959">
        <w:rPr>
          <w:rFonts w:eastAsia="Calibri"/>
        </w:rPr>
        <w:t xml:space="preserve">rely on </w:t>
      </w:r>
      <w:bookmarkStart w:id="113" w:name="_Hlk190359960"/>
      <w:r w:rsidR="00AE1959" w:rsidRPr="00AE1959">
        <w:rPr>
          <w:rFonts w:eastAsia="Calibri"/>
        </w:rPr>
        <w:t>accredited independent laboratories</w:t>
      </w:r>
      <w:bookmarkEnd w:id="113"/>
      <w:r w:rsidR="00BC7806">
        <w:rPr>
          <w:rFonts w:eastAsia="Calibri"/>
        </w:rPr>
        <w:t>, of which there are presently none in Australia</w:t>
      </w:r>
      <w:r w:rsidR="00AE1959" w:rsidRPr="00AE1959">
        <w:rPr>
          <w:rFonts w:eastAsia="Calibri"/>
        </w:rPr>
        <w:t>. In 2022</w:t>
      </w:r>
      <w:r w:rsidR="00EA4542">
        <w:rPr>
          <w:rFonts w:eastAsia="Calibri"/>
        </w:rPr>
        <w:t>,</w:t>
      </w:r>
      <w:r w:rsidR="00AE1959" w:rsidRPr="00AE1959">
        <w:rPr>
          <w:rFonts w:eastAsia="Calibri"/>
        </w:rPr>
        <w:t xml:space="preserve"> the NSW </w:t>
      </w:r>
      <w:r w:rsidR="0070646E">
        <w:rPr>
          <w:rFonts w:eastAsia="Calibri"/>
        </w:rPr>
        <w:t xml:space="preserve">government </w:t>
      </w:r>
      <w:r w:rsidR="00AE1959" w:rsidRPr="00AE1959">
        <w:rPr>
          <w:rFonts w:eastAsia="Calibri"/>
        </w:rPr>
        <w:t xml:space="preserve">commissioned trial testing at an Australian laboratory which confirmed the practicality of the AS/NZS 4865.1 test and confirmed that the results were very close to the </w:t>
      </w:r>
      <w:r>
        <w:rPr>
          <w:rFonts w:eastAsia="Calibri"/>
        </w:rPr>
        <w:t xml:space="preserve">US </w:t>
      </w:r>
      <w:r w:rsidR="00AE1959" w:rsidRPr="00AE1959">
        <w:rPr>
          <w:rFonts w:eastAsia="Calibri"/>
        </w:rPr>
        <w:t>test</w:t>
      </w:r>
      <w:r>
        <w:rPr>
          <w:rFonts w:eastAsia="Calibri"/>
        </w:rPr>
        <w:t>s</w:t>
      </w:r>
      <w:r w:rsidR="00AE1959" w:rsidRPr="00AE1959">
        <w:rPr>
          <w:rFonts w:eastAsia="Calibri"/>
        </w:rPr>
        <w:t xml:space="preserve">. </w:t>
      </w:r>
      <w:r w:rsidR="00521212">
        <w:rPr>
          <w:rFonts w:eastAsia="Calibri"/>
        </w:rPr>
        <w:t xml:space="preserve">As the </w:t>
      </w:r>
      <w:r>
        <w:rPr>
          <w:rFonts w:eastAsia="Calibri"/>
        </w:rPr>
        <w:t xml:space="preserve">GEMS Determination will be in place </w:t>
      </w:r>
      <w:r w:rsidR="00521212">
        <w:rPr>
          <w:rFonts w:eastAsia="Calibri"/>
        </w:rPr>
        <w:t xml:space="preserve">first, </w:t>
      </w:r>
      <w:r>
        <w:rPr>
          <w:rFonts w:eastAsia="Calibri"/>
        </w:rPr>
        <w:t xml:space="preserve">the GEMS Regulator should have </w:t>
      </w:r>
      <w:r w:rsidR="0070646E">
        <w:rPr>
          <w:rFonts w:eastAsia="Calibri"/>
        </w:rPr>
        <w:t xml:space="preserve">established </w:t>
      </w:r>
      <w:r w:rsidR="00521212">
        <w:rPr>
          <w:rFonts w:eastAsia="Calibri"/>
        </w:rPr>
        <w:t>a framework for check testing before the WELS Regulator needs to make use of it.</w:t>
      </w:r>
    </w:p>
    <w:p w14:paraId="026A20F8" w14:textId="7D77B01B" w:rsidR="00AE1959" w:rsidRPr="00AE1959" w:rsidRDefault="00AE1959" w:rsidP="00AE1959">
      <w:pPr>
        <w:pStyle w:val="Heading3"/>
      </w:pPr>
      <w:bookmarkStart w:id="114" w:name="_Toc123659498"/>
      <w:bookmarkStart w:id="115" w:name="_Toc196745432"/>
      <w:r w:rsidRPr="00AE1959">
        <w:t xml:space="preserve">Impacts on </w:t>
      </w:r>
      <w:r w:rsidR="0040278E">
        <w:t>c</w:t>
      </w:r>
      <w:r w:rsidRPr="00AE1959">
        <w:t>ompetition</w:t>
      </w:r>
      <w:bookmarkEnd w:id="114"/>
      <w:bookmarkEnd w:id="115"/>
    </w:p>
    <w:p w14:paraId="3C7F7554" w14:textId="7E94505E" w:rsidR="00AE1959" w:rsidRPr="00AE1959" w:rsidRDefault="00AE1959" w:rsidP="003B45BB">
      <w:pPr>
        <w:rPr>
          <w:rFonts w:eastAsia="Calibri"/>
        </w:rPr>
      </w:pPr>
      <w:r w:rsidRPr="00AE1959">
        <w:rPr>
          <w:rFonts w:eastAsia="Calibri"/>
        </w:rPr>
        <w:t xml:space="preserve">Some impacts are likely to increase market competition while others might reduce it. In the short term, the withdrawal of the least </w:t>
      </w:r>
      <w:r w:rsidR="00521212">
        <w:rPr>
          <w:rFonts w:eastAsia="Calibri"/>
        </w:rPr>
        <w:t>water</w:t>
      </w:r>
      <w:r w:rsidR="00B21660">
        <w:rPr>
          <w:rFonts w:eastAsia="Calibri"/>
        </w:rPr>
        <w:t xml:space="preserve"> </w:t>
      </w:r>
      <w:r w:rsidRPr="00AE1959">
        <w:rPr>
          <w:rFonts w:eastAsia="Calibri"/>
        </w:rPr>
        <w:t xml:space="preserve">efficient models </w:t>
      </w:r>
      <w:r w:rsidR="00EA4542">
        <w:rPr>
          <w:rFonts w:eastAsia="Calibri"/>
        </w:rPr>
        <w:t xml:space="preserve">(under Options 4A and 4B) </w:t>
      </w:r>
      <w:r w:rsidRPr="00AE1959">
        <w:rPr>
          <w:rFonts w:eastAsia="Calibri"/>
        </w:rPr>
        <w:t>could reduce the range of models on the market, at least until importers secure supplies of more efficient ones, which are known to exist on the global market.</w:t>
      </w:r>
    </w:p>
    <w:p w14:paraId="00C4E9F1" w14:textId="36454E66" w:rsidR="00AE1959" w:rsidRPr="00AE1959" w:rsidRDefault="00AE1959" w:rsidP="003B45BB">
      <w:pPr>
        <w:rPr>
          <w:rFonts w:eastAsia="Calibri"/>
        </w:rPr>
      </w:pPr>
      <w:r w:rsidRPr="00AE1959">
        <w:rPr>
          <w:rFonts w:eastAsia="Calibri"/>
        </w:rPr>
        <w:t>On the other hand, reliable information about the water</w:t>
      </w:r>
      <w:r w:rsidR="00B21660">
        <w:rPr>
          <w:rFonts w:eastAsia="Calibri"/>
        </w:rPr>
        <w:t xml:space="preserve"> </w:t>
      </w:r>
      <w:r w:rsidRPr="00AE1959">
        <w:rPr>
          <w:rFonts w:eastAsia="Calibri"/>
        </w:rPr>
        <w:t xml:space="preserve">efficiency of every model will be available for the first time, which should enhance competition based on </w:t>
      </w:r>
      <w:r w:rsidR="00521212">
        <w:rPr>
          <w:rFonts w:eastAsia="Calibri"/>
        </w:rPr>
        <w:t>difference</w:t>
      </w:r>
      <w:r w:rsidR="0070646E">
        <w:rPr>
          <w:rFonts w:eastAsia="Calibri"/>
        </w:rPr>
        <w:t>s</w:t>
      </w:r>
      <w:r w:rsidR="00521212">
        <w:rPr>
          <w:rFonts w:eastAsia="Calibri"/>
        </w:rPr>
        <w:t xml:space="preserve"> in water-intensity.</w:t>
      </w:r>
      <w:r w:rsidRPr="00AE1959">
        <w:rPr>
          <w:rFonts w:eastAsia="Calibri"/>
        </w:rPr>
        <w:t xml:space="preserve"> </w:t>
      </w:r>
      <w:r w:rsidR="0070646E">
        <w:rPr>
          <w:rFonts w:eastAsia="Calibri"/>
        </w:rPr>
        <w:t>It is also likely to sharpen competition between air-cooled and water-cooled products.</w:t>
      </w:r>
    </w:p>
    <w:p w14:paraId="19F030AC" w14:textId="5CF56745" w:rsidR="00054774" w:rsidRDefault="00AE1959" w:rsidP="009174E3">
      <w:pPr>
        <w:rPr>
          <w:rFonts w:eastAsia="Calibri"/>
        </w:rPr>
      </w:pPr>
      <w:r w:rsidRPr="00AE1959">
        <w:rPr>
          <w:rFonts w:eastAsia="Calibri"/>
        </w:rPr>
        <w:t xml:space="preserve">There are no apparent negative or anti-competitive implications for international trade. </w:t>
      </w:r>
      <w:r w:rsidR="00521212">
        <w:rPr>
          <w:rFonts w:eastAsia="Calibri"/>
        </w:rPr>
        <w:t xml:space="preserve">Any WELS </w:t>
      </w:r>
      <w:r w:rsidRPr="00AE1959">
        <w:rPr>
          <w:rFonts w:eastAsia="Calibri"/>
        </w:rPr>
        <w:t>regulations would apply equally to both imports and locally manufactured products</w:t>
      </w:r>
      <w:r w:rsidR="00521212">
        <w:rPr>
          <w:rFonts w:eastAsia="Calibri"/>
        </w:rPr>
        <w:t>. Products may be tested and registered under three different (but near-identical) test standards: the AS/NZS standard, the ASHRAE/AHRI test use</w:t>
      </w:r>
      <w:r w:rsidR="00BC7806">
        <w:rPr>
          <w:rFonts w:eastAsia="Calibri"/>
        </w:rPr>
        <w:t>d</w:t>
      </w:r>
      <w:r w:rsidR="00521212">
        <w:rPr>
          <w:rFonts w:eastAsia="Calibri"/>
        </w:rPr>
        <w:t xml:space="preserve"> </w:t>
      </w:r>
      <w:r w:rsidRPr="00AE1959">
        <w:rPr>
          <w:rFonts w:eastAsia="Calibri"/>
        </w:rPr>
        <w:t>in the US and Canada</w:t>
      </w:r>
      <w:r w:rsidR="00521212">
        <w:rPr>
          <w:rFonts w:eastAsia="Calibri"/>
        </w:rPr>
        <w:t xml:space="preserve"> and the ISO test standard.</w:t>
      </w:r>
      <w:r w:rsidRPr="00AE1959">
        <w:rPr>
          <w:rFonts w:eastAsia="Calibri"/>
        </w:rPr>
        <w:t xml:space="preserve"> </w:t>
      </w:r>
      <w:r w:rsidR="00521212">
        <w:rPr>
          <w:rFonts w:eastAsia="Calibri"/>
        </w:rPr>
        <w:t xml:space="preserve">This expands choices for global suppliers. Overall, the </w:t>
      </w:r>
      <w:r w:rsidRPr="00AE1959">
        <w:rPr>
          <w:rFonts w:eastAsia="Calibri"/>
        </w:rPr>
        <w:t xml:space="preserve">impact on supplier and model competition is likely to be </w:t>
      </w:r>
      <w:r w:rsidR="0070646E">
        <w:rPr>
          <w:rFonts w:eastAsia="Calibri"/>
        </w:rPr>
        <w:t>m</w:t>
      </w:r>
      <w:r w:rsidR="0040278E">
        <w:rPr>
          <w:rFonts w:eastAsia="Calibri"/>
        </w:rPr>
        <w:t>inimal</w:t>
      </w:r>
      <w:r w:rsidR="0070646E">
        <w:rPr>
          <w:rFonts w:eastAsia="Calibri"/>
        </w:rPr>
        <w:t>.</w:t>
      </w:r>
      <w:r w:rsidR="00054774">
        <w:rPr>
          <w:rFonts w:eastAsia="Calibri"/>
        </w:rPr>
        <w:br w:type="page"/>
      </w:r>
    </w:p>
    <w:p w14:paraId="6E502B03" w14:textId="40965B89" w:rsidR="007550AB" w:rsidRDefault="007550AB" w:rsidP="00F0453C">
      <w:pPr>
        <w:pStyle w:val="Heading1"/>
        <w:pageBreakBefore/>
      </w:pPr>
      <w:bookmarkStart w:id="116" w:name="_Toc196745433"/>
      <w:bookmarkEnd w:id="34"/>
      <w:r>
        <w:lastRenderedPageBreak/>
        <w:t>Reference</w:t>
      </w:r>
      <w:r w:rsidR="00F0453C">
        <w:t>s</w:t>
      </w:r>
      <w:bookmarkEnd w:id="116"/>
    </w:p>
    <w:p w14:paraId="01DC5081" w14:textId="3726F215" w:rsidR="002522C7" w:rsidRDefault="002522C7" w:rsidP="002522C7">
      <w:r>
        <w:t xml:space="preserve">AEMC (2024) </w:t>
      </w:r>
      <w:r w:rsidRPr="006E586F">
        <w:rPr>
          <w:i/>
          <w:iCs/>
        </w:rPr>
        <w:t>How the national energy objectives shape our decisions</w:t>
      </w:r>
      <w:r>
        <w:t>, Australian Energy Market Commission, 28 March 2024</w:t>
      </w:r>
    </w:p>
    <w:p w14:paraId="63427A7F" w14:textId="71E53983" w:rsidR="00F0453C" w:rsidRDefault="00C00FC9" w:rsidP="00C00FC9">
      <w:r>
        <w:t xml:space="preserve">Allen and Clarke (2021) </w:t>
      </w:r>
      <w:r w:rsidRPr="00993F5B">
        <w:rPr>
          <w:i/>
          <w:iCs/>
        </w:rPr>
        <w:t>Independent Review of the Water Efficiency Labelling and Standards Scheme and Intergovernmental Agreement</w:t>
      </w:r>
      <w:r>
        <w:t xml:space="preserve">, for </w:t>
      </w:r>
      <w:r w:rsidRPr="00C00FC9">
        <w:t>Department of Agriculture, Water and the Environment</w:t>
      </w:r>
      <w:r>
        <w:t>, July 2021</w:t>
      </w:r>
    </w:p>
    <w:p w14:paraId="1F4C8276" w14:textId="77777777" w:rsidR="00942DAD" w:rsidRPr="00574A07" w:rsidRDefault="00942DAD" w:rsidP="00942DAD">
      <w:pPr>
        <w:spacing w:line="259" w:lineRule="auto"/>
        <w:jc w:val="left"/>
      </w:pPr>
      <w:r w:rsidRPr="00574A07">
        <w:t xml:space="preserve">ANSI/AHRI 820–2017 </w:t>
      </w:r>
      <w:r w:rsidRPr="00574A07">
        <w:rPr>
          <w:i/>
          <w:iCs/>
        </w:rPr>
        <w:t>Standard for Performance Rating of Ice Storage Bins</w:t>
      </w:r>
    </w:p>
    <w:p w14:paraId="5535B00C" w14:textId="77777777" w:rsidR="00942DAD" w:rsidRPr="00574A07" w:rsidRDefault="00942DAD" w:rsidP="00942DAD">
      <w:pPr>
        <w:spacing w:line="259" w:lineRule="auto"/>
        <w:jc w:val="left"/>
      </w:pPr>
      <w:r w:rsidRPr="00574A07">
        <w:t xml:space="preserve">ANSI/ASHRAE 29–2009 </w:t>
      </w:r>
      <w:r w:rsidRPr="00574A07">
        <w:rPr>
          <w:i/>
          <w:iCs/>
        </w:rPr>
        <w:t>Method of Testing Automatic Ice Makers</w:t>
      </w:r>
      <w:r w:rsidRPr="00574A07">
        <w:t xml:space="preserve"> </w:t>
      </w:r>
    </w:p>
    <w:p w14:paraId="07AFABA2" w14:textId="45101AB5" w:rsidR="00942DAD" w:rsidRPr="00574A07" w:rsidRDefault="00942DAD" w:rsidP="00942DAD">
      <w:pPr>
        <w:jc w:val="left"/>
      </w:pPr>
      <w:r w:rsidRPr="00574A07">
        <w:t xml:space="preserve">AS/NZS 4865:2008 </w:t>
      </w:r>
      <w:r w:rsidRPr="00574A07">
        <w:rPr>
          <w:i/>
          <w:iCs/>
        </w:rPr>
        <w:t xml:space="preserve">Performance of commercial ice makers and ice storage bins, </w:t>
      </w:r>
      <w:r w:rsidRPr="00574A07">
        <w:rPr>
          <w:i/>
          <w:iCs/>
        </w:rPr>
        <w:br/>
        <w:t>Part 1: Test methods for ice makers—Environmental performance</w:t>
      </w:r>
      <w:r w:rsidRPr="00574A07">
        <w:rPr>
          <w:i/>
          <w:iCs/>
        </w:rPr>
        <w:br/>
        <w:t xml:space="preserve">Part 3: </w:t>
      </w:r>
      <w:r w:rsidRPr="00574A07">
        <w:t>Minimum energy performance standard (MEPS) requirements</w:t>
      </w:r>
    </w:p>
    <w:p w14:paraId="0C14C9DA" w14:textId="76AEF280" w:rsidR="00993F5B" w:rsidRDefault="00993F5B" w:rsidP="00993F5B">
      <w:r>
        <w:t xml:space="preserve">AS/NZS 6400:2016 </w:t>
      </w:r>
      <w:bookmarkStart w:id="117" w:name="_Hlk191631527"/>
      <w:r w:rsidRPr="00993F5B">
        <w:rPr>
          <w:i/>
          <w:iCs/>
        </w:rPr>
        <w:t>Water efficient products—Rating and labelling</w:t>
      </w:r>
    </w:p>
    <w:bookmarkEnd w:id="117"/>
    <w:p w14:paraId="688218E2" w14:textId="38F0E1D7" w:rsidR="00942DAD" w:rsidRDefault="00942DAD" w:rsidP="00C00FC9">
      <w:r w:rsidRPr="00574A07">
        <w:t xml:space="preserve">CFR 431 </w:t>
      </w:r>
      <w:r w:rsidRPr="00993F5B">
        <w:rPr>
          <w:i/>
          <w:iCs/>
        </w:rPr>
        <w:t>USA Code of Federal Regulations PART 431—Energy Efficiency Program for Certain Commercial and Industrial Equipment, Subpart H—Automatic Commercial Ice Makers</w:t>
      </w:r>
    </w:p>
    <w:p w14:paraId="04DED643" w14:textId="7D045C8C" w:rsidR="00144C1A" w:rsidRPr="00144C1A" w:rsidRDefault="00144C1A" w:rsidP="00144C1A">
      <w:r w:rsidRPr="00144C1A">
        <w:t xml:space="preserve">E3 (2011) </w:t>
      </w:r>
      <w:r w:rsidRPr="00144C1A">
        <w:rPr>
          <w:i/>
          <w:iCs/>
        </w:rPr>
        <w:t>Retrospective Review of the E3 Program: Lessons learnt from two reviews</w:t>
      </w:r>
      <w:r w:rsidRPr="00144C1A">
        <w:t>, E3 Committee, September 201</w:t>
      </w:r>
      <w:r>
        <w:t>1</w:t>
      </w:r>
    </w:p>
    <w:p w14:paraId="4076F3E9" w14:textId="17382A77" w:rsidR="00F7120A" w:rsidRDefault="00F7120A" w:rsidP="00C00FC9">
      <w:r>
        <w:t xml:space="preserve">E3 (2023) </w:t>
      </w:r>
      <w:r w:rsidRPr="00993F5B">
        <w:rPr>
          <w:i/>
          <w:iCs/>
        </w:rPr>
        <w:t>Regulation Impact Statement for Consultation: MEPS and other measures for Commercial Ice Makers</w:t>
      </w:r>
      <w:r>
        <w:t>, Equipment Energy Efficiency Program, 2023</w:t>
      </w:r>
    </w:p>
    <w:p w14:paraId="65A3E4E4" w14:textId="71BED391" w:rsidR="00AA3292" w:rsidRDefault="00AA3292" w:rsidP="00C00FC9">
      <w:r>
        <w:t xml:space="preserve">ES (2018) </w:t>
      </w:r>
      <w:r w:rsidRPr="00993F5B">
        <w:rPr>
          <w:i/>
          <w:iCs/>
        </w:rPr>
        <w:t>ENERGY STAR Program Requirements for Automatic Commercial Ice Makers – Eligibility Criteria</w:t>
      </w:r>
      <w:r>
        <w:t xml:space="preserve"> Version 3.0, January 2018</w:t>
      </w:r>
    </w:p>
    <w:p w14:paraId="24E198A5" w14:textId="1A3F0256" w:rsidR="00C00FC9" w:rsidRDefault="00C00FC9" w:rsidP="00C00FC9">
      <w:r>
        <w:t xml:space="preserve">GEMS (2019) </w:t>
      </w:r>
      <w:r w:rsidRPr="00993F5B">
        <w:rPr>
          <w:i/>
          <w:iCs/>
        </w:rPr>
        <w:t>Independent Review of the Greenhouse and Energy Minimum Standards (GEMS) ACT 2012</w:t>
      </w:r>
      <w:r>
        <w:t>, Final Report, June 2019</w:t>
      </w:r>
    </w:p>
    <w:p w14:paraId="7E4952D0" w14:textId="284F0BF9" w:rsidR="00451AD2" w:rsidRDefault="00451AD2" w:rsidP="00C00FC9">
      <w:r>
        <w:t xml:space="preserve">GEMS (2025) </w:t>
      </w:r>
      <w:r w:rsidRPr="00451AD2">
        <w:rPr>
          <w:i/>
          <w:iCs/>
        </w:rPr>
        <w:t>Greenhouse and Energy Minimum Standards (Commercial Ice-makers) Determination 2025</w:t>
      </w:r>
      <w:r>
        <w:rPr>
          <w:i/>
          <w:iCs/>
        </w:rPr>
        <w:t xml:space="preserve">, </w:t>
      </w:r>
      <w:r w:rsidRPr="00451AD2">
        <w:t>3 March 2025</w:t>
      </w:r>
    </w:p>
    <w:p w14:paraId="7B8B221A" w14:textId="66FB58B8" w:rsidR="00E65350" w:rsidRPr="00451AD2" w:rsidRDefault="00E65350" w:rsidP="00E65350">
      <w:pPr>
        <w:rPr>
          <w:i/>
          <w:iCs/>
        </w:rPr>
      </w:pPr>
      <w:r>
        <w:t xml:space="preserve">GWA (1993) </w:t>
      </w:r>
      <w:r w:rsidRPr="006E586F">
        <w:rPr>
          <w:i/>
          <w:iCs/>
        </w:rPr>
        <w:t>Benefits and costs of implementing minimum energy performance standards for household electrical appliances in Australia</w:t>
      </w:r>
      <w:r>
        <w:t>:</w:t>
      </w:r>
      <w:r w:rsidR="000701CC">
        <w:t xml:space="preserve"> </w:t>
      </w:r>
      <w:r>
        <w:t>George Wilkenfeld and Associates with Lawrence Berkeley Laboratory for Demand Management Unit, State Electricity Commission of Victoria, 1993</w:t>
      </w:r>
    </w:p>
    <w:p w14:paraId="0CD980B4" w14:textId="3FC8D411" w:rsidR="00C77883" w:rsidRDefault="00C77883" w:rsidP="00C77883">
      <w:r>
        <w:t xml:space="preserve">ISF (2019) </w:t>
      </w:r>
      <w:r w:rsidRPr="006E586F">
        <w:rPr>
          <w:i/>
          <w:iCs/>
        </w:rPr>
        <w:t>Evaluation of the environmental and economic impacts of the WELS scheme</w:t>
      </w:r>
      <w:r>
        <w:t>, Institute for Sustainable Futures</w:t>
      </w:r>
      <w:r w:rsidR="00CC6529">
        <w:t xml:space="preserve"> for </w:t>
      </w:r>
      <w:r>
        <w:t>Department of Agriculture and Water Resources</w:t>
      </w:r>
      <w:r w:rsidR="00CC6529">
        <w:t>, February 2019</w:t>
      </w:r>
    </w:p>
    <w:p w14:paraId="3C28F5B0" w14:textId="2797B801" w:rsidR="00FD0674" w:rsidRDefault="00FD0674" w:rsidP="00FD0674">
      <w:pPr>
        <w:rPr>
          <w:bCs/>
        </w:rPr>
      </w:pPr>
      <w:r>
        <w:t xml:space="preserve">OIA (2023) </w:t>
      </w:r>
      <w:r w:rsidRPr="00993F5B">
        <w:rPr>
          <w:i/>
          <w:iCs/>
        </w:rPr>
        <w:t>Australian Government Guide to Policy Impact Analysis</w:t>
      </w:r>
      <w:r>
        <w:t xml:space="preserve">, Office of Impact Assessment, Department of Prime Minister and Cabinet, </w:t>
      </w:r>
      <w:r w:rsidRPr="00FD0674">
        <w:rPr>
          <w:bCs/>
        </w:rPr>
        <w:t>March 2023</w:t>
      </w:r>
    </w:p>
    <w:p w14:paraId="027AB943" w14:textId="6C21F35B" w:rsidR="000701CC" w:rsidRDefault="000701CC" w:rsidP="00FD0674">
      <w:pPr>
        <w:rPr>
          <w:bCs/>
        </w:rPr>
      </w:pPr>
      <w:r>
        <w:rPr>
          <w:bCs/>
        </w:rPr>
        <w:lastRenderedPageBreak/>
        <w:t>Quantum (2014</w:t>
      </w:r>
      <w:r w:rsidRPr="006E586F">
        <w:rPr>
          <w:bCs/>
          <w:i/>
          <w:iCs/>
        </w:rPr>
        <w:t>) WELS Scheme Effectiveness</w:t>
      </w:r>
      <w:r w:rsidR="002522C7">
        <w:rPr>
          <w:bCs/>
          <w:i/>
          <w:iCs/>
        </w:rPr>
        <w:t>:</w:t>
      </w:r>
      <w:r w:rsidRPr="006E586F">
        <w:rPr>
          <w:bCs/>
          <w:i/>
          <w:iCs/>
        </w:rPr>
        <w:t xml:space="preserve"> Report of Survey Findings</w:t>
      </w:r>
      <w:r w:rsidRPr="000701CC">
        <w:rPr>
          <w:bCs/>
        </w:rPr>
        <w:t xml:space="preserve"> </w:t>
      </w:r>
      <w:r>
        <w:rPr>
          <w:bCs/>
        </w:rPr>
        <w:t xml:space="preserve">Quantum Market Research for </w:t>
      </w:r>
      <w:r w:rsidRPr="000701CC">
        <w:rPr>
          <w:bCs/>
        </w:rPr>
        <w:t>Department of the Environment</w:t>
      </w:r>
      <w:r>
        <w:rPr>
          <w:bCs/>
        </w:rPr>
        <w:t>, July 2</w:t>
      </w:r>
      <w:r w:rsidRPr="000701CC">
        <w:rPr>
          <w:bCs/>
        </w:rPr>
        <w:t>014</w:t>
      </w:r>
    </w:p>
    <w:p w14:paraId="36A82E4D" w14:textId="77777777" w:rsidR="00FD0674" w:rsidRPr="00FD0674" w:rsidRDefault="00FD0674" w:rsidP="00FD0674"/>
    <w:p w14:paraId="60CECED1" w14:textId="5F94A928" w:rsidR="00EF62F3" w:rsidRDefault="00EF62F3" w:rsidP="00EF62F3">
      <w:pPr>
        <w:pStyle w:val="Heading1"/>
        <w:pageBreakBefore/>
      </w:pPr>
      <w:bookmarkStart w:id="118" w:name="_Toc196745434"/>
      <w:r>
        <w:lastRenderedPageBreak/>
        <w:t>Appendix A Questions for Stakeholders</w:t>
      </w:r>
      <w:bookmarkEnd w:id="118"/>
    </w:p>
    <w:p w14:paraId="0E6DE4D1" w14:textId="77777777" w:rsidR="00BC3F30" w:rsidRPr="0033421E" w:rsidRDefault="00BC3F30" w:rsidP="00BC3F30">
      <w:pPr>
        <w:shd w:val="clear" w:color="auto" w:fill="F2F2F2" w:themeFill="background1" w:themeFillShade="F2"/>
        <w:rPr>
          <w:b/>
          <w:bCs/>
          <w:sz w:val="28"/>
          <w:szCs w:val="28"/>
          <w:u w:val="single"/>
          <w:lang w:val="en"/>
        </w:rPr>
      </w:pPr>
      <w:r>
        <w:rPr>
          <w:b/>
          <w:bCs/>
          <w:sz w:val="28"/>
          <w:szCs w:val="28"/>
          <w:u w:val="single"/>
          <w:lang w:val="en"/>
        </w:rPr>
        <w:t xml:space="preserve">General survey </w:t>
      </w:r>
      <w:r w:rsidRPr="0033421E">
        <w:rPr>
          <w:b/>
          <w:bCs/>
          <w:sz w:val="28"/>
          <w:szCs w:val="28"/>
          <w:u w:val="single"/>
          <w:lang w:val="en"/>
        </w:rPr>
        <w:t>questions</w:t>
      </w:r>
    </w:p>
    <w:p w14:paraId="28EFE46B" w14:textId="6557D879" w:rsidR="00BC3F30" w:rsidRDefault="00BC3F30" w:rsidP="00BC3F30">
      <w:pPr>
        <w:pStyle w:val="ListParagraph"/>
        <w:numPr>
          <w:ilvl w:val="0"/>
          <w:numId w:val="58"/>
        </w:numPr>
        <w:shd w:val="clear" w:color="auto" w:fill="F2F2F2" w:themeFill="background1" w:themeFillShade="F2"/>
        <w:spacing w:after="200" w:line="276" w:lineRule="auto"/>
        <w:jc w:val="left"/>
      </w:pPr>
      <w:r>
        <w:t>Are you a member of an industry association that represents your commercial ice maker interests?</w:t>
      </w:r>
    </w:p>
    <w:p w14:paraId="161AA315" w14:textId="77777777" w:rsidR="00BC3F30" w:rsidRPr="00342AAC" w:rsidRDefault="00BC3F30" w:rsidP="00BC3F30">
      <w:pPr>
        <w:pStyle w:val="ListParagraph"/>
        <w:numPr>
          <w:ilvl w:val="0"/>
          <w:numId w:val="59"/>
        </w:numPr>
        <w:shd w:val="clear" w:color="auto" w:fill="F2F2F2" w:themeFill="background1" w:themeFillShade="F2"/>
        <w:spacing w:after="200" w:line="276" w:lineRule="auto"/>
        <w:jc w:val="left"/>
        <w:rPr>
          <w:lang w:val="en"/>
        </w:rPr>
      </w:pPr>
      <w:r w:rsidRPr="00342AAC">
        <w:rPr>
          <w:lang w:val="en"/>
        </w:rPr>
        <w:t>Yes</w:t>
      </w:r>
    </w:p>
    <w:p w14:paraId="16EF17AD" w14:textId="77777777" w:rsidR="00BC3F30" w:rsidRPr="00342AAC" w:rsidRDefault="00BC3F30" w:rsidP="00BC3F30">
      <w:pPr>
        <w:pStyle w:val="ListParagraph"/>
        <w:numPr>
          <w:ilvl w:val="0"/>
          <w:numId w:val="59"/>
        </w:numPr>
        <w:shd w:val="clear" w:color="auto" w:fill="F2F2F2" w:themeFill="background1" w:themeFillShade="F2"/>
        <w:spacing w:after="200" w:line="276" w:lineRule="auto"/>
        <w:jc w:val="left"/>
        <w:rPr>
          <w:lang w:val="en"/>
        </w:rPr>
      </w:pPr>
      <w:r w:rsidRPr="00342AAC">
        <w:rPr>
          <w:lang w:val="en"/>
        </w:rPr>
        <w:t>No</w:t>
      </w:r>
    </w:p>
    <w:p w14:paraId="6D6C006B" w14:textId="77777777" w:rsidR="00BC3F30" w:rsidRDefault="00BC3F30" w:rsidP="00BC3F30">
      <w:pPr>
        <w:pStyle w:val="ListParagraph"/>
        <w:numPr>
          <w:ilvl w:val="0"/>
          <w:numId w:val="59"/>
        </w:numPr>
        <w:shd w:val="clear" w:color="auto" w:fill="F2F2F2" w:themeFill="background1" w:themeFillShade="F2"/>
        <w:spacing w:after="240" w:line="276" w:lineRule="auto"/>
        <w:jc w:val="left"/>
        <w:rPr>
          <w:lang w:val="en"/>
        </w:rPr>
      </w:pPr>
      <w:r>
        <w:rPr>
          <w:lang w:val="en"/>
        </w:rPr>
        <w:t>Question n</w:t>
      </w:r>
      <w:r w:rsidRPr="00342AAC">
        <w:rPr>
          <w:lang w:val="en"/>
        </w:rPr>
        <w:t>ot relevant to my business/organisation</w:t>
      </w:r>
    </w:p>
    <w:p w14:paraId="6358E807" w14:textId="77777777" w:rsidR="00BC3F30" w:rsidRPr="00342AAC" w:rsidRDefault="00BC3F30" w:rsidP="00BC3F30">
      <w:pPr>
        <w:pStyle w:val="ListParagraph"/>
        <w:shd w:val="clear" w:color="auto" w:fill="F2F2F2" w:themeFill="background1" w:themeFillShade="F2"/>
        <w:spacing w:after="240"/>
        <w:ind w:left="1434"/>
        <w:rPr>
          <w:lang w:val="en"/>
        </w:rPr>
      </w:pPr>
    </w:p>
    <w:p w14:paraId="62C0EB55" w14:textId="4893CDEC" w:rsidR="00BC3F30" w:rsidRDefault="00BC3F30" w:rsidP="00BC3F30">
      <w:pPr>
        <w:pStyle w:val="ListParagraph"/>
        <w:numPr>
          <w:ilvl w:val="1"/>
          <w:numId w:val="58"/>
        </w:numPr>
        <w:shd w:val="clear" w:color="auto" w:fill="F2F2F2" w:themeFill="background1" w:themeFillShade="F2"/>
        <w:spacing w:after="200" w:line="276" w:lineRule="auto"/>
        <w:jc w:val="left"/>
      </w:pPr>
      <w:r>
        <w:t>Please list industry association memberships</w:t>
      </w:r>
      <w:r w:rsidR="00C52ECA">
        <w:t>.</w:t>
      </w:r>
    </w:p>
    <w:p w14:paraId="1E10FAE4" w14:textId="77777777" w:rsidR="00BC3F30" w:rsidRDefault="00BC3F30" w:rsidP="00BC3F30">
      <w:pPr>
        <w:pStyle w:val="ListParagraph"/>
        <w:spacing w:after="120"/>
      </w:pPr>
    </w:p>
    <w:p w14:paraId="0C75BC98" w14:textId="4E47DEE2" w:rsidR="00BC3F30" w:rsidRDefault="00BC3F30" w:rsidP="00BC3F30">
      <w:pPr>
        <w:pStyle w:val="ListParagraph"/>
        <w:numPr>
          <w:ilvl w:val="0"/>
          <w:numId w:val="58"/>
        </w:numPr>
        <w:shd w:val="clear" w:color="auto" w:fill="F2F2F2" w:themeFill="background1" w:themeFillShade="F2"/>
        <w:spacing w:after="200" w:line="276" w:lineRule="auto"/>
        <w:jc w:val="left"/>
      </w:pPr>
      <w:r>
        <w:t>Do you see a c</w:t>
      </w:r>
      <w:r w:rsidRPr="00A9075F">
        <w:t xml:space="preserve">ompetitive advantage </w:t>
      </w:r>
      <w:r>
        <w:t xml:space="preserve">for manufacturers and suppliers to </w:t>
      </w:r>
      <w:r w:rsidRPr="00A9075F">
        <w:t>promot</w:t>
      </w:r>
      <w:r>
        <w:t>e</w:t>
      </w:r>
      <w:r w:rsidRPr="00A9075F">
        <w:t xml:space="preserve"> </w:t>
      </w:r>
      <w:r>
        <w:t>the water use or water efficiency of commercial ice makers in Australia?</w:t>
      </w:r>
    </w:p>
    <w:p w14:paraId="1BD0DCCD" w14:textId="77777777" w:rsidR="00BC3F30" w:rsidRDefault="00BC3F30" w:rsidP="00BC3F30">
      <w:pPr>
        <w:pStyle w:val="ListParagraph"/>
        <w:numPr>
          <w:ilvl w:val="0"/>
          <w:numId w:val="60"/>
        </w:numPr>
        <w:shd w:val="clear" w:color="auto" w:fill="F2F2F2" w:themeFill="background1" w:themeFillShade="F2"/>
        <w:spacing w:after="200" w:line="276" w:lineRule="auto"/>
        <w:jc w:val="left"/>
        <w:rPr>
          <w:lang w:val="en"/>
        </w:rPr>
      </w:pPr>
      <w:r>
        <w:rPr>
          <w:lang w:val="en"/>
        </w:rPr>
        <w:t>Yes</w:t>
      </w:r>
    </w:p>
    <w:p w14:paraId="36B36630" w14:textId="77777777" w:rsidR="00BC3F30" w:rsidRDefault="00BC3F30" w:rsidP="00BC3F30">
      <w:pPr>
        <w:pStyle w:val="ListParagraph"/>
        <w:numPr>
          <w:ilvl w:val="0"/>
          <w:numId w:val="60"/>
        </w:numPr>
        <w:shd w:val="clear" w:color="auto" w:fill="F2F2F2" w:themeFill="background1" w:themeFillShade="F2"/>
        <w:spacing w:after="200" w:line="276" w:lineRule="auto"/>
        <w:jc w:val="left"/>
        <w:rPr>
          <w:lang w:val="en"/>
        </w:rPr>
      </w:pPr>
      <w:r>
        <w:rPr>
          <w:lang w:val="en"/>
        </w:rPr>
        <w:t>No</w:t>
      </w:r>
    </w:p>
    <w:p w14:paraId="1B63FE61" w14:textId="77777777" w:rsidR="00BC3F30" w:rsidRPr="008040FE" w:rsidRDefault="00BC3F30" w:rsidP="00BC3F30">
      <w:pPr>
        <w:pStyle w:val="ListParagraph"/>
        <w:shd w:val="clear" w:color="auto" w:fill="F2F2F2" w:themeFill="background1" w:themeFillShade="F2"/>
        <w:ind w:left="1440"/>
        <w:rPr>
          <w:lang w:val="en"/>
        </w:rPr>
      </w:pPr>
    </w:p>
    <w:p w14:paraId="662298E4" w14:textId="3E60AD03" w:rsidR="00BC3F30" w:rsidRDefault="00BC3F30" w:rsidP="00BC3F30">
      <w:pPr>
        <w:pStyle w:val="ListParagraph"/>
        <w:numPr>
          <w:ilvl w:val="0"/>
          <w:numId w:val="58"/>
        </w:numPr>
        <w:shd w:val="clear" w:color="auto" w:fill="F2F2F2" w:themeFill="background1" w:themeFillShade="F2"/>
        <w:spacing w:after="200" w:line="276" w:lineRule="auto"/>
        <w:jc w:val="left"/>
      </w:pPr>
      <w:r>
        <w:t>Are you a commercial ice maker supplier?</w:t>
      </w:r>
    </w:p>
    <w:p w14:paraId="585051DF" w14:textId="77777777" w:rsidR="00BC3F30" w:rsidRDefault="00BC3F30" w:rsidP="00BC3F30">
      <w:pPr>
        <w:pStyle w:val="ListParagraph"/>
        <w:numPr>
          <w:ilvl w:val="0"/>
          <w:numId w:val="61"/>
        </w:numPr>
        <w:shd w:val="clear" w:color="auto" w:fill="F2F2F2" w:themeFill="background1" w:themeFillShade="F2"/>
        <w:spacing w:after="200" w:line="276" w:lineRule="auto"/>
        <w:jc w:val="left"/>
        <w:rPr>
          <w:lang w:val="en"/>
        </w:rPr>
      </w:pPr>
      <w:r>
        <w:rPr>
          <w:lang w:val="en"/>
        </w:rPr>
        <w:t>Yes</w:t>
      </w:r>
    </w:p>
    <w:p w14:paraId="1C61B932" w14:textId="77777777" w:rsidR="00BC3F30" w:rsidRDefault="00BC3F30" w:rsidP="00BC3F30">
      <w:pPr>
        <w:pStyle w:val="ListParagraph"/>
        <w:numPr>
          <w:ilvl w:val="0"/>
          <w:numId w:val="61"/>
        </w:numPr>
        <w:shd w:val="clear" w:color="auto" w:fill="F2F2F2" w:themeFill="background1" w:themeFillShade="F2"/>
        <w:spacing w:after="200" w:line="276" w:lineRule="auto"/>
        <w:jc w:val="left"/>
        <w:rPr>
          <w:lang w:val="en"/>
        </w:rPr>
      </w:pPr>
      <w:r>
        <w:rPr>
          <w:lang w:val="en"/>
        </w:rPr>
        <w:t>No</w:t>
      </w:r>
    </w:p>
    <w:p w14:paraId="6C0A7D31" w14:textId="77777777" w:rsidR="00BC3F30" w:rsidRDefault="00BC3F30" w:rsidP="00BC3F30">
      <w:pPr>
        <w:pStyle w:val="ListParagraph"/>
        <w:shd w:val="clear" w:color="auto" w:fill="F2F2F2" w:themeFill="background1" w:themeFillShade="F2"/>
        <w:ind w:left="360"/>
      </w:pPr>
    </w:p>
    <w:p w14:paraId="3C7A89B5" w14:textId="276F064C" w:rsidR="00BC3F30" w:rsidRPr="0033421E" w:rsidRDefault="00BC3F30" w:rsidP="00BC3F30">
      <w:pPr>
        <w:pStyle w:val="ListParagraph"/>
        <w:numPr>
          <w:ilvl w:val="1"/>
          <w:numId w:val="58"/>
        </w:numPr>
        <w:shd w:val="clear" w:color="auto" w:fill="F2F2F2" w:themeFill="background1" w:themeFillShade="F2"/>
        <w:spacing w:after="200" w:line="276" w:lineRule="auto"/>
        <w:jc w:val="left"/>
      </w:pPr>
      <w:r w:rsidRPr="00122FF0">
        <w:t xml:space="preserve">What percentage of </w:t>
      </w:r>
      <w:r w:rsidR="00C52ECA">
        <w:t xml:space="preserve">your </w:t>
      </w:r>
      <w:r w:rsidRPr="00122FF0">
        <w:t xml:space="preserve">commercial ice </w:t>
      </w:r>
      <w:r w:rsidRPr="00515661">
        <w:t xml:space="preserve">makers </w:t>
      </w:r>
      <w:r w:rsidRPr="00122FF0">
        <w:t>are water-cooled?</w:t>
      </w:r>
    </w:p>
    <w:p w14:paraId="4401BA8C" w14:textId="77777777" w:rsidR="00BC3F30" w:rsidRPr="0033421E" w:rsidRDefault="00BC3F30" w:rsidP="00BC3F30">
      <w:pPr>
        <w:pStyle w:val="ListParagraph"/>
        <w:shd w:val="clear" w:color="auto" w:fill="F2F2F2" w:themeFill="background1" w:themeFillShade="F2"/>
        <w:ind w:left="360"/>
      </w:pPr>
    </w:p>
    <w:p w14:paraId="115E65E1" w14:textId="713B277A" w:rsidR="00BC3F30" w:rsidRPr="00525D0B" w:rsidRDefault="00BC3F30" w:rsidP="00BC3F30">
      <w:pPr>
        <w:pStyle w:val="ListParagraph"/>
        <w:numPr>
          <w:ilvl w:val="0"/>
          <w:numId w:val="58"/>
        </w:numPr>
        <w:shd w:val="clear" w:color="auto" w:fill="F2F2F2" w:themeFill="background1" w:themeFillShade="F2"/>
        <w:spacing w:after="200" w:line="276" w:lineRule="auto"/>
        <w:jc w:val="left"/>
      </w:pPr>
      <w:r>
        <w:t xml:space="preserve">In your view, is </w:t>
      </w:r>
      <w:r w:rsidRPr="00A9075F">
        <w:t xml:space="preserve">the </w:t>
      </w:r>
      <w:r>
        <w:t xml:space="preserve">total Australian </w:t>
      </w:r>
      <w:r w:rsidRPr="00A9075F">
        <w:t xml:space="preserve">market </w:t>
      </w:r>
      <w:r>
        <w:t xml:space="preserve">share of </w:t>
      </w:r>
      <w:r w:rsidRPr="00A9075F">
        <w:t xml:space="preserve">water-cooled </w:t>
      </w:r>
      <w:r>
        <w:t xml:space="preserve">commercial </w:t>
      </w:r>
      <w:r w:rsidRPr="00A9075F">
        <w:t>ice makers</w:t>
      </w:r>
      <w:r>
        <w:t>:</w:t>
      </w:r>
    </w:p>
    <w:p w14:paraId="6D77141F" w14:textId="77777777" w:rsidR="00BC3F30" w:rsidRDefault="00BC3F30" w:rsidP="00BC3F30">
      <w:pPr>
        <w:pStyle w:val="ListParagraph"/>
        <w:numPr>
          <w:ilvl w:val="0"/>
          <w:numId w:val="65"/>
        </w:numPr>
        <w:shd w:val="clear" w:color="auto" w:fill="F2F2F2" w:themeFill="background1" w:themeFillShade="F2"/>
        <w:spacing w:after="200" w:line="276" w:lineRule="auto"/>
        <w:jc w:val="left"/>
        <w:rPr>
          <w:lang w:val="en"/>
        </w:rPr>
      </w:pPr>
      <w:r>
        <w:rPr>
          <w:lang w:val="en"/>
        </w:rPr>
        <w:t>I</w:t>
      </w:r>
      <w:r w:rsidRPr="00342AAC">
        <w:rPr>
          <w:lang w:val="en"/>
        </w:rPr>
        <w:t>ncreasing</w:t>
      </w:r>
    </w:p>
    <w:p w14:paraId="0C4BC99F" w14:textId="77777777" w:rsidR="00BC3F30" w:rsidRDefault="00BC3F30" w:rsidP="00BC3F30">
      <w:pPr>
        <w:pStyle w:val="ListParagraph"/>
        <w:numPr>
          <w:ilvl w:val="0"/>
          <w:numId w:val="65"/>
        </w:numPr>
        <w:shd w:val="clear" w:color="auto" w:fill="F2F2F2" w:themeFill="background1" w:themeFillShade="F2"/>
        <w:spacing w:after="200" w:line="276" w:lineRule="auto"/>
        <w:jc w:val="left"/>
        <w:rPr>
          <w:lang w:val="en"/>
        </w:rPr>
      </w:pPr>
      <w:r>
        <w:rPr>
          <w:lang w:val="en"/>
        </w:rPr>
        <w:t>Decreasing</w:t>
      </w:r>
    </w:p>
    <w:p w14:paraId="5282A304" w14:textId="77777777" w:rsidR="00BC3F30" w:rsidRDefault="00BC3F30" w:rsidP="00BC3F30">
      <w:pPr>
        <w:pStyle w:val="ListParagraph"/>
        <w:numPr>
          <w:ilvl w:val="0"/>
          <w:numId w:val="65"/>
        </w:numPr>
        <w:shd w:val="clear" w:color="auto" w:fill="F2F2F2" w:themeFill="background1" w:themeFillShade="F2"/>
        <w:spacing w:after="200" w:line="276" w:lineRule="auto"/>
        <w:jc w:val="left"/>
        <w:rPr>
          <w:lang w:val="en"/>
        </w:rPr>
      </w:pPr>
      <w:r>
        <w:rPr>
          <w:lang w:val="en"/>
        </w:rPr>
        <w:t>Remaining steady</w:t>
      </w:r>
    </w:p>
    <w:p w14:paraId="78B4AA84" w14:textId="77777777" w:rsidR="00BC3F30" w:rsidRDefault="00BC3F30" w:rsidP="00BC3F30">
      <w:pPr>
        <w:pStyle w:val="ListParagraph"/>
        <w:numPr>
          <w:ilvl w:val="0"/>
          <w:numId w:val="65"/>
        </w:numPr>
        <w:shd w:val="clear" w:color="auto" w:fill="F2F2F2" w:themeFill="background1" w:themeFillShade="F2"/>
        <w:spacing w:after="200" w:line="276" w:lineRule="auto"/>
        <w:jc w:val="left"/>
        <w:rPr>
          <w:lang w:val="en"/>
        </w:rPr>
      </w:pPr>
      <w:r>
        <w:rPr>
          <w:lang w:val="en"/>
        </w:rPr>
        <w:t>Don’t know</w:t>
      </w:r>
    </w:p>
    <w:p w14:paraId="45FE7088" w14:textId="77777777" w:rsidR="00BC3F30" w:rsidRDefault="00BC3F30" w:rsidP="00BC3F30">
      <w:pPr>
        <w:pStyle w:val="ListParagraph"/>
        <w:shd w:val="clear" w:color="auto" w:fill="F2F2F2" w:themeFill="background1" w:themeFillShade="F2"/>
        <w:rPr>
          <w:lang w:val="en"/>
        </w:rPr>
      </w:pPr>
    </w:p>
    <w:p w14:paraId="4D2FDE82" w14:textId="48524306" w:rsidR="00BC3F30" w:rsidRPr="0033421E" w:rsidRDefault="00BC3F30" w:rsidP="00BC3F30">
      <w:pPr>
        <w:shd w:val="clear" w:color="auto" w:fill="F2F2F2" w:themeFill="background1" w:themeFillShade="F2"/>
        <w:rPr>
          <w:b/>
          <w:bCs/>
          <w:sz w:val="28"/>
          <w:szCs w:val="28"/>
          <w:u w:val="single"/>
          <w:lang w:val="en"/>
        </w:rPr>
      </w:pPr>
      <w:r>
        <w:rPr>
          <w:b/>
          <w:bCs/>
          <w:sz w:val="28"/>
          <w:szCs w:val="28"/>
          <w:u w:val="single"/>
          <w:lang w:val="en"/>
        </w:rPr>
        <w:t xml:space="preserve">Survey </w:t>
      </w:r>
      <w:r w:rsidRPr="0033421E">
        <w:rPr>
          <w:b/>
          <w:bCs/>
          <w:sz w:val="28"/>
          <w:szCs w:val="28"/>
          <w:u w:val="single"/>
          <w:lang w:val="en"/>
        </w:rPr>
        <w:t>questions</w:t>
      </w:r>
      <w:r>
        <w:rPr>
          <w:b/>
          <w:bCs/>
          <w:sz w:val="28"/>
          <w:szCs w:val="28"/>
          <w:u w:val="single"/>
          <w:lang w:val="en"/>
        </w:rPr>
        <w:t xml:space="preserve"> relating to Options 1 and 2 of </w:t>
      </w:r>
      <w:r w:rsidR="00C52ECA">
        <w:rPr>
          <w:b/>
          <w:bCs/>
          <w:sz w:val="28"/>
          <w:szCs w:val="28"/>
          <w:u w:val="single"/>
          <w:lang w:val="en"/>
        </w:rPr>
        <w:t xml:space="preserve">the </w:t>
      </w:r>
      <w:r>
        <w:rPr>
          <w:b/>
          <w:bCs/>
          <w:sz w:val="28"/>
          <w:szCs w:val="28"/>
          <w:u w:val="single"/>
          <w:lang w:val="en"/>
        </w:rPr>
        <w:t>Regulatory Impact Analysis</w:t>
      </w:r>
    </w:p>
    <w:p w14:paraId="4077F78B" w14:textId="77777777" w:rsidR="00BC3F30" w:rsidRPr="00631679" w:rsidRDefault="00BC3F30" w:rsidP="00BC3F30">
      <w:pPr>
        <w:pStyle w:val="ListParagraph"/>
        <w:shd w:val="clear" w:color="auto" w:fill="F2F2F2" w:themeFill="background1" w:themeFillShade="F2"/>
        <w:rPr>
          <w:lang w:val="en"/>
        </w:rPr>
      </w:pPr>
    </w:p>
    <w:p w14:paraId="556072ED" w14:textId="6C0E5ECC" w:rsidR="00BC3F30" w:rsidRDefault="00BC3F30" w:rsidP="00BC3F30">
      <w:pPr>
        <w:pStyle w:val="ListParagraph"/>
        <w:numPr>
          <w:ilvl w:val="0"/>
          <w:numId w:val="58"/>
        </w:numPr>
        <w:shd w:val="clear" w:color="auto" w:fill="F2F2F2" w:themeFill="background1" w:themeFillShade="F2"/>
        <w:spacing w:after="200" w:line="276" w:lineRule="auto"/>
        <w:jc w:val="left"/>
      </w:pPr>
      <w:r w:rsidRPr="00A9075F">
        <w:t xml:space="preserve">The Greenhouse and Energy Minimum Standards (GEMS) Regulator </w:t>
      </w:r>
      <w:r w:rsidR="00C52ECA">
        <w:t>has</w:t>
      </w:r>
      <w:r w:rsidRPr="00A9075F">
        <w:t xml:space="preserve"> implement</w:t>
      </w:r>
      <w:r w:rsidR="00C52ECA">
        <w:t>ed</w:t>
      </w:r>
      <w:r w:rsidRPr="00A9075F">
        <w:t xml:space="preserve"> Minimum </w:t>
      </w:r>
      <w:r w:rsidR="00BA2044">
        <w:t xml:space="preserve">Energy </w:t>
      </w:r>
      <w:r w:rsidRPr="00A9075F">
        <w:t>Performance Standards (MEPS) for commercial ice makers</w:t>
      </w:r>
      <w:r w:rsidR="006863FB">
        <w:t>, to come into effect</w:t>
      </w:r>
      <w:r w:rsidRPr="00A9075F">
        <w:t xml:space="preserve"> in </w:t>
      </w:r>
      <w:r w:rsidR="006863FB">
        <w:t>March</w:t>
      </w:r>
      <w:r>
        <w:t xml:space="preserve"> </w:t>
      </w:r>
      <w:r w:rsidRPr="00A9075F">
        <w:t>202</w:t>
      </w:r>
      <w:r>
        <w:t>6</w:t>
      </w:r>
      <w:r w:rsidRPr="00A9075F">
        <w:t>.</w:t>
      </w:r>
    </w:p>
    <w:p w14:paraId="7025C95C" w14:textId="77777777" w:rsidR="00BC3F30" w:rsidRDefault="00BC3F30" w:rsidP="00BC3F30">
      <w:pPr>
        <w:pStyle w:val="ListParagraph"/>
        <w:shd w:val="clear" w:color="auto" w:fill="F2F2F2" w:themeFill="background1" w:themeFillShade="F2"/>
        <w:ind w:left="360"/>
      </w:pPr>
    </w:p>
    <w:p w14:paraId="74AAB166" w14:textId="0D946F85" w:rsidR="00BC3F30" w:rsidRPr="00A9075F" w:rsidRDefault="00BC3F30" w:rsidP="00BC3F30">
      <w:pPr>
        <w:pStyle w:val="ListParagraph"/>
        <w:shd w:val="clear" w:color="auto" w:fill="F2F2F2" w:themeFill="background1" w:themeFillShade="F2"/>
        <w:ind w:left="360"/>
      </w:pPr>
      <w:r w:rsidRPr="00A9075F">
        <w:t xml:space="preserve">As part of this regulation, the GEMS Regulator </w:t>
      </w:r>
      <w:r w:rsidR="00C52ECA">
        <w:t>has</w:t>
      </w:r>
      <w:r w:rsidRPr="00A9075F">
        <w:t xml:space="preserve"> </w:t>
      </w:r>
      <w:r>
        <w:t>introduce</w:t>
      </w:r>
      <w:r w:rsidR="00C52ECA">
        <w:t>d</w:t>
      </w:r>
      <w:r w:rsidRPr="00A9075F">
        <w:t xml:space="preserve"> the voluntary declaration of a </w:t>
      </w:r>
      <w:r>
        <w:t xml:space="preserve">model’s </w:t>
      </w:r>
      <w:r w:rsidRPr="00A9075F">
        <w:t>potable water use rate and condenser water use rate</w:t>
      </w:r>
      <w:r>
        <w:t xml:space="preserve"> (for water-cooled products) in </w:t>
      </w:r>
      <w:r>
        <w:lastRenderedPageBreak/>
        <w:t>litres/kg ice produced</w:t>
      </w:r>
      <w:r w:rsidR="00C52ECA">
        <w:t>. This is</w:t>
      </w:r>
      <w:r>
        <w:t xml:space="preserve"> part of the product registration process</w:t>
      </w:r>
      <w:r w:rsidRPr="00A9075F">
        <w:t>.</w:t>
      </w:r>
      <w:r>
        <w:t xml:space="preserve"> Water use rates are measured during the test for production rate and energy use.</w:t>
      </w:r>
    </w:p>
    <w:p w14:paraId="5ED9FC5F" w14:textId="77777777" w:rsidR="00BA2044" w:rsidRDefault="00BA2044" w:rsidP="00BC3F30">
      <w:pPr>
        <w:pStyle w:val="ListParagraph"/>
        <w:shd w:val="clear" w:color="auto" w:fill="F2F2F2" w:themeFill="background1" w:themeFillShade="F2"/>
        <w:ind w:left="360"/>
      </w:pPr>
    </w:p>
    <w:p w14:paraId="549A7716" w14:textId="69FFD378" w:rsidR="00BC3F30" w:rsidRPr="0033421E" w:rsidRDefault="00BC3F30" w:rsidP="00BC3F30">
      <w:pPr>
        <w:pStyle w:val="ListParagraph"/>
        <w:shd w:val="clear" w:color="auto" w:fill="F2F2F2" w:themeFill="background1" w:themeFillShade="F2"/>
        <w:ind w:left="360"/>
      </w:pPr>
      <w:r w:rsidRPr="0033421E">
        <w:t>When registering your products for MEPS, do you intend to declare potable water use rate</w:t>
      </w:r>
      <w:r>
        <w:t>s</w:t>
      </w:r>
      <w:r w:rsidRPr="0033421E">
        <w:t xml:space="preserve"> and condenser water use rate</w:t>
      </w:r>
      <w:r>
        <w:t>s</w:t>
      </w:r>
      <w:r w:rsidRPr="0033421E">
        <w:t xml:space="preserve"> (for water-cooled products)?</w:t>
      </w:r>
    </w:p>
    <w:p w14:paraId="44D75F68" w14:textId="77777777" w:rsidR="00BC3F30" w:rsidRDefault="00BC3F30" w:rsidP="00BC3F30">
      <w:pPr>
        <w:pStyle w:val="ListParagraph"/>
        <w:numPr>
          <w:ilvl w:val="0"/>
          <w:numId w:val="62"/>
        </w:numPr>
        <w:shd w:val="clear" w:color="auto" w:fill="F2F2F2" w:themeFill="background1" w:themeFillShade="F2"/>
        <w:spacing w:after="200" w:line="276" w:lineRule="auto"/>
        <w:jc w:val="left"/>
        <w:rPr>
          <w:lang w:val="en"/>
        </w:rPr>
      </w:pPr>
      <w:r>
        <w:rPr>
          <w:lang w:val="en"/>
        </w:rPr>
        <w:t>Yes, all models</w:t>
      </w:r>
    </w:p>
    <w:p w14:paraId="1573FF83" w14:textId="77777777" w:rsidR="00BC3F30" w:rsidRDefault="00BC3F30" w:rsidP="00BC3F30">
      <w:pPr>
        <w:pStyle w:val="ListParagraph"/>
        <w:numPr>
          <w:ilvl w:val="0"/>
          <w:numId w:val="62"/>
        </w:numPr>
        <w:shd w:val="clear" w:color="auto" w:fill="F2F2F2" w:themeFill="background1" w:themeFillShade="F2"/>
        <w:spacing w:after="200" w:line="276" w:lineRule="auto"/>
        <w:jc w:val="left"/>
        <w:rPr>
          <w:lang w:val="en"/>
        </w:rPr>
      </w:pPr>
      <w:r>
        <w:rPr>
          <w:lang w:val="en"/>
        </w:rPr>
        <w:t>Yes, some models</w:t>
      </w:r>
    </w:p>
    <w:p w14:paraId="1E1DF931" w14:textId="77777777" w:rsidR="00BC3F30" w:rsidRDefault="00BC3F30" w:rsidP="00BC3F30">
      <w:pPr>
        <w:pStyle w:val="ListParagraph"/>
        <w:numPr>
          <w:ilvl w:val="0"/>
          <w:numId w:val="62"/>
        </w:numPr>
        <w:shd w:val="clear" w:color="auto" w:fill="F2F2F2" w:themeFill="background1" w:themeFillShade="F2"/>
        <w:spacing w:after="200" w:line="276" w:lineRule="auto"/>
        <w:jc w:val="left"/>
        <w:rPr>
          <w:lang w:val="en"/>
        </w:rPr>
      </w:pPr>
      <w:r>
        <w:rPr>
          <w:lang w:val="en"/>
        </w:rPr>
        <w:t>No</w:t>
      </w:r>
    </w:p>
    <w:p w14:paraId="7EED93E7" w14:textId="54492DD7" w:rsidR="00BC3F30" w:rsidRDefault="00BC3F30" w:rsidP="00BC3F30">
      <w:pPr>
        <w:pStyle w:val="ListParagraph"/>
        <w:numPr>
          <w:ilvl w:val="0"/>
          <w:numId w:val="62"/>
        </w:numPr>
        <w:shd w:val="clear" w:color="auto" w:fill="F2F2F2" w:themeFill="background1" w:themeFillShade="F2"/>
        <w:spacing w:after="200" w:line="276" w:lineRule="auto"/>
        <w:jc w:val="left"/>
        <w:rPr>
          <w:lang w:val="en"/>
        </w:rPr>
      </w:pPr>
      <w:r>
        <w:rPr>
          <w:lang w:val="en"/>
        </w:rPr>
        <w:t xml:space="preserve">I do not have responsibility </w:t>
      </w:r>
      <w:r w:rsidR="00BA2044">
        <w:rPr>
          <w:lang w:val="en"/>
        </w:rPr>
        <w:t>for</w:t>
      </w:r>
      <w:r>
        <w:rPr>
          <w:lang w:val="en"/>
        </w:rPr>
        <w:t xml:space="preserve"> register</w:t>
      </w:r>
      <w:r w:rsidR="00BA2044">
        <w:rPr>
          <w:lang w:val="en"/>
        </w:rPr>
        <w:t>ing</w:t>
      </w:r>
      <w:r>
        <w:rPr>
          <w:lang w:val="en"/>
        </w:rPr>
        <w:t xml:space="preserve"> commercial ice makers with the GEMS Regulator</w:t>
      </w:r>
    </w:p>
    <w:p w14:paraId="7B501394" w14:textId="77777777" w:rsidR="00BC3F30" w:rsidRDefault="00BC3F30" w:rsidP="00BC3F30">
      <w:pPr>
        <w:pStyle w:val="ListParagraph"/>
        <w:shd w:val="clear" w:color="auto" w:fill="F2F2F2" w:themeFill="background1" w:themeFillShade="F2"/>
        <w:ind w:left="1440"/>
        <w:rPr>
          <w:lang w:val="en"/>
        </w:rPr>
      </w:pPr>
    </w:p>
    <w:p w14:paraId="4BA74A30" w14:textId="14A2BA2A" w:rsidR="00BC3F30" w:rsidRDefault="00BC3F30" w:rsidP="00BC3F30">
      <w:pPr>
        <w:pStyle w:val="ListParagraph"/>
        <w:spacing w:after="120"/>
      </w:pPr>
      <w:r>
        <w:t>5</w:t>
      </w:r>
      <w:r w:rsidRPr="00E955A7">
        <w:t xml:space="preserve">.1 Please indicate why you are choosing to </w:t>
      </w:r>
      <w:r>
        <w:t>declare</w:t>
      </w:r>
      <w:r w:rsidRPr="00E955A7">
        <w:t xml:space="preserve"> your product’s water use rate</w:t>
      </w:r>
      <w:r w:rsidR="00BA2044">
        <w:t>.</w:t>
      </w:r>
    </w:p>
    <w:p w14:paraId="6BD5E435" w14:textId="77777777" w:rsidR="00BC3F30" w:rsidRDefault="00BC3F30" w:rsidP="00BC3F30">
      <w:pPr>
        <w:pStyle w:val="ListParagraph"/>
        <w:spacing w:after="120"/>
      </w:pPr>
    </w:p>
    <w:p w14:paraId="3CAA37ED" w14:textId="5FD0D993" w:rsidR="00BC3F30" w:rsidRDefault="00BC3F30" w:rsidP="00BC3F30">
      <w:pPr>
        <w:pStyle w:val="ListParagraph"/>
        <w:spacing w:after="120"/>
      </w:pPr>
      <w:r>
        <w:t>5</w:t>
      </w:r>
      <w:r w:rsidRPr="00E955A7">
        <w:t>.</w:t>
      </w:r>
      <w:r>
        <w:t>2</w:t>
      </w:r>
      <w:r w:rsidRPr="00E955A7">
        <w:t xml:space="preserve"> Please indicate why you are choosing </w:t>
      </w:r>
      <w:r>
        <w:t>not to declare</w:t>
      </w:r>
      <w:r w:rsidRPr="00E955A7">
        <w:t xml:space="preserve"> your product’s water use rate</w:t>
      </w:r>
      <w:r w:rsidR="00BA2044">
        <w:t>.</w:t>
      </w:r>
    </w:p>
    <w:p w14:paraId="69304D52" w14:textId="77777777" w:rsidR="00BC3F30" w:rsidRDefault="00BC3F30" w:rsidP="00BC3F30">
      <w:pPr>
        <w:pStyle w:val="ListParagraph"/>
        <w:spacing w:after="120"/>
      </w:pPr>
    </w:p>
    <w:p w14:paraId="3835E902" w14:textId="4EAC7C0E" w:rsidR="00BC3F30" w:rsidRDefault="00BC3F30" w:rsidP="00BC3F30">
      <w:pPr>
        <w:pStyle w:val="ListParagraph"/>
        <w:numPr>
          <w:ilvl w:val="0"/>
          <w:numId w:val="58"/>
        </w:numPr>
        <w:shd w:val="clear" w:color="auto" w:fill="F2F2F2" w:themeFill="background1" w:themeFillShade="F2"/>
        <w:spacing w:after="200" w:line="276" w:lineRule="auto"/>
        <w:jc w:val="left"/>
      </w:pPr>
      <w:r>
        <w:t xml:space="preserve">On a scale of 1 to 5, with 1 being completely unsupportive and 5 being completely supportive, please rate your level of support </w:t>
      </w:r>
      <w:r w:rsidRPr="00825BBA">
        <w:t xml:space="preserve">for the principle that the </w:t>
      </w:r>
      <w:r w:rsidRPr="0033421E">
        <w:t>potable water use</w:t>
      </w:r>
      <w:r w:rsidRPr="00825BBA">
        <w:t xml:space="preserve"> (</w:t>
      </w:r>
      <w:r>
        <w:t>L</w:t>
      </w:r>
      <w:r w:rsidRPr="00825BBA">
        <w:t>/kg ice)</w:t>
      </w:r>
      <w:r>
        <w:t xml:space="preserve"> should be declared for all commercial ice maker models.</w:t>
      </w:r>
    </w:p>
    <w:p w14:paraId="0738D430" w14:textId="77777777" w:rsidR="00BC3F30" w:rsidRDefault="00BC3F30" w:rsidP="00BC3F30">
      <w:pPr>
        <w:pStyle w:val="ListParagraph"/>
        <w:spacing w:line="256" w:lineRule="auto"/>
      </w:pPr>
    </w:p>
    <w:tbl>
      <w:tblPr>
        <w:tblStyle w:val="TableGrid"/>
        <w:tblW w:w="9072" w:type="dxa"/>
        <w:tblInd w:w="-5" w:type="dxa"/>
        <w:tblLayout w:type="fixed"/>
        <w:tblLook w:val="04A0" w:firstRow="1" w:lastRow="0" w:firstColumn="1" w:lastColumn="0" w:noHBand="0" w:noVBand="1"/>
      </w:tblPr>
      <w:tblGrid>
        <w:gridCol w:w="1512"/>
        <w:gridCol w:w="1512"/>
        <w:gridCol w:w="1512"/>
        <w:gridCol w:w="1512"/>
        <w:gridCol w:w="1512"/>
        <w:gridCol w:w="1512"/>
      </w:tblGrid>
      <w:tr w:rsidR="00BC3F30" w:rsidRPr="00BC3F30" w14:paraId="31F54D75" w14:textId="77777777" w:rsidTr="00D42135">
        <w:tc>
          <w:tcPr>
            <w:tcW w:w="1512" w:type="dxa"/>
          </w:tcPr>
          <w:p w14:paraId="2A30DC7A" w14:textId="77777777" w:rsidR="00BC3F30" w:rsidRPr="006E586F" w:rsidRDefault="00BC3F30" w:rsidP="00D42135">
            <w:pPr>
              <w:pStyle w:val="ListParagraph"/>
              <w:spacing w:line="256" w:lineRule="auto"/>
              <w:ind w:left="0"/>
              <w:jc w:val="center"/>
              <w:rPr>
                <w:sz w:val="20"/>
                <w:szCs w:val="20"/>
              </w:rPr>
            </w:pPr>
            <w:bookmarkStart w:id="119" w:name="_Hlk192246758"/>
            <w:r w:rsidRPr="006E586F">
              <w:rPr>
                <w:sz w:val="20"/>
                <w:szCs w:val="20"/>
              </w:rPr>
              <w:t>1</w:t>
            </w:r>
          </w:p>
        </w:tc>
        <w:tc>
          <w:tcPr>
            <w:tcW w:w="1512" w:type="dxa"/>
          </w:tcPr>
          <w:p w14:paraId="2F870026" w14:textId="77777777" w:rsidR="00BC3F30" w:rsidRPr="006E586F" w:rsidRDefault="00BC3F30" w:rsidP="00D42135">
            <w:pPr>
              <w:pStyle w:val="ListParagraph"/>
              <w:spacing w:line="256" w:lineRule="auto"/>
              <w:ind w:left="0"/>
              <w:jc w:val="center"/>
              <w:rPr>
                <w:sz w:val="20"/>
                <w:szCs w:val="20"/>
              </w:rPr>
            </w:pPr>
            <w:r w:rsidRPr="006E586F">
              <w:rPr>
                <w:sz w:val="20"/>
                <w:szCs w:val="20"/>
              </w:rPr>
              <w:t>2</w:t>
            </w:r>
          </w:p>
        </w:tc>
        <w:tc>
          <w:tcPr>
            <w:tcW w:w="1512" w:type="dxa"/>
          </w:tcPr>
          <w:p w14:paraId="691D84C0" w14:textId="77777777" w:rsidR="00BC3F30" w:rsidRPr="006E586F" w:rsidRDefault="00BC3F30" w:rsidP="00D42135">
            <w:pPr>
              <w:pStyle w:val="ListParagraph"/>
              <w:spacing w:line="256" w:lineRule="auto"/>
              <w:ind w:left="0"/>
              <w:jc w:val="center"/>
              <w:rPr>
                <w:sz w:val="20"/>
                <w:szCs w:val="20"/>
              </w:rPr>
            </w:pPr>
            <w:r w:rsidRPr="006E586F">
              <w:rPr>
                <w:sz w:val="20"/>
                <w:szCs w:val="20"/>
              </w:rPr>
              <w:t>3</w:t>
            </w:r>
          </w:p>
        </w:tc>
        <w:tc>
          <w:tcPr>
            <w:tcW w:w="1512" w:type="dxa"/>
          </w:tcPr>
          <w:p w14:paraId="2C7A9683" w14:textId="77777777" w:rsidR="00BC3F30" w:rsidRPr="006E586F" w:rsidRDefault="00BC3F30" w:rsidP="00D42135">
            <w:pPr>
              <w:pStyle w:val="ListParagraph"/>
              <w:spacing w:line="256" w:lineRule="auto"/>
              <w:ind w:left="0"/>
              <w:jc w:val="center"/>
              <w:rPr>
                <w:sz w:val="20"/>
                <w:szCs w:val="20"/>
              </w:rPr>
            </w:pPr>
            <w:r w:rsidRPr="006E586F">
              <w:rPr>
                <w:sz w:val="20"/>
                <w:szCs w:val="20"/>
              </w:rPr>
              <w:t>4</w:t>
            </w:r>
          </w:p>
        </w:tc>
        <w:tc>
          <w:tcPr>
            <w:tcW w:w="1512" w:type="dxa"/>
          </w:tcPr>
          <w:p w14:paraId="75ECF47B" w14:textId="77777777" w:rsidR="00BC3F30" w:rsidRPr="006E586F" w:rsidRDefault="00BC3F30" w:rsidP="00D42135">
            <w:pPr>
              <w:pStyle w:val="ListParagraph"/>
              <w:spacing w:line="256" w:lineRule="auto"/>
              <w:ind w:left="0"/>
              <w:jc w:val="center"/>
              <w:rPr>
                <w:sz w:val="20"/>
                <w:szCs w:val="20"/>
              </w:rPr>
            </w:pPr>
            <w:r w:rsidRPr="006E586F">
              <w:rPr>
                <w:sz w:val="20"/>
                <w:szCs w:val="20"/>
              </w:rPr>
              <w:t>5</w:t>
            </w:r>
          </w:p>
        </w:tc>
        <w:tc>
          <w:tcPr>
            <w:tcW w:w="1512" w:type="dxa"/>
          </w:tcPr>
          <w:p w14:paraId="1E6C0B2C" w14:textId="77777777" w:rsidR="00BC3F30" w:rsidRPr="006E586F" w:rsidRDefault="00BC3F30" w:rsidP="00D42135">
            <w:pPr>
              <w:pStyle w:val="ListParagraph"/>
              <w:spacing w:line="256" w:lineRule="auto"/>
              <w:ind w:left="0"/>
              <w:jc w:val="center"/>
              <w:rPr>
                <w:sz w:val="20"/>
                <w:szCs w:val="20"/>
              </w:rPr>
            </w:pPr>
            <w:r w:rsidRPr="006E586F">
              <w:rPr>
                <w:sz w:val="20"/>
                <w:szCs w:val="20"/>
              </w:rPr>
              <w:t>6</w:t>
            </w:r>
          </w:p>
        </w:tc>
      </w:tr>
      <w:tr w:rsidR="00BC3F30" w:rsidRPr="00BC3F30" w14:paraId="007CB804" w14:textId="77777777" w:rsidTr="00D42135">
        <w:tc>
          <w:tcPr>
            <w:tcW w:w="1512" w:type="dxa"/>
          </w:tcPr>
          <w:p w14:paraId="2AA95D5E" w14:textId="77777777" w:rsidR="00BC3F30" w:rsidRPr="006E586F" w:rsidRDefault="00BC3F30" w:rsidP="00D42135">
            <w:pPr>
              <w:pStyle w:val="ListParagraph"/>
              <w:spacing w:line="256" w:lineRule="auto"/>
              <w:ind w:left="0"/>
              <w:jc w:val="center"/>
              <w:rPr>
                <w:sz w:val="20"/>
                <w:szCs w:val="20"/>
              </w:rPr>
            </w:pPr>
            <w:r w:rsidRPr="006E586F">
              <w:rPr>
                <w:sz w:val="20"/>
                <w:szCs w:val="20"/>
              </w:rPr>
              <w:t>Completely unsupportive</w:t>
            </w:r>
          </w:p>
        </w:tc>
        <w:tc>
          <w:tcPr>
            <w:tcW w:w="1512" w:type="dxa"/>
          </w:tcPr>
          <w:p w14:paraId="3E6FAD26" w14:textId="77777777" w:rsidR="00BC3F30" w:rsidRPr="006E586F" w:rsidRDefault="00BC3F30" w:rsidP="00D42135">
            <w:pPr>
              <w:pStyle w:val="ListParagraph"/>
              <w:spacing w:line="256" w:lineRule="auto"/>
              <w:ind w:left="0"/>
              <w:jc w:val="center"/>
              <w:rPr>
                <w:sz w:val="20"/>
                <w:szCs w:val="20"/>
              </w:rPr>
            </w:pPr>
            <w:r w:rsidRPr="006E586F">
              <w:rPr>
                <w:sz w:val="20"/>
                <w:szCs w:val="20"/>
              </w:rPr>
              <w:t>Unsupportive</w:t>
            </w:r>
          </w:p>
        </w:tc>
        <w:tc>
          <w:tcPr>
            <w:tcW w:w="1512" w:type="dxa"/>
          </w:tcPr>
          <w:p w14:paraId="5D526804" w14:textId="77777777" w:rsidR="00BC3F30" w:rsidRPr="006E586F" w:rsidRDefault="00BC3F30" w:rsidP="00D42135">
            <w:pPr>
              <w:pStyle w:val="ListParagraph"/>
              <w:spacing w:line="256" w:lineRule="auto"/>
              <w:ind w:left="0"/>
              <w:jc w:val="center"/>
              <w:rPr>
                <w:sz w:val="20"/>
                <w:szCs w:val="20"/>
              </w:rPr>
            </w:pPr>
            <w:r w:rsidRPr="006E586F">
              <w:rPr>
                <w:sz w:val="20"/>
                <w:szCs w:val="20"/>
              </w:rPr>
              <w:t>Neutral</w:t>
            </w:r>
          </w:p>
        </w:tc>
        <w:tc>
          <w:tcPr>
            <w:tcW w:w="1512" w:type="dxa"/>
          </w:tcPr>
          <w:p w14:paraId="3D6D39CB" w14:textId="77777777" w:rsidR="00BC3F30" w:rsidRPr="006E586F" w:rsidRDefault="00BC3F30" w:rsidP="00D42135">
            <w:pPr>
              <w:pStyle w:val="ListParagraph"/>
              <w:spacing w:line="256" w:lineRule="auto"/>
              <w:ind w:left="0"/>
              <w:jc w:val="center"/>
              <w:rPr>
                <w:sz w:val="20"/>
                <w:szCs w:val="20"/>
              </w:rPr>
            </w:pPr>
            <w:r w:rsidRPr="006E586F">
              <w:rPr>
                <w:sz w:val="20"/>
                <w:szCs w:val="20"/>
              </w:rPr>
              <w:t xml:space="preserve">Supportive </w:t>
            </w:r>
          </w:p>
        </w:tc>
        <w:tc>
          <w:tcPr>
            <w:tcW w:w="1512" w:type="dxa"/>
          </w:tcPr>
          <w:p w14:paraId="224F0082" w14:textId="77777777" w:rsidR="00BC3F30" w:rsidRPr="006E586F" w:rsidRDefault="00BC3F30" w:rsidP="00D42135">
            <w:pPr>
              <w:pStyle w:val="ListParagraph"/>
              <w:spacing w:line="256" w:lineRule="auto"/>
              <w:ind w:left="0"/>
              <w:jc w:val="center"/>
              <w:rPr>
                <w:sz w:val="20"/>
                <w:szCs w:val="20"/>
              </w:rPr>
            </w:pPr>
            <w:r w:rsidRPr="006E586F">
              <w:rPr>
                <w:sz w:val="20"/>
                <w:szCs w:val="20"/>
              </w:rPr>
              <w:t>Completely supportive</w:t>
            </w:r>
          </w:p>
        </w:tc>
        <w:tc>
          <w:tcPr>
            <w:tcW w:w="1512" w:type="dxa"/>
          </w:tcPr>
          <w:p w14:paraId="4BD333F2" w14:textId="77777777" w:rsidR="00BC3F30" w:rsidRPr="006E586F" w:rsidRDefault="00BC3F30" w:rsidP="00D42135">
            <w:pPr>
              <w:pStyle w:val="ListParagraph"/>
              <w:spacing w:line="256" w:lineRule="auto"/>
              <w:ind w:left="0"/>
              <w:jc w:val="center"/>
              <w:rPr>
                <w:sz w:val="20"/>
                <w:szCs w:val="20"/>
              </w:rPr>
            </w:pPr>
            <w:r w:rsidRPr="006E586F">
              <w:rPr>
                <w:sz w:val="20"/>
                <w:szCs w:val="20"/>
              </w:rPr>
              <w:t>Don’t know</w:t>
            </w:r>
          </w:p>
        </w:tc>
      </w:tr>
      <w:bookmarkEnd w:id="119"/>
    </w:tbl>
    <w:p w14:paraId="4BAC108C" w14:textId="77777777" w:rsidR="00BC3F30" w:rsidRDefault="00BC3F30" w:rsidP="00BC3F30">
      <w:pPr>
        <w:pStyle w:val="ListParagraph"/>
        <w:spacing w:line="256" w:lineRule="auto"/>
      </w:pPr>
    </w:p>
    <w:p w14:paraId="2303B350" w14:textId="4CA2B4ED" w:rsidR="00BC3F30" w:rsidRDefault="00BC3F30" w:rsidP="00BC3F30">
      <w:pPr>
        <w:pStyle w:val="ListParagraph"/>
        <w:numPr>
          <w:ilvl w:val="1"/>
          <w:numId w:val="58"/>
        </w:numPr>
        <w:shd w:val="clear" w:color="auto" w:fill="F2F2F2" w:themeFill="background1" w:themeFillShade="F2"/>
        <w:spacing w:after="200" w:line="276" w:lineRule="auto"/>
        <w:jc w:val="left"/>
      </w:pPr>
      <w:r>
        <w:t>Please explain why</w:t>
      </w:r>
      <w:r w:rsidR="00BA2044">
        <w:t>.</w:t>
      </w:r>
    </w:p>
    <w:p w14:paraId="6002CAF1" w14:textId="77777777" w:rsidR="00BC3F30" w:rsidRPr="00195E32" w:rsidRDefault="00BC3F30" w:rsidP="00BC3F30">
      <w:pPr>
        <w:pStyle w:val="ListParagraph"/>
        <w:spacing w:line="256" w:lineRule="auto"/>
        <w:ind w:left="1080"/>
      </w:pPr>
    </w:p>
    <w:p w14:paraId="6630794F" w14:textId="16F5AA78" w:rsidR="00BC3F30" w:rsidRDefault="00BC3F30" w:rsidP="00BC3F30">
      <w:pPr>
        <w:pStyle w:val="ListParagraph"/>
        <w:numPr>
          <w:ilvl w:val="0"/>
          <w:numId w:val="58"/>
        </w:numPr>
        <w:shd w:val="clear" w:color="auto" w:fill="F2F2F2" w:themeFill="background1" w:themeFillShade="F2"/>
        <w:spacing w:after="200" w:line="276" w:lineRule="auto"/>
        <w:jc w:val="left"/>
      </w:pPr>
      <w:r w:rsidRPr="00372004">
        <w:t xml:space="preserve">On a scale of 1 to 5, with 1 being completely unsupportive and 5 being completely supportive, </w:t>
      </w:r>
      <w:r>
        <w:t xml:space="preserve">please rate your level of support </w:t>
      </w:r>
      <w:r w:rsidRPr="00825BBA">
        <w:t xml:space="preserve">for the principle that the </w:t>
      </w:r>
      <w:r w:rsidRPr="0033421E">
        <w:t>condenser water use</w:t>
      </w:r>
      <w:r w:rsidRPr="00825BBA">
        <w:t xml:space="preserve"> (</w:t>
      </w:r>
      <w:r>
        <w:t>L</w:t>
      </w:r>
      <w:r w:rsidRPr="00825BBA">
        <w:t>/kg ice)</w:t>
      </w:r>
      <w:r>
        <w:t xml:space="preserve"> should be declared for all water-cooled commercial ice maker models</w:t>
      </w:r>
      <w:r w:rsidR="00BA2044">
        <w:t>.</w:t>
      </w:r>
    </w:p>
    <w:p w14:paraId="6CAAABE8" w14:textId="77777777" w:rsidR="00BC3F30" w:rsidRDefault="00BC3F30" w:rsidP="00BC3F30">
      <w:pPr>
        <w:pStyle w:val="ListParagraph"/>
        <w:spacing w:line="256" w:lineRule="auto"/>
      </w:pPr>
    </w:p>
    <w:tbl>
      <w:tblPr>
        <w:tblStyle w:val="TableGrid"/>
        <w:tblW w:w="9072" w:type="dxa"/>
        <w:tblInd w:w="-5" w:type="dxa"/>
        <w:tblLayout w:type="fixed"/>
        <w:tblLook w:val="04A0" w:firstRow="1" w:lastRow="0" w:firstColumn="1" w:lastColumn="0" w:noHBand="0" w:noVBand="1"/>
      </w:tblPr>
      <w:tblGrid>
        <w:gridCol w:w="1512"/>
        <w:gridCol w:w="1512"/>
        <w:gridCol w:w="1512"/>
        <w:gridCol w:w="1512"/>
        <w:gridCol w:w="1512"/>
        <w:gridCol w:w="1512"/>
      </w:tblGrid>
      <w:tr w:rsidR="00BC3F30" w:rsidRPr="00BC3F30" w14:paraId="0738A581" w14:textId="77777777" w:rsidTr="00D42135">
        <w:tc>
          <w:tcPr>
            <w:tcW w:w="1512" w:type="dxa"/>
          </w:tcPr>
          <w:p w14:paraId="6A91C5CF" w14:textId="77777777" w:rsidR="00BC3F30" w:rsidRPr="006E586F" w:rsidRDefault="00BC3F30" w:rsidP="00D42135">
            <w:pPr>
              <w:pStyle w:val="ListParagraph"/>
              <w:spacing w:line="256" w:lineRule="auto"/>
              <w:ind w:left="0"/>
              <w:jc w:val="center"/>
              <w:rPr>
                <w:sz w:val="20"/>
                <w:szCs w:val="20"/>
              </w:rPr>
            </w:pPr>
            <w:r w:rsidRPr="006E586F">
              <w:rPr>
                <w:sz w:val="20"/>
                <w:szCs w:val="20"/>
              </w:rPr>
              <w:t>1</w:t>
            </w:r>
          </w:p>
        </w:tc>
        <w:tc>
          <w:tcPr>
            <w:tcW w:w="1512" w:type="dxa"/>
          </w:tcPr>
          <w:p w14:paraId="755E9101" w14:textId="77777777" w:rsidR="00BC3F30" w:rsidRPr="006E586F" w:rsidRDefault="00BC3F30" w:rsidP="00D42135">
            <w:pPr>
              <w:pStyle w:val="ListParagraph"/>
              <w:spacing w:line="256" w:lineRule="auto"/>
              <w:ind w:left="0"/>
              <w:jc w:val="center"/>
              <w:rPr>
                <w:sz w:val="20"/>
                <w:szCs w:val="20"/>
              </w:rPr>
            </w:pPr>
            <w:r w:rsidRPr="006E586F">
              <w:rPr>
                <w:sz w:val="20"/>
                <w:szCs w:val="20"/>
              </w:rPr>
              <w:t>2</w:t>
            </w:r>
          </w:p>
        </w:tc>
        <w:tc>
          <w:tcPr>
            <w:tcW w:w="1512" w:type="dxa"/>
          </w:tcPr>
          <w:p w14:paraId="47EDC867" w14:textId="77777777" w:rsidR="00BC3F30" w:rsidRPr="006E586F" w:rsidRDefault="00BC3F30" w:rsidP="00D42135">
            <w:pPr>
              <w:pStyle w:val="ListParagraph"/>
              <w:spacing w:line="256" w:lineRule="auto"/>
              <w:ind w:left="0"/>
              <w:jc w:val="center"/>
              <w:rPr>
                <w:sz w:val="20"/>
                <w:szCs w:val="20"/>
              </w:rPr>
            </w:pPr>
            <w:r w:rsidRPr="006E586F">
              <w:rPr>
                <w:sz w:val="20"/>
                <w:szCs w:val="20"/>
              </w:rPr>
              <w:t>3</w:t>
            </w:r>
          </w:p>
        </w:tc>
        <w:tc>
          <w:tcPr>
            <w:tcW w:w="1512" w:type="dxa"/>
          </w:tcPr>
          <w:p w14:paraId="082DE6C5" w14:textId="77777777" w:rsidR="00BC3F30" w:rsidRPr="006E586F" w:rsidRDefault="00BC3F30" w:rsidP="00D42135">
            <w:pPr>
              <w:pStyle w:val="ListParagraph"/>
              <w:spacing w:line="256" w:lineRule="auto"/>
              <w:ind w:left="0"/>
              <w:jc w:val="center"/>
              <w:rPr>
                <w:sz w:val="20"/>
                <w:szCs w:val="20"/>
              </w:rPr>
            </w:pPr>
            <w:r w:rsidRPr="006E586F">
              <w:rPr>
                <w:sz w:val="20"/>
                <w:szCs w:val="20"/>
              </w:rPr>
              <w:t>4</w:t>
            </w:r>
          </w:p>
        </w:tc>
        <w:tc>
          <w:tcPr>
            <w:tcW w:w="1512" w:type="dxa"/>
          </w:tcPr>
          <w:p w14:paraId="63FAD4C1" w14:textId="77777777" w:rsidR="00BC3F30" w:rsidRPr="006E586F" w:rsidRDefault="00BC3F30" w:rsidP="00D42135">
            <w:pPr>
              <w:pStyle w:val="ListParagraph"/>
              <w:spacing w:line="256" w:lineRule="auto"/>
              <w:ind w:left="0"/>
              <w:jc w:val="center"/>
              <w:rPr>
                <w:sz w:val="20"/>
                <w:szCs w:val="20"/>
              </w:rPr>
            </w:pPr>
            <w:r w:rsidRPr="006E586F">
              <w:rPr>
                <w:sz w:val="20"/>
                <w:szCs w:val="20"/>
              </w:rPr>
              <w:t>5</w:t>
            </w:r>
          </w:p>
        </w:tc>
        <w:tc>
          <w:tcPr>
            <w:tcW w:w="1512" w:type="dxa"/>
          </w:tcPr>
          <w:p w14:paraId="28C0CB01" w14:textId="77777777" w:rsidR="00BC3F30" w:rsidRPr="006E586F" w:rsidRDefault="00BC3F30" w:rsidP="00D42135">
            <w:pPr>
              <w:pStyle w:val="ListParagraph"/>
              <w:spacing w:line="256" w:lineRule="auto"/>
              <w:ind w:left="0"/>
              <w:jc w:val="center"/>
              <w:rPr>
                <w:sz w:val="20"/>
                <w:szCs w:val="20"/>
              </w:rPr>
            </w:pPr>
            <w:r w:rsidRPr="006E586F">
              <w:rPr>
                <w:sz w:val="20"/>
                <w:szCs w:val="20"/>
              </w:rPr>
              <w:t>6</w:t>
            </w:r>
          </w:p>
        </w:tc>
      </w:tr>
      <w:tr w:rsidR="00BC3F30" w:rsidRPr="00BC3F30" w14:paraId="5098380C" w14:textId="77777777" w:rsidTr="00D42135">
        <w:tc>
          <w:tcPr>
            <w:tcW w:w="1512" w:type="dxa"/>
          </w:tcPr>
          <w:p w14:paraId="23320BEC" w14:textId="77777777" w:rsidR="00BC3F30" w:rsidRPr="006E586F" w:rsidRDefault="00BC3F30" w:rsidP="00D42135">
            <w:pPr>
              <w:pStyle w:val="ListParagraph"/>
              <w:spacing w:line="256" w:lineRule="auto"/>
              <w:ind w:left="0"/>
              <w:jc w:val="center"/>
              <w:rPr>
                <w:sz w:val="20"/>
                <w:szCs w:val="20"/>
              </w:rPr>
            </w:pPr>
            <w:r w:rsidRPr="006E586F">
              <w:rPr>
                <w:sz w:val="20"/>
                <w:szCs w:val="20"/>
              </w:rPr>
              <w:t>Completely unsupportive</w:t>
            </w:r>
          </w:p>
        </w:tc>
        <w:tc>
          <w:tcPr>
            <w:tcW w:w="1512" w:type="dxa"/>
          </w:tcPr>
          <w:p w14:paraId="52003034" w14:textId="77777777" w:rsidR="00BC3F30" w:rsidRPr="006E586F" w:rsidRDefault="00BC3F30" w:rsidP="00D42135">
            <w:pPr>
              <w:pStyle w:val="ListParagraph"/>
              <w:spacing w:line="256" w:lineRule="auto"/>
              <w:ind w:left="0"/>
              <w:jc w:val="center"/>
              <w:rPr>
                <w:sz w:val="20"/>
                <w:szCs w:val="20"/>
              </w:rPr>
            </w:pPr>
            <w:r w:rsidRPr="006E586F">
              <w:rPr>
                <w:sz w:val="20"/>
                <w:szCs w:val="20"/>
              </w:rPr>
              <w:t>Unsupportive</w:t>
            </w:r>
          </w:p>
        </w:tc>
        <w:tc>
          <w:tcPr>
            <w:tcW w:w="1512" w:type="dxa"/>
          </w:tcPr>
          <w:p w14:paraId="6C462211" w14:textId="77777777" w:rsidR="00BC3F30" w:rsidRPr="006E586F" w:rsidRDefault="00BC3F30" w:rsidP="00D42135">
            <w:pPr>
              <w:pStyle w:val="ListParagraph"/>
              <w:spacing w:line="256" w:lineRule="auto"/>
              <w:ind w:left="0"/>
              <w:jc w:val="center"/>
              <w:rPr>
                <w:sz w:val="20"/>
                <w:szCs w:val="20"/>
              </w:rPr>
            </w:pPr>
            <w:r w:rsidRPr="006E586F">
              <w:rPr>
                <w:sz w:val="20"/>
                <w:szCs w:val="20"/>
              </w:rPr>
              <w:t>Neutral</w:t>
            </w:r>
          </w:p>
        </w:tc>
        <w:tc>
          <w:tcPr>
            <w:tcW w:w="1512" w:type="dxa"/>
          </w:tcPr>
          <w:p w14:paraId="5995C496" w14:textId="77777777" w:rsidR="00BC3F30" w:rsidRPr="006E586F" w:rsidRDefault="00BC3F30" w:rsidP="00D42135">
            <w:pPr>
              <w:pStyle w:val="ListParagraph"/>
              <w:spacing w:line="256" w:lineRule="auto"/>
              <w:ind w:left="0"/>
              <w:jc w:val="center"/>
              <w:rPr>
                <w:sz w:val="20"/>
                <w:szCs w:val="20"/>
              </w:rPr>
            </w:pPr>
            <w:r w:rsidRPr="006E586F">
              <w:rPr>
                <w:sz w:val="20"/>
                <w:szCs w:val="20"/>
              </w:rPr>
              <w:t xml:space="preserve">Supportive </w:t>
            </w:r>
          </w:p>
        </w:tc>
        <w:tc>
          <w:tcPr>
            <w:tcW w:w="1512" w:type="dxa"/>
          </w:tcPr>
          <w:p w14:paraId="61A3833C" w14:textId="77777777" w:rsidR="00BC3F30" w:rsidRPr="006E586F" w:rsidRDefault="00BC3F30" w:rsidP="00D42135">
            <w:pPr>
              <w:pStyle w:val="ListParagraph"/>
              <w:spacing w:line="256" w:lineRule="auto"/>
              <w:ind w:left="0"/>
              <w:jc w:val="center"/>
              <w:rPr>
                <w:sz w:val="20"/>
                <w:szCs w:val="20"/>
              </w:rPr>
            </w:pPr>
            <w:r w:rsidRPr="006E586F">
              <w:rPr>
                <w:sz w:val="20"/>
                <w:szCs w:val="20"/>
              </w:rPr>
              <w:t>Completely supportive</w:t>
            </w:r>
          </w:p>
        </w:tc>
        <w:tc>
          <w:tcPr>
            <w:tcW w:w="1512" w:type="dxa"/>
          </w:tcPr>
          <w:p w14:paraId="58EE7F58" w14:textId="77777777" w:rsidR="00BC3F30" w:rsidRPr="006E586F" w:rsidRDefault="00BC3F30" w:rsidP="00D42135">
            <w:pPr>
              <w:pStyle w:val="ListParagraph"/>
              <w:spacing w:line="256" w:lineRule="auto"/>
              <w:ind w:left="0"/>
              <w:jc w:val="center"/>
              <w:rPr>
                <w:sz w:val="20"/>
                <w:szCs w:val="20"/>
              </w:rPr>
            </w:pPr>
            <w:r w:rsidRPr="006E586F">
              <w:rPr>
                <w:sz w:val="20"/>
                <w:szCs w:val="20"/>
              </w:rPr>
              <w:t>Don’t know</w:t>
            </w:r>
          </w:p>
        </w:tc>
      </w:tr>
    </w:tbl>
    <w:p w14:paraId="7AAAFF78" w14:textId="77777777" w:rsidR="00BC3F30" w:rsidRDefault="00BC3F30" w:rsidP="00BC3F30">
      <w:pPr>
        <w:pStyle w:val="ListParagraph"/>
        <w:spacing w:line="256" w:lineRule="auto"/>
      </w:pPr>
    </w:p>
    <w:p w14:paraId="0D179A01" w14:textId="4FD11702" w:rsidR="00BC3F30" w:rsidRDefault="00BC3F30" w:rsidP="00BC3F30">
      <w:pPr>
        <w:pStyle w:val="ListParagraph"/>
        <w:numPr>
          <w:ilvl w:val="1"/>
          <w:numId w:val="58"/>
        </w:numPr>
        <w:shd w:val="clear" w:color="auto" w:fill="F2F2F2" w:themeFill="background1" w:themeFillShade="F2"/>
        <w:spacing w:after="200" w:line="276" w:lineRule="auto"/>
        <w:jc w:val="left"/>
      </w:pPr>
      <w:r>
        <w:t>Please explain why</w:t>
      </w:r>
      <w:r w:rsidR="00BA2044">
        <w:t>.</w:t>
      </w:r>
    </w:p>
    <w:p w14:paraId="5D7BD222" w14:textId="77777777" w:rsidR="00BC3F30" w:rsidRDefault="00BC3F30" w:rsidP="00BC3F30">
      <w:pPr>
        <w:pStyle w:val="ListParagraph"/>
        <w:spacing w:line="256" w:lineRule="auto"/>
      </w:pPr>
    </w:p>
    <w:p w14:paraId="72393DE9" w14:textId="04C57825" w:rsidR="00BC3F30" w:rsidRPr="00AD0610" w:rsidRDefault="00BC3F30" w:rsidP="00BC3F30">
      <w:pPr>
        <w:pStyle w:val="ListParagraph"/>
        <w:numPr>
          <w:ilvl w:val="0"/>
          <w:numId w:val="58"/>
        </w:numPr>
        <w:shd w:val="clear" w:color="auto" w:fill="F2F2F2" w:themeFill="background1" w:themeFillShade="F2"/>
        <w:spacing w:after="200" w:line="276" w:lineRule="auto"/>
        <w:jc w:val="left"/>
      </w:pPr>
      <w:r w:rsidRPr="00AD0610">
        <w:t>Should information about the water performance of commercial ice makers be published on a government website and made public?</w:t>
      </w:r>
    </w:p>
    <w:p w14:paraId="19091280" w14:textId="77777777" w:rsidR="00BC3F30" w:rsidRPr="00122FF0" w:rsidRDefault="00BC3F30" w:rsidP="00BC3F30">
      <w:pPr>
        <w:pStyle w:val="ListParagraph"/>
        <w:numPr>
          <w:ilvl w:val="0"/>
          <w:numId w:val="63"/>
        </w:numPr>
        <w:shd w:val="clear" w:color="auto" w:fill="F2F2F2" w:themeFill="background1" w:themeFillShade="F2"/>
        <w:spacing w:after="200" w:line="276" w:lineRule="auto"/>
        <w:jc w:val="left"/>
        <w:rPr>
          <w:lang w:val="en"/>
        </w:rPr>
      </w:pPr>
      <w:r>
        <w:rPr>
          <w:lang w:val="en"/>
        </w:rPr>
        <w:t>It should n</w:t>
      </w:r>
      <w:r w:rsidRPr="00122FF0">
        <w:rPr>
          <w:lang w:val="en"/>
        </w:rPr>
        <w:t>ot be required.</w:t>
      </w:r>
    </w:p>
    <w:p w14:paraId="0C177FE9" w14:textId="77777777" w:rsidR="00BC3F30" w:rsidRDefault="00BC3F30" w:rsidP="00BC3F30">
      <w:pPr>
        <w:pStyle w:val="ListParagraph"/>
        <w:numPr>
          <w:ilvl w:val="0"/>
          <w:numId w:val="63"/>
        </w:numPr>
        <w:shd w:val="clear" w:color="auto" w:fill="F2F2F2" w:themeFill="background1" w:themeFillShade="F2"/>
        <w:spacing w:after="200" w:line="276" w:lineRule="auto"/>
        <w:jc w:val="left"/>
        <w:rPr>
          <w:lang w:val="en"/>
        </w:rPr>
      </w:pPr>
      <w:r>
        <w:rPr>
          <w:lang w:val="en"/>
        </w:rPr>
        <w:t>It should be a business decision for industry (manufacturers and suppliers).</w:t>
      </w:r>
    </w:p>
    <w:p w14:paraId="7C92C517" w14:textId="77777777" w:rsidR="00BC3F30" w:rsidRDefault="00BC3F30" w:rsidP="00BC3F30">
      <w:pPr>
        <w:pStyle w:val="ListParagraph"/>
        <w:numPr>
          <w:ilvl w:val="0"/>
          <w:numId w:val="63"/>
        </w:numPr>
        <w:shd w:val="clear" w:color="auto" w:fill="F2F2F2" w:themeFill="background1" w:themeFillShade="F2"/>
        <w:spacing w:after="200" w:line="276" w:lineRule="auto"/>
        <w:jc w:val="left"/>
        <w:rPr>
          <w:lang w:val="en"/>
        </w:rPr>
      </w:pPr>
      <w:r>
        <w:rPr>
          <w:lang w:val="en"/>
        </w:rPr>
        <w:lastRenderedPageBreak/>
        <w:t>Industry should be actively encouraged by other parties to publish the information (such as industry associations, water authorities and/or the Australian Government).</w:t>
      </w:r>
    </w:p>
    <w:p w14:paraId="259FED15" w14:textId="77777777" w:rsidR="00BC3F30" w:rsidRDefault="00BC3F30" w:rsidP="00BC3F30">
      <w:pPr>
        <w:pStyle w:val="ListParagraph"/>
        <w:numPr>
          <w:ilvl w:val="0"/>
          <w:numId w:val="63"/>
        </w:numPr>
        <w:shd w:val="clear" w:color="auto" w:fill="F2F2F2" w:themeFill="background1" w:themeFillShade="F2"/>
        <w:spacing w:after="200" w:line="276" w:lineRule="auto"/>
        <w:jc w:val="left"/>
        <w:rPr>
          <w:lang w:val="en"/>
        </w:rPr>
      </w:pPr>
      <w:r>
        <w:rPr>
          <w:lang w:val="en"/>
        </w:rPr>
        <w:t>It should be mandatory for industry to publish the information.</w:t>
      </w:r>
    </w:p>
    <w:p w14:paraId="0356FD7F" w14:textId="77777777" w:rsidR="00BC3F30" w:rsidRPr="008040FE" w:rsidRDefault="00BC3F30" w:rsidP="00BC3F30">
      <w:pPr>
        <w:pStyle w:val="ListParagraph"/>
        <w:shd w:val="clear" w:color="auto" w:fill="F2F2F2" w:themeFill="background1" w:themeFillShade="F2"/>
        <w:ind w:left="1440"/>
        <w:rPr>
          <w:lang w:val="en"/>
        </w:rPr>
      </w:pPr>
    </w:p>
    <w:p w14:paraId="3B47B3D3" w14:textId="553F94AE" w:rsidR="00BC3F30" w:rsidRPr="00CA05A7" w:rsidRDefault="00BC3F30" w:rsidP="00BC3F30">
      <w:pPr>
        <w:pStyle w:val="ListParagraph"/>
        <w:numPr>
          <w:ilvl w:val="1"/>
          <w:numId w:val="58"/>
        </w:numPr>
        <w:shd w:val="clear" w:color="auto" w:fill="F2F2F2" w:themeFill="background1" w:themeFillShade="F2"/>
        <w:spacing w:after="200" w:line="276" w:lineRule="auto"/>
        <w:jc w:val="left"/>
        <w:rPr>
          <w:lang w:val="en"/>
        </w:rPr>
      </w:pPr>
      <w:r w:rsidRPr="0033421E">
        <w:t>Please explain why</w:t>
      </w:r>
      <w:r w:rsidR="00BA2044">
        <w:t>.</w:t>
      </w:r>
      <w:r w:rsidRPr="0033421E">
        <w:br/>
      </w:r>
    </w:p>
    <w:p w14:paraId="48CA7274" w14:textId="636D83CE" w:rsidR="00BC3F30" w:rsidRDefault="00BC3F30" w:rsidP="00BC3F30">
      <w:pPr>
        <w:pStyle w:val="ListParagraph"/>
        <w:numPr>
          <w:ilvl w:val="0"/>
          <w:numId w:val="58"/>
        </w:numPr>
        <w:shd w:val="clear" w:color="auto" w:fill="F2F2F2" w:themeFill="background1" w:themeFillShade="F2"/>
        <w:spacing w:after="200" w:line="276" w:lineRule="auto"/>
        <w:jc w:val="left"/>
      </w:pPr>
      <w:r w:rsidRPr="00F34B8A">
        <w:t xml:space="preserve">If a </w:t>
      </w:r>
      <w:r>
        <w:t>supplier</w:t>
      </w:r>
      <w:r w:rsidRPr="00F34B8A">
        <w:t xml:space="preserve"> </w:t>
      </w:r>
      <w:r>
        <w:t>volunteers to</w:t>
      </w:r>
      <w:r w:rsidRPr="00F34B8A">
        <w:t xml:space="preserve"> </w:t>
      </w:r>
      <w:r>
        <w:t>declare the</w:t>
      </w:r>
      <w:r w:rsidRPr="00F34B8A">
        <w:t xml:space="preserve"> water</w:t>
      </w:r>
      <w:r>
        <w:t xml:space="preserve"> use rates of their commercial ice maker models as part of their GEMS registration, would it be useful to establish rules for standard information provided to purchasers of CIMS, so they can easily compare products?</w:t>
      </w:r>
    </w:p>
    <w:p w14:paraId="23DF1DE6" w14:textId="77777777" w:rsidR="00BA2044" w:rsidRPr="00F34B8A" w:rsidRDefault="00BA2044" w:rsidP="00BA2044">
      <w:pPr>
        <w:pStyle w:val="ListParagraph"/>
        <w:shd w:val="clear" w:color="auto" w:fill="F2F2F2" w:themeFill="background1" w:themeFillShade="F2"/>
        <w:spacing w:after="200" w:line="276" w:lineRule="auto"/>
        <w:ind w:left="360"/>
        <w:jc w:val="left"/>
      </w:pPr>
    </w:p>
    <w:p w14:paraId="1995ACF3" w14:textId="77777777" w:rsidR="00BC3F30" w:rsidRDefault="00BC3F30" w:rsidP="00BC3F30">
      <w:pPr>
        <w:pStyle w:val="ListParagraph"/>
        <w:numPr>
          <w:ilvl w:val="0"/>
          <w:numId w:val="64"/>
        </w:numPr>
        <w:shd w:val="clear" w:color="auto" w:fill="F2F2F2" w:themeFill="background1" w:themeFillShade="F2"/>
        <w:spacing w:after="200" w:line="276" w:lineRule="auto"/>
        <w:jc w:val="left"/>
        <w:rPr>
          <w:lang w:val="en"/>
        </w:rPr>
      </w:pPr>
      <w:r>
        <w:rPr>
          <w:lang w:val="en"/>
        </w:rPr>
        <w:t>No - leave it to the market.</w:t>
      </w:r>
    </w:p>
    <w:p w14:paraId="1E18B3D5" w14:textId="269EC649" w:rsidR="00BC3F30" w:rsidRDefault="00BC3F30" w:rsidP="00BC3F30">
      <w:pPr>
        <w:pStyle w:val="ListParagraph"/>
        <w:numPr>
          <w:ilvl w:val="0"/>
          <w:numId w:val="64"/>
        </w:numPr>
        <w:shd w:val="clear" w:color="auto" w:fill="F2F2F2" w:themeFill="background1" w:themeFillShade="F2"/>
        <w:spacing w:after="200" w:line="276" w:lineRule="auto"/>
        <w:jc w:val="left"/>
        <w:rPr>
          <w:lang w:val="en"/>
        </w:rPr>
      </w:pPr>
      <w:r>
        <w:rPr>
          <w:lang w:val="en"/>
        </w:rPr>
        <w:t xml:space="preserve">Yes - the information should be available to </w:t>
      </w:r>
      <w:r w:rsidRPr="0033421E">
        <w:rPr>
          <w:lang w:val="en"/>
        </w:rPr>
        <w:t xml:space="preserve">purchasers </w:t>
      </w:r>
      <w:r>
        <w:rPr>
          <w:lang w:val="en"/>
        </w:rPr>
        <w:t>and should be standardised.</w:t>
      </w:r>
    </w:p>
    <w:p w14:paraId="34B7A5C8" w14:textId="77777777" w:rsidR="00BC3F30" w:rsidRPr="00A24197" w:rsidRDefault="00BC3F30" w:rsidP="00BC3F30">
      <w:pPr>
        <w:pStyle w:val="ListParagraph"/>
        <w:shd w:val="clear" w:color="auto" w:fill="F2F2F2" w:themeFill="background1" w:themeFillShade="F2"/>
        <w:ind w:left="1440"/>
        <w:rPr>
          <w:lang w:val="en"/>
        </w:rPr>
      </w:pPr>
    </w:p>
    <w:p w14:paraId="056DB770" w14:textId="0CC03173" w:rsidR="00BA2044" w:rsidRDefault="00BC3F30" w:rsidP="00BA2044">
      <w:pPr>
        <w:pStyle w:val="ListParagraph"/>
        <w:numPr>
          <w:ilvl w:val="1"/>
          <w:numId w:val="58"/>
        </w:numPr>
        <w:shd w:val="clear" w:color="auto" w:fill="F2F2F2" w:themeFill="background1" w:themeFillShade="F2"/>
        <w:spacing w:after="200" w:line="276" w:lineRule="auto"/>
        <w:jc w:val="left"/>
      </w:pPr>
      <w:r w:rsidRPr="0033421E">
        <w:t>Please explain why</w:t>
      </w:r>
      <w:r w:rsidR="00BA2044">
        <w:t>.</w:t>
      </w:r>
    </w:p>
    <w:p w14:paraId="2A88872F" w14:textId="206671BE" w:rsidR="00BC3F30" w:rsidRPr="0033421E" w:rsidRDefault="00BC3F30" w:rsidP="00BC3F30">
      <w:pPr>
        <w:shd w:val="clear" w:color="auto" w:fill="F2F2F2" w:themeFill="background1" w:themeFillShade="F2"/>
        <w:rPr>
          <w:b/>
          <w:bCs/>
          <w:sz w:val="28"/>
          <w:szCs w:val="28"/>
          <w:u w:val="single"/>
          <w:lang w:val="en"/>
        </w:rPr>
      </w:pPr>
      <w:r>
        <w:rPr>
          <w:b/>
          <w:bCs/>
          <w:sz w:val="28"/>
          <w:szCs w:val="28"/>
          <w:u w:val="single"/>
          <w:lang w:val="en"/>
        </w:rPr>
        <w:t xml:space="preserve">Survey </w:t>
      </w:r>
      <w:r w:rsidRPr="0033421E">
        <w:rPr>
          <w:b/>
          <w:bCs/>
          <w:sz w:val="28"/>
          <w:szCs w:val="28"/>
          <w:u w:val="single"/>
          <w:lang w:val="en"/>
        </w:rPr>
        <w:t>questions</w:t>
      </w:r>
      <w:r>
        <w:rPr>
          <w:b/>
          <w:bCs/>
          <w:sz w:val="28"/>
          <w:szCs w:val="28"/>
          <w:u w:val="single"/>
          <w:lang w:val="en"/>
        </w:rPr>
        <w:t xml:space="preserve"> relating to Option 3 of </w:t>
      </w:r>
      <w:r w:rsidR="00BA2044">
        <w:rPr>
          <w:b/>
          <w:bCs/>
          <w:sz w:val="28"/>
          <w:szCs w:val="28"/>
          <w:u w:val="single"/>
          <w:lang w:val="en"/>
        </w:rPr>
        <w:t xml:space="preserve">the </w:t>
      </w:r>
      <w:r>
        <w:rPr>
          <w:b/>
          <w:bCs/>
          <w:sz w:val="28"/>
          <w:szCs w:val="28"/>
          <w:u w:val="single"/>
          <w:lang w:val="en"/>
        </w:rPr>
        <w:t>Regulatory Impact Analysis</w:t>
      </w:r>
    </w:p>
    <w:p w14:paraId="52B6CEA5" w14:textId="77777777" w:rsidR="00BC3F30" w:rsidRDefault="00BC3F30" w:rsidP="00BC3F30">
      <w:pPr>
        <w:pStyle w:val="ListParagraph"/>
        <w:shd w:val="clear" w:color="auto" w:fill="F2F2F2" w:themeFill="background1" w:themeFillShade="F2"/>
        <w:ind w:left="360"/>
      </w:pPr>
    </w:p>
    <w:p w14:paraId="4A226F1A" w14:textId="76BAD232" w:rsidR="00BC3F30" w:rsidRDefault="00BC3F30" w:rsidP="00BC3F30">
      <w:pPr>
        <w:pStyle w:val="ListParagraph"/>
        <w:numPr>
          <w:ilvl w:val="0"/>
          <w:numId w:val="58"/>
        </w:numPr>
        <w:shd w:val="clear" w:color="auto" w:fill="F2F2F2" w:themeFill="background1" w:themeFillShade="F2"/>
        <w:spacing w:after="200" w:line="276" w:lineRule="auto"/>
        <w:jc w:val="left"/>
      </w:pPr>
      <w:r>
        <w:t xml:space="preserve">On a scale of 1 to 5, with 1 being completely unsupportive and 5 being completely supportive, please indicate how strongly you support the principle that there should be mandatory water efficiency information (of potable and condenser water use) at point of sale for purchasers, and that products must be registered under the </w:t>
      </w:r>
      <w:r w:rsidRPr="0033421E">
        <w:t>Water Efficiency Labelling and Standards Act</w:t>
      </w:r>
      <w:r w:rsidRPr="00AD58AE">
        <w:t xml:space="preserve"> </w:t>
      </w:r>
      <w:r w:rsidRPr="0033421E">
        <w:t>2005</w:t>
      </w:r>
      <w:r>
        <w:t>?</w:t>
      </w:r>
    </w:p>
    <w:p w14:paraId="260D0626" w14:textId="77777777" w:rsidR="00BC3F30" w:rsidRDefault="00BC3F30" w:rsidP="00BC3F30">
      <w:pPr>
        <w:pStyle w:val="ListParagraph"/>
        <w:spacing w:line="256" w:lineRule="auto"/>
      </w:pPr>
    </w:p>
    <w:tbl>
      <w:tblPr>
        <w:tblStyle w:val="TableGrid"/>
        <w:tblW w:w="9072" w:type="dxa"/>
        <w:tblInd w:w="-5" w:type="dxa"/>
        <w:tblLayout w:type="fixed"/>
        <w:tblLook w:val="04A0" w:firstRow="1" w:lastRow="0" w:firstColumn="1" w:lastColumn="0" w:noHBand="0" w:noVBand="1"/>
      </w:tblPr>
      <w:tblGrid>
        <w:gridCol w:w="1512"/>
        <w:gridCol w:w="1512"/>
        <w:gridCol w:w="1512"/>
        <w:gridCol w:w="1512"/>
        <w:gridCol w:w="1512"/>
        <w:gridCol w:w="1512"/>
      </w:tblGrid>
      <w:tr w:rsidR="00BC3F30" w:rsidRPr="00BC3F30" w14:paraId="573BC6DA" w14:textId="77777777" w:rsidTr="00D42135">
        <w:tc>
          <w:tcPr>
            <w:tcW w:w="1512" w:type="dxa"/>
          </w:tcPr>
          <w:p w14:paraId="5CB1A124" w14:textId="77777777" w:rsidR="00BC3F30" w:rsidRPr="006E586F" w:rsidRDefault="00BC3F30" w:rsidP="00D42135">
            <w:pPr>
              <w:pStyle w:val="ListParagraph"/>
              <w:spacing w:line="256" w:lineRule="auto"/>
              <w:ind w:left="0"/>
              <w:jc w:val="center"/>
              <w:rPr>
                <w:sz w:val="20"/>
                <w:szCs w:val="20"/>
              </w:rPr>
            </w:pPr>
            <w:r w:rsidRPr="006E586F">
              <w:rPr>
                <w:sz w:val="20"/>
                <w:szCs w:val="20"/>
              </w:rPr>
              <w:t>1</w:t>
            </w:r>
          </w:p>
        </w:tc>
        <w:tc>
          <w:tcPr>
            <w:tcW w:w="1512" w:type="dxa"/>
          </w:tcPr>
          <w:p w14:paraId="257FCAE8" w14:textId="77777777" w:rsidR="00BC3F30" w:rsidRPr="006E586F" w:rsidRDefault="00BC3F30" w:rsidP="00D42135">
            <w:pPr>
              <w:pStyle w:val="ListParagraph"/>
              <w:spacing w:line="256" w:lineRule="auto"/>
              <w:ind w:left="0"/>
              <w:jc w:val="center"/>
              <w:rPr>
                <w:sz w:val="20"/>
                <w:szCs w:val="20"/>
              </w:rPr>
            </w:pPr>
            <w:r w:rsidRPr="006E586F">
              <w:rPr>
                <w:sz w:val="20"/>
                <w:szCs w:val="20"/>
              </w:rPr>
              <w:t>2</w:t>
            </w:r>
          </w:p>
        </w:tc>
        <w:tc>
          <w:tcPr>
            <w:tcW w:w="1512" w:type="dxa"/>
          </w:tcPr>
          <w:p w14:paraId="3297DE2E" w14:textId="77777777" w:rsidR="00BC3F30" w:rsidRPr="006E586F" w:rsidRDefault="00BC3F30" w:rsidP="00D42135">
            <w:pPr>
              <w:pStyle w:val="ListParagraph"/>
              <w:spacing w:line="256" w:lineRule="auto"/>
              <w:ind w:left="0"/>
              <w:jc w:val="center"/>
              <w:rPr>
                <w:sz w:val="20"/>
                <w:szCs w:val="20"/>
              </w:rPr>
            </w:pPr>
            <w:r w:rsidRPr="006E586F">
              <w:rPr>
                <w:sz w:val="20"/>
                <w:szCs w:val="20"/>
              </w:rPr>
              <w:t>3</w:t>
            </w:r>
          </w:p>
        </w:tc>
        <w:tc>
          <w:tcPr>
            <w:tcW w:w="1512" w:type="dxa"/>
          </w:tcPr>
          <w:p w14:paraId="07335186" w14:textId="77777777" w:rsidR="00BC3F30" w:rsidRPr="006E586F" w:rsidRDefault="00BC3F30" w:rsidP="00D42135">
            <w:pPr>
              <w:pStyle w:val="ListParagraph"/>
              <w:spacing w:line="256" w:lineRule="auto"/>
              <w:ind w:left="0"/>
              <w:jc w:val="center"/>
              <w:rPr>
                <w:sz w:val="20"/>
                <w:szCs w:val="20"/>
              </w:rPr>
            </w:pPr>
            <w:r w:rsidRPr="006E586F">
              <w:rPr>
                <w:sz w:val="20"/>
                <w:szCs w:val="20"/>
              </w:rPr>
              <w:t>4</w:t>
            </w:r>
          </w:p>
        </w:tc>
        <w:tc>
          <w:tcPr>
            <w:tcW w:w="1512" w:type="dxa"/>
          </w:tcPr>
          <w:p w14:paraId="56CB27BE" w14:textId="77777777" w:rsidR="00BC3F30" w:rsidRPr="006E586F" w:rsidRDefault="00BC3F30" w:rsidP="00D42135">
            <w:pPr>
              <w:pStyle w:val="ListParagraph"/>
              <w:spacing w:line="256" w:lineRule="auto"/>
              <w:ind w:left="0"/>
              <w:jc w:val="center"/>
              <w:rPr>
                <w:sz w:val="20"/>
                <w:szCs w:val="20"/>
              </w:rPr>
            </w:pPr>
            <w:r w:rsidRPr="006E586F">
              <w:rPr>
                <w:sz w:val="20"/>
                <w:szCs w:val="20"/>
              </w:rPr>
              <w:t>5</w:t>
            </w:r>
          </w:p>
        </w:tc>
        <w:tc>
          <w:tcPr>
            <w:tcW w:w="1512" w:type="dxa"/>
          </w:tcPr>
          <w:p w14:paraId="4AC0885A" w14:textId="77777777" w:rsidR="00BC3F30" w:rsidRPr="006E586F" w:rsidRDefault="00BC3F30" w:rsidP="00D42135">
            <w:pPr>
              <w:pStyle w:val="ListParagraph"/>
              <w:spacing w:line="256" w:lineRule="auto"/>
              <w:ind w:left="0"/>
              <w:jc w:val="center"/>
              <w:rPr>
                <w:sz w:val="20"/>
                <w:szCs w:val="20"/>
              </w:rPr>
            </w:pPr>
            <w:r w:rsidRPr="006E586F">
              <w:rPr>
                <w:sz w:val="20"/>
                <w:szCs w:val="20"/>
              </w:rPr>
              <w:t>6</w:t>
            </w:r>
          </w:p>
        </w:tc>
      </w:tr>
      <w:tr w:rsidR="00BC3F30" w:rsidRPr="00BC3F30" w14:paraId="32EF101C" w14:textId="77777777" w:rsidTr="00D42135">
        <w:tc>
          <w:tcPr>
            <w:tcW w:w="1512" w:type="dxa"/>
          </w:tcPr>
          <w:p w14:paraId="2B487116" w14:textId="77777777" w:rsidR="00BC3F30" w:rsidRPr="006E586F" w:rsidRDefault="00BC3F30" w:rsidP="00D42135">
            <w:pPr>
              <w:pStyle w:val="ListParagraph"/>
              <w:spacing w:line="256" w:lineRule="auto"/>
              <w:ind w:left="0"/>
              <w:jc w:val="center"/>
              <w:rPr>
                <w:sz w:val="20"/>
                <w:szCs w:val="20"/>
              </w:rPr>
            </w:pPr>
            <w:r w:rsidRPr="006E586F">
              <w:rPr>
                <w:sz w:val="20"/>
                <w:szCs w:val="20"/>
              </w:rPr>
              <w:t>Completely unsupportive</w:t>
            </w:r>
          </w:p>
        </w:tc>
        <w:tc>
          <w:tcPr>
            <w:tcW w:w="1512" w:type="dxa"/>
          </w:tcPr>
          <w:p w14:paraId="1527354F" w14:textId="77777777" w:rsidR="00BC3F30" w:rsidRPr="006E586F" w:rsidRDefault="00BC3F30" w:rsidP="00D42135">
            <w:pPr>
              <w:pStyle w:val="ListParagraph"/>
              <w:spacing w:line="256" w:lineRule="auto"/>
              <w:ind w:left="0"/>
              <w:jc w:val="center"/>
              <w:rPr>
                <w:sz w:val="20"/>
                <w:szCs w:val="20"/>
              </w:rPr>
            </w:pPr>
            <w:r w:rsidRPr="006E586F">
              <w:rPr>
                <w:sz w:val="20"/>
                <w:szCs w:val="20"/>
              </w:rPr>
              <w:t>Unsupportive</w:t>
            </w:r>
          </w:p>
        </w:tc>
        <w:tc>
          <w:tcPr>
            <w:tcW w:w="1512" w:type="dxa"/>
          </w:tcPr>
          <w:p w14:paraId="1C34C2C9" w14:textId="77777777" w:rsidR="00BC3F30" w:rsidRPr="006E586F" w:rsidRDefault="00BC3F30" w:rsidP="00D42135">
            <w:pPr>
              <w:pStyle w:val="ListParagraph"/>
              <w:spacing w:line="256" w:lineRule="auto"/>
              <w:ind w:left="0"/>
              <w:jc w:val="center"/>
              <w:rPr>
                <w:sz w:val="20"/>
                <w:szCs w:val="20"/>
              </w:rPr>
            </w:pPr>
            <w:r w:rsidRPr="006E586F">
              <w:rPr>
                <w:sz w:val="20"/>
                <w:szCs w:val="20"/>
              </w:rPr>
              <w:t>Neutral</w:t>
            </w:r>
          </w:p>
        </w:tc>
        <w:tc>
          <w:tcPr>
            <w:tcW w:w="1512" w:type="dxa"/>
          </w:tcPr>
          <w:p w14:paraId="2F215D81" w14:textId="77777777" w:rsidR="00BC3F30" w:rsidRPr="006E586F" w:rsidRDefault="00BC3F30" w:rsidP="00D42135">
            <w:pPr>
              <w:pStyle w:val="ListParagraph"/>
              <w:spacing w:line="256" w:lineRule="auto"/>
              <w:ind w:left="0"/>
              <w:jc w:val="center"/>
              <w:rPr>
                <w:sz w:val="20"/>
                <w:szCs w:val="20"/>
              </w:rPr>
            </w:pPr>
            <w:r w:rsidRPr="006E586F">
              <w:rPr>
                <w:sz w:val="20"/>
                <w:szCs w:val="20"/>
              </w:rPr>
              <w:t xml:space="preserve">Supportive </w:t>
            </w:r>
          </w:p>
        </w:tc>
        <w:tc>
          <w:tcPr>
            <w:tcW w:w="1512" w:type="dxa"/>
          </w:tcPr>
          <w:p w14:paraId="2E0CF874" w14:textId="77777777" w:rsidR="00BC3F30" w:rsidRPr="006E586F" w:rsidRDefault="00BC3F30" w:rsidP="00D42135">
            <w:pPr>
              <w:pStyle w:val="ListParagraph"/>
              <w:spacing w:line="256" w:lineRule="auto"/>
              <w:ind w:left="0"/>
              <w:jc w:val="center"/>
              <w:rPr>
                <w:sz w:val="20"/>
                <w:szCs w:val="20"/>
              </w:rPr>
            </w:pPr>
            <w:r w:rsidRPr="006E586F">
              <w:rPr>
                <w:sz w:val="20"/>
                <w:szCs w:val="20"/>
              </w:rPr>
              <w:t>Completely supportive</w:t>
            </w:r>
          </w:p>
        </w:tc>
        <w:tc>
          <w:tcPr>
            <w:tcW w:w="1512" w:type="dxa"/>
          </w:tcPr>
          <w:p w14:paraId="42A444C5" w14:textId="77777777" w:rsidR="00BC3F30" w:rsidRPr="006E586F" w:rsidRDefault="00BC3F30" w:rsidP="00D42135">
            <w:pPr>
              <w:pStyle w:val="ListParagraph"/>
              <w:spacing w:line="256" w:lineRule="auto"/>
              <w:ind w:left="0"/>
              <w:jc w:val="center"/>
              <w:rPr>
                <w:sz w:val="20"/>
                <w:szCs w:val="20"/>
              </w:rPr>
            </w:pPr>
            <w:r w:rsidRPr="006E586F">
              <w:rPr>
                <w:sz w:val="20"/>
                <w:szCs w:val="20"/>
              </w:rPr>
              <w:t>Don’t know</w:t>
            </w:r>
          </w:p>
        </w:tc>
      </w:tr>
    </w:tbl>
    <w:p w14:paraId="1849D425" w14:textId="77777777" w:rsidR="00BC3F30" w:rsidRDefault="00BC3F30" w:rsidP="00BC3F30">
      <w:pPr>
        <w:pStyle w:val="ListParagraph"/>
        <w:spacing w:line="256" w:lineRule="auto"/>
      </w:pPr>
    </w:p>
    <w:p w14:paraId="635C5E57" w14:textId="4E1F19C2" w:rsidR="00BC3F30" w:rsidRDefault="00BC3F30" w:rsidP="00BC3F30">
      <w:pPr>
        <w:pStyle w:val="ListParagraph"/>
        <w:numPr>
          <w:ilvl w:val="1"/>
          <w:numId w:val="58"/>
        </w:numPr>
        <w:shd w:val="clear" w:color="auto" w:fill="F2F2F2" w:themeFill="background1" w:themeFillShade="F2"/>
        <w:spacing w:after="200" w:line="276" w:lineRule="auto"/>
        <w:jc w:val="left"/>
      </w:pPr>
      <w:r>
        <w:t>Please explain why</w:t>
      </w:r>
      <w:r w:rsidR="00BA2044">
        <w:t>.</w:t>
      </w:r>
      <w:r>
        <w:br/>
      </w:r>
    </w:p>
    <w:p w14:paraId="699C13B5" w14:textId="3C7BF6A9" w:rsidR="00BC3F30" w:rsidRDefault="00BC3F30" w:rsidP="00BC3F30">
      <w:pPr>
        <w:pStyle w:val="ListParagraph"/>
        <w:numPr>
          <w:ilvl w:val="0"/>
          <w:numId w:val="58"/>
        </w:numPr>
        <w:shd w:val="clear" w:color="auto" w:fill="F2F2F2" w:themeFill="background1" w:themeFillShade="F2"/>
        <w:spacing w:after="200" w:line="276" w:lineRule="auto"/>
        <w:jc w:val="left"/>
      </w:pPr>
      <w:r w:rsidRPr="00537FD1">
        <w:t xml:space="preserve">Are there any product types or categories falling within the definition of commercial ice makers </w:t>
      </w:r>
      <w:r>
        <w:t xml:space="preserve">(as specified in the consultation draft Regulatory Impact Analysis) </w:t>
      </w:r>
      <w:r w:rsidRPr="00537FD1">
        <w:t>that should be excluded</w:t>
      </w:r>
      <w:r>
        <w:t xml:space="preserve"> from the requirement to declare water use rates or water efficiency?</w:t>
      </w:r>
    </w:p>
    <w:p w14:paraId="23ACFA5F" w14:textId="77777777" w:rsidR="00BC3F30" w:rsidRDefault="00BC3F30" w:rsidP="00BC3F30">
      <w:pPr>
        <w:pStyle w:val="ListParagraph"/>
        <w:numPr>
          <w:ilvl w:val="0"/>
          <w:numId w:val="66"/>
        </w:numPr>
        <w:shd w:val="clear" w:color="auto" w:fill="F2F2F2" w:themeFill="background1" w:themeFillShade="F2"/>
        <w:spacing w:after="200" w:line="276" w:lineRule="auto"/>
        <w:jc w:val="left"/>
        <w:rPr>
          <w:lang w:val="en"/>
        </w:rPr>
      </w:pPr>
      <w:r>
        <w:rPr>
          <w:lang w:val="en"/>
        </w:rPr>
        <w:t>Yes</w:t>
      </w:r>
    </w:p>
    <w:p w14:paraId="3E0DCC67" w14:textId="77777777" w:rsidR="00BC3F30" w:rsidRDefault="00BC3F30" w:rsidP="00BC3F30">
      <w:pPr>
        <w:pStyle w:val="ListParagraph"/>
        <w:numPr>
          <w:ilvl w:val="0"/>
          <w:numId w:val="66"/>
        </w:numPr>
        <w:shd w:val="clear" w:color="auto" w:fill="F2F2F2" w:themeFill="background1" w:themeFillShade="F2"/>
        <w:spacing w:after="200" w:line="276" w:lineRule="auto"/>
        <w:jc w:val="left"/>
        <w:rPr>
          <w:lang w:val="en"/>
        </w:rPr>
      </w:pPr>
      <w:r>
        <w:rPr>
          <w:lang w:val="en"/>
        </w:rPr>
        <w:t>No</w:t>
      </w:r>
    </w:p>
    <w:p w14:paraId="3267669B" w14:textId="77777777" w:rsidR="00BC3F30" w:rsidRDefault="00BC3F30" w:rsidP="00BC3F30">
      <w:pPr>
        <w:pStyle w:val="ListParagraph"/>
        <w:numPr>
          <w:ilvl w:val="0"/>
          <w:numId w:val="66"/>
        </w:numPr>
        <w:shd w:val="clear" w:color="auto" w:fill="F2F2F2" w:themeFill="background1" w:themeFillShade="F2"/>
        <w:spacing w:after="200" w:line="276" w:lineRule="auto"/>
        <w:jc w:val="left"/>
        <w:rPr>
          <w:lang w:val="en"/>
        </w:rPr>
      </w:pPr>
      <w:r>
        <w:rPr>
          <w:lang w:val="en"/>
        </w:rPr>
        <w:t>Don’t know</w:t>
      </w:r>
    </w:p>
    <w:p w14:paraId="24D1F6DA" w14:textId="77777777" w:rsidR="00BA2044" w:rsidRDefault="00BA2044" w:rsidP="00BA2044">
      <w:pPr>
        <w:pStyle w:val="ListParagraph"/>
        <w:shd w:val="clear" w:color="auto" w:fill="F2F2F2" w:themeFill="background1" w:themeFillShade="F2"/>
        <w:spacing w:after="200" w:line="276" w:lineRule="auto"/>
        <w:jc w:val="left"/>
        <w:rPr>
          <w:lang w:val="en"/>
        </w:rPr>
      </w:pPr>
    </w:p>
    <w:p w14:paraId="55F639BA" w14:textId="3A497B69" w:rsidR="00BC3F30" w:rsidRDefault="00BC3F30" w:rsidP="00BC3F30">
      <w:pPr>
        <w:pStyle w:val="ListParagraph"/>
        <w:numPr>
          <w:ilvl w:val="1"/>
          <w:numId w:val="58"/>
        </w:numPr>
        <w:shd w:val="clear" w:color="auto" w:fill="F2F2F2" w:themeFill="background1" w:themeFillShade="F2"/>
        <w:spacing w:after="200" w:line="276" w:lineRule="auto"/>
        <w:jc w:val="left"/>
      </w:pPr>
      <w:r>
        <w:t>Please explain why</w:t>
      </w:r>
      <w:r w:rsidR="006863FB">
        <w:t>.</w:t>
      </w:r>
    </w:p>
    <w:p w14:paraId="6211698A" w14:textId="77777777" w:rsidR="00BC3F30" w:rsidRDefault="00BC3F30" w:rsidP="00BC3F30">
      <w:pPr>
        <w:pStyle w:val="ListParagraph"/>
        <w:spacing w:after="120"/>
      </w:pPr>
    </w:p>
    <w:p w14:paraId="7878C8A4" w14:textId="77777777" w:rsidR="006863FB" w:rsidRDefault="006863FB" w:rsidP="00BC3F30">
      <w:pPr>
        <w:pStyle w:val="ListParagraph"/>
        <w:spacing w:after="120"/>
      </w:pPr>
    </w:p>
    <w:p w14:paraId="510AAC39" w14:textId="1B2D50B2" w:rsidR="00BC3F30" w:rsidRPr="0033421E" w:rsidRDefault="00BC3F30" w:rsidP="00BC3F30">
      <w:pPr>
        <w:shd w:val="clear" w:color="auto" w:fill="F2F2F2" w:themeFill="background1" w:themeFillShade="F2"/>
        <w:rPr>
          <w:b/>
          <w:bCs/>
          <w:sz w:val="28"/>
          <w:szCs w:val="28"/>
          <w:u w:val="single"/>
          <w:lang w:val="en"/>
        </w:rPr>
      </w:pPr>
      <w:r>
        <w:rPr>
          <w:b/>
          <w:bCs/>
          <w:sz w:val="28"/>
          <w:szCs w:val="28"/>
          <w:u w:val="single"/>
          <w:lang w:val="en"/>
        </w:rPr>
        <w:lastRenderedPageBreak/>
        <w:t xml:space="preserve">Survey </w:t>
      </w:r>
      <w:r w:rsidRPr="0033421E">
        <w:rPr>
          <w:b/>
          <w:bCs/>
          <w:sz w:val="28"/>
          <w:szCs w:val="28"/>
          <w:u w:val="single"/>
          <w:lang w:val="en"/>
        </w:rPr>
        <w:t>questions</w:t>
      </w:r>
      <w:r>
        <w:rPr>
          <w:b/>
          <w:bCs/>
          <w:sz w:val="28"/>
          <w:szCs w:val="28"/>
          <w:u w:val="single"/>
          <w:lang w:val="en"/>
        </w:rPr>
        <w:t xml:space="preserve"> relating to Option 4 of </w:t>
      </w:r>
      <w:r w:rsidR="00BA2044">
        <w:rPr>
          <w:b/>
          <w:bCs/>
          <w:sz w:val="28"/>
          <w:szCs w:val="28"/>
          <w:u w:val="single"/>
          <w:lang w:val="en"/>
        </w:rPr>
        <w:t xml:space="preserve">the </w:t>
      </w:r>
      <w:r>
        <w:rPr>
          <w:b/>
          <w:bCs/>
          <w:sz w:val="28"/>
          <w:szCs w:val="28"/>
          <w:u w:val="single"/>
          <w:lang w:val="en"/>
        </w:rPr>
        <w:t>Regulatory Impact Analysis</w:t>
      </w:r>
    </w:p>
    <w:p w14:paraId="217DDF6D" w14:textId="77777777" w:rsidR="00BC3F30" w:rsidRDefault="00BC3F30" w:rsidP="00BC3F30">
      <w:pPr>
        <w:pStyle w:val="ListParagraph"/>
        <w:spacing w:after="120"/>
      </w:pPr>
    </w:p>
    <w:p w14:paraId="74F10E78" w14:textId="70D6FE46" w:rsidR="00BC3F30" w:rsidRPr="00C964FE" w:rsidRDefault="00BC3F30" w:rsidP="00BC3F30">
      <w:pPr>
        <w:pStyle w:val="ListParagraph"/>
        <w:numPr>
          <w:ilvl w:val="0"/>
          <w:numId w:val="58"/>
        </w:numPr>
        <w:shd w:val="clear" w:color="auto" w:fill="F2F2F2" w:themeFill="background1" w:themeFillShade="F2"/>
        <w:spacing w:after="200" w:line="276" w:lineRule="auto"/>
        <w:jc w:val="left"/>
      </w:pPr>
      <w:r w:rsidRPr="000D1C7E">
        <w:t xml:space="preserve">On a scale of 1 to 5, with 1 being completely unsupportive and 5 being completely supportive, please indicate how strongly you support </w:t>
      </w:r>
      <w:r w:rsidRPr="000732DE">
        <w:t xml:space="preserve">the principle that there should be </w:t>
      </w:r>
      <w:r w:rsidR="006863FB">
        <w:t>M</w:t>
      </w:r>
      <w:r>
        <w:t xml:space="preserve">inimum </w:t>
      </w:r>
      <w:r w:rsidR="006863FB">
        <w:t>W</w:t>
      </w:r>
      <w:r w:rsidRPr="000732DE">
        <w:t xml:space="preserve">ater </w:t>
      </w:r>
      <w:r w:rsidR="006863FB">
        <w:t>E</w:t>
      </w:r>
      <w:r>
        <w:t xml:space="preserve">fficiency </w:t>
      </w:r>
      <w:r w:rsidR="006863FB">
        <w:t>S</w:t>
      </w:r>
      <w:r w:rsidRPr="000732DE">
        <w:t>tandards for commercial ice makers</w:t>
      </w:r>
      <w:r>
        <w:t xml:space="preserve"> (potable water use and condenser water use [when relevant])</w:t>
      </w:r>
      <w:r w:rsidRPr="000732DE">
        <w:t>, expressed as</w:t>
      </w:r>
      <w:r>
        <w:t xml:space="preserve"> a</w:t>
      </w:r>
      <w:r w:rsidRPr="000732DE">
        <w:t xml:space="preserve"> maximum </w:t>
      </w:r>
      <w:r>
        <w:t>L</w:t>
      </w:r>
      <w:r w:rsidRPr="000732DE">
        <w:t>/kg ice in relation to production capacity</w:t>
      </w:r>
      <w:r w:rsidRPr="00367B06">
        <w:t>?</w:t>
      </w:r>
    </w:p>
    <w:p w14:paraId="5EC5026F" w14:textId="77777777" w:rsidR="00BC3F30" w:rsidRDefault="00BC3F30" w:rsidP="00BC3F30">
      <w:pPr>
        <w:pStyle w:val="ListParagraph"/>
        <w:spacing w:line="256" w:lineRule="auto"/>
      </w:pPr>
    </w:p>
    <w:tbl>
      <w:tblPr>
        <w:tblStyle w:val="TableGrid"/>
        <w:tblW w:w="9072" w:type="dxa"/>
        <w:tblInd w:w="-5" w:type="dxa"/>
        <w:tblLayout w:type="fixed"/>
        <w:tblLook w:val="04A0" w:firstRow="1" w:lastRow="0" w:firstColumn="1" w:lastColumn="0" w:noHBand="0" w:noVBand="1"/>
      </w:tblPr>
      <w:tblGrid>
        <w:gridCol w:w="1517"/>
        <w:gridCol w:w="1511"/>
        <w:gridCol w:w="1511"/>
        <w:gridCol w:w="1511"/>
        <w:gridCol w:w="1511"/>
        <w:gridCol w:w="1511"/>
      </w:tblGrid>
      <w:tr w:rsidR="00BC3F30" w:rsidRPr="00BC3F30" w14:paraId="5D349E36" w14:textId="77777777" w:rsidTr="00D42135">
        <w:tc>
          <w:tcPr>
            <w:tcW w:w="1517" w:type="dxa"/>
          </w:tcPr>
          <w:p w14:paraId="46FB4B71" w14:textId="77777777" w:rsidR="00BC3F30" w:rsidRPr="006E586F" w:rsidRDefault="00BC3F30" w:rsidP="00D42135">
            <w:pPr>
              <w:pStyle w:val="ListParagraph"/>
              <w:spacing w:line="256" w:lineRule="auto"/>
              <w:ind w:left="0"/>
              <w:jc w:val="center"/>
              <w:rPr>
                <w:sz w:val="20"/>
                <w:szCs w:val="20"/>
              </w:rPr>
            </w:pPr>
            <w:r w:rsidRPr="006E586F">
              <w:rPr>
                <w:sz w:val="20"/>
                <w:szCs w:val="20"/>
              </w:rPr>
              <w:t>1</w:t>
            </w:r>
          </w:p>
        </w:tc>
        <w:tc>
          <w:tcPr>
            <w:tcW w:w="1511" w:type="dxa"/>
          </w:tcPr>
          <w:p w14:paraId="318A1634" w14:textId="77777777" w:rsidR="00BC3F30" w:rsidRPr="006E586F" w:rsidRDefault="00BC3F30" w:rsidP="00D42135">
            <w:pPr>
              <w:pStyle w:val="ListParagraph"/>
              <w:spacing w:line="256" w:lineRule="auto"/>
              <w:ind w:left="0"/>
              <w:jc w:val="center"/>
              <w:rPr>
                <w:sz w:val="20"/>
                <w:szCs w:val="20"/>
              </w:rPr>
            </w:pPr>
            <w:r w:rsidRPr="006E586F">
              <w:rPr>
                <w:sz w:val="20"/>
                <w:szCs w:val="20"/>
              </w:rPr>
              <w:t>2</w:t>
            </w:r>
          </w:p>
        </w:tc>
        <w:tc>
          <w:tcPr>
            <w:tcW w:w="1511" w:type="dxa"/>
          </w:tcPr>
          <w:p w14:paraId="19828ECD" w14:textId="77777777" w:rsidR="00BC3F30" w:rsidRPr="006E586F" w:rsidRDefault="00BC3F30" w:rsidP="00D42135">
            <w:pPr>
              <w:pStyle w:val="ListParagraph"/>
              <w:spacing w:line="256" w:lineRule="auto"/>
              <w:ind w:left="0"/>
              <w:jc w:val="center"/>
              <w:rPr>
                <w:sz w:val="20"/>
                <w:szCs w:val="20"/>
              </w:rPr>
            </w:pPr>
            <w:r w:rsidRPr="006E586F">
              <w:rPr>
                <w:sz w:val="20"/>
                <w:szCs w:val="20"/>
              </w:rPr>
              <w:t>3</w:t>
            </w:r>
          </w:p>
        </w:tc>
        <w:tc>
          <w:tcPr>
            <w:tcW w:w="1511" w:type="dxa"/>
          </w:tcPr>
          <w:p w14:paraId="40AD1402" w14:textId="77777777" w:rsidR="00BC3F30" w:rsidRPr="006E586F" w:rsidRDefault="00BC3F30" w:rsidP="00D42135">
            <w:pPr>
              <w:pStyle w:val="ListParagraph"/>
              <w:spacing w:line="256" w:lineRule="auto"/>
              <w:ind w:left="0"/>
              <w:jc w:val="center"/>
              <w:rPr>
                <w:sz w:val="20"/>
                <w:szCs w:val="20"/>
              </w:rPr>
            </w:pPr>
            <w:r w:rsidRPr="006E586F">
              <w:rPr>
                <w:sz w:val="20"/>
                <w:szCs w:val="20"/>
              </w:rPr>
              <w:t>4</w:t>
            </w:r>
          </w:p>
        </w:tc>
        <w:tc>
          <w:tcPr>
            <w:tcW w:w="1511" w:type="dxa"/>
          </w:tcPr>
          <w:p w14:paraId="4AE559C8" w14:textId="77777777" w:rsidR="00BC3F30" w:rsidRPr="006E586F" w:rsidRDefault="00BC3F30" w:rsidP="00D42135">
            <w:pPr>
              <w:pStyle w:val="ListParagraph"/>
              <w:spacing w:line="256" w:lineRule="auto"/>
              <w:ind w:left="0"/>
              <w:jc w:val="center"/>
              <w:rPr>
                <w:sz w:val="20"/>
                <w:szCs w:val="20"/>
              </w:rPr>
            </w:pPr>
            <w:r w:rsidRPr="006E586F">
              <w:rPr>
                <w:sz w:val="20"/>
                <w:szCs w:val="20"/>
              </w:rPr>
              <w:t>5</w:t>
            </w:r>
          </w:p>
        </w:tc>
        <w:tc>
          <w:tcPr>
            <w:tcW w:w="1511" w:type="dxa"/>
          </w:tcPr>
          <w:p w14:paraId="5BB22B51" w14:textId="77777777" w:rsidR="00BC3F30" w:rsidRPr="006E586F" w:rsidRDefault="00BC3F30" w:rsidP="00D42135">
            <w:pPr>
              <w:pStyle w:val="ListParagraph"/>
              <w:spacing w:line="256" w:lineRule="auto"/>
              <w:ind w:left="0"/>
              <w:jc w:val="center"/>
              <w:rPr>
                <w:sz w:val="20"/>
                <w:szCs w:val="20"/>
              </w:rPr>
            </w:pPr>
            <w:r w:rsidRPr="006E586F">
              <w:rPr>
                <w:sz w:val="20"/>
                <w:szCs w:val="20"/>
              </w:rPr>
              <w:t>6</w:t>
            </w:r>
          </w:p>
        </w:tc>
      </w:tr>
      <w:tr w:rsidR="00BC3F30" w:rsidRPr="00BC3F30" w14:paraId="67AA2B63" w14:textId="77777777" w:rsidTr="00D42135">
        <w:tc>
          <w:tcPr>
            <w:tcW w:w="1517" w:type="dxa"/>
          </w:tcPr>
          <w:p w14:paraId="46A66B03" w14:textId="77777777" w:rsidR="00BC3F30" w:rsidRPr="006E586F" w:rsidRDefault="00BC3F30" w:rsidP="00D42135">
            <w:pPr>
              <w:pStyle w:val="ListParagraph"/>
              <w:spacing w:line="256" w:lineRule="auto"/>
              <w:ind w:left="0"/>
              <w:jc w:val="center"/>
              <w:rPr>
                <w:sz w:val="20"/>
                <w:szCs w:val="20"/>
              </w:rPr>
            </w:pPr>
            <w:r w:rsidRPr="006E586F">
              <w:rPr>
                <w:sz w:val="20"/>
                <w:szCs w:val="20"/>
              </w:rPr>
              <w:t>Completely unsupportive</w:t>
            </w:r>
          </w:p>
        </w:tc>
        <w:tc>
          <w:tcPr>
            <w:tcW w:w="1511" w:type="dxa"/>
          </w:tcPr>
          <w:p w14:paraId="7964336B" w14:textId="77777777" w:rsidR="00BC3F30" w:rsidRPr="006E586F" w:rsidRDefault="00BC3F30" w:rsidP="00D42135">
            <w:pPr>
              <w:pStyle w:val="ListParagraph"/>
              <w:spacing w:line="256" w:lineRule="auto"/>
              <w:ind w:left="0"/>
              <w:jc w:val="center"/>
              <w:rPr>
                <w:sz w:val="20"/>
                <w:szCs w:val="20"/>
              </w:rPr>
            </w:pPr>
            <w:r w:rsidRPr="006E586F">
              <w:rPr>
                <w:sz w:val="20"/>
                <w:szCs w:val="20"/>
              </w:rPr>
              <w:t>Unsupportive</w:t>
            </w:r>
          </w:p>
        </w:tc>
        <w:tc>
          <w:tcPr>
            <w:tcW w:w="1511" w:type="dxa"/>
          </w:tcPr>
          <w:p w14:paraId="14158E34" w14:textId="77777777" w:rsidR="00BC3F30" w:rsidRPr="006E586F" w:rsidRDefault="00BC3F30" w:rsidP="00D42135">
            <w:pPr>
              <w:pStyle w:val="ListParagraph"/>
              <w:spacing w:line="256" w:lineRule="auto"/>
              <w:ind w:left="0"/>
              <w:jc w:val="center"/>
              <w:rPr>
                <w:sz w:val="20"/>
                <w:szCs w:val="20"/>
              </w:rPr>
            </w:pPr>
            <w:r w:rsidRPr="006E586F">
              <w:rPr>
                <w:sz w:val="20"/>
                <w:szCs w:val="20"/>
              </w:rPr>
              <w:t>Neutral</w:t>
            </w:r>
          </w:p>
        </w:tc>
        <w:tc>
          <w:tcPr>
            <w:tcW w:w="1511" w:type="dxa"/>
          </w:tcPr>
          <w:p w14:paraId="19FD1DF6" w14:textId="77777777" w:rsidR="00BC3F30" w:rsidRPr="006E586F" w:rsidRDefault="00BC3F30" w:rsidP="00D42135">
            <w:pPr>
              <w:pStyle w:val="ListParagraph"/>
              <w:spacing w:line="256" w:lineRule="auto"/>
              <w:ind w:left="0"/>
              <w:jc w:val="center"/>
              <w:rPr>
                <w:sz w:val="20"/>
                <w:szCs w:val="20"/>
              </w:rPr>
            </w:pPr>
            <w:r w:rsidRPr="006E586F">
              <w:rPr>
                <w:sz w:val="20"/>
                <w:szCs w:val="20"/>
              </w:rPr>
              <w:t xml:space="preserve">Supportive </w:t>
            </w:r>
          </w:p>
        </w:tc>
        <w:tc>
          <w:tcPr>
            <w:tcW w:w="1511" w:type="dxa"/>
          </w:tcPr>
          <w:p w14:paraId="1E731B45" w14:textId="77777777" w:rsidR="00BC3F30" w:rsidRPr="006E586F" w:rsidRDefault="00BC3F30" w:rsidP="00D42135">
            <w:pPr>
              <w:pStyle w:val="ListParagraph"/>
              <w:spacing w:line="256" w:lineRule="auto"/>
              <w:ind w:left="0"/>
              <w:jc w:val="center"/>
              <w:rPr>
                <w:sz w:val="20"/>
                <w:szCs w:val="20"/>
              </w:rPr>
            </w:pPr>
            <w:r w:rsidRPr="006E586F">
              <w:rPr>
                <w:sz w:val="20"/>
                <w:szCs w:val="20"/>
              </w:rPr>
              <w:t>Completely supportive</w:t>
            </w:r>
          </w:p>
        </w:tc>
        <w:tc>
          <w:tcPr>
            <w:tcW w:w="1511" w:type="dxa"/>
          </w:tcPr>
          <w:p w14:paraId="40E9E2AF" w14:textId="77777777" w:rsidR="00BC3F30" w:rsidRPr="006E586F" w:rsidRDefault="00BC3F30" w:rsidP="00D42135">
            <w:pPr>
              <w:pStyle w:val="ListParagraph"/>
              <w:spacing w:line="256" w:lineRule="auto"/>
              <w:ind w:left="0"/>
              <w:jc w:val="center"/>
              <w:rPr>
                <w:sz w:val="20"/>
                <w:szCs w:val="20"/>
              </w:rPr>
            </w:pPr>
            <w:r w:rsidRPr="006E586F">
              <w:rPr>
                <w:sz w:val="20"/>
                <w:szCs w:val="20"/>
              </w:rPr>
              <w:t>Don’t know</w:t>
            </w:r>
          </w:p>
        </w:tc>
      </w:tr>
    </w:tbl>
    <w:p w14:paraId="064F70AD" w14:textId="77777777" w:rsidR="00BC3F30" w:rsidRDefault="00BC3F30" w:rsidP="00BC3F30">
      <w:pPr>
        <w:pStyle w:val="ListParagraph"/>
        <w:spacing w:line="256" w:lineRule="auto"/>
      </w:pPr>
    </w:p>
    <w:p w14:paraId="30A24C0E" w14:textId="4D073272" w:rsidR="00BC3F30" w:rsidRDefault="00BC3F30" w:rsidP="00BC3F30">
      <w:pPr>
        <w:pStyle w:val="ListParagraph"/>
        <w:numPr>
          <w:ilvl w:val="1"/>
          <w:numId w:val="58"/>
        </w:numPr>
        <w:shd w:val="clear" w:color="auto" w:fill="F2F2F2" w:themeFill="background1" w:themeFillShade="F2"/>
        <w:spacing w:after="200" w:line="276" w:lineRule="auto"/>
        <w:jc w:val="left"/>
      </w:pPr>
      <w:r>
        <w:t>Please explain why.</w:t>
      </w:r>
    </w:p>
    <w:p w14:paraId="5D4C7932" w14:textId="77777777" w:rsidR="00BC3F30" w:rsidRDefault="00BC3F30" w:rsidP="00BC3F30">
      <w:pPr>
        <w:pStyle w:val="ListParagraph"/>
        <w:spacing w:line="256" w:lineRule="auto"/>
        <w:ind w:left="1080"/>
      </w:pPr>
    </w:p>
    <w:p w14:paraId="59D25146" w14:textId="4884BD42" w:rsidR="00BC3F30" w:rsidRDefault="00BC3F30" w:rsidP="00BC3F30">
      <w:pPr>
        <w:pStyle w:val="ListParagraph"/>
        <w:numPr>
          <w:ilvl w:val="0"/>
          <w:numId w:val="58"/>
        </w:numPr>
        <w:shd w:val="clear" w:color="auto" w:fill="F2F2F2" w:themeFill="background1" w:themeFillShade="F2"/>
        <w:spacing w:after="200" w:line="276" w:lineRule="auto"/>
        <w:jc w:val="left"/>
      </w:pPr>
      <w:r>
        <w:t xml:space="preserve">If </w:t>
      </w:r>
      <w:r w:rsidR="006863FB">
        <w:t>M</w:t>
      </w:r>
      <w:r>
        <w:t xml:space="preserve">inimum </w:t>
      </w:r>
      <w:r w:rsidR="006863FB">
        <w:t>W</w:t>
      </w:r>
      <w:r>
        <w:t xml:space="preserve">ater </w:t>
      </w:r>
      <w:r w:rsidR="006863FB">
        <w:t>E</w:t>
      </w:r>
      <w:r>
        <w:t xml:space="preserve">fficiency </w:t>
      </w:r>
      <w:r w:rsidR="006863FB">
        <w:t>S</w:t>
      </w:r>
      <w:r>
        <w:t xml:space="preserve">tandards were adopted for </w:t>
      </w:r>
      <w:r w:rsidRPr="00C964FE">
        <w:t>potable</w:t>
      </w:r>
      <w:r>
        <w:t xml:space="preserve"> water consumption, should they be:</w:t>
      </w:r>
    </w:p>
    <w:p w14:paraId="7484C9A9" w14:textId="77777777" w:rsidR="00BC3F30" w:rsidRPr="00342AAC" w:rsidRDefault="00BC3F30" w:rsidP="00BC3F30">
      <w:pPr>
        <w:pStyle w:val="ListParagraph"/>
        <w:numPr>
          <w:ilvl w:val="0"/>
          <w:numId w:val="67"/>
        </w:numPr>
        <w:shd w:val="clear" w:color="auto" w:fill="F2F2F2" w:themeFill="background1" w:themeFillShade="F2"/>
        <w:spacing w:after="200" w:line="276" w:lineRule="auto"/>
        <w:jc w:val="left"/>
        <w:rPr>
          <w:lang w:val="en"/>
        </w:rPr>
      </w:pPr>
      <w:r w:rsidRPr="00342AAC">
        <w:rPr>
          <w:lang w:val="en"/>
        </w:rPr>
        <w:t>The same as the commercial ice maker water use standards adopted by the US Energy Star program?</w:t>
      </w:r>
    </w:p>
    <w:p w14:paraId="2539536E" w14:textId="77777777" w:rsidR="00BC3F30" w:rsidRPr="00342AAC" w:rsidRDefault="00BC3F30" w:rsidP="00BC3F30">
      <w:pPr>
        <w:pStyle w:val="ListParagraph"/>
        <w:numPr>
          <w:ilvl w:val="0"/>
          <w:numId w:val="67"/>
        </w:numPr>
        <w:shd w:val="clear" w:color="auto" w:fill="F2F2F2" w:themeFill="background1" w:themeFillShade="F2"/>
        <w:spacing w:after="200" w:line="276" w:lineRule="auto"/>
        <w:jc w:val="left"/>
        <w:rPr>
          <w:lang w:val="en"/>
        </w:rPr>
      </w:pPr>
      <w:r w:rsidRPr="00342AAC">
        <w:rPr>
          <w:lang w:val="en"/>
        </w:rPr>
        <w:t>Less stringent (</w:t>
      </w:r>
      <w:r w:rsidRPr="00CB70C5">
        <w:rPr>
          <w:lang w:val="en"/>
        </w:rPr>
        <w:t>i.e.</w:t>
      </w:r>
      <w:r w:rsidRPr="00342AAC">
        <w:rPr>
          <w:lang w:val="en"/>
        </w:rPr>
        <w:t xml:space="preserve"> allow</w:t>
      </w:r>
      <w:r>
        <w:rPr>
          <w:lang w:val="en"/>
        </w:rPr>
        <w:t xml:space="preserve"> for</w:t>
      </w:r>
      <w:r w:rsidRPr="00342AAC">
        <w:rPr>
          <w:lang w:val="en"/>
        </w:rPr>
        <w:t xml:space="preserve"> more potable water use per kg ice)?</w:t>
      </w:r>
    </w:p>
    <w:p w14:paraId="23426054" w14:textId="77777777" w:rsidR="00BC3F30" w:rsidRPr="00C964FE" w:rsidRDefault="00BC3F30" w:rsidP="00BC3F30">
      <w:pPr>
        <w:pStyle w:val="ListParagraph"/>
        <w:numPr>
          <w:ilvl w:val="0"/>
          <w:numId w:val="67"/>
        </w:numPr>
        <w:shd w:val="clear" w:color="auto" w:fill="F2F2F2" w:themeFill="background1" w:themeFillShade="F2"/>
        <w:spacing w:after="200" w:line="276" w:lineRule="auto"/>
        <w:jc w:val="left"/>
        <w:rPr>
          <w:lang w:val="en"/>
        </w:rPr>
      </w:pPr>
      <w:r w:rsidRPr="00342AAC">
        <w:rPr>
          <w:lang w:val="en"/>
        </w:rPr>
        <w:t>More stringent (</w:t>
      </w:r>
      <w:r w:rsidRPr="00CB70C5">
        <w:rPr>
          <w:lang w:val="en"/>
        </w:rPr>
        <w:t>i.e.</w:t>
      </w:r>
      <w:r w:rsidRPr="00342AAC">
        <w:rPr>
          <w:lang w:val="en"/>
        </w:rPr>
        <w:t xml:space="preserve"> allow </w:t>
      </w:r>
      <w:r>
        <w:rPr>
          <w:lang w:val="en"/>
        </w:rPr>
        <w:t xml:space="preserve">for </w:t>
      </w:r>
      <w:r w:rsidRPr="00342AAC">
        <w:rPr>
          <w:lang w:val="en"/>
        </w:rPr>
        <w:t>less potable water use per kg ice)?</w:t>
      </w:r>
    </w:p>
    <w:p w14:paraId="4476474A" w14:textId="77777777" w:rsidR="00BC3F30" w:rsidRPr="00C964FE" w:rsidRDefault="00BC3F30" w:rsidP="00BC3F30">
      <w:pPr>
        <w:pStyle w:val="ListParagraph"/>
        <w:numPr>
          <w:ilvl w:val="0"/>
          <w:numId w:val="67"/>
        </w:numPr>
        <w:shd w:val="clear" w:color="auto" w:fill="F2F2F2" w:themeFill="background1" w:themeFillShade="F2"/>
        <w:spacing w:after="200" w:line="276" w:lineRule="auto"/>
        <w:jc w:val="left"/>
        <w:rPr>
          <w:lang w:val="en"/>
        </w:rPr>
      </w:pPr>
      <w:r>
        <w:rPr>
          <w:lang w:val="en"/>
        </w:rPr>
        <w:t>Unsure</w:t>
      </w:r>
    </w:p>
    <w:p w14:paraId="0899B462" w14:textId="77777777" w:rsidR="00BC3F30" w:rsidRPr="000D3F53" w:rsidRDefault="00BC3F30" w:rsidP="00BC3F30">
      <w:pPr>
        <w:pStyle w:val="ListParagraph"/>
        <w:shd w:val="clear" w:color="auto" w:fill="F2F2F2" w:themeFill="background1" w:themeFillShade="F2"/>
        <w:ind w:left="1440"/>
      </w:pPr>
    </w:p>
    <w:p w14:paraId="0BA9C68E" w14:textId="3F051495" w:rsidR="00BC3F30" w:rsidRPr="0091260B" w:rsidRDefault="00BC3F30" w:rsidP="00BC3F30">
      <w:pPr>
        <w:pStyle w:val="ListParagraph"/>
        <w:numPr>
          <w:ilvl w:val="0"/>
          <w:numId w:val="58"/>
        </w:numPr>
        <w:shd w:val="clear" w:color="auto" w:fill="F2F2F2" w:themeFill="background1" w:themeFillShade="F2"/>
        <w:spacing w:after="200" w:line="276" w:lineRule="auto"/>
        <w:jc w:val="left"/>
      </w:pPr>
      <w:r w:rsidRPr="0091260B">
        <w:t xml:space="preserve">If </w:t>
      </w:r>
      <w:r w:rsidR="006863FB">
        <w:t>Minimum W</w:t>
      </w:r>
      <w:r w:rsidRPr="0091260B">
        <w:t xml:space="preserve">ater </w:t>
      </w:r>
      <w:r w:rsidR="006863FB">
        <w:t>E</w:t>
      </w:r>
      <w:r w:rsidRPr="0091260B">
        <w:t xml:space="preserve">fficiency </w:t>
      </w:r>
      <w:r w:rsidR="006863FB">
        <w:t>S</w:t>
      </w:r>
      <w:r w:rsidRPr="0091260B">
        <w:t xml:space="preserve">tandards </w:t>
      </w:r>
      <w:r>
        <w:t xml:space="preserve">were </w:t>
      </w:r>
      <w:r w:rsidRPr="0091260B">
        <w:t xml:space="preserve">adopted for </w:t>
      </w:r>
      <w:r w:rsidRPr="00C964FE">
        <w:t xml:space="preserve">condenser </w:t>
      </w:r>
      <w:r w:rsidRPr="0091260B">
        <w:t>water consumption, should they be:</w:t>
      </w:r>
    </w:p>
    <w:p w14:paraId="0B32FCD9" w14:textId="77777777" w:rsidR="00BC3F30" w:rsidRPr="00342AAC" w:rsidRDefault="00BC3F30" w:rsidP="00BC3F30">
      <w:pPr>
        <w:pStyle w:val="ListParagraph"/>
        <w:numPr>
          <w:ilvl w:val="0"/>
          <w:numId w:val="68"/>
        </w:numPr>
        <w:shd w:val="clear" w:color="auto" w:fill="F2F2F2" w:themeFill="background1" w:themeFillShade="F2"/>
        <w:spacing w:after="200" w:line="276" w:lineRule="auto"/>
        <w:jc w:val="left"/>
        <w:rPr>
          <w:lang w:val="en"/>
        </w:rPr>
      </w:pPr>
      <w:r w:rsidRPr="00342AAC">
        <w:rPr>
          <w:lang w:val="en"/>
        </w:rPr>
        <w:t>The same as the commercial ice maker water use standards adopted by the US Department of Energy?</w:t>
      </w:r>
    </w:p>
    <w:p w14:paraId="3E1ABA58" w14:textId="77777777" w:rsidR="00BC3F30" w:rsidRPr="00342AAC" w:rsidRDefault="00BC3F30" w:rsidP="00BC3F30">
      <w:pPr>
        <w:pStyle w:val="ListParagraph"/>
        <w:numPr>
          <w:ilvl w:val="0"/>
          <w:numId w:val="68"/>
        </w:numPr>
        <w:shd w:val="clear" w:color="auto" w:fill="F2F2F2" w:themeFill="background1" w:themeFillShade="F2"/>
        <w:spacing w:after="200" w:line="276" w:lineRule="auto"/>
        <w:jc w:val="left"/>
        <w:rPr>
          <w:lang w:val="en"/>
        </w:rPr>
      </w:pPr>
      <w:r w:rsidRPr="00342AAC">
        <w:rPr>
          <w:lang w:val="en"/>
        </w:rPr>
        <w:t xml:space="preserve">Less stringent (i.e. allow </w:t>
      </w:r>
      <w:r>
        <w:rPr>
          <w:lang w:val="en"/>
        </w:rPr>
        <w:t xml:space="preserve">for </w:t>
      </w:r>
      <w:r w:rsidRPr="00342AAC">
        <w:rPr>
          <w:lang w:val="en"/>
        </w:rPr>
        <w:t>more condenser water use per kg ice)?</w:t>
      </w:r>
    </w:p>
    <w:p w14:paraId="226B8D93" w14:textId="77777777" w:rsidR="00BC3F30" w:rsidRPr="00342AAC" w:rsidRDefault="00BC3F30" w:rsidP="00BC3F30">
      <w:pPr>
        <w:pStyle w:val="ListParagraph"/>
        <w:numPr>
          <w:ilvl w:val="0"/>
          <w:numId w:val="68"/>
        </w:numPr>
        <w:shd w:val="clear" w:color="auto" w:fill="F2F2F2" w:themeFill="background1" w:themeFillShade="F2"/>
        <w:spacing w:after="200" w:line="276" w:lineRule="auto"/>
        <w:jc w:val="left"/>
        <w:rPr>
          <w:lang w:val="en"/>
        </w:rPr>
      </w:pPr>
      <w:r w:rsidRPr="00342AAC">
        <w:rPr>
          <w:lang w:val="en"/>
        </w:rPr>
        <w:t xml:space="preserve">More stringent (i.e. allow </w:t>
      </w:r>
      <w:r>
        <w:rPr>
          <w:lang w:val="en"/>
        </w:rPr>
        <w:t xml:space="preserve">for </w:t>
      </w:r>
      <w:r w:rsidRPr="00342AAC">
        <w:rPr>
          <w:lang w:val="en"/>
        </w:rPr>
        <w:t>less condenser water use per kg ice)?</w:t>
      </w:r>
    </w:p>
    <w:p w14:paraId="1322FE72" w14:textId="77777777" w:rsidR="00BC3F30" w:rsidRDefault="00BC3F30" w:rsidP="00BC3F30">
      <w:pPr>
        <w:pStyle w:val="ListParagraph"/>
        <w:numPr>
          <w:ilvl w:val="0"/>
          <w:numId w:val="68"/>
        </w:numPr>
        <w:shd w:val="clear" w:color="auto" w:fill="F2F2F2" w:themeFill="background1" w:themeFillShade="F2"/>
        <w:spacing w:after="200" w:line="276" w:lineRule="auto"/>
        <w:jc w:val="left"/>
        <w:rPr>
          <w:lang w:val="en"/>
        </w:rPr>
      </w:pPr>
      <w:r>
        <w:rPr>
          <w:lang w:val="en"/>
        </w:rPr>
        <w:t>Not sure</w:t>
      </w:r>
    </w:p>
    <w:p w14:paraId="40881E2D" w14:textId="77777777" w:rsidR="00BC3F30" w:rsidRPr="000D3F53" w:rsidRDefault="00BC3F30" w:rsidP="00BC3F30">
      <w:pPr>
        <w:pStyle w:val="ListParagraph"/>
        <w:shd w:val="clear" w:color="auto" w:fill="F2F2F2" w:themeFill="background1" w:themeFillShade="F2"/>
        <w:ind w:left="1440"/>
        <w:rPr>
          <w:lang w:val="en"/>
        </w:rPr>
      </w:pPr>
    </w:p>
    <w:p w14:paraId="40FA781E" w14:textId="33FF03BD" w:rsidR="00BC3F30" w:rsidRDefault="00BC3F30" w:rsidP="00BC3F30">
      <w:pPr>
        <w:pStyle w:val="ListParagraph"/>
        <w:numPr>
          <w:ilvl w:val="0"/>
          <w:numId w:val="58"/>
        </w:numPr>
        <w:shd w:val="clear" w:color="auto" w:fill="F2F2F2" w:themeFill="background1" w:themeFillShade="F2"/>
        <w:spacing w:after="200" w:line="276" w:lineRule="auto"/>
        <w:jc w:val="left"/>
      </w:pPr>
      <w:r>
        <w:t>A</w:t>
      </w:r>
      <w:r w:rsidRPr="00EB0DCF">
        <w:t xml:space="preserve">re there any product types or categories falling within the definition of commercial ice makers </w:t>
      </w:r>
      <w:r>
        <w:t xml:space="preserve">(as specified in the Regulatory Impact Analysis) </w:t>
      </w:r>
      <w:r w:rsidRPr="00EB0DCF">
        <w:t>that should be excluded</w:t>
      </w:r>
      <w:r>
        <w:t xml:space="preserve"> from </w:t>
      </w:r>
      <w:r w:rsidR="006863FB">
        <w:t>M</w:t>
      </w:r>
      <w:r>
        <w:t xml:space="preserve">inimum </w:t>
      </w:r>
      <w:r w:rsidR="006863FB">
        <w:t>W</w:t>
      </w:r>
      <w:r>
        <w:t xml:space="preserve">ater </w:t>
      </w:r>
      <w:r w:rsidR="006863FB">
        <w:t>E</w:t>
      </w:r>
      <w:r>
        <w:t xml:space="preserve">fficiency </w:t>
      </w:r>
      <w:r w:rsidR="006863FB">
        <w:t>S</w:t>
      </w:r>
      <w:r>
        <w:t>tandards</w:t>
      </w:r>
      <w:r w:rsidRPr="00EB0DCF">
        <w:t>?</w:t>
      </w:r>
    </w:p>
    <w:p w14:paraId="63DEF395" w14:textId="77777777" w:rsidR="00BC3F30" w:rsidRDefault="00BC3F30" w:rsidP="00BC3F30">
      <w:pPr>
        <w:pStyle w:val="ListParagraph"/>
        <w:numPr>
          <w:ilvl w:val="0"/>
          <w:numId w:val="69"/>
        </w:numPr>
        <w:shd w:val="clear" w:color="auto" w:fill="F2F2F2" w:themeFill="background1" w:themeFillShade="F2"/>
        <w:spacing w:after="200" w:line="276" w:lineRule="auto"/>
        <w:jc w:val="left"/>
        <w:rPr>
          <w:lang w:val="en"/>
        </w:rPr>
      </w:pPr>
      <w:r>
        <w:rPr>
          <w:lang w:val="en"/>
        </w:rPr>
        <w:t>Yes</w:t>
      </w:r>
    </w:p>
    <w:p w14:paraId="7B338F6A" w14:textId="77777777" w:rsidR="00BC3F30" w:rsidRDefault="00BC3F30" w:rsidP="00BC3F30">
      <w:pPr>
        <w:pStyle w:val="ListParagraph"/>
        <w:numPr>
          <w:ilvl w:val="0"/>
          <w:numId w:val="69"/>
        </w:numPr>
        <w:shd w:val="clear" w:color="auto" w:fill="F2F2F2" w:themeFill="background1" w:themeFillShade="F2"/>
        <w:spacing w:after="200" w:line="276" w:lineRule="auto"/>
        <w:jc w:val="left"/>
        <w:rPr>
          <w:lang w:val="en"/>
        </w:rPr>
      </w:pPr>
      <w:r>
        <w:rPr>
          <w:lang w:val="en"/>
        </w:rPr>
        <w:t>No</w:t>
      </w:r>
    </w:p>
    <w:p w14:paraId="0411D21E" w14:textId="77777777" w:rsidR="00BC3F30" w:rsidRDefault="00BC3F30" w:rsidP="00BC3F30">
      <w:pPr>
        <w:pStyle w:val="ListParagraph"/>
        <w:numPr>
          <w:ilvl w:val="0"/>
          <w:numId w:val="69"/>
        </w:numPr>
        <w:shd w:val="clear" w:color="auto" w:fill="F2F2F2" w:themeFill="background1" w:themeFillShade="F2"/>
        <w:spacing w:after="200" w:line="276" w:lineRule="auto"/>
        <w:jc w:val="left"/>
        <w:rPr>
          <w:lang w:val="en"/>
        </w:rPr>
      </w:pPr>
      <w:r>
        <w:rPr>
          <w:lang w:val="en"/>
        </w:rPr>
        <w:t>Don’t know</w:t>
      </w:r>
    </w:p>
    <w:p w14:paraId="3B982D19" w14:textId="77777777" w:rsidR="00BA2044" w:rsidRDefault="00BA2044" w:rsidP="00BA2044">
      <w:pPr>
        <w:pStyle w:val="ListParagraph"/>
        <w:shd w:val="clear" w:color="auto" w:fill="F2F2F2" w:themeFill="background1" w:themeFillShade="F2"/>
        <w:spacing w:after="200" w:line="276" w:lineRule="auto"/>
        <w:jc w:val="left"/>
        <w:rPr>
          <w:lang w:val="en"/>
        </w:rPr>
      </w:pPr>
    </w:p>
    <w:p w14:paraId="0635BBE5" w14:textId="323A19CB" w:rsidR="00BC3F30" w:rsidRDefault="00BC3F30" w:rsidP="00BC3F30">
      <w:pPr>
        <w:pStyle w:val="ListParagraph"/>
        <w:spacing w:after="120"/>
      </w:pPr>
      <w:r>
        <w:t>15.1 Please explain why</w:t>
      </w:r>
      <w:r w:rsidR="00BA2044">
        <w:t>.</w:t>
      </w:r>
    </w:p>
    <w:p w14:paraId="5675F850" w14:textId="77777777" w:rsidR="00BC3F30" w:rsidRDefault="00BC3F30" w:rsidP="00BC3F30">
      <w:pPr>
        <w:pStyle w:val="ListParagraph"/>
        <w:spacing w:after="120"/>
      </w:pPr>
    </w:p>
    <w:p w14:paraId="06C3F0C7" w14:textId="77777777" w:rsidR="00BC3F30" w:rsidRPr="0033421E" w:rsidRDefault="00BC3F30" w:rsidP="00BC3F30">
      <w:pPr>
        <w:shd w:val="clear" w:color="auto" w:fill="F2F2F2" w:themeFill="background1" w:themeFillShade="F2"/>
        <w:rPr>
          <w:b/>
          <w:bCs/>
          <w:sz w:val="28"/>
          <w:szCs w:val="28"/>
          <w:u w:val="single"/>
          <w:lang w:val="en"/>
        </w:rPr>
      </w:pPr>
      <w:r>
        <w:rPr>
          <w:b/>
          <w:bCs/>
          <w:sz w:val="28"/>
          <w:szCs w:val="28"/>
          <w:u w:val="single"/>
          <w:lang w:val="en"/>
        </w:rPr>
        <w:lastRenderedPageBreak/>
        <w:t xml:space="preserve">Closing survey </w:t>
      </w:r>
      <w:r w:rsidRPr="0033421E">
        <w:rPr>
          <w:b/>
          <w:bCs/>
          <w:sz w:val="28"/>
          <w:szCs w:val="28"/>
          <w:u w:val="single"/>
          <w:lang w:val="en"/>
        </w:rPr>
        <w:t>questions</w:t>
      </w:r>
    </w:p>
    <w:p w14:paraId="25F8C25C" w14:textId="77777777" w:rsidR="00BC3F30" w:rsidRPr="00537FD1" w:rsidRDefault="00BC3F30" w:rsidP="00BC3F30">
      <w:pPr>
        <w:pStyle w:val="ListParagraph"/>
        <w:spacing w:after="120"/>
      </w:pPr>
    </w:p>
    <w:p w14:paraId="53450283" w14:textId="1B3CD646" w:rsidR="00BC3F30" w:rsidRPr="00C964FE" w:rsidRDefault="00BC3F30" w:rsidP="00BC3F30">
      <w:pPr>
        <w:pStyle w:val="ListParagraph"/>
        <w:numPr>
          <w:ilvl w:val="0"/>
          <w:numId w:val="58"/>
        </w:numPr>
        <w:shd w:val="clear" w:color="auto" w:fill="F2F2F2" w:themeFill="background1" w:themeFillShade="F2"/>
        <w:spacing w:after="200" w:line="276" w:lineRule="auto"/>
        <w:jc w:val="left"/>
      </w:pPr>
      <w:r w:rsidRPr="00537FD1">
        <w:t>Do you agree with the assumptions in the Regulatory Impact Analysis regarding market size, water</w:t>
      </w:r>
      <w:r>
        <w:t xml:space="preserve"> use, water</w:t>
      </w:r>
      <w:r w:rsidRPr="00537FD1">
        <w:t xml:space="preserve"> efficiency, costs or any other aspects of the analysis?</w:t>
      </w:r>
    </w:p>
    <w:p w14:paraId="197E332F" w14:textId="77777777" w:rsidR="00BC3F30" w:rsidRPr="00537FD1" w:rsidRDefault="00BC3F30" w:rsidP="00BC3F30">
      <w:pPr>
        <w:pStyle w:val="ListParagraph"/>
        <w:numPr>
          <w:ilvl w:val="0"/>
          <w:numId w:val="70"/>
        </w:numPr>
        <w:shd w:val="clear" w:color="auto" w:fill="F2F2F2" w:themeFill="background1" w:themeFillShade="F2"/>
        <w:spacing w:after="200" w:line="276" w:lineRule="auto"/>
        <w:jc w:val="left"/>
        <w:rPr>
          <w:lang w:val="en"/>
        </w:rPr>
      </w:pPr>
      <w:r w:rsidRPr="00537FD1">
        <w:rPr>
          <w:lang w:val="en"/>
        </w:rPr>
        <w:t>Agree</w:t>
      </w:r>
    </w:p>
    <w:p w14:paraId="197E5284" w14:textId="77777777" w:rsidR="00BC3F30" w:rsidRDefault="00BC3F30" w:rsidP="00BC3F30">
      <w:pPr>
        <w:pStyle w:val="ListParagraph"/>
        <w:numPr>
          <w:ilvl w:val="0"/>
          <w:numId w:val="70"/>
        </w:numPr>
        <w:shd w:val="clear" w:color="auto" w:fill="F2F2F2" w:themeFill="background1" w:themeFillShade="F2"/>
        <w:spacing w:after="200" w:line="276" w:lineRule="auto"/>
        <w:jc w:val="left"/>
        <w:rPr>
          <w:lang w:val="en"/>
        </w:rPr>
      </w:pPr>
      <w:r w:rsidRPr="00537FD1">
        <w:rPr>
          <w:lang w:val="en"/>
        </w:rPr>
        <w:t>Don’t agree</w:t>
      </w:r>
    </w:p>
    <w:p w14:paraId="1E304D86" w14:textId="77777777" w:rsidR="00BC3F30" w:rsidRPr="000D3F53" w:rsidRDefault="00BC3F30" w:rsidP="00BC3F30">
      <w:pPr>
        <w:pStyle w:val="ListParagraph"/>
        <w:shd w:val="clear" w:color="auto" w:fill="F2F2F2" w:themeFill="background1" w:themeFillShade="F2"/>
        <w:ind w:left="1440"/>
        <w:rPr>
          <w:lang w:val="en"/>
        </w:rPr>
      </w:pPr>
    </w:p>
    <w:p w14:paraId="25C3F26F" w14:textId="3FF6F734" w:rsidR="00BC3F30" w:rsidRDefault="00BC3F30" w:rsidP="00BC3F30">
      <w:pPr>
        <w:pStyle w:val="ListParagraph"/>
        <w:numPr>
          <w:ilvl w:val="1"/>
          <w:numId w:val="58"/>
        </w:numPr>
        <w:shd w:val="clear" w:color="auto" w:fill="F2F2F2" w:themeFill="background1" w:themeFillShade="F2"/>
        <w:spacing w:after="200" w:line="276" w:lineRule="auto"/>
        <w:jc w:val="left"/>
      </w:pPr>
      <w:r>
        <w:t>Please explain why and if possible, provide additional data or information on any of the assumptions.</w:t>
      </w:r>
    </w:p>
    <w:p w14:paraId="69385CA5" w14:textId="77777777" w:rsidR="00BC3F30" w:rsidRDefault="00BC3F30" w:rsidP="00BC3F30">
      <w:pPr>
        <w:pStyle w:val="ListParagraph"/>
        <w:spacing w:after="120"/>
      </w:pPr>
    </w:p>
    <w:p w14:paraId="31D7E880" w14:textId="77777777" w:rsidR="00BA2044" w:rsidRDefault="00BA2044" w:rsidP="00BA2044">
      <w:pPr>
        <w:pStyle w:val="ListParagraph"/>
        <w:numPr>
          <w:ilvl w:val="0"/>
          <w:numId w:val="58"/>
        </w:numPr>
      </w:pPr>
      <w:r w:rsidRPr="00021217">
        <w:t xml:space="preserve">Please rank the policy options </w:t>
      </w:r>
      <w:r>
        <w:t xml:space="preserve">to improve the water efficiency of commercial ice makers </w:t>
      </w:r>
      <w:r w:rsidRPr="00021217">
        <w:t xml:space="preserve">in order of effectiveness – </w:t>
      </w:r>
      <w:r w:rsidRPr="00BA2044">
        <w:rPr>
          <w:b/>
          <w:bCs/>
        </w:rPr>
        <w:t>with 1 being the most effective</w:t>
      </w:r>
      <w:r w:rsidRPr="00021217">
        <w:t xml:space="preserve">. </w:t>
      </w:r>
      <w:r>
        <w:t>P</w:t>
      </w:r>
      <w:r w:rsidRPr="00021217">
        <w:t xml:space="preserve">lease don’t allocate a ranking to </w:t>
      </w:r>
      <w:r>
        <w:t xml:space="preserve">options </w:t>
      </w:r>
      <w:r w:rsidRPr="00021217">
        <w:t>you don’t believe can help improve water efficiency.</w:t>
      </w:r>
    </w:p>
    <w:p w14:paraId="4E327D67" w14:textId="77777777" w:rsidR="00BA2044" w:rsidRPr="00021217" w:rsidRDefault="00BA2044" w:rsidP="00BA2044">
      <w:pPr>
        <w:pStyle w:val="ListParagraph"/>
        <w:ind w:left="360"/>
      </w:pPr>
    </w:p>
    <w:p w14:paraId="42FF4C7B" w14:textId="77777777" w:rsidR="00BA2044" w:rsidRDefault="00BA2044" w:rsidP="00BA2044">
      <w:pPr>
        <w:pStyle w:val="ListParagraph"/>
        <w:ind w:left="360"/>
      </w:pPr>
      <w:r w:rsidRPr="00021217">
        <w:t>Rank up to 4</w:t>
      </w:r>
    </w:p>
    <w:p w14:paraId="1756D1AF" w14:textId="77777777" w:rsidR="00BA2044" w:rsidRPr="00021217" w:rsidRDefault="00BA2044" w:rsidP="00BA2044">
      <w:pPr>
        <w:pStyle w:val="ListParagraph"/>
        <w:ind w:left="360"/>
      </w:pPr>
    </w:p>
    <w:p w14:paraId="3027187E" w14:textId="691B7E26" w:rsidR="00BC3F30" w:rsidRPr="00C964FE" w:rsidRDefault="00BC3F30" w:rsidP="00BC3F30">
      <w:pPr>
        <w:pStyle w:val="ListParagraph"/>
        <w:numPr>
          <w:ilvl w:val="0"/>
          <w:numId w:val="71"/>
        </w:numPr>
        <w:shd w:val="clear" w:color="auto" w:fill="F2F2F2" w:themeFill="background1" w:themeFillShade="F2"/>
        <w:spacing w:after="200" w:line="276" w:lineRule="auto"/>
        <w:jc w:val="left"/>
        <w:rPr>
          <w:lang w:val="en"/>
        </w:rPr>
      </w:pPr>
      <w:r w:rsidRPr="00C964FE">
        <w:rPr>
          <w:lang w:val="en"/>
        </w:rPr>
        <w:t>To not regulate commercial ice makers under the WELS Act (</w:t>
      </w:r>
      <w:r w:rsidR="00BA2044">
        <w:rPr>
          <w:lang w:val="en"/>
        </w:rPr>
        <w:t>Status quo</w:t>
      </w:r>
      <w:r w:rsidRPr="00C964FE">
        <w:rPr>
          <w:lang w:val="en"/>
        </w:rPr>
        <w:t>).</w:t>
      </w:r>
    </w:p>
    <w:p w14:paraId="66E375B5" w14:textId="77777777" w:rsidR="00BC3F30" w:rsidRPr="00C964FE" w:rsidRDefault="00BC3F30" w:rsidP="00BC3F30">
      <w:pPr>
        <w:pStyle w:val="ListParagraph"/>
        <w:numPr>
          <w:ilvl w:val="0"/>
          <w:numId w:val="71"/>
        </w:numPr>
        <w:shd w:val="clear" w:color="auto" w:fill="F2F2F2" w:themeFill="background1" w:themeFillShade="F2"/>
        <w:spacing w:after="200" w:line="276" w:lineRule="auto"/>
        <w:jc w:val="left"/>
        <w:rPr>
          <w:lang w:val="en"/>
        </w:rPr>
      </w:pPr>
      <w:r w:rsidRPr="00C964FE">
        <w:rPr>
          <w:lang w:val="en"/>
        </w:rPr>
        <w:t>To encourage businesses who register commercial ice makers with the Greenhouse and Energy Minimum Standards Regulator to declare water use rates, and to publish water use rates to inform consumers.</w:t>
      </w:r>
    </w:p>
    <w:p w14:paraId="3F279C16" w14:textId="77777777" w:rsidR="00BC3F30" w:rsidRPr="00C964FE" w:rsidRDefault="00BC3F30" w:rsidP="00BC3F30">
      <w:pPr>
        <w:pStyle w:val="ListParagraph"/>
        <w:numPr>
          <w:ilvl w:val="0"/>
          <w:numId w:val="71"/>
        </w:numPr>
        <w:shd w:val="clear" w:color="auto" w:fill="F2F2F2" w:themeFill="background1" w:themeFillShade="F2"/>
        <w:spacing w:after="200" w:line="276" w:lineRule="auto"/>
        <w:jc w:val="left"/>
        <w:rPr>
          <w:lang w:val="en"/>
        </w:rPr>
      </w:pPr>
      <w:r w:rsidRPr="00C964FE">
        <w:rPr>
          <w:lang w:val="en"/>
        </w:rPr>
        <w:t>To regulate commercial ice makers under the WELS Act and require mandatory registration and declaration of product information at point of sale.</w:t>
      </w:r>
    </w:p>
    <w:p w14:paraId="6D9BD114" w14:textId="77777777" w:rsidR="00BC3F30" w:rsidRPr="00C964FE" w:rsidRDefault="00BC3F30" w:rsidP="00BC3F30">
      <w:pPr>
        <w:pStyle w:val="ListParagraph"/>
        <w:numPr>
          <w:ilvl w:val="0"/>
          <w:numId w:val="71"/>
        </w:numPr>
        <w:shd w:val="clear" w:color="auto" w:fill="F2F2F2" w:themeFill="background1" w:themeFillShade="F2"/>
        <w:spacing w:after="200" w:line="276" w:lineRule="auto"/>
        <w:jc w:val="left"/>
        <w:rPr>
          <w:lang w:val="en"/>
        </w:rPr>
      </w:pPr>
      <w:r w:rsidRPr="00C964FE">
        <w:rPr>
          <w:lang w:val="en"/>
        </w:rPr>
        <w:t xml:space="preserve">To regulate commercial icemakers under the WELS Act and require mandatory registration; declaration of product information at point of sale; and application of minimum water efficiency standards. </w:t>
      </w:r>
    </w:p>
    <w:p w14:paraId="0DB0EB59" w14:textId="77777777" w:rsidR="00BC3F30" w:rsidRPr="000D3F53" w:rsidRDefault="00BC3F30" w:rsidP="00BC3F30">
      <w:pPr>
        <w:pStyle w:val="ListParagraph"/>
        <w:shd w:val="clear" w:color="auto" w:fill="F2F2F2" w:themeFill="background1" w:themeFillShade="F2"/>
        <w:ind w:left="1440"/>
        <w:rPr>
          <w:lang w:val="en"/>
        </w:rPr>
      </w:pPr>
    </w:p>
    <w:p w14:paraId="57416B34" w14:textId="6789D318" w:rsidR="00BC3F30" w:rsidRDefault="00BC3F30" w:rsidP="00BC3F30">
      <w:pPr>
        <w:pStyle w:val="ListParagraph"/>
        <w:numPr>
          <w:ilvl w:val="1"/>
          <w:numId w:val="58"/>
        </w:numPr>
        <w:shd w:val="clear" w:color="auto" w:fill="F2F2F2" w:themeFill="background1" w:themeFillShade="F2"/>
        <w:spacing w:after="200" w:line="276" w:lineRule="auto"/>
        <w:jc w:val="left"/>
      </w:pPr>
      <w:r>
        <w:t>Why do you feel this way?</w:t>
      </w:r>
    </w:p>
    <w:p w14:paraId="03BA9ABD" w14:textId="77777777" w:rsidR="00BC3F30" w:rsidRDefault="00BC3F30" w:rsidP="00BC3F30">
      <w:pPr>
        <w:pStyle w:val="ListParagraph"/>
      </w:pPr>
    </w:p>
    <w:p w14:paraId="28CEE6E7" w14:textId="4D88FA62" w:rsidR="00BC3F30" w:rsidRDefault="00BC3F30" w:rsidP="00BC3F30">
      <w:pPr>
        <w:pStyle w:val="ListParagraph"/>
        <w:numPr>
          <w:ilvl w:val="0"/>
          <w:numId w:val="58"/>
        </w:numPr>
        <w:shd w:val="clear" w:color="auto" w:fill="F2F2F2" w:themeFill="background1" w:themeFillShade="F2"/>
        <w:spacing w:after="200" w:line="276" w:lineRule="auto"/>
        <w:jc w:val="left"/>
      </w:pPr>
      <w:r>
        <w:t xml:space="preserve">What opportunities or difficulties would the proposed </w:t>
      </w:r>
      <w:r w:rsidR="00BA2044">
        <w:t xml:space="preserve">options </w:t>
      </w:r>
      <w:r>
        <w:t>create for your business or the industry?</w:t>
      </w:r>
    </w:p>
    <w:p w14:paraId="247D0622" w14:textId="77777777" w:rsidR="00BC3F30" w:rsidRPr="00A33003" w:rsidRDefault="00BC3F30" w:rsidP="00BC3F30">
      <w:pPr>
        <w:pStyle w:val="ListParagraph"/>
      </w:pPr>
    </w:p>
    <w:p w14:paraId="6B611480" w14:textId="1AFA6AF4" w:rsidR="00BC3F30" w:rsidRPr="00C964FE" w:rsidRDefault="00BC3F30" w:rsidP="00BC3F30">
      <w:pPr>
        <w:pStyle w:val="ListParagraph"/>
        <w:numPr>
          <w:ilvl w:val="0"/>
          <w:numId w:val="58"/>
        </w:numPr>
        <w:shd w:val="clear" w:color="auto" w:fill="F2F2F2" w:themeFill="background1" w:themeFillShade="F2"/>
        <w:spacing w:after="200" w:line="276" w:lineRule="auto"/>
        <w:jc w:val="left"/>
      </w:pPr>
      <w:r w:rsidRPr="00C964FE">
        <w:t xml:space="preserve">Do </w:t>
      </w:r>
      <w:r>
        <w:t>you have additional comments you would like to provide?</w:t>
      </w:r>
    </w:p>
    <w:p w14:paraId="065C5DA7" w14:textId="77777777" w:rsidR="00BC3F30" w:rsidRDefault="00BC3F30" w:rsidP="00BC3F30">
      <w:pPr>
        <w:pStyle w:val="ListParagraph"/>
        <w:numPr>
          <w:ilvl w:val="0"/>
          <w:numId w:val="72"/>
        </w:numPr>
        <w:shd w:val="clear" w:color="auto" w:fill="F2F2F2" w:themeFill="background1" w:themeFillShade="F2"/>
        <w:spacing w:after="200" w:line="276" w:lineRule="auto"/>
        <w:jc w:val="left"/>
        <w:rPr>
          <w:lang w:val="en"/>
        </w:rPr>
      </w:pPr>
      <w:r>
        <w:rPr>
          <w:lang w:val="en"/>
        </w:rPr>
        <w:t>Yes</w:t>
      </w:r>
    </w:p>
    <w:p w14:paraId="2081798E" w14:textId="77777777" w:rsidR="00BC3F30" w:rsidRPr="00272E2A" w:rsidRDefault="00BC3F30" w:rsidP="00BC3F30">
      <w:pPr>
        <w:pStyle w:val="ListParagraph"/>
        <w:numPr>
          <w:ilvl w:val="0"/>
          <w:numId w:val="72"/>
        </w:numPr>
        <w:shd w:val="clear" w:color="auto" w:fill="F2F2F2" w:themeFill="background1" w:themeFillShade="F2"/>
        <w:spacing w:after="200" w:line="276" w:lineRule="auto"/>
        <w:jc w:val="left"/>
        <w:rPr>
          <w:lang w:val="en"/>
        </w:rPr>
      </w:pPr>
      <w:r>
        <w:rPr>
          <w:lang w:val="en"/>
        </w:rPr>
        <w:t>No</w:t>
      </w:r>
    </w:p>
    <w:p w14:paraId="222104AB" w14:textId="77777777" w:rsidR="00BC3F30" w:rsidRPr="00C964FE" w:rsidRDefault="00BC3F30" w:rsidP="00BC3F30">
      <w:pPr>
        <w:pStyle w:val="ListParagraph"/>
        <w:shd w:val="clear" w:color="auto" w:fill="F2F2F2" w:themeFill="background1" w:themeFillShade="F2"/>
        <w:rPr>
          <w:lang w:val="en"/>
        </w:rPr>
      </w:pPr>
    </w:p>
    <w:p w14:paraId="5480995E" w14:textId="77777777" w:rsidR="00BC3F30" w:rsidRDefault="00BC3F30" w:rsidP="00BC3F30">
      <w:pPr>
        <w:pStyle w:val="ListParagraph"/>
        <w:ind w:left="360"/>
      </w:pPr>
    </w:p>
    <w:p w14:paraId="045FB45D" w14:textId="732764F6" w:rsidR="00BC3F30" w:rsidRDefault="00BC3F30">
      <w:pPr>
        <w:pStyle w:val="ListParagraph"/>
        <w:numPr>
          <w:ilvl w:val="1"/>
          <w:numId w:val="58"/>
        </w:numPr>
        <w:shd w:val="clear" w:color="auto" w:fill="F2F2F2" w:themeFill="background1" w:themeFillShade="F2"/>
        <w:spacing w:after="200" w:line="276" w:lineRule="auto"/>
        <w:jc w:val="left"/>
      </w:pPr>
      <w:r>
        <w:t>Please provide further information.</w:t>
      </w:r>
    </w:p>
    <w:p w14:paraId="6E9EBF69" w14:textId="66970AEE" w:rsidR="00EF62F3" w:rsidRPr="001C2837" w:rsidRDefault="00BC3F30" w:rsidP="00BC3F30">
      <w:r>
        <w:br w:type="page"/>
      </w:r>
    </w:p>
    <w:p w14:paraId="732028AF" w14:textId="4BB6091C" w:rsidR="007550AB" w:rsidRDefault="007550AB" w:rsidP="00F0453C">
      <w:pPr>
        <w:pStyle w:val="Heading1"/>
        <w:pageBreakBefore/>
      </w:pPr>
      <w:bookmarkStart w:id="120" w:name="_Toc196745435"/>
      <w:r>
        <w:lastRenderedPageBreak/>
        <w:t xml:space="preserve">Appendix </w:t>
      </w:r>
      <w:r w:rsidR="00EF62F3">
        <w:t>B</w:t>
      </w:r>
      <w:r w:rsidR="00F0453C">
        <w:t xml:space="preserve"> Cost-Benefit Modelling</w:t>
      </w:r>
      <w:r w:rsidR="00115248">
        <w:t xml:space="preserve"> Details</w:t>
      </w:r>
      <w:bookmarkEnd w:id="120"/>
    </w:p>
    <w:p w14:paraId="6D663A1C" w14:textId="7920F479" w:rsidR="00AF63EB" w:rsidRPr="00AF63EB" w:rsidRDefault="00AF63EB" w:rsidP="00AF63EB">
      <w:r>
        <w:t xml:space="preserve">Information on the size of the </w:t>
      </w:r>
      <w:r w:rsidRPr="00AF63EB">
        <w:t xml:space="preserve">Australian market for </w:t>
      </w:r>
      <w:r w:rsidR="00FD11D5">
        <w:t>CIMs</w:t>
      </w:r>
      <w:r w:rsidRPr="00AF63EB">
        <w:t xml:space="preserve"> (units with water supply and drainage connections, with production capacity up to 1000 kg/24 hr at 32/21) </w:t>
      </w:r>
      <w:r>
        <w:t xml:space="preserve">was obtained from interviews with suppliers and from analysis of customs data (E3 2023). It is estimated that the market </w:t>
      </w:r>
      <w:r w:rsidRPr="00AF63EB">
        <w:t>is currently about 10,</w:t>
      </w:r>
      <w:r>
        <w:t>5</w:t>
      </w:r>
      <w:r w:rsidRPr="00AF63EB">
        <w:t xml:space="preserve">00 units per year. Given that the typical service life of each unit is 7 to </w:t>
      </w:r>
      <w:r w:rsidR="007203F9">
        <w:t>10</w:t>
      </w:r>
      <w:r w:rsidRPr="00AF63EB">
        <w:t xml:space="preserve"> years, and taking into account stock growth of about </w:t>
      </w:r>
      <w:r w:rsidR="00831E3D">
        <w:t>2.0</w:t>
      </w:r>
      <w:r w:rsidRPr="00AF63EB">
        <w:t>% per annum, the estimated total stock is currently about 6</w:t>
      </w:r>
      <w:r w:rsidR="00831E3D">
        <w:t>3</w:t>
      </w:r>
      <w:r w:rsidRPr="00AF63EB">
        <w:t>,000 units.</w:t>
      </w:r>
    </w:p>
    <w:p w14:paraId="2D642707" w14:textId="7A8D5184" w:rsidR="007203F9" w:rsidRDefault="00756E7C" w:rsidP="007550AB">
      <w:bookmarkStart w:id="121" w:name="_Hlk192230759"/>
      <w:r w:rsidRPr="00756E7C">
        <w:t xml:space="preserve">The modelling takes into account the projected capital costs of the </w:t>
      </w:r>
      <w:r w:rsidR="00FD11D5">
        <w:t>CIMs</w:t>
      </w:r>
      <w:r w:rsidRPr="00756E7C">
        <w:t xml:space="preserve"> that are expected to be purchased in Australia from 202</w:t>
      </w:r>
      <w:r>
        <w:t>5</w:t>
      </w:r>
      <w:r w:rsidRPr="00756E7C">
        <w:t xml:space="preserve"> to 20</w:t>
      </w:r>
      <w:r>
        <w:t>40</w:t>
      </w:r>
      <w:r w:rsidRPr="00756E7C">
        <w:t xml:space="preserve"> (i.e. 16 calendar years).</w:t>
      </w:r>
      <w:r w:rsidR="00BB6EFE">
        <w:t xml:space="preserve"> </w:t>
      </w:r>
      <w:r w:rsidRPr="00756E7C">
        <w:t>It is assumed that 100% of each year’s cohort survives to the 8</w:t>
      </w:r>
      <w:r w:rsidRPr="00756E7C">
        <w:rPr>
          <w:vertAlign w:val="superscript"/>
        </w:rPr>
        <w:t>th</w:t>
      </w:r>
      <w:r w:rsidRPr="00756E7C">
        <w:t xml:space="preserve"> year, 50% </w:t>
      </w:r>
      <w:r w:rsidR="007203F9">
        <w:t xml:space="preserve">to </w:t>
      </w:r>
      <w:r w:rsidRPr="00756E7C">
        <w:t xml:space="preserve">year 9, </w:t>
      </w:r>
      <w:r>
        <w:t xml:space="preserve">and </w:t>
      </w:r>
      <w:r w:rsidRPr="00756E7C">
        <w:t xml:space="preserve">none </w:t>
      </w:r>
      <w:r w:rsidR="007203F9">
        <w:t xml:space="preserve">to year </w:t>
      </w:r>
      <w:r w:rsidRPr="00756E7C">
        <w:t>1</w:t>
      </w:r>
      <w:r>
        <w:t>0</w:t>
      </w:r>
      <w:r w:rsidRPr="00756E7C">
        <w:t xml:space="preserve">. This implies an average service life of 8.5 years. </w:t>
      </w:r>
      <w:r w:rsidR="00D62E21" w:rsidRPr="00756E7C">
        <w:t>Therefore,</w:t>
      </w:r>
      <w:r w:rsidRPr="00756E7C">
        <w:t xml:space="preserve"> the model calculates the net present value (NPV) of </w:t>
      </w:r>
      <w:r w:rsidR="00BB6EFE">
        <w:t xml:space="preserve">total </w:t>
      </w:r>
      <w:r w:rsidR="007203F9">
        <w:t xml:space="preserve">national </w:t>
      </w:r>
      <w:r w:rsidR="0071185A">
        <w:t xml:space="preserve">CIM </w:t>
      </w:r>
      <w:r w:rsidRPr="00756E7C">
        <w:t xml:space="preserve">maker water </w:t>
      </w:r>
      <w:r w:rsidR="007203F9">
        <w:t xml:space="preserve">consumption </w:t>
      </w:r>
      <w:r w:rsidRPr="00756E7C">
        <w:t xml:space="preserve">as far </w:t>
      </w:r>
      <w:r w:rsidR="007203F9">
        <w:t xml:space="preserve">out </w:t>
      </w:r>
      <w:r w:rsidRPr="00756E7C">
        <w:t>as 20</w:t>
      </w:r>
      <w:r w:rsidR="00831E3D">
        <w:t>49</w:t>
      </w:r>
      <w:r w:rsidRPr="00756E7C">
        <w:t xml:space="preserve">, using the range of discount rates required by the </w:t>
      </w:r>
      <w:r w:rsidR="00504CF1">
        <w:t>OIA</w:t>
      </w:r>
      <w:r w:rsidRPr="00756E7C">
        <w:t xml:space="preserve"> (4%, 7% and 10%)</w:t>
      </w:r>
      <w:r w:rsidR="00831E3D">
        <w:t>.</w:t>
      </w:r>
    </w:p>
    <w:p w14:paraId="3DD1FFBF" w14:textId="219DE50B" w:rsidR="00144C1A" w:rsidRDefault="00144C1A" w:rsidP="00144C1A">
      <w:pPr>
        <w:pStyle w:val="Heading3"/>
      </w:pPr>
      <w:bookmarkStart w:id="122" w:name="_Toc196745436"/>
      <w:bookmarkEnd w:id="121"/>
      <w:r>
        <w:t>Water Prices</w:t>
      </w:r>
      <w:bookmarkEnd w:id="122"/>
    </w:p>
    <w:p w14:paraId="7FBE492F" w14:textId="34263348" w:rsidR="00201ABB" w:rsidRDefault="007203F9" w:rsidP="007550AB">
      <w:r>
        <w:t xml:space="preserve">The model is structured by jurisdiction (states and territories) because water and wastewater prices vary, as indicated in </w:t>
      </w:r>
      <w:r>
        <w:fldChar w:fldCharType="begin"/>
      </w:r>
      <w:r>
        <w:instrText xml:space="preserve"> REF _Ref191458975 \h </w:instrText>
      </w:r>
      <w:r>
        <w:fldChar w:fldCharType="separate"/>
      </w:r>
      <w:r w:rsidR="002271EC">
        <w:t xml:space="preserve">Table </w:t>
      </w:r>
      <w:r w:rsidR="002271EC">
        <w:rPr>
          <w:noProof/>
        </w:rPr>
        <w:t>13</w:t>
      </w:r>
      <w:r>
        <w:fldChar w:fldCharType="end"/>
      </w:r>
      <w:r>
        <w:t>.</w:t>
      </w:r>
    </w:p>
    <w:p w14:paraId="7E1AB29F" w14:textId="0F0261FF" w:rsidR="007203F9" w:rsidRDefault="007203F9" w:rsidP="007203F9">
      <w:pPr>
        <w:pStyle w:val="Caption"/>
        <w:jc w:val="center"/>
      </w:pPr>
      <w:bookmarkStart w:id="123" w:name="_Ref191458975"/>
      <w:bookmarkStart w:id="124" w:name="_Toc196745455"/>
      <w:r>
        <w:t xml:space="preserve">Table </w:t>
      </w:r>
      <w:r w:rsidR="0042496D">
        <w:fldChar w:fldCharType="begin"/>
      </w:r>
      <w:r w:rsidR="0042496D">
        <w:instrText xml:space="preserve"> SEQ Table \* ARABIC </w:instrText>
      </w:r>
      <w:r w:rsidR="0042496D">
        <w:fldChar w:fldCharType="separate"/>
      </w:r>
      <w:r w:rsidR="002271EC">
        <w:rPr>
          <w:noProof/>
        </w:rPr>
        <w:t>13</w:t>
      </w:r>
      <w:r w:rsidR="0042496D">
        <w:rPr>
          <w:noProof/>
        </w:rPr>
        <w:fldChar w:fldCharType="end"/>
      </w:r>
      <w:bookmarkEnd w:id="123"/>
      <w:r>
        <w:t xml:space="preserve"> Estimated main</w:t>
      </w:r>
      <w:r w:rsidR="0071185A">
        <w:t>s</w:t>
      </w:r>
      <w:r>
        <w:t>-supplied water charges by jurisdiction, 2025</w:t>
      </w:r>
      <w:bookmarkEnd w:id="124"/>
    </w:p>
    <w:tbl>
      <w:tblPr>
        <w:tblW w:w="6924" w:type="dxa"/>
        <w:jc w:val="center"/>
        <w:tblLook w:val="04A0" w:firstRow="1" w:lastRow="0" w:firstColumn="1" w:lastColumn="0" w:noHBand="0" w:noVBand="1"/>
      </w:tblPr>
      <w:tblGrid>
        <w:gridCol w:w="1034"/>
        <w:gridCol w:w="254"/>
        <w:gridCol w:w="780"/>
        <w:gridCol w:w="1101"/>
        <w:gridCol w:w="835"/>
        <w:gridCol w:w="976"/>
        <w:gridCol w:w="976"/>
        <w:gridCol w:w="968"/>
      </w:tblGrid>
      <w:tr w:rsidR="00201ABB" w:rsidRPr="000114E3" w14:paraId="53C87055" w14:textId="77777777" w:rsidTr="00A4576E">
        <w:trPr>
          <w:trHeight w:val="315"/>
          <w:jc w:val="center"/>
        </w:trPr>
        <w:tc>
          <w:tcPr>
            <w:tcW w:w="1034" w:type="dxa"/>
            <w:tcBorders>
              <w:top w:val="single" w:sz="4" w:space="0" w:color="auto"/>
              <w:left w:val="single" w:sz="4" w:space="0" w:color="auto"/>
              <w:bottom w:val="single" w:sz="4" w:space="0" w:color="auto"/>
            </w:tcBorders>
            <w:shd w:val="clear" w:color="auto" w:fill="auto"/>
            <w:noWrap/>
            <w:vAlign w:val="bottom"/>
            <w:hideMark/>
          </w:tcPr>
          <w:p w14:paraId="71CAE653" w14:textId="77777777" w:rsidR="00201ABB" w:rsidRPr="000114E3" w:rsidRDefault="00201ABB" w:rsidP="00201ABB">
            <w:pPr>
              <w:spacing w:after="0" w:line="240" w:lineRule="auto"/>
              <w:jc w:val="left"/>
              <w:rPr>
                <w:rFonts w:ascii="Calibri" w:eastAsia="Times New Roman" w:hAnsi="Calibri" w:cs="Calibri"/>
                <w:color w:val="000000"/>
                <w:sz w:val="20"/>
                <w:szCs w:val="20"/>
                <w:lang w:eastAsia="en-AU"/>
              </w:rPr>
            </w:pPr>
          </w:p>
        </w:tc>
        <w:tc>
          <w:tcPr>
            <w:tcW w:w="1034" w:type="dxa"/>
            <w:gridSpan w:val="2"/>
            <w:tcBorders>
              <w:top w:val="single" w:sz="4" w:space="0" w:color="auto"/>
              <w:bottom w:val="single" w:sz="4" w:space="0" w:color="auto"/>
            </w:tcBorders>
            <w:shd w:val="clear" w:color="auto" w:fill="auto"/>
            <w:vAlign w:val="bottom"/>
          </w:tcPr>
          <w:p w14:paraId="14219037" w14:textId="339FB610" w:rsidR="00201ABB" w:rsidRPr="000114E3" w:rsidRDefault="00201ABB"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Region</w:t>
            </w:r>
            <w:r w:rsidRPr="000114E3">
              <w:rPr>
                <w:rFonts w:ascii="Calibri" w:eastAsia="Times New Roman" w:hAnsi="Calibri" w:cs="Calibri"/>
                <w:color w:val="000000"/>
                <w:sz w:val="20"/>
                <w:szCs w:val="20"/>
                <w:lang w:eastAsia="en-AU"/>
              </w:rPr>
              <w:br/>
            </w:r>
          </w:p>
        </w:tc>
        <w:tc>
          <w:tcPr>
            <w:tcW w:w="968" w:type="dxa"/>
            <w:tcBorders>
              <w:top w:val="single" w:sz="4" w:space="0" w:color="auto"/>
              <w:bottom w:val="single" w:sz="4" w:space="0" w:color="auto"/>
            </w:tcBorders>
            <w:shd w:val="clear" w:color="auto" w:fill="auto"/>
            <w:noWrap/>
            <w:vAlign w:val="bottom"/>
            <w:hideMark/>
          </w:tcPr>
          <w:p w14:paraId="14A4F56A" w14:textId="77777777" w:rsidR="00201ABB" w:rsidRPr="000114E3" w:rsidRDefault="00201ABB"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xml:space="preserve">Businesses </w:t>
            </w:r>
            <w:r w:rsidRPr="000114E3">
              <w:rPr>
                <w:rFonts w:ascii="Calibri" w:eastAsia="Times New Roman" w:hAnsi="Calibri" w:cs="Calibri"/>
                <w:color w:val="000000"/>
                <w:sz w:val="20"/>
                <w:szCs w:val="20"/>
                <w:lang w:eastAsia="en-AU"/>
              </w:rPr>
              <w:br/>
              <w:t>('000)</w:t>
            </w:r>
          </w:p>
        </w:tc>
        <w:tc>
          <w:tcPr>
            <w:tcW w:w="968" w:type="dxa"/>
            <w:tcBorders>
              <w:top w:val="single" w:sz="4" w:space="0" w:color="auto"/>
              <w:bottom w:val="single" w:sz="4" w:space="0" w:color="auto"/>
            </w:tcBorders>
            <w:shd w:val="clear" w:color="auto" w:fill="auto"/>
            <w:vAlign w:val="bottom"/>
          </w:tcPr>
          <w:p w14:paraId="66A63923" w14:textId="5CCBE1DE" w:rsidR="00201ABB" w:rsidRPr="000114E3" w:rsidRDefault="00201ABB"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single" w:sz="4" w:space="0" w:color="auto"/>
              <w:bottom w:val="single" w:sz="4" w:space="0" w:color="auto"/>
            </w:tcBorders>
            <w:shd w:val="clear" w:color="auto" w:fill="auto"/>
            <w:noWrap/>
            <w:vAlign w:val="bottom"/>
            <w:hideMark/>
          </w:tcPr>
          <w:p w14:paraId="11EAE589" w14:textId="55ECD448" w:rsidR="00201ABB" w:rsidRPr="000114E3" w:rsidRDefault="00201ABB"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 $/kL</w:t>
            </w:r>
          </w:p>
        </w:tc>
        <w:tc>
          <w:tcPr>
            <w:tcW w:w="976" w:type="dxa"/>
            <w:tcBorders>
              <w:top w:val="single" w:sz="4" w:space="0" w:color="auto"/>
              <w:bottom w:val="single" w:sz="4" w:space="0" w:color="auto"/>
            </w:tcBorders>
            <w:shd w:val="clear" w:color="auto" w:fill="auto"/>
            <w:noWrap/>
            <w:vAlign w:val="bottom"/>
            <w:hideMark/>
          </w:tcPr>
          <w:p w14:paraId="7B7468DF" w14:textId="2410D37B" w:rsidR="00201ABB" w:rsidRPr="000114E3" w:rsidRDefault="00201ABB"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Supply</w:t>
            </w:r>
            <w:r w:rsidRPr="000114E3">
              <w:rPr>
                <w:rFonts w:ascii="Calibri" w:eastAsia="Times New Roman" w:hAnsi="Calibri" w:cs="Calibri"/>
                <w:color w:val="000000"/>
                <w:sz w:val="20"/>
                <w:szCs w:val="20"/>
                <w:lang w:eastAsia="en-AU"/>
              </w:rPr>
              <w:br/>
              <w:t>$/kl</w:t>
            </w:r>
          </w:p>
        </w:tc>
        <w:tc>
          <w:tcPr>
            <w:tcW w:w="968" w:type="dxa"/>
            <w:tcBorders>
              <w:top w:val="single" w:sz="4" w:space="0" w:color="auto"/>
              <w:bottom w:val="single" w:sz="4" w:space="0" w:color="auto"/>
              <w:right w:val="single" w:sz="4" w:space="0" w:color="auto"/>
            </w:tcBorders>
            <w:shd w:val="clear" w:color="auto" w:fill="auto"/>
            <w:noWrap/>
            <w:vAlign w:val="bottom"/>
            <w:hideMark/>
          </w:tcPr>
          <w:p w14:paraId="3BE82461" w14:textId="06A5F4EF" w:rsidR="00201ABB" w:rsidRPr="000114E3" w:rsidRDefault="00201ABB"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Waste</w:t>
            </w:r>
            <w:r w:rsidRPr="000114E3">
              <w:rPr>
                <w:rFonts w:ascii="Calibri" w:eastAsia="Times New Roman" w:hAnsi="Calibri" w:cs="Calibri"/>
                <w:color w:val="000000"/>
                <w:sz w:val="20"/>
                <w:szCs w:val="20"/>
                <w:lang w:eastAsia="en-AU"/>
              </w:rPr>
              <w:br/>
              <w:t>$/kl</w:t>
            </w:r>
          </w:p>
        </w:tc>
      </w:tr>
      <w:tr w:rsidR="007203F9" w:rsidRPr="000114E3" w14:paraId="4352BAA2" w14:textId="77777777" w:rsidTr="00201ABB">
        <w:trPr>
          <w:trHeight w:val="300"/>
          <w:jc w:val="center"/>
        </w:trPr>
        <w:tc>
          <w:tcPr>
            <w:tcW w:w="1288" w:type="dxa"/>
            <w:gridSpan w:val="2"/>
            <w:tcBorders>
              <w:top w:val="single" w:sz="4" w:space="0" w:color="auto"/>
              <w:left w:val="single" w:sz="4" w:space="0" w:color="auto"/>
              <w:bottom w:val="nil"/>
              <w:right w:val="nil"/>
            </w:tcBorders>
            <w:shd w:val="clear" w:color="auto" w:fill="auto"/>
            <w:noWrap/>
            <w:vAlign w:val="bottom"/>
            <w:hideMark/>
          </w:tcPr>
          <w:p w14:paraId="4B8A5794" w14:textId="77777777" w:rsidR="007203F9" w:rsidRPr="000114E3" w:rsidRDefault="007203F9" w:rsidP="00201ABB">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NSW</w:t>
            </w:r>
          </w:p>
        </w:tc>
        <w:tc>
          <w:tcPr>
            <w:tcW w:w="780" w:type="dxa"/>
            <w:tcBorders>
              <w:top w:val="single" w:sz="4" w:space="0" w:color="auto"/>
              <w:left w:val="nil"/>
              <w:bottom w:val="nil"/>
              <w:right w:val="nil"/>
            </w:tcBorders>
            <w:shd w:val="clear" w:color="auto" w:fill="auto"/>
            <w:noWrap/>
            <w:vAlign w:val="bottom"/>
            <w:hideMark/>
          </w:tcPr>
          <w:p w14:paraId="154E956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Metro</w:t>
            </w:r>
          </w:p>
        </w:tc>
        <w:tc>
          <w:tcPr>
            <w:tcW w:w="1101" w:type="dxa"/>
            <w:tcBorders>
              <w:top w:val="single" w:sz="4" w:space="0" w:color="auto"/>
              <w:left w:val="nil"/>
              <w:bottom w:val="nil"/>
              <w:right w:val="nil"/>
            </w:tcBorders>
            <w:shd w:val="clear" w:color="auto" w:fill="auto"/>
            <w:noWrap/>
            <w:vAlign w:val="bottom"/>
            <w:hideMark/>
          </w:tcPr>
          <w:p w14:paraId="02C6FCBF"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148.4</w:t>
            </w:r>
          </w:p>
        </w:tc>
        <w:tc>
          <w:tcPr>
            <w:tcW w:w="835" w:type="dxa"/>
            <w:tcBorders>
              <w:top w:val="single" w:sz="4" w:space="0" w:color="auto"/>
              <w:left w:val="nil"/>
              <w:bottom w:val="nil"/>
              <w:right w:val="nil"/>
            </w:tcBorders>
            <w:shd w:val="clear" w:color="auto" w:fill="auto"/>
            <w:noWrap/>
            <w:vAlign w:val="bottom"/>
            <w:hideMark/>
          </w:tcPr>
          <w:p w14:paraId="26DADAD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51%</w:t>
            </w:r>
          </w:p>
        </w:tc>
        <w:tc>
          <w:tcPr>
            <w:tcW w:w="976" w:type="dxa"/>
            <w:tcBorders>
              <w:top w:val="single" w:sz="4" w:space="0" w:color="auto"/>
              <w:left w:val="nil"/>
              <w:bottom w:val="nil"/>
              <w:right w:val="nil"/>
            </w:tcBorders>
            <w:shd w:val="clear" w:color="auto" w:fill="auto"/>
            <w:noWrap/>
            <w:vAlign w:val="bottom"/>
            <w:hideMark/>
          </w:tcPr>
          <w:p w14:paraId="35095CF2"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3.99</w:t>
            </w:r>
          </w:p>
        </w:tc>
        <w:tc>
          <w:tcPr>
            <w:tcW w:w="976" w:type="dxa"/>
            <w:tcBorders>
              <w:top w:val="single" w:sz="4" w:space="0" w:color="auto"/>
              <w:left w:val="nil"/>
              <w:bottom w:val="nil"/>
              <w:right w:val="nil"/>
            </w:tcBorders>
            <w:shd w:val="clear" w:color="auto" w:fill="auto"/>
            <w:noWrap/>
            <w:vAlign w:val="bottom"/>
            <w:hideMark/>
          </w:tcPr>
          <w:p w14:paraId="433F724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2.69</w:t>
            </w:r>
          </w:p>
        </w:tc>
        <w:tc>
          <w:tcPr>
            <w:tcW w:w="968" w:type="dxa"/>
            <w:tcBorders>
              <w:top w:val="single" w:sz="4" w:space="0" w:color="auto"/>
              <w:left w:val="nil"/>
              <w:bottom w:val="nil"/>
              <w:right w:val="single" w:sz="4" w:space="0" w:color="auto"/>
            </w:tcBorders>
            <w:shd w:val="clear" w:color="auto" w:fill="auto"/>
            <w:noWrap/>
            <w:vAlign w:val="bottom"/>
            <w:hideMark/>
          </w:tcPr>
          <w:p w14:paraId="7410CB4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1.30</w:t>
            </w:r>
          </w:p>
        </w:tc>
      </w:tr>
      <w:tr w:rsidR="007203F9" w:rsidRPr="000114E3" w14:paraId="154AEAD2" w14:textId="77777777" w:rsidTr="00201ABB">
        <w:trPr>
          <w:trHeight w:val="300"/>
          <w:jc w:val="center"/>
        </w:trPr>
        <w:tc>
          <w:tcPr>
            <w:tcW w:w="1288" w:type="dxa"/>
            <w:gridSpan w:val="2"/>
            <w:tcBorders>
              <w:top w:val="nil"/>
              <w:left w:val="single" w:sz="4" w:space="0" w:color="auto"/>
              <w:bottom w:val="nil"/>
              <w:right w:val="nil"/>
            </w:tcBorders>
            <w:shd w:val="clear" w:color="auto" w:fill="auto"/>
            <w:noWrap/>
            <w:vAlign w:val="bottom"/>
            <w:hideMark/>
          </w:tcPr>
          <w:p w14:paraId="57CEA4E7" w14:textId="111854D0" w:rsidR="007203F9" w:rsidRPr="000114E3" w:rsidRDefault="007203F9" w:rsidP="00201ABB">
            <w:pPr>
              <w:spacing w:after="0" w:line="240" w:lineRule="auto"/>
              <w:jc w:val="left"/>
              <w:rPr>
                <w:rFonts w:ascii="Calibri" w:eastAsia="Times New Roman" w:hAnsi="Calibri" w:cs="Calibri"/>
                <w:color w:val="000000"/>
                <w:sz w:val="20"/>
                <w:szCs w:val="20"/>
                <w:lang w:eastAsia="en-AU"/>
              </w:rPr>
            </w:pPr>
          </w:p>
        </w:tc>
        <w:tc>
          <w:tcPr>
            <w:tcW w:w="780" w:type="dxa"/>
            <w:tcBorders>
              <w:top w:val="nil"/>
              <w:left w:val="nil"/>
              <w:bottom w:val="nil"/>
              <w:right w:val="nil"/>
            </w:tcBorders>
            <w:shd w:val="clear" w:color="auto" w:fill="auto"/>
            <w:noWrap/>
            <w:vAlign w:val="bottom"/>
            <w:hideMark/>
          </w:tcPr>
          <w:p w14:paraId="2D9919C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Other</w:t>
            </w:r>
          </w:p>
        </w:tc>
        <w:tc>
          <w:tcPr>
            <w:tcW w:w="1101" w:type="dxa"/>
            <w:tcBorders>
              <w:top w:val="nil"/>
              <w:left w:val="nil"/>
              <w:bottom w:val="nil"/>
              <w:right w:val="nil"/>
            </w:tcBorders>
            <w:shd w:val="clear" w:color="auto" w:fill="auto"/>
            <w:noWrap/>
            <w:vAlign w:val="bottom"/>
            <w:hideMark/>
          </w:tcPr>
          <w:p w14:paraId="657E6AF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143.6</w:t>
            </w:r>
          </w:p>
        </w:tc>
        <w:tc>
          <w:tcPr>
            <w:tcW w:w="835" w:type="dxa"/>
            <w:tcBorders>
              <w:top w:val="nil"/>
              <w:left w:val="nil"/>
              <w:bottom w:val="nil"/>
              <w:right w:val="nil"/>
            </w:tcBorders>
            <w:shd w:val="clear" w:color="auto" w:fill="auto"/>
            <w:noWrap/>
            <w:vAlign w:val="bottom"/>
            <w:hideMark/>
          </w:tcPr>
          <w:p w14:paraId="3DDA5BC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49%</w:t>
            </w:r>
          </w:p>
        </w:tc>
        <w:tc>
          <w:tcPr>
            <w:tcW w:w="976" w:type="dxa"/>
            <w:tcBorders>
              <w:top w:val="nil"/>
              <w:left w:val="nil"/>
              <w:bottom w:val="nil"/>
              <w:right w:val="nil"/>
            </w:tcBorders>
            <w:shd w:val="clear" w:color="auto" w:fill="auto"/>
            <w:noWrap/>
            <w:vAlign w:val="bottom"/>
            <w:hideMark/>
          </w:tcPr>
          <w:p w14:paraId="7CFE9C4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3.20</w:t>
            </w:r>
          </w:p>
        </w:tc>
        <w:tc>
          <w:tcPr>
            <w:tcW w:w="976" w:type="dxa"/>
            <w:tcBorders>
              <w:top w:val="nil"/>
              <w:left w:val="nil"/>
              <w:bottom w:val="nil"/>
              <w:right w:val="nil"/>
            </w:tcBorders>
            <w:shd w:val="clear" w:color="auto" w:fill="auto"/>
            <w:noWrap/>
            <w:vAlign w:val="bottom"/>
            <w:hideMark/>
          </w:tcPr>
          <w:p w14:paraId="4EBF481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2.47</w:t>
            </w:r>
          </w:p>
        </w:tc>
        <w:tc>
          <w:tcPr>
            <w:tcW w:w="968" w:type="dxa"/>
            <w:tcBorders>
              <w:top w:val="nil"/>
              <w:left w:val="nil"/>
              <w:bottom w:val="nil"/>
              <w:right w:val="single" w:sz="4" w:space="0" w:color="auto"/>
            </w:tcBorders>
            <w:shd w:val="clear" w:color="auto" w:fill="auto"/>
            <w:noWrap/>
            <w:vAlign w:val="bottom"/>
            <w:hideMark/>
          </w:tcPr>
          <w:p w14:paraId="1B3D2F4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0.73</w:t>
            </w:r>
          </w:p>
        </w:tc>
      </w:tr>
      <w:tr w:rsidR="007203F9" w:rsidRPr="000114E3" w14:paraId="5FDCEBB6" w14:textId="77777777" w:rsidTr="00201ABB">
        <w:trPr>
          <w:trHeight w:val="300"/>
          <w:jc w:val="center"/>
        </w:trPr>
        <w:tc>
          <w:tcPr>
            <w:tcW w:w="1288" w:type="dxa"/>
            <w:gridSpan w:val="2"/>
            <w:tcBorders>
              <w:top w:val="nil"/>
              <w:left w:val="single" w:sz="4" w:space="0" w:color="auto"/>
              <w:bottom w:val="single" w:sz="4" w:space="0" w:color="auto"/>
              <w:right w:val="nil"/>
            </w:tcBorders>
            <w:shd w:val="clear" w:color="auto" w:fill="auto"/>
            <w:noWrap/>
            <w:vAlign w:val="bottom"/>
            <w:hideMark/>
          </w:tcPr>
          <w:p w14:paraId="761F26B8" w14:textId="6D7A7099" w:rsidR="007203F9" w:rsidRPr="000114E3" w:rsidRDefault="007203F9" w:rsidP="00201ABB">
            <w:pPr>
              <w:spacing w:after="0" w:line="240" w:lineRule="auto"/>
              <w:jc w:val="left"/>
              <w:rPr>
                <w:rFonts w:ascii="Calibri" w:eastAsia="Times New Roman" w:hAnsi="Calibri" w:cs="Calibri"/>
                <w:color w:val="000000"/>
                <w:sz w:val="20"/>
                <w:szCs w:val="20"/>
                <w:lang w:eastAsia="en-AU"/>
              </w:rPr>
            </w:pPr>
          </w:p>
        </w:tc>
        <w:tc>
          <w:tcPr>
            <w:tcW w:w="780" w:type="dxa"/>
            <w:tcBorders>
              <w:top w:val="nil"/>
              <w:left w:val="nil"/>
              <w:bottom w:val="single" w:sz="4" w:space="0" w:color="auto"/>
              <w:right w:val="nil"/>
            </w:tcBorders>
            <w:shd w:val="clear" w:color="auto" w:fill="auto"/>
            <w:noWrap/>
            <w:vAlign w:val="bottom"/>
            <w:hideMark/>
          </w:tcPr>
          <w:p w14:paraId="241D5609"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shd w:val="clear" w:color="auto" w:fill="auto"/>
            <w:noWrap/>
            <w:vAlign w:val="bottom"/>
            <w:hideMark/>
          </w:tcPr>
          <w:p w14:paraId="147A4E0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292.0</w:t>
            </w:r>
          </w:p>
        </w:tc>
        <w:tc>
          <w:tcPr>
            <w:tcW w:w="835" w:type="dxa"/>
            <w:tcBorders>
              <w:top w:val="nil"/>
              <w:left w:val="nil"/>
              <w:bottom w:val="single" w:sz="4" w:space="0" w:color="auto"/>
              <w:right w:val="nil"/>
            </w:tcBorders>
            <w:shd w:val="clear" w:color="auto" w:fill="auto"/>
            <w:noWrap/>
            <w:vAlign w:val="bottom"/>
            <w:hideMark/>
          </w:tcPr>
          <w:p w14:paraId="3310CD5F" w14:textId="0D3E90E6"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26A3730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3.60</w:t>
            </w:r>
          </w:p>
        </w:tc>
        <w:tc>
          <w:tcPr>
            <w:tcW w:w="976" w:type="dxa"/>
            <w:tcBorders>
              <w:top w:val="nil"/>
              <w:left w:val="nil"/>
              <w:bottom w:val="single" w:sz="4" w:space="0" w:color="auto"/>
              <w:right w:val="nil"/>
            </w:tcBorders>
            <w:shd w:val="clear" w:color="000000" w:fill="8EA9DB"/>
            <w:noWrap/>
            <w:vAlign w:val="bottom"/>
            <w:hideMark/>
          </w:tcPr>
          <w:p w14:paraId="6780B24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2.58</w:t>
            </w:r>
          </w:p>
        </w:tc>
        <w:tc>
          <w:tcPr>
            <w:tcW w:w="968" w:type="dxa"/>
            <w:tcBorders>
              <w:top w:val="nil"/>
              <w:left w:val="nil"/>
              <w:bottom w:val="single" w:sz="4" w:space="0" w:color="auto"/>
              <w:right w:val="single" w:sz="4" w:space="0" w:color="auto"/>
            </w:tcBorders>
            <w:shd w:val="clear" w:color="000000" w:fill="8EA9DB"/>
            <w:noWrap/>
            <w:vAlign w:val="bottom"/>
            <w:hideMark/>
          </w:tcPr>
          <w:p w14:paraId="4F4331D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1.02</w:t>
            </w:r>
          </w:p>
        </w:tc>
      </w:tr>
      <w:tr w:rsidR="007203F9" w:rsidRPr="000114E3" w14:paraId="69380781" w14:textId="77777777" w:rsidTr="00201ABB">
        <w:trPr>
          <w:trHeight w:val="300"/>
          <w:jc w:val="center"/>
        </w:trPr>
        <w:tc>
          <w:tcPr>
            <w:tcW w:w="1288" w:type="dxa"/>
            <w:gridSpan w:val="2"/>
            <w:tcBorders>
              <w:top w:val="nil"/>
              <w:left w:val="single" w:sz="4" w:space="0" w:color="auto"/>
              <w:bottom w:val="nil"/>
              <w:right w:val="nil"/>
            </w:tcBorders>
            <w:shd w:val="clear" w:color="auto" w:fill="auto"/>
            <w:noWrap/>
            <w:vAlign w:val="bottom"/>
            <w:hideMark/>
          </w:tcPr>
          <w:p w14:paraId="394B8BB2" w14:textId="77777777" w:rsidR="007203F9" w:rsidRPr="000114E3" w:rsidRDefault="007203F9" w:rsidP="00201ABB">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Victoria</w:t>
            </w:r>
          </w:p>
        </w:tc>
        <w:tc>
          <w:tcPr>
            <w:tcW w:w="780" w:type="dxa"/>
            <w:tcBorders>
              <w:top w:val="nil"/>
              <w:left w:val="nil"/>
              <w:bottom w:val="nil"/>
              <w:right w:val="nil"/>
            </w:tcBorders>
            <w:shd w:val="clear" w:color="auto" w:fill="auto"/>
            <w:noWrap/>
            <w:vAlign w:val="bottom"/>
            <w:hideMark/>
          </w:tcPr>
          <w:p w14:paraId="223AF8B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Metro</w:t>
            </w:r>
          </w:p>
        </w:tc>
        <w:tc>
          <w:tcPr>
            <w:tcW w:w="1101" w:type="dxa"/>
            <w:tcBorders>
              <w:top w:val="nil"/>
              <w:left w:val="nil"/>
              <w:bottom w:val="nil"/>
              <w:right w:val="nil"/>
            </w:tcBorders>
            <w:shd w:val="clear" w:color="auto" w:fill="auto"/>
            <w:noWrap/>
            <w:vAlign w:val="bottom"/>
            <w:hideMark/>
          </w:tcPr>
          <w:p w14:paraId="4B636DA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172.7</w:t>
            </w:r>
          </w:p>
        </w:tc>
        <w:tc>
          <w:tcPr>
            <w:tcW w:w="835" w:type="dxa"/>
            <w:tcBorders>
              <w:top w:val="nil"/>
              <w:left w:val="nil"/>
              <w:bottom w:val="nil"/>
              <w:right w:val="nil"/>
            </w:tcBorders>
            <w:shd w:val="clear" w:color="auto" w:fill="auto"/>
            <w:noWrap/>
            <w:vAlign w:val="bottom"/>
            <w:hideMark/>
          </w:tcPr>
          <w:p w14:paraId="407260DB"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72%</w:t>
            </w:r>
          </w:p>
        </w:tc>
        <w:tc>
          <w:tcPr>
            <w:tcW w:w="976" w:type="dxa"/>
            <w:tcBorders>
              <w:top w:val="nil"/>
              <w:left w:val="nil"/>
              <w:bottom w:val="nil"/>
              <w:right w:val="nil"/>
            </w:tcBorders>
            <w:shd w:val="clear" w:color="auto" w:fill="auto"/>
            <w:noWrap/>
            <w:vAlign w:val="bottom"/>
            <w:hideMark/>
          </w:tcPr>
          <w:p w14:paraId="7EFA8C7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4.79</w:t>
            </w:r>
          </w:p>
        </w:tc>
        <w:tc>
          <w:tcPr>
            <w:tcW w:w="976" w:type="dxa"/>
            <w:tcBorders>
              <w:top w:val="nil"/>
              <w:left w:val="nil"/>
              <w:bottom w:val="nil"/>
              <w:right w:val="nil"/>
            </w:tcBorders>
            <w:shd w:val="clear" w:color="auto" w:fill="auto"/>
            <w:noWrap/>
            <w:vAlign w:val="bottom"/>
            <w:hideMark/>
          </w:tcPr>
          <w:p w14:paraId="6CEAD7EA"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3.30</w:t>
            </w:r>
          </w:p>
        </w:tc>
        <w:tc>
          <w:tcPr>
            <w:tcW w:w="968" w:type="dxa"/>
            <w:tcBorders>
              <w:top w:val="nil"/>
              <w:left w:val="nil"/>
              <w:bottom w:val="nil"/>
              <w:right w:val="single" w:sz="4" w:space="0" w:color="auto"/>
            </w:tcBorders>
            <w:shd w:val="clear" w:color="auto" w:fill="auto"/>
            <w:noWrap/>
            <w:vAlign w:val="bottom"/>
            <w:hideMark/>
          </w:tcPr>
          <w:p w14:paraId="086A186F"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1.49</w:t>
            </w:r>
          </w:p>
        </w:tc>
      </w:tr>
      <w:tr w:rsidR="007203F9" w:rsidRPr="000114E3" w14:paraId="06BA0356" w14:textId="77777777" w:rsidTr="00201ABB">
        <w:trPr>
          <w:trHeight w:val="300"/>
          <w:jc w:val="center"/>
        </w:trPr>
        <w:tc>
          <w:tcPr>
            <w:tcW w:w="1288" w:type="dxa"/>
            <w:gridSpan w:val="2"/>
            <w:tcBorders>
              <w:top w:val="nil"/>
              <w:left w:val="single" w:sz="4" w:space="0" w:color="auto"/>
              <w:bottom w:val="nil"/>
              <w:right w:val="nil"/>
            </w:tcBorders>
            <w:shd w:val="clear" w:color="auto" w:fill="auto"/>
            <w:noWrap/>
            <w:vAlign w:val="bottom"/>
            <w:hideMark/>
          </w:tcPr>
          <w:p w14:paraId="2584CE03" w14:textId="34499003" w:rsidR="007203F9" w:rsidRPr="000114E3" w:rsidRDefault="007203F9" w:rsidP="00201ABB">
            <w:pPr>
              <w:spacing w:after="0" w:line="240" w:lineRule="auto"/>
              <w:jc w:val="left"/>
              <w:rPr>
                <w:rFonts w:ascii="Calibri" w:eastAsia="Times New Roman" w:hAnsi="Calibri" w:cs="Calibri"/>
                <w:color w:val="000000"/>
                <w:sz w:val="20"/>
                <w:szCs w:val="20"/>
                <w:lang w:eastAsia="en-AU"/>
              </w:rPr>
            </w:pPr>
          </w:p>
        </w:tc>
        <w:tc>
          <w:tcPr>
            <w:tcW w:w="780" w:type="dxa"/>
            <w:tcBorders>
              <w:top w:val="nil"/>
              <w:left w:val="nil"/>
              <w:bottom w:val="nil"/>
              <w:right w:val="nil"/>
            </w:tcBorders>
            <w:shd w:val="clear" w:color="auto" w:fill="auto"/>
            <w:noWrap/>
            <w:vAlign w:val="bottom"/>
            <w:hideMark/>
          </w:tcPr>
          <w:p w14:paraId="72DFFD0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Other</w:t>
            </w:r>
          </w:p>
        </w:tc>
        <w:tc>
          <w:tcPr>
            <w:tcW w:w="1101" w:type="dxa"/>
            <w:tcBorders>
              <w:top w:val="nil"/>
              <w:left w:val="nil"/>
              <w:bottom w:val="nil"/>
              <w:right w:val="nil"/>
            </w:tcBorders>
            <w:shd w:val="clear" w:color="auto" w:fill="auto"/>
            <w:noWrap/>
            <w:vAlign w:val="bottom"/>
            <w:hideMark/>
          </w:tcPr>
          <w:p w14:paraId="15FA579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66.9</w:t>
            </w:r>
          </w:p>
        </w:tc>
        <w:tc>
          <w:tcPr>
            <w:tcW w:w="835" w:type="dxa"/>
            <w:tcBorders>
              <w:top w:val="nil"/>
              <w:left w:val="nil"/>
              <w:bottom w:val="nil"/>
              <w:right w:val="nil"/>
            </w:tcBorders>
            <w:shd w:val="clear" w:color="auto" w:fill="auto"/>
            <w:noWrap/>
            <w:vAlign w:val="bottom"/>
            <w:hideMark/>
          </w:tcPr>
          <w:p w14:paraId="3FFE631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28%</w:t>
            </w:r>
          </w:p>
        </w:tc>
        <w:tc>
          <w:tcPr>
            <w:tcW w:w="976" w:type="dxa"/>
            <w:tcBorders>
              <w:top w:val="nil"/>
              <w:left w:val="nil"/>
              <w:bottom w:val="nil"/>
              <w:right w:val="nil"/>
            </w:tcBorders>
            <w:shd w:val="clear" w:color="auto" w:fill="auto"/>
            <w:noWrap/>
            <w:vAlign w:val="bottom"/>
            <w:hideMark/>
          </w:tcPr>
          <w:p w14:paraId="1D2B53A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4.30</w:t>
            </w:r>
          </w:p>
        </w:tc>
        <w:tc>
          <w:tcPr>
            <w:tcW w:w="976" w:type="dxa"/>
            <w:tcBorders>
              <w:top w:val="nil"/>
              <w:left w:val="nil"/>
              <w:bottom w:val="nil"/>
              <w:right w:val="nil"/>
            </w:tcBorders>
            <w:shd w:val="clear" w:color="auto" w:fill="auto"/>
            <w:noWrap/>
            <w:vAlign w:val="bottom"/>
            <w:hideMark/>
          </w:tcPr>
          <w:p w14:paraId="2234E44B"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2.49</w:t>
            </w:r>
          </w:p>
        </w:tc>
        <w:tc>
          <w:tcPr>
            <w:tcW w:w="968" w:type="dxa"/>
            <w:tcBorders>
              <w:top w:val="nil"/>
              <w:left w:val="nil"/>
              <w:bottom w:val="nil"/>
              <w:right w:val="single" w:sz="4" w:space="0" w:color="auto"/>
            </w:tcBorders>
            <w:shd w:val="clear" w:color="auto" w:fill="auto"/>
            <w:noWrap/>
            <w:vAlign w:val="bottom"/>
            <w:hideMark/>
          </w:tcPr>
          <w:p w14:paraId="6226D4A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1.80</w:t>
            </w:r>
          </w:p>
        </w:tc>
      </w:tr>
      <w:tr w:rsidR="007203F9" w:rsidRPr="000114E3" w14:paraId="256E5C46" w14:textId="77777777" w:rsidTr="00201ABB">
        <w:trPr>
          <w:trHeight w:val="300"/>
          <w:jc w:val="center"/>
        </w:trPr>
        <w:tc>
          <w:tcPr>
            <w:tcW w:w="1288" w:type="dxa"/>
            <w:gridSpan w:val="2"/>
            <w:tcBorders>
              <w:top w:val="nil"/>
              <w:left w:val="single" w:sz="4" w:space="0" w:color="auto"/>
              <w:bottom w:val="single" w:sz="4" w:space="0" w:color="auto"/>
              <w:right w:val="nil"/>
            </w:tcBorders>
            <w:shd w:val="clear" w:color="auto" w:fill="auto"/>
            <w:noWrap/>
            <w:vAlign w:val="bottom"/>
            <w:hideMark/>
          </w:tcPr>
          <w:p w14:paraId="291EB1D7" w14:textId="05268F5F" w:rsidR="007203F9" w:rsidRPr="000114E3" w:rsidRDefault="007203F9" w:rsidP="00201ABB">
            <w:pPr>
              <w:spacing w:after="0" w:line="240" w:lineRule="auto"/>
              <w:jc w:val="left"/>
              <w:rPr>
                <w:rFonts w:ascii="Calibri" w:eastAsia="Times New Roman" w:hAnsi="Calibri" w:cs="Calibri"/>
                <w:color w:val="000000"/>
                <w:sz w:val="20"/>
                <w:szCs w:val="20"/>
                <w:lang w:eastAsia="en-AU"/>
              </w:rPr>
            </w:pPr>
          </w:p>
        </w:tc>
        <w:tc>
          <w:tcPr>
            <w:tcW w:w="780" w:type="dxa"/>
            <w:tcBorders>
              <w:top w:val="nil"/>
              <w:left w:val="nil"/>
              <w:bottom w:val="single" w:sz="4" w:space="0" w:color="auto"/>
              <w:right w:val="nil"/>
            </w:tcBorders>
            <w:shd w:val="clear" w:color="auto" w:fill="auto"/>
            <w:noWrap/>
            <w:vAlign w:val="bottom"/>
            <w:hideMark/>
          </w:tcPr>
          <w:p w14:paraId="1999566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shd w:val="clear" w:color="auto" w:fill="auto"/>
            <w:noWrap/>
            <w:vAlign w:val="bottom"/>
            <w:hideMark/>
          </w:tcPr>
          <w:p w14:paraId="2A948A5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239.6</w:t>
            </w:r>
          </w:p>
        </w:tc>
        <w:tc>
          <w:tcPr>
            <w:tcW w:w="835" w:type="dxa"/>
            <w:tcBorders>
              <w:top w:val="nil"/>
              <w:left w:val="nil"/>
              <w:bottom w:val="single" w:sz="4" w:space="0" w:color="auto"/>
              <w:right w:val="nil"/>
            </w:tcBorders>
            <w:shd w:val="clear" w:color="auto" w:fill="auto"/>
            <w:noWrap/>
            <w:vAlign w:val="bottom"/>
            <w:hideMark/>
          </w:tcPr>
          <w:p w14:paraId="1F8B9B59" w14:textId="3356DF8B"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49D36F3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4.66</w:t>
            </w:r>
          </w:p>
        </w:tc>
        <w:tc>
          <w:tcPr>
            <w:tcW w:w="976" w:type="dxa"/>
            <w:tcBorders>
              <w:top w:val="nil"/>
              <w:left w:val="nil"/>
              <w:bottom w:val="single" w:sz="4" w:space="0" w:color="auto"/>
              <w:right w:val="nil"/>
            </w:tcBorders>
            <w:shd w:val="clear" w:color="000000" w:fill="8EA9DB"/>
            <w:noWrap/>
            <w:vAlign w:val="bottom"/>
            <w:hideMark/>
          </w:tcPr>
          <w:p w14:paraId="4F5E483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3.08</w:t>
            </w:r>
          </w:p>
        </w:tc>
        <w:tc>
          <w:tcPr>
            <w:tcW w:w="968" w:type="dxa"/>
            <w:tcBorders>
              <w:top w:val="nil"/>
              <w:left w:val="nil"/>
              <w:bottom w:val="single" w:sz="4" w:space="0" w:color="auto"/>
              <w:right w:val="single" w:sz="4" w:space="0" w:color="auto"/>
            </w:tcBorders>
            <w:shd w:val="clear" w:color="000000" w:fill="8EA9DB"/>
            <w:noWrap/>
            <w:vAlign w:val="bottom"/>
            <w:hideMark/>
          </w:tcPr>
          <w:p w14:paraId="6F04C7B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1.58</w:t>
            </w:r>
          </w:p>
        </w:tc>
      </w:tr>
      <w:tr w:rsidR="007203F9" w:rsidRPr="000114E3" w14:paraId="20D77D0F" w14:textId="77777777" w:rsidTr="00201ABB">
        <w:trPr>
          <w:trHeight w:val="300"/>
          <w:jc w:val="center"/>
        </w:trPr>
        <w:tc>
          <w:tcPr>
            <w:tcW w:w="1288" w:type="dxa"/>
            <w:gridSpan w:val="2"/>
            <w:tcBorders>
              <w:top w:val="nil"/>
              <w:left w:val="single" w:sz="4" w:space="0" w:color="auto"/>
              <w:bottom w:val="nil"/>
              <w:right w:val="nil"/>
            </w:tcBorders>
            <w:shd w:val="clear" w:color="auto" w:fill="auto"/>
            <w:noWrap/>
            <w:vAlign w:val="bottom"/>
            <w:hideMark/>
          </w:tcPr>
          <w:p w14:paraId="15D6A41A" w14:textId="77777777" w:rsidR="007203F9" w:rsidRPr="000114E3" w:rsidRDefault="007203F9" w:rsidP="00201ABB">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Queensland</w:t>
            </w:r>
          </w:p>
        </w:tc>
        <w:tc>
          <w:tcPr>
            <w:tcW w:w="780" w:type="dxa"/>
            <w:tcBorders>
              <w:top w:val="nil"/>
              <w:left w:val="nil"/>
              <w:bottom w:val="nil"/>
              <w:right w:val="nil"/>
            </w:tcBorders>
            <w:shd w:val="clear" w:color="auto" w:fill="auto"/>
            <w:noWrap/>
            <w:vAlign w:val="bottom"/>
            <w:hideMark/>
          </w:tcPr>
          <w:p w14:paraId="66623589"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Metro</w:t>
            </w:r>
          </w:p>
        </w:tc>
        <w:tc>
          <w:tcPr>
            <w:tcW w:w="1101" w:type="dxa"/>
            <w:tcBorders>
              <w:top w:val="nil"/>
              <w:left w:val="nil"/>
              <w:bottom w:val="nil"/>
              <w:right w:val="nil"/>
            </w:tcBorders>
            <w:shd w:val="clear" w:color="auto" w:fill="auto"/>
            <w:noWrap/>
            <w:vAlign w:val="bottom"/>
            <w:hideMark/>
          </w:tcPr>
          <w:p w14:paraId="60ACBC8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77.3</w:t>
            </w:r>
          </w:p>
        </w:tc>
        <w:tc>
          <w:tcPr>
            <w:tcW w:w="835" w:type="dxa"/>
            <w:tcBorders>
              <w:top w:val="nil"/>
              <w:left w:val="nil"/>
              <w:bottom w:val="nil"/>
              <w:right w:val="nil"/>
            </w:tcBorders>
            <w:shd w:val="clear" w:color="auto" w:fill="auto"/>
            <w:noWrap/>
            <w:vAlign w:val="bottom"/>
            <w:hideMark/>
          </w:tcPr>
          <w:p w14:paraId="5DC99F9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63%</w:t>
            </w:r>
          </w:p>
        </w:tc>
        <w:tc>
          <w:tcPr>
            <w:tcW w:w="976" w:type="dxa"/>
            <w:tcBorders>
              <w:top w:val="nil"/>
              <w:left w:val="nil"/>
              <w:bottom w:val="nil"/>
              <w:right w:val="nil"/>
            </w:tcBorders>
            <w:shd w:val="clear" w:color="auto" w:fill="auto"/>
            <w:noWrap/>
            <w:vAlign w:val="bottom"/>
            <w:hideMark/>
          </w:tcPr>
          <w:p w14:paraId="1AFC838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7.44</w:t>
            </w:r>
          </w:p>
        </w:tc>
        <w:tc>
          <w:tcPr>
            <w:tcW w:w="976" w:type="dxa"/>
            <w:tcBorders>
              <w:top w:val="nil"/>
              <w:left w:val="nil"/>
              <w:bottom w:val="nil"/>
              <w:right w:val="nil"/>
            </w:tcBorders>
            <w:shd w:val="clear" w:color="auto" w:fill="auto"/>
            <w:noWrap/>
            <w:vAlign w:val="bottom"/>
            <w:hideMark/>
          </w:tcPr>
          <w:p w14:paraId="644EAEC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4.90</w:t>
            </w:r>
          </w:p>
        </w:tc>
        <w:tc>
          <w:tcPr>
            <w:tcW w:w="968" w:type="dxa"/>
            <w:tcBorders>
              <w:top w:val="nil"/>
              <w:left w:val="nil"/>
              <w:bottom w:val="nil"/>
              <w:right w:val="single" w:sz="4" w:space="0" w:color="auto"/>
            </w:tcBorders>
            <w:shd w:val="clear" w:color="auto" w:fill="auto"/>
            <w:noWrap/>
            <w:vAlign w:val="bottom"/>
            <w:hideMark/>
          </w:tcPr>
          <w:p w14:paraId="3994E9BB"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2.54</w:t>
            </w:r>
          </w:p>
        </w:tc>
      </w:tr>
      <w:tr w:rsidR="007203F9" w:rsidRPr="000114E3" w14:paraId="43179F83" w14:textId="77777777" w:rsidTr="00201ABB">
        <w:trPr>
          <w:trHeight w:val="300"/>
          <w:jc w:val="center"/>
        </w:trPr>
        <w:tc>
          <w:tcPr>
            <w:tcW w:w="1288" w:type="dxa"/>
            <w:gridSpan w:val="2"/>
            <w:tcBorders>
              <w:top w:val="nil"/>
              <w:left w:val="single" w:sz="4" w:space="0" w:color="auto"/>
              <w:bottom w:val="nil"/>
              <w:right w:val="nil"/>
            </w:tcBorders>
            <w:shd w:val="clear" w:color="auto" w:fill="auto"/>
            <w:noWrap/>
            <w:vAlign w:val="bottom"/>
            <w:hideMark/>
          </w:tcPr>
          <w:p w14:paraId="05E55EED" w14:textId="26CA9B88" w:rsidR="007203F9" w:rsidRPr="000114E3" w:rsidRDefault="007203F9" w:rsidP="00201ABB">
            <w:pPr>
              <w:spacing w:after="0" w:line="240" w:lineRule="auto"/>
              <w:jc w:val="left"/>
              <w:rPr>
                <w:rFonts w:ascii="Calibri" w:eastAsia="Times New Roman" w:hAnsi="Calibri" w:cs="Calibri"/>
                <w:color w:val="000000"/>
                <w:sz w:val="20"/>
                <w:szCs w:val="20"/>
                <w:lang w:eastAsia="en-AU"/>
              </w:rPr>
            </w:pPr>
          </w:p>
        </w:tc>
        <w:tc>
          <w:tcPr>
            <w:tcW w:w="780" w:type="dxa"/>
            <w:tcBorders>
              <w:top w:val="nil"/>
              <w:left w:val="nil"/>
              <w:bottom w:val="nil"/>
              <w:right w:val="nil"/>
            </w:tcBorders>
            <w:shd w:val="clear" w:color="auto" w:fill="auto"/>
            <w:noWrap/>
            <w:vAlign w:val="bottom"/>
            <w:hideMark/>
          </w:tcPr>
          <w:p w14:paraId="4B775F99"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Other</w:t>
            </w:r>
          </w:p>
        </w:tc>
        <w:tc>
          <w:tcPr>
            <w:tcW w:w="1101" w:type="dxa"/>
            <w:tcBorders>
              <w:top w:val="nil"/>
              <w:left w:val="nil"/>
              <w:bottom w:val="nil"/>
              <w:right w:val="nil"/>
            </w:tcBorders>
            <w:shd w:val="clear" w:color="auto" w:fill="auto"/>
            <w:noWrap/>
            <w:vAlign w:val="bottom"/>
            <w:hideMark/>
          </w:tcPr>
          <w:p w14:paraId="3D9B3E9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45.5</w:t>
            </w:r>
          </w:p>
        </w:tc>
        <w:tc>
          <w:tcPr>
            <w:tcW w:w="835" w:type="dxa"/>
            <w:tcBorders>
              <w:top w:val="nil"/>
              <w:left w:val="nil"/>
              <w:bottom w:val="nil"/>
              <w:right w:val="nil"/>
            </w:tcBorders>
            <w:shd w:val="clear" w:color="auto" w:fill="auto"/>
            <w:noWrap/>
            <w:vAlign w:val="bottom"/>
            <w:hideMark/>
          </w:tcPr>
          <w:p w14:paraId="07BCB75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37%</w:t>
            </w:r>
          </w:p>
        </w:tc>
        <w:tc>
          <w:tcPr>
            <w:tcW w:w="976" w:type="dxa"/>
            <w:tcBorders>
              <w:top w:val="nil"/>
              <w:left w:val="nil"/>
              <w:bottom w:val="nil"/>
              <w:right w:val="nil"/>
            </w:tcBorders>
            <w:shd w:val="clear" w:color="auto" w:fill="auto"/>
            <w:noWrap/>
            <w:vAlign w:val="bottom"/>
            <w:hideMark/>
          </w:tcPr>
          <w:p w14:paraId="6DD25CF2"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3.25</w:t>
            </w:r>
          </w:p>
        </w:tc>
        <w:tc>
          <w:tcPr>
            <w:tcW w:w="976" w:type="dxa"/>
            <w:tcBorders>
              <w:top w:val="nil"/>
              <w:left w:val="nil"/>
              <w:bottom w:val="nil"/>
              <w:right w:val="nil"/>
            </w:tcBorders>
            <w:shd w:val="clear" w:color="auto" w:fill="auto"/>
            <w:noWrap/>
            <w:vAlign w:val="bottom"/>
            <w:hideMark/>
          </w:tcPr>
          <w:p w14:paraId="3A448FA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3.25</w:t>
            </w:r>
          </w:p>
        </w:tc>
        <w:tc>
          <w:tcPr>
            <w:tcW w:w="968" w:type="dxa"/>
            <w:tcBorders>
              <w:top w:val="nil"/>
              <w:left w:val="nil"/>
              <w:bottom w:val="nil"/>
              <w:right w:val="single" w:sz="4" w:space="0" w:color="auto"/>
            </w:tcBorders>
            <w:shd w:val="clear" w:color="auto" w:fill="auto"/>
            <w:noWrap/>
            <w:vAlign w:val="bottom"/>
            <w:hideMark/>
          </w:tcPr>
          <w:p w14:paraId="734898B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08DC57FC" w14:textId="77777777" w:rsidTr="00201ABB">
        <w:trPr>
          <w:trHeight w:val="300"/>
          <w:jc w:val="center"/>
        </w:trPr>
        <w:tc>
          <w:tcPr>
            <w:tcW w:w="1288" w:type="dxa"/>
            <w:gridSpan w:val="2"/>
            <w:tcBorders>
              <w:top w:val="nil"/>
              <w:left w:val="single" w:sz="4" w:space="0" w:color="auto"/>
              <w:bottom w:val="nil"/>
              <w:right w:val="nil"/>
            </w:tcBorders>
            <w:shd w:val="clear" w:color="auto" w:fill="auto"/>
            <w:noWrap/>
            <w:vAlign w:val="bottom"/>
            <w:hideMark/>
          </w:tcPr>
          <w:p w14:paraId="7C4F4851" w14:textId="45BD878C" w:rsidR="007203F9" w:rsidRPr="000114E3" w:rsidRDefault="007203F9" w:rsidP="00201ABB">
            <w:pPr>
              <w:spacing w:after="0" w:line="240" w:lineRule="auto"/>
              <w:jc w:val="left"/>
              <w:rPr>
                <w:rFonts w:ascii="Calibri" w:eastAsia="Times New Roman" w:hAnsi="Calibri" w:cs="Calibri"/>
                <w:color w:val="000000"/>
                <w:sz w:val="20"/>
                <w:szCs w:val="20"/>
                <w:lang w:eastAsia="en-AU"/>
              </w:rPr>
            </w:pPr>
          </w:p>
        </w:tc>
        <w:tc>
          <w:tcPr>
            <w:tcW w:w="780" w:type="dxa"/>
            <w:tcBorders>
              <w:top w:val="nil"/>
              <w:left w:val="nil"/>
              <w:bottom w:val="nil"/>
              <w:right w:val="nil"/>
            </w:tcBorders>
            <w:shd w:val="clear" w:color="auto" w:fill="auto"/>
            <w:noWrap/>
            <w:vAlign w:val="bottom"/>
            <w:hideMark/>
          </w:tcPr>
          <w:p w14:paraId="0896429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nil"/>
              <w:right w:val="nil"/>
            </w:tcBorders>
            <w:shd w:val="clear" w:color="auto" w:fill="auto"/>
            <w:noWrap/>
            <w:vAlign w:val="bottom"/>
            <w:hideMark/>
          </w:tcPr>
          <w:p w14:paraId="078460F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122.8</w:t>
            </w:r>
          </w:p>
        </w:tc>
        <w:tc>
          <w:tcPr>
            <w:tcW w:w="835" w:type="dxa"/>
            <w:tcBorders>
              <w:top w:val="nil"/>
              <w:left w:val="nil"/>
              <w:bottom w:val="nil"/>
              <w:right w:val="nil"/>
            </w:tcBorders>
            <w:shd w:val="clear" w:color="auto" w:fill="auto"/>
            <w:noWrap/>
            <w:vAlign w:val="bottom"/>
            <w:hideMark/>
          </w:tcPr>
          <w:p w14:paraId="7C887E4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1B6068F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5.89</w:t>
            </w:r>
          </w:p>
        </w:tc>
        <w:tc>
          <w:tcPr>
            <w:tcW w:w="976" w:type="dxa"/>
            <w:tcBorders>
              <w:top w:val="nil"/>
              <w:left w:val="nil"/>
              <w:bottom w:val="single" w:sz="4" w:space="0" w:color="auto"/>
              <w:right w:val="nil"/>
            </w:tcBorders>
            <w:shd w:val="clear" w:color="000000" w:fill="8EA9DB"/>
            <w:noWrap/>
            <w:vAlign w:val="bottom"/>
            <w:hideMark/>
          </w:tcPr>
          <w:p w14:paraId="5CA8A8F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4.29</w:t>
            </w:r>
          </w:p>
        </w:tc>
        <w:tc>
          <w:tcPr>
            <w:tcW w:w="968" w:type="dxa"/>
            <w:tcBorders>
              <w:top w:val="nil"/>
              <w:left w:val="nil"/>
              <w:bottom w:val="single" w:sz="4" w:space="0" w:color="auto"/>
              <w:right w:val="single" w:sz="4" w:space="0" w:color="auto"/>
            </w:tcBorders>
            <w:shd w:val="clear" w:color="000000" w:fill="8EA9DB"/>
            <w:noWrap/>
            <w:vAlign w:val="bottom"/>
            <w:hideMark/>
          </w:tcPr>
          <w:p w14:paraId="4D6723F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1.60</w:t>
            </w:r>
          </w:p>
        </w:tc>
      </w:tr>
      <w:tr w:rsidR="007203F9" w:rsidRPr="000114E3" w14:paraId="4FF784ED" w14:textId="77777777" w:rsidTr="00201ABB">
        <w:trPr>
          <w:trHeight w:val="300"/>
          <w:jc w:val="center"/>
        </w:trPr>
        <w:tc>
          <w:tcPr>
            <w:tcW w:w="1288" w:type="dxa"/>
            <w:gridSpan w:val="2"/>
            <w:tcBorders>
              <w:top w:val="single" w:sz="4" w:space="0" w:color="auto"/>
              <w:left w:val="single" w:sz="4" w:space="0" w:color="auto"/>
              <w:bottom w:val="single" w:sz="4" w:space="0" w:color="auto"/>
              <w:right w:val="nil"/>
            </w:tcBorders>
            <w:shd w:val="clear" w:color="auto" w:fill="auto"/>
            <w:noWrap/>
            <w:vAlign w:val="bottom"/>
            <w:hideMark/>
          </w:tcPr>
          <w:p w14:paraId="0828256F" w14:textId="77777777" w:rsidR="007203F9" w:rsidRPr="000114E3" w:rsidRDefault="007203F9" w:rsidP="00201ABB">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SA</w:t>
            </w:r>
          </w:p>
        </w:tc>
        <w:tc>
          <w:tcPr>
            <w:tcW w:w="780" w:type="dxa"/>
            <w:tcBorders>
              <w:top w:val="single" w:sz="4" w:space="0" w:color="auto"/>
              <w:left w:val="nil"/>
              <w:bottom w:val="single" w:sz="4" w:space="0" w:color="auto"/>
              <w:right w:val="nil"/>
            </w:tcBorders>
            <w:shd w:val="clear" w:color="auto" w:fill="auto"/>
            <w:noWrap/>
            <w:vAlign w:val="bottom"/>
            <w:hideMark/>
          </w:tcPr>
          <w:p w14:paraId="0730C05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single" w:sz="4" w:space="0" w:color="auto"/>
              <w:left w:val="nil"/>
              <w:bottom w:val="single" w:sz="4" w:space="0" w:color="auto"/>
              <w:right w:val="nil"/>
            </w:tcBorders>
            <w:shd w:val="clear" w:color="auto" w:fill="auto"/>
            <w:noWrap/>
            <w:vAlign w:val="bottom"/>
            <w:hideMark/>
          </w:tcPr>
          <w:p w14:paraId="7450434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60.0</w:t>
            </w:r>
          </w:p>
        </w:tc>
        <w:tc>
          <w:tcPr>
            <w:tcW w:w="835" w:type="dxa"/>
            <w:tcBorders>
              <w:top w:val="single" w:sz="4" w:space="0" w:color="auto"/>
              <w:left w:val="nil"/>
              <w:bottom w:val="single" w:sz="4" w:space="0" w:color="auto"/>
              <w:right w:val="nil"/>
            </w:tcBorders>
            <w:shd w:val="clear" w:color="auto" w:fill="auto"/>
            <w:noWrap/>
            <w:vAlign w:val="bottom"/>
            <w:hideMark/>
          </w:tcPr>
          <w:p w14:paraId="46316A3C" w14:textId="1305E938"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70C5543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3.21</w:t>
            </w:r>
          </w:p>
        </w:tc>
        <w:tc>
          <w:tcPr>
            <w:tcW w:w="976" w:type="dxa"/>
            <w:tcBorders>
              <w:top w:val="nil"/>
              <w:left w:val="nil"/>
              <w:bottom w:val="single" w:sz="4" w:space="0" w:color="auto"/>
              <w:right w:val="nil"/>
            </w:tcBorders>
            <w:shd w:val="clear" w:color="000000" w:fill="8EA9DB"/>
            <w:noWrap/>
            <w:vAlign w:val="bottom"/>
            <w:hideMark/>
          </w:tcPr>
          <w:p w14:paraId="5D3D9D32"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3.21</w:t>
            </w:r>
          </w:p>
        </w:tc>
        <w:tc>
          <w:tcPr>
            <w:tcW w:w="968" w:type="dxa"/>
            <w:tcBorders>
              <w:top w:val="nil"/>
              <w:left w:val="nil"/>
              <w:bottom w:val="single" w:sz="4" w:space="0" w:color="auto"/>
              <w:right w:val="single" w:sz="4" w:space="0" w:color="auto"/>
            </w:tcBorders>
            <w:shd w:val="clear" w:color="000000" w:fill="8EA9DB"/>
            <w:noWrap/>
            <w:vAlign w:val="bottom"/>
            <w:hideMark/>
          </w:tcPr>
          <w:p w14:paraId="1FC47CE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11630B6D" w14:textId="77777777" w:rsidTr="00201ABB">
        <w:trPr>
          <w:trHeight w:val="300"/>
          <w:jc w:val="center"/>
        </w:trPr>
        <w:tc>
          <w:tcPr>
            <w:tcW w:w="1288" w:type="dxa"/>
            <w:gridSpan w:val="2"/>
            <w:tcBorders>
              <w:top w:val="nil"/>
              <w:left w:val="single" w:sz="4" w:space="0" w:color="auto"/>
              <w:bottom w:val="nil"/>
              <w:right w:val="nil"/>
            </w:tcBorders>
            <w:shd w:val="clear" w:color="auto" w:fill="auto"/>
            <w:noWrap/>
            <w:vAlign w:val="bottom"/>
            <w:hideMark/>
          </w:tcPr>
          <w:p w14:paraId="65B352FC" w14:textId="77777777" w:rsidR="007203F9" w:rsidRPr="000114E3" w:rsidRDefault="007203F9" w:rsidP="00201ABB">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WA</w:t>
            </w:r>
          </w:p>
        </w:tc>
        <w:tc>
          <w:tcPr>
            <w:tcW w:w="780" w:type="dxa"/>
            <w:tcBorders>
              <w:top w:val="nil"/>
              <w:left w:val="nil"/>
              <w:bottom w:val="nil"/>
              <w:right w:val="nil"/>
            </w:tcBorders>
            <w:shd w:val="clear" w:color="auto" w:fill="auto"/>
            <w:noWrap/>
            <w:vAlign w:val="bottom"/>
            <w:hideMark/>
          </w:tcPr>
          <w:p w14:paraId="2B83740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Metro</w:t>
            </w:r>
          </w:p>
        </w:tc>
        <w:tc>
          <w:tcPr>
            <w:tcW w:w="1101" w:type="dxa"/>
            <w:tcBorders>
              <w:top w:val="nil"/>
              <w:left w:val="nil"/>
              <w:bottom w:val="nil"/>
              <w:right w:val="nil"/>
            </w:tcBorders>
            <w:shd w:val="clear" w:color="auto" w:fill="auto"/>
            <w:noWrap/>
            <w:vAlign w:val="bottom"/>
            <w:hideMark/>
          </w:tcPr>
          <w:p w14:paraId="6D07DCC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67.1</w:t>
            </w:r>
          </w:p>
        </w:tc>
        <w:tc>
          <w:tcPr>
            <w:tcW w:w="835" w:type="dxa"/>
            <w:tcBorders>
              <w:top w:val="nil"/>
              <w:left w:val="nil"/>
              <w:bottom w:val="nil"/>
              <w:right w:val="nil"/>
            </w:tcBorders>
            <w:shd w:val="clear" w:color="auto" w:fill="auto"/>
            <w:noWrap/>
            <w:vAlign w:val="bottom"/>
            <w:hideMark/>
          </w:tcPr>
          <w:p w14:paraId="61ADB82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85%</w:t>
            </w:r>
          </w:p>
        </w:tc>
        <w:tc>
          <w:tcPr>
            <w:tcW w:w="976" w:type="dxa"/>
            <w:tcBorders>
              <w:top w:val="nil"/>
              <w:left w:val="nil"/>
              <w:bottom w:val="nil"/>
              <w:right w:val="nil"/>
            </w:tcBorders>
            <w:shd w:val="clear" w:color="auto" w:fill="auto"/>
            <w:noWrap/>
            <w:vAlign w:val="bottom"/>
            <w:hideMark/>
          </w:tcPr>
          <w:p w14:paraId="607D8AF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7.10</w:t>
            </w:r>
          </w:p>
        </w:tc>
        <w:tc>
          <w:tcPr>
            <w:tcW w:w="976" w:type="dxa"/>
            <w:tcBorders>
              <w:top w:val="nil"/>
              <w:left w:val="nil"/>
              <w:bottom w:val="nil"/>
              <w:right w:val="nil"/>
            </w:tcBorders>
            <w:shd w:val="clear" w:color="auto" w:fill="auto"/>
            <w:noWrap/>
            <w:vAlign w:val="bottom"/>
            <w:hideMark/>
          </w:tcPr>
          <w:p w14:paraId="4B4878A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2.85</w:t>
            </w:r>
          </w:p>
        </w:tc>
        <w:tc>
          <w:tcPr>
            <w:tcW w:w="968" w:type="dxa"/>
            <w:tcBorders>
              <w:top w:val="nil"/>
              <w:left w:val="nil"/>
              <w:bottom w:val="nil"/>
              <w:right w:val="single" w:sz="4" w:space="0" w:color="auto"/>
            </w:tcBorders>
            <w:shd w:val="clear" w:color="auto" w:fill="auto"/>
            <w:noWrap/>
            <w:vAlign w:val="bottom"/>
            <w:hideMark/>
          </w:tcPr>
          <w:p w14:paraId="36485EA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4.25</w:t>
            </w:r>
          </w:p>
        </w:tc>
      </w:tr>
      <w:tr w:rsidR="007203F9" w:rsidRPr="000114E3" w14:paraId="5C9E87A8" w14:textId="77777777" w:rsidTr="00201ABB">
        <w:trPr>
          <w:trHeight w:val="300"/>
          <w:jc w:val="center"/>
        </w:trPr>
        <w:tc>
          <w:tcPr>
            <w:tcW w:w="1288" w:type="dxa"/>
            <w:gridSpan w:val="2"/>
            <w:tcBorders>
              <w:top w:val="nil"/>
              <w:left w:val="single" w:sz="4" w:space="0" w:color="auto"/>
              <w:bottom w:val="nil"/>
              <w:right w:val="nil"/>
            </w:tcBorders>
            <w:shd w:val="clear" w:color="auto" w:fill="auto"/>
            <w:noWrap/>
            <w:vAlign w:val="bottom"/>
            <w:hideMark/>
          </w:tcPr>
          <w:p w14:paraId="1FBA0C46" w14:textId="64D0B746" w:rsidR="007203F9" w:rsidRPr="000114E3" w:rsidRDefault="007203F9" w:rsidP="00201ABB">
            <w:pPr>
              <w:spacing w:after="0" w:line="240" w:lineRule="auto"/>
              <w:jc w:val="left"/>
              <w:rPr>
                <w:rFonts w:ascii="Calibri" w:eastAsia="Times New Roman" w:hAnsi="Calibri" w:cs="Calibri"/>
                <w:color w:val="000000"/>
                <w:sz w:val="20"/>
                <w:szCs w:val="20"/>
                <w:lang w:eastAsia="en-AU"/>
              </w:rPr>
            </w:pPr>
          </w:p>
        </w:tc>
        <w:tc>
          <w:tcPr>
            <w:tcW w:w="780" w:type="dxa"/>
            <w:tcBorders>
              <w:top w:val="nil"/>
              <w:left w:val="nil"/>
              <w:bottom w:val="nil"/>
              <w:right w:val="nil"/>
            </w:tcBorders>
            <w:shd w:val="clear" w:color="auto" w:fill="auto"/>
            <w:noWrap/>
            <w:vAlign w:val="bottom"/>
            <w:hideMark/>
          </w:tcPr>
          <w:p w14:paraId="3F758B5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Other</w:t>
            </w:r>
          </w:p>
        </w:tc>
        <w:tc>
          <w:tcPr>
            <w:tcW w:w="1101" w:type="dxa"/>
            <w:tcBorders>
              <w:top w:val="nil"/>
              <w:left w:val="nil"/>
              <w:bottom w:val="nil"/>
              <w:right w:val="nil"/>
            </w:tcBorders>
            <w:shd w:val="clear" w:color="auto" w:fill="auto"/>
            <w:noWrap/>
            <w:vAlign w:val="bottom"/>
            <w:hideMark/>
          </w:tcPr>
          <w:p w14:paraId="1B6F14A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12.2</w:t>
            </w:r>
          </w:p>
        </w:tc>
        <w:tc>
          <w:tcPr>
            <w:tcW w:w="835" w:type="dxa"/>
            <w:tcBorders>
              <w:top w:val="nil"/>
              <w:left w:val="nil"/>
              <w:bottom w:val="nil"/>
              <w:right w:val="nil"/>
            </w:tcBorders>
            <w:shd w:val="clear" w:color="auto" w:fill="auto"/>
            <w:noWrap/>
            <w:vAlign w:val="bottom"/>
            <w:hideMark/>
          </w:tcPr>
          <w:p w14:paraId="0F78C75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15%</w:t>
            </w:r>
          </w:p>
        </w:tc>
        <w:tc>
          <w:tcPr>
            <w:tcW w:w="976" w:type="dxa"/>
            <w:tcBorders>
              <w:top w:val="nil"/>
              <w:left w:val="nil"/>
              <w:bottom w:val="nil"/>
              <w:right w:val="nil"/>
            </w:tcBorders>
            <w:shd w:val="clear" w:color="auto" w:fill="auto"/>
            <w:noWrap/>
            <w:vAlign w:val="bottom"/>
            <w:hideMark/>
          </w:tcPr>
          <w:p w14:paraId="2783A7E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3.71</w:t>
            </w:r>
          </w:p>
        </w:tc>
        <w:tc>
          <w:tcPr>
            <w:tcW w:w="976" w:type="dxa"/>
            <w:tcBorders>
              <w:top w:val="nil"/>
              <w:left w:val="nil"/>
              <w:bottom w:val="nil"/>
              <w:right w:val="nil"/>
            </w:tcBorders>
            <w:shd w:val="clear" w:color="auto" w:fill="auto"/>
            <w:noWrap/>
            <w:vAlign w:val="bottom"/>
            <w:hideMark/>
          </w:tcPr>
          <w:p w14:paraId="00CC055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3.71</w:t>
            </w:r>
          </w:p>
        </w:tc>
        <w:tc>
          <w:tcPr>
            <w:tcW w:w="968" w:type="dxa"/>
            <w:tcBorders>
              <w:top w:val="nil"/>
              <w:left w:val="nil"/>
              <w:bottom w:val="nil"/>
              <w:right w:val="single" w:sz="4" w:space="0" w:color="auto"/>
            </w:tcBorders>
            <w:shd w:val="clear" w:color="auto" w:fill="auto"/>
            <w:noWrap/>
            <w:vAlign w:val="bottom"/>
            <w:hideMark/>
          </w:tcPr>
          <w:p w14:paraId="2DF64AC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7665F1C9" w14:textId="77777777" w:rsidTr="00201ABB">
        <w:trPr>
          <w:trHeight w:val="300"/>
          <w:jc w:val="center"/>
        </w:trPr>
        <w:tc>
          <w:tcPr>
            <w:tcW w:w="1288" w:type="dxa"/>
            <w:gridSpan w:val="2"/>
            <w:tcBorders>
              <w:top w:val="nil"/>
              <w:left w:val="single" w:sz="4" w:space="0" w:color="auto"/>
              <w:bottom w:val="single" w:sz="4" w:space="0" w:color="auto"/>
              <w:right w:val="nil"/>
            </w:tcBorders>
            <w:shd w:val="clear" w:color="auto" w:fill="auto"/>
            <w:noWrap/>
            <w:vAlign w:val="bottom"/>
            <w:hideMark/>
          </w:tcPr>
          <w:p w14:paraId="48C7308E" w14:textId="3613DF88" w:rsidR="007203F9" w:rsidRPr="000114E3" w:rsidRDefault="007203F9" w:rsidP="00201ABB">
            <w:pPr>
              <w:spacing w:after="0" w:line="240" w:lineRule="auto"/>
              <w:jc w:val="left"/>
              <w:rPr>
                <w:rFonts w:ascii="Calibri" w:eastAsia="Times New Roman" w:hAnsi="Calibri" w:cs="Calibri"/>
                <w:color w:val="000000"/>
                <w:sz w:val="20"/>
                <w:szCs w:val="20"/>
                <w:lang w:eastAsia="en-AU"/>
              </w:rPr>
            </w:pPr>
          </w:p>
        </w:tc>
        <w:tc>
          <w:tcPr>
            <w:tcW w:w="780" w:type="dxa"/>
            <w:tcBorders>
              <w:top w:val="nil"/>
              <w:left w:val="nil"/>
              <w:bottom w:val="single" w:sz="4" w:space="0" w:color="auto"/>
              <w:right w:val="nil"/>
            </w:tcBorders>
            <w:shd w:val="clear" w:color="auto" w:fill="auto"/>
            <w:noWrap/>
            <w:vAlign w:val="bottom"/>
            <w:hideMark/>
          </w:tcPr>
          <w:p w14:paraId="1C9E84C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shd w:val="clear" w:color="auto" w:fill="auto"/>
            <w:noWrap/>
            <w:vAlign w:val="bottom"/>
            <w:hideMark/>
          </w:tcPr>
          <w:p w14:paraId="08580A2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79.3</w:t>
            </w:r>
          </w:p>
        </w:tc>
        <w:tc>
          <w:tcPr>
            <w:tcW w:w="835" w:type="dxa"/>
            <w:tcBorders>
              <w:top w:val="nil"/>
              <w:left w:val="nil"/>
              <w:bottom w:val="single" w:sz="4" w:space="0" w:color="auto"/>
              <w:right w:val="nil"/>
            </w:tcBorders>
            <w:shd w:val="clear" w:color="auto" w:fill="auto"/>
            <w:noWrap/>
            <w:vAlign w:val="bottom"/>
            <w:hideMark/>
          </w:tcPr>
          <w:p w14:paraId="34894CEF" w14:textId="33733BD9"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1259487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6.58</w:t>
            </w:r>
          </w:p>
        </w:tc>
        <w:tc>
          <w:tcPr>
            <w:tcW w:w="976" w:type="dxa"/>
            <w:tcBorders>
              <w:top w:val="nil"/>
              <w:left w:val="nil"/>
              <w:bottom w:val="single" w:sz="4" w:space="0" w:color="auto"/>
              <w:right w:val="nil"/>
            </w:tcBorders>
            <w:shd w:val="clear" w:color="000000" w:fill="8EA9DB"/>
            <w:noWrap/>
            <w:vAlign w:val="bottom"/>
            <w:hideMark/>
          </w:tcPr>
          <w:p w14:paraId="063DB65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2.98</w:t>
            </w:r>
          </w:p>
        </w:tc>
        <w:tc>
          <w:tcPr>
            <w:tcW w:w="968" w:type="dxa"/>
            <w:tcBorders>
              <w:top w:val="nil"/>
              <w:left w:val="nil"/>
              <w:bottom w:val="single" w:sz="4" w:space="0" w:color="auto"/>
              <w:right w:val="single" w:sz="4" w:space="0" w:color="auto"/>
            </w:tcBorders>
            <w:shd w:val="clear" w:color="000000" w:fill="8EA9DB"/>
            <w:noWrap/>
            <w:vAlign w:val="bottom"/>
            <w:hideMark/>
          </w:tcPr>
          <w:p w14:paraId="088877BB"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3.59</w:t>
            </w:r>
          </w:p>
        </w:tc>
      </w:tr>
      <w:tr w:rsidR="007203F9" w:rsidRPr="000114E3" w14:paraId="404467D7" w14:textId="77777777" w:rsidTr="00201ABB">
        <w:trPr>
          <w:trHeight w:val="300"/>
          <w:jc w:val="center"/>
        </w:trPr>
        <w:tc>
          <w:tcPr>
            <w:tcW w:w="1288" w:type="dxa"/>
            <w:gridSpan w:val="2"/>
            <w:tcBorders>
              <w:top w:val="nil"/>
              <w:left w:val="single" w:sz="4" w:space="0" w:color="auto"/>
              <w:bottom w:val="single" w:sz="4" w:space="0" w:color="auto"/>
              <w:right w:val="nil"/>
            </w:tcBorders>
            <w:shd w:val="clear" w:color="auto" w:fill="auto"/>
            <w:noWrap/>
            <w:vAlign w:val="bottom"/>
            <w:hideMark/>
          </w:tcPr>
          <w:p w14:paraId="3FF99658" w14:textId="77777777" w:rsidR="007203F9" w:rsidRPr="000114E3" w:rsidRDefault="007203F9" w:rsidP="00201ABB">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TAS</w:t>
            </w:r>
          </w:p>
        </w:tc>
        <w:tc>
          <w:tcPr>
            <w:tcW w:w="780" w:type="dxa"/>
            <w:tcBorders>
              <w:top w:val="nil"/>
              <w:left w:val="nil"/>
              <w:bottom w:val="single" w:sz="4" w:space="0" w:color="auto"/>
              <w:right w:val="nil"/>
            </w:tcBorders>
            <w:shd w:val="clear" w:color="auto" w:fill="auto"/>
            <w:noWrap/>
            <w:vAlign w:val="bottom"/>
            <w:hideMark/>
          </w:tcPr>
          <w:p w14:paraId="65097E3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shd w:val="clear" w:color="auto" w:fill="auto"/>
            <w:noWrap/>
            <w:vAlign w:val="bottom"/>
            <w:hideMark/>
          </w:tcPr>
          <w:p w14:paraId="383BF26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22.4</w:t>
            </w:r>
          </w:p>
        </w:tc>
        <w:tc>
          <w:tcPr>
            <w:tcW w:w="835" w:type="dxa"/>
            <w:tcBorders>
              <w:top w:val="nil"/>
              <w:left w:val="nil"/>
              <w:bottom w:val="single" w:sz="4" w:space="0" w:color="auto"/>
              <w:right w:val="nil"/>
            </w:tcBorders>
            <w:shd w:val="clear" w:color="auto" w:fill="auto"/>
            <w:noWrap/>
            <w:vAlign w:val="bottom"/>
            <w:hideMark/>
          </w:tcPr>
          <w:p w14:paraId="6ED00F65" w14:textId="66CBCCB2"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3EEB80B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1.22</w:t>
            </w:r>
          </w:p>
        </w:tc>
        <w:tc>
          <w:tcPr>
            <w:tcW w:w="976" w:type="dxa"/>
            <w:tcBorders>
              <w:top w:val="nil"/>
              <w:left w:val="nil"/>
              <w:bottom w:val="single" w:sz="4" w:space="0" w:color="auto"/>
              <w:right w:val="nil"/>
            </w:tcBorders>
            <w:shd w:val="clear" w:color="000000" w:fill="8EA9DB"/>
            <w:noWrap/>
            <w:vAlign w:val="bottom"/>
            <w:hideMark/>
          </w:tcPr>
          <w:p w14:paraId="6BB4C87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1.22</w:t>
            </w:r>
          </w:p>
        </w:tc>
        <w:tc>
          <w:tcPr>
            <w:tcW w:w="968" w:type="dxa"/>
            <w:tcBorders>
              <w:top w:val="nil"/>
              <w:left w:val="nil"/>
              <w:bottom w:val="single" w:sz="4" w:space="0" w:color="auto"/>
              <w:right w:val="single" w:sz="4" w:space="0" w:color="auto"/>
            </w:tcBorders>
            <w:shd w:val="clear" w:color="000000" w:fill="8EA9DB"/>
            <w:noWrap/>
            <w:vAlign w:val="bottom"/>
            <w:hideMark/>
          </w:tcPr>
          <w:p w14:paraId="117B3F9F"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594D5341" w14:textId="77777777" w:rsidTr="00201ABB">
        <w:trPr>
          <w:trHeight w:val="300"/>
          <w:jc w:val="center"/>
        </w:trPr>
        <w:tc>
          <w:tcPr>
            <w:tcW w:w="1288" w:type="dxa"/>
            <w:gridSpan w:val="2"/>
            <w:tcBorders>
              <w:top w:val="nil"/>
              <w:left w:val="single" w:sz="4" w:space="0" w:color="auto"/>
              <w:bottom w:val="single" w:sz="4" w:space="0" w:color="auto"/>
              <w:right w:val="nil"/>
            </w:tcBorders>
            <w:shd w:val="clear" w:color="auto" w:fill="auto"/>
            <w:noWrap/>
            <w:vAlign w:val="bottom"/>
            <w:hideMark/>
          </w:tcPr>
          <w:p w14:paraId="1B507BF9" w14:textId="77777777" w:rsidR="007203F9" w:rsidRPr="000114E3" w:rsidRDefault="007203F9" w:rsidP="00201ABB">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NT</w:t>
            </w:r>
          </w:p>
        </w:tc>
        <w:tc>
          <w:tcPr>
            <w:tcW w:w="780" w:type="dxa"/>
            <w:tcBorders>
              <w:top w:val="nil"/>
              <w:left w:val="nil"/>
              <w:bottom w:val="single" w:sz="4" w:space="0" w:color="auto"/>
              <w:right w:val="nil"/>
            </w:tcBorders>
            <w:shd w:val="clear" w:color="auto" w:fill="auto"/>
            <w:noWrap/>
            <w:vAlign w:val="bottom"/>
            <w:hideMark/>
          </w:tcPr>
          <w:p w14:paraId="79B0C34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shd w:val="clear" w:color="auto" w:fill="auto"/>
            <w:noWrap/>
            <w:vAlign w:val="bottom"/>
            <w:hideMark/>
          </w:tcPr>
          <w:p w14:paraId="0D3FF04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10.0</w:t>
            </w:r>
          </w:p>
        </w:tc>
        <w:tc>
          <w:tcPr>
            <w:tcW w:w="835" w:type="dxa"/>
            <w:tcBorders>
              <w:top w:val="nil"/>
              <w:left w:val="nil"/>
              <w:bottom w:val="single" w:sz="4" w:space="0" w:color="auto"/>
              <w:right w:val="nil"/>
            </w:tcBorders>
            <w:shd w:val="clear" w:color="auto" w:fill="auto"/>
            <w:noWrap/>
            <w:vAlign w:val="bottom"/>
            <w:hideMark/>
          </w:tcPr>
          <w:p w14:paraId="68F2A9B0" w14:textId="3378B2D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4064BE79"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3.86</w:t>
            </w:r>
          </w:p>
        </w:tc>
        <w:tc>
          <w:tcPr>
            <w:tcW w:w="976" w:type="dxa"/>
            <w:tcBorders>
              <w:top w:val="nil"/>
              <w:left w:val="nil"/>
              <w:bottom w:val="single" w:sz="4" w:space="0" w:color="auto"/>
              <w:right w:val="nil"/>
            </w:tcBorders>
            <w:shd w:val="clear" w:color="000000" w:fill="8EA9DB"/>
            <w:noWrap/>
            <w:vAlign w:val="bottom"/>
            <w:hideMark/>
          </w:tcPr>
          <w:p w14:paraId="73EBF342"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3.86</w:t>
            </w:r>
          </w:p>
        </w:tc>
        <w:tc>
          <w:tcPr>
            <w:tcW w:w="968" w:type="dxa"/>
            <w:tcBorders>
              <w:top w:val="nil"/>
              <w:left w:val="nil"/>
              <w:bottom w:val="single" w:sz="4" w:space="0" w:color="auto"/>
              <w:right w:val="single" w:sz="4" w:space="0" w:color="auto"/>
            </w:tcBorders>
            <w:shd w:val="clear" w:color="000000" w:fill="8EA9DB"/>
            <w:noWrap/>
            <w:vAlign w:val="bottom"/>
            <w:hideMark/>
          </w:tcPr>
          <w:p w14:paraId="3DE019DF"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7AE80C18" w14:textId="77777777" w:rsidTr="00201ABB">
        <w:trPr>
          <w:trHeight w:val="300"/>
          <w:jc w:val="center"/>
        </w:trPr>
        <w:tc>
          <w:tcPr>
            <w:tcW w:w="1288" w:type="dxa"/>
            <w:gridSpan w:val="2"/>
            <w:tcBorders>
              <w:top w:val="nil"/>
              <w:left w:val="single" w:sz="4" w:space="0" w:color="auto"/>
              <w:bottom w:val="single" w:sz="4" w:space="0" w:color="auto"/>
              <w:right w:val="nil"/>
            </w:tcBorders>
            <w:shd w:val="clear" w:color="auto" w:fill="auto"/>
            <w:noWrap/>
            <w:vAlign w:val="bottom"/>
            <w:hideMark/>
          </w:tcPr>
          <w:p w14:paraId="067FDD40" w14:textId="77777777" w:rsidR="007203F9" w:rsidRPr="000114E3" w:rsidRDefault="007203F9" w:rsidP="00201ABB">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ACT</w:t>
            </w:r>
          </w:p>
        </w:tc>
        <w:tc>
          <w:tcPr>
            <w:tcW w:w="780" w:type="dxa"/>
            <w:tcBorders>
              <w:top w:val="nil"/>
              <w:left w:val="nil"/>
              <w:bottom w:val="single" w:sz="4" w:space="0" w:color="auto"/>
              <w:right w:val="nil"/>
            </w:tcBorders>
            <w:shd w:val="clear" w:color="auto" w:fill="auto"/>
            <w:noWrap/>
            <w:vAlign w:val="bottom"/>
            <w:hideMark/>
          </w:tcPr>
          <w:p w14:paraId="7257A4A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shd w:val="clear" w:color="auto" w:fill="auto"/>
            <w:noWrap/>
            <w:vAlign w:val="bottom"/>
            <w:hideMark/>
          </w:tcPr>
          <w:p w14:paraId="2754BB0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10.9</w:t>
            </w:r>
          </w:p>
        </w:tc>
        <w:tc>
          <w:tcPr>
            <w:tcW w:w="835" w:type="dxa"/>
            <w:tcBorders>
              <w:top w:val="nil"/>
              <w:left w:val="nil"/>
              <w:bottom w:val="single" w:sz="4" w:space="0" w:color="auto"/>
              <w:right w:val="nil"/>
            </w:tcBorders>
            <w:shd w:val="clear" w:color="auto" w:fill="auto"/>
            <w:noWrap/>
            <w:vAlign w:val="bottom"/>
            <w:hideMark/>
          </w:tcPr>
          <w:p w14:paraId="78975733" w14:textId="3871A458"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60F93C0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2.20</w:t>
            </w:r>
          </w:p>
        </w:tc>
        <w:tc>
          <w:tcPr>
            <w:tcW w:w="976" w:type="dxa"/>
            <w:tcBorders>
              <w:top w:val="nil"/>
              <w:left w:val="nil"/>
              <w:bottom w:val="single" w:sz="4" w:space="0" w:color="auto"/>
              <w:right w:val="nil"/>
            </w:tcBorders>
            <w:shd w:val="clear" w:color="000000" w:fill="8EA9DB"/>
            <w:noWrap/>
            <w:vAlign w:val="bottom"/>
            <w:hideMark/>
          </w:tcPr>
          <w:p w14:paraId="5481E11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2.20</w:t>
            </w:r>
          </w:p>
        </w:tc>
        <w:tc>
          <w:tcPr>
            <w:tcW w:w="968" w:type="dxa"/>
            <w:tcBorders>
              <w:top w:val="nil"/>
              <w:left w:val="nil"/>
              <w:bottom w:val="single" w:sz="4" w:space="0" w:color="auto"/>
              <w:right w:val="single" w:sz="4" w:space="0" w:color="auto"/>
            </w:tcBorders>
            <w:shd w:val="clear" w:color="000000" w:fill="8EA9DB"/>
            <w:noWrap/>
            <w:vAlign w:val="bottom"/>
            <w:hideMark/>
          </w:tcPr>
          <w:p w14:paraId="15A520C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4946FBB7" w14:textId="77777777" w:rsidTr="00201ABB">
        <w:trPr>
          <w:trHeight w:val="300"/>
          <w:jc w:val="center"/>
        </w:trPr>
        <w:tc>
          <w:tcPr>
            <w:tcW w:w="1288" w:type="dxa"/>
            <w:gridSpan w:val="2"/>
            <w:tcBorders>
              <w:top w:val="nil"/>
              <w:left w:val="single" w:sz="4" w:space="0" w:color="auto"/>
              <w:bottom w:val="single" w:sz="4" w:space="0" w:color="auto"/>
              <w:right w:val="nil"/>
            </w:tcBorders>
            <w:shd w:val="clear" w:color="auto" w:fill="auto"/>
            <w:noWrap/>
            <w:vAlign w:val="bottom"/>
            <w:hideMark/>
          </w:tcPr>
          <w:p w14:paraId="3324FAB1" w14:textId="77777777" w:rsidR="007203F9" w:rsidRPr="000114E3" w:rsidRDefault="007203F9" w:rsidP="00201ABB">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Australia</w:t>
            </w:r>
          </w:p>
        </w:tc>
        <w:tc>
          <w:tcPr>
            <w:tcW w:w="780" w:type="dxa"/>
            <w:tcBorders>
              <w:top w:val="nil"/>
              <w:left w:val="nil"/>
              <w:bottom w:val="single" w:sz="4" w:space="0" w:color="auto"/>
              <w:right w:val="nil"/>
            </w:tcBorders>
            <w:shd w:val="clear" w:color="auto" w:fill="auto"/>
            <w:noWrap/>
            <w:vAlign w:val="bottom"/>
            <w:hideMark/>
          </w:tcPr>
          <w:p w14:paraId="2CB22973" w14:textId="7ABA8D52"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1101" w:type="dxa"/>
            <w:tcBorders>
              <w:top w:val="nil"/>
              <w:left w:val="nil"/>
              <w:bottom w:val="single" w:sz="4" w:space="0" w:color="auto"/>
              <w:right w:val="nil"/>
            </w:tcBorders>
            <w:shd w:val="clear" w:color="auto" w:fill="auto"/>
            <w:noWrap/>
            <w:vAlign w:val="bottom"/>
            <w:hideMark/>
          </w:tcPr>
          <w:p w14:paraId="49ECEFC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837.0</w:t>
            </w:r>
          </w:p>
        </w:tc>
        <w:tc>
          <w:tcPr>
            <w:tcW w:w="835" w:type="dxa"/>
            <w:tcBorders>
              <w:top w:val="nil"/>
              <w:left w:val="nil"/>
              <w:bottom w:val="single" w:sz="4" w:space="0" w:color="auto"/>
              <w:right w:val="nil"/>
            </w:tcBorders>
            <w:shd w:val="clear" w:color="auto" w:fill="auto"/>
            <w:noWrap/>
            <w:vAlign w:val="bottom"/>
            <w:hideMark/>
          </w:tcPr>
          <w:p w14:paraId="21B683D3" w14:textId="61CC7C52"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auto" w:fill="auto"/>
            <w:noWrap/>
            <w:vAlign w:val="bottom"/>
            <w:hideMark/>
          </w:tcPr>
          <w:p w14:paraId="71EBFEC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4.41</w:t>
            </w:r>
          </w:p>
        </w:tc>
        <w:tc>
          <w:tcPr>
            <w:tcW w:w="976" w:type="dxa"/>
            <w:tcBorders>
              <w:top w:val="nil"/>
              <w:left w:val="nil"/>
              <w:bottom w:val="single" w:sz="4" w:space="0" w:color="auto"/>
              <w:right w:val="nil"/>
            </w:tcBorders>
            <w:shd w:val="clear" w:color="auto" w:fill="auto"/>
            <w:noWrap/>
            <w:vAlign w:val="bottom"/>
            <w:hideMark/>
          </w:tcPr>
          <w:p w14:paraId="059A234A"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3.03</w:t>
            </w:r>
          </w:p>
        </w:tc>
        <w:tc>
          <w:tcPr>
            <w:tcW w:w="968" w:type="dxa"/>
            <w:tcBorders>
              <w:top w:val="nil"/>
              <w:left w:val="nil"/>
              <w:bottom w:val="single" w:sz="4" w:space="0" w:color="auto"/>
              <w:right w:val="single" w:sz="4" w:space="0" w:color="auto"/>
            </w:tcBorders>
            <w:shd w:val="clear" w:color="auto" w:fill="auto"/>
            <w:noWrap/>
            <w:vAlign w:val="bottom"/>
            <w:hideMark/>
          </w:tcPr>
          <w:p w14:paraId="05487F4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1.38</w:t>
            </w:r>
          </w:p>
        </w:tc>
      </w:tr>
    </w:tbl>
    <w:p w14:paraId="52EB7F4D" w14:textId="085206D9" w:rsidR="0069796D" w:rsidRPr="0069796D" w:rsidRDefault="0071185A" w:rsidP="0069796D">
      <w:r>
        <w:lastRenderedPageBreak/>
        <w:t xml:space="preserve">The </w:t>
      </w:r>
      <w:r w:rsidR="0069796D">
        <w:t xml:space="preserve">prices </w:t>
      </w:r>
      <w:r>
        <w:t xml:space="preserve">in </w:t>
      </w:r>
      <w:r>
        <w:fldChar w:fldCharType="begin"/>
      </w:r>
      <w:r>
        <w:instrText xml:space="preserve"> REF _Ref191458975 \h </w:instrText>
      </w:r>
      <w:r>
        <w:fldChar w:fldCharType="separate"/>
      </w:r>
      <w:r w:rsidR="002271EC">
        <w:t xml:space="preserve">Table </w:t>
      </w:r>
      <w:r w:rsidR="002271EC">
        <w:rPr>
          <w:noProof/>
        </w:rPr>
        <w:t>13</w:t>
      </w:r>
      <w:r>
        <w:fldChar w:fldCharType="end"/>
      </w:r>
      <w:r>
        <w:t xml:space="preserve"> </w:t>
      </w:r>
      <w:r w:rsidR="0069796D">
        <w:t xml:space="preserve">are </w:t>
      </w:r>
      <w:r>
        <w:t>derived from the ABS National Water Accounts</w:t>
      </w:r>
      <w:r w:rsidR="0069796D">
        <w:t>.</w:t>
      </w:r>
      <w:r>
        <w:rPr>
          <w:rStyle w:val="FootnoteReference"/>
        </w:rPr>
        <w:footnoteReference w:id="14"/>
      </w:r>
      <w:r>
        <w:t xml:space="preserve"> </w:t>
      </w:r>
      <w:r w:rsidR="0069796D">
        <w:t>They</w:t>
      </w:r>
      <w:r w:rsidR="0069796D" w:rsidRPr="0069796D">
        <w:t xml:space="preserve"> </w:t>
      </w:r>
      <w:r w:rsidR="0069796D">
        <w:t xml:space="preserve">are </w:t>
      </w:r>
      <w:r w:rsidR="0069796D" w:rsidRPr="0069796D">
        <w:t>based on the non-residential (i.e. business</w:t>
      </w:r>
      <w:r w:rsidR="0069796D">
        <w:t>,</w:t>
      </w:r>
      <w:r w:rsidR="0069796D" w:rsidRPr="0069796D">
        <w:t xml:space="preserve"> excluding industrial) volumetric tariffs published by the metropolitan water authorities and the three largest non-metro suppliers in each jurisdiction. A state/territory average price was calculated from the number of non-residential customers reported by </w:t>
      </w:r>
      <w:r w:rsidR="00D1356E">
        <w:t xml:space="preserve">each </w:t>
      </w:r>
      <w:r w:rsidR="0069796D" w:rsidRPr="0069796D">
        <w:t xml:space="preserve">water </w:t>
      </w:r>
      <w:r w:rsidR="00D1356E">
        <w:t xml:space="preserve">authority. </w:t>
      </w:r>
      <w:r w:rsidR="0069796D" w:rsidRPr="0069796D">
        <w:t>The components of the water price are:</w:t>
      </w:r>
    </w:p>
    <w:p w14:paraId="2F7F9978" w14:textId="70A245C3" w:rsidR="0069796D" w:rsidRPr="00DC5884" w:rsidRDefault="0069796D"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Supply </w:t>
      </w:r>
      <w:r w:rsidR="00201ABB" w:rsidRPr="00DC5884">
        <w:rPr>
          <w:rFonts w:eastAsia="Calibri" w:cs="Times New Roman"/>
          <w:szCs w:val="22"/>
        </w:rPr>
        <w:t xml:space="preserve">charge </w:t>
      </w:r>
      <w:r w:rsidRPr="00DC5884">
        <w:rPr>
          <w:rFonts w:eastAsia="Calibri" w:cs="Times New Roman"/>
          <w:szCs w:val="22"/>
        </w:rPr>
        <w:t>($/kl</w:t>
      </w:r>
      <w:r w:rsidR="00201ABB" w:rsidRPr="00DC5884">
        <w:rPr>
          <w:rFonts w:eastAsia="Calibri" w:cs="Times New Roman"/>
          <w:szCs w:val="22"/>
        </w:rPr>
        <w:t xml:space="preserve">, taking the second-highest </w:t>
      </w:r>
      <w:r w:rsidR="00C36E44" w:rsidRPr="00DC5884">
        <w:rPr>
          <w:rFonts w:eastAsia="Calibri" w:cs="Times New Roman"/>
          <w:szCs w:val="22"/>
        </w:rPr>
        <w:t xml:space="preserve">tier </w:t>
      </w:r>
      <w:r w:rsidR="00201ABB" w:rsidRPr="00DC5884">
        <w:rPr>
          <w:rFonts w:eastAsia="Calibri" w:cs="Times New Roman"/>
          <w:szCs w:val="22"/>
        </w:rPr>
        <w:t>where there are different steps)</w:t>
      </w:r>
      <w:r w:rsidRPr="00DC5884">
        <w:rPr>
          <w:rFonts w:eastAsia="Calibri" w:cs="Times New Roman"/>
          <w:szCs w:val="22"/>
        </w:rPr>
        <w:t xml:space="preserve">; plus </w:t>
      </w:r>
    </w:p>
    <w:p w14:paraId="4D2F6B08" w14:textId="79842FC3" w:rsidR="0069796D" w:rsidRPr="00DC5884" w:rsidRDefault="0069796D"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Wastewater charge ($/kl) where wastewater is charged on a volumetric basis, </w:t>
      </w:r>
      <w:r w:rsidR="00201ABB" w:rsidRPr="00DC5884">
        <w:rPr>
          <w:rFonts w:eastAsia="Calibri" w:cs="Times New Roman"/>
          <w:szCs w:val="22"/>
        </w:rPr>
        <w:t xml:space="preserve">assuming </w:t>
      </w:r>
      <w:r w:rsidRPr="00DC5884">
        <w:rPr>
          <w:rFonts w:eastAsia="Calibri" w:cs="Times New Roman"/>
          <w:szCs w:val="22"/>
        </w:rPr>
        <w:t xml:space="preserve">90% of the portable water supplied is discharged to the sewer (water authorities </w:t>
      </w:r>
      <w:r w:rsidR="00201ABB" w:rsidRPr="00DC5884">
        <w:rPr>
          <w:rFonts w:eastAsia="Calibri" w:cs="Times New Roman"/>
          <w:szCs w:val="22"/>
        </w:rPr>
        <w:t xml:space="preserve">levy wastewater </w:t>
      </w:r>
      <w:r w:rsidRPr="00DC5884">
        <w:rPr>
          <w:rFonts w:eastAsia="Calibri" w:cs="Times New Roman"/>
          <w:szCs w:val="22"/>
        </w:rPr>
        <w:t>charge</w:t>
      </w:r>
      <w:r w:rsidR="00201ABB" w:rsidRPr="00DC5884">
        <w:rPr>
          <w:rFonts w:eastAsia="Calibri" w:cs="Times New Roman"/>
          <w:szCs w:val="22"/>
        </w:rPr>
        <w:t>s</w:t>
      </w:r>
      <w:r w:rsidRPr="00DC5884">
        <w:rPr>
          <w:rFonts w:eastAsia="Calibri" w:cs="Times New Roman"/>
          <w:szCs w:val="22"/>
        </w:rPr>
        <w:t xml:space="preserve"> </w:t>
      </w:r>
      <w:r w:rsidR="00771181" w:rsidRPr="00DC5884">
        <w:rPr>
          <w:rFonts w:eastAsia="Calibri" w:cs="Times New Roman"/>
          <w:szCs w:val="22"/>
        </w:rPr>
        <w:t xml:space="preserve">on as much as </w:t>
      </w:r>
      <w:r w:rsidRPr="00DC5884">
        <w:rPr>
          <w:rFonts w:eastAsia="Calibri" w:cs="Times New Roman"/>
          <w:szCs w:val="22"/>
        </w:rPr>
        <w:t xml:space="preserve">95% </w:t>
      </w:r>
      <w:r w:rsidR="00201ABB" w:rsidRPr="00DC5884">
        <w:rPr>
          <w:rFonts w:eastAsia="Calibri" w:cs="Times New Roman"/>
          <w:szCs w:val="22"/>
        </w:rPr>
        <w:t>of suppl</w:t>
      </w:r>
      <w:r w:rsidR="00D1356E" w:rsidRPr="00DC5884">
        <w:rPr>
          <w:rFonts w:eastAsia="Calibri" w:cs="Times New Roman"/>
          <w:szCs w:val="22"/>
        </w:rPr>
        <w:t>i</w:t>
      </w:r>
      <w:r w:rsidR="00771181" w:rsidRPr="00DC5884">
        <w:rPr>
          <w:rFonts w:eastAsia="Calibri" w:cs="Times New Roman"/>
          <w:szCs w:val="22"/>
        </w:rPr>
        <w:t xml:space="preserve">ed water volumes </w:t>
      </w:r>
      <w:r w:rsidRPr="00DC5884">
        <w:rPr>
          <w:rFonts w:eastAsia="Calibri" w:cs="Times New Roman"/>
          <w:szCs w:val="22"/>
        </w:rPr>
        <w:t>for restaurants and cafes; less for larger institution such as hotels or hospitals).</w:t>
      </w:r>
    </w:p>
    <w:p w14:paraId="2F29F4F6" w14:textId="5F036709" w:rsidR="0069796D" w:rsidRPr="0069796D" w:rsidRDefault="0069796D" w:rsidP="0069796D">
      <w:r w:rsidRPr="0069796D">
        <w:t>Some authorities do not levy a volumetric wastewater charge, but a fixed annual fee based on rated property value or some other metric. In th</w:t>
      </w:r>
      <w:r w:rsidR="00771181">
        <w:t xml:space="preserve">ose </w:t>
      </w:r>
      <w:r w:rsidR="00D62E21" w:rsidRPr="0069796D">
        <w:t>case</w:t>
      </w:r>
      <w:r w:rsidR="00D62E21">
        <w:t>s,</w:t>
      </w:r>
      <w:r w:rsidRPr="0069796D">
        <w:t xml:space="preserve"> there will be no wastewater cost saving to the CIM user from an increase </w:t>
      </w:r>
      <w:r w:rsidR="00D1356E">
        <w:t xml:space="preserve">in </w:t>
      </w:r>
      <w:r w:rsidRPr="0069796D">
        <w:t xml:space="preserve">its </w:t>
      </w:r>
      <w:r w:rsidR="00CE59EF">
        <w:t>water efficiency</w:t>
      </w:r>
      <w:r w:rsidR="00771181">
        <w:t>.</w:t>
      </w:r>
    </w:p>
    <w:p w14:paraId="5F82C2B0" w14:textId="463880F0" w:rsidR="0080067B" w:rsidRDefault="0069796D" w:rsidP="0069796D">
      <w:r>
        <w:fldChar w:fldCharType="begin"/>
      </w:r>
      <w:r>
        <w:instrText xml:space="preserve"> REF _Ref189733869 \h </w:instrText>
      </w:r>
      <w:r>
        <w:fldChar w:fldCharType="separate"/>
      </w:r>
      <w:r w:rsidR="002271EC">
        <w:t xml:space="preserve">Figure </w:t>
      </w:r>
      <w:r w:rsidR="002271EC">
        <w:rPr>
          <w:noProof/>
        </w:rPr>
        <w:t>12</w:t>
      </w:r>
      <w:r>
        <w:fldChar w:fldCharType="end"/>
      </w:r>
      <w:r>
        <w:t xml:space="preserve"> projects real business water prices to 2040 (</w:t>
      </w:r>
      <w:r w:rsidRPr="0069796D">
        <w:t>exclud</w:t>
      </w:r>
      <w:r>
        <w:t xml:space="preserve">ing </w:t>
      </w:r>
      <w:r w:rsidRPr="0069796D">
        <w:t>the effects of inflation</w:t>
      </w:r>
      <w:r>
        <w:t>). The early years are informed by price rises already announced by major water authorities and the rest are aut</w:t>
      </w:r>
      <w:r w:rsidR="00201ABB">
        <w:t xml:space="preserve">hor </w:t>
      </w:r>
      <w:r>
        <w:t xml:space="preserve">estimates. </w:t>
      </w:r>
      <w:r w:rsidR="00201ABB">
        <w:t>S</w:t>
      </w:r>
      <w:r>
        <w:t xml:space="preserve">ome water authorities </w:t>
      </w:r>
      <w:r w:rsidR="00C36E44">
        <w:t xml:space="preserve">have the power to </w:t>
      </w:r>
      <w:r w:rsidR="00201ABB">
        <w:t xml:space="preserve">impose </w:t>
      </w:r>
      <w:r w:rsidR="00D1356E">
        <w:t xml:space="preserve">surcharges </w:t>
      </w:r>
      <w:r w:rsidR="00201ABB">
        <w:t>in years when water storages are low and desalination plant need to be run: these have not been applied.</w:t>
      </w:r>
    </w:p>
    <w:p w14:paraId="5F6CC0C0" w14:textId="77777777" w:rsidR="0080067B" w:rsidRDefault="0080067B">
      <w:pPr>
        <w:spacing w:after="200" w:line="288" w:lineRule="auto"/>
        <w:jc w:val="left"/>
      </w:pPr>
      <w:r>
        <w:br w:type="page"/>
      </w:r>
    </w:p>
    <w:p w14:paraId="299DC84A" w14:textId="77777777" w:rsidR="00BB6EFE" w:rsidRDefault="00BB6EFE" w:rsidP="0069796D"/>
    <w:p w14:paraId="38DC5258" w14:textId="5C36045C" w:rsidR="0069796D" w:rsidRDefault="0069796D" w:rsidP="0069796D">
      <w:pPr>
        <w:pStyle w:val="Caption"/>
        <w:jc w:val="center"/>
      </w:pPr>
      <w:bookmarkStart w:id="125" w:name="_Ref189733869"/>
      <w:bookmarkStart w:id="126" w:name="_Toc196745474"/>
      <w:r>
        <w:t xml:space="preserve">Figure </w:t>
      </w:r>
      <w:r w:rsidR="0042496D">
        <w:fldChar w:fldCharType="begin"/>
      </w:r>
      <w:r w:rsidR="0042496D">
        <w:instrText xml:space="preserve"> SEQ Figure \* ARABIC </w:instrText>
      </w:r>
      <w:r w:rsidR="0042496D">
        <w:fldChar w:fldCharType="separate"/>
      </w:r>
      <w:r w:rsidR="002271EC">
        <w:rPr>
          <w:noProof/>
        </w:rPr>
        <w:t>12</w:t>
      </w:r>
      <w:r w:rsidR="0042496D">
        <w:rPr>
          <w:noProof/>
        </w:rPr>
        <w:fldChar w:fldCharType="end"/>
      </w:r>
      <w:bookmarkEnd w:id="125"/>
      <w:r>
        <w:t xml:space="preserve"> Projected water prices by jurisdiction</w:t>
      </w:r>
      <w:bookmarkEnd w:id="126"/>
    </w:p>
    <w:p w14:paraId="7EACE6D3" w14:textId="3030E39B" w:rsidR="007203F9" w:rsidRDefault="0069796D" w:rsidP="0069796D">
      <w:pPr>
        <w:jc w:val="center"/>
      </w:pPr>
      <w:r>
        <w:rPr>
          <w:noProof/>
        </w:rPr>
        <w:drawing>
          <wp:inline distT="0" distB="0" distL="0" distR="0" wp14:anchorId="1C6B32E0" wp14:editId="57028FBC">
            <wp:extent cx="4576772" cy="3333750"/>
            <wp:effectExtent l="0" t="0" r="0" b="0"/>
            <wp:docPr id="29" name="Picture 29" descr="Line chart indicating projected water prices ($ per kl) for mains water supplied in each Australian state and territory and in New Zealand, 2025 to 20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6772" cy="3333750"/>
                    </a:xfrm>
                    <a:prstGeom prst="rect">
                      <a:avLst/>
                    </a:prstGeom>
                    <a:noFill/>
                  </pic:spPr>
                </pic:pic>
              </a:graphicData>
            </a:graphic>
          </wp:inline>
        </w:drawing>
      </w:r>
    </w:p>
    <w:p w14:paraId="57410149" w14:textId="77777777" w:rsidR="000F2521" w:rsidRDefault="000F2521" w:rsidP="0069796D">
      <w:pPr>
        <w:jc w:val="center"/>
      </w:pPr>
    </w:p>
    <w:p w14:paraId="74CBC6A5" w14:textId="77777777" w:rsidR="00144C1A" w:rsidRDefault="00144C1A" w:rsidP="00144C1A">
      <w:pPr>
        <w:pStyle w:val="Heading3"/>
      </w:pPr>
      <w:bookmarkStart w:id="127" w:name="_Toc196745437"/>
      <w:r>
        <w:t>Operating costs</w:t>
      </w:r>
      <w:bookmarkEnd w:id="127"/>
      <w:r>
        <w:t xml:space="preserve"> </w:t>
      </w:r>
    </w:p>
    <w:p w14:paraId="3987283F" w14:textId="233DF550" w:rsidR="00A4576E" w:rsidRDefault="00D83ECB" w:rsidP="007550AB">
      <w:r>
        <w:fldChar w:fldCharType="begin"/>
      </w:r>
      <w:r>
        <w:instrText xml:space="preserve"> REF _Ref191477318 \h </w:instrText>
      </w:r>
      <w:r>
        <w:fldChar w:fldCharType="separate"/>
      </w:r>
      <w:r w:rsidR="002271EC">
        <w:t xml:space="preserve">Table </w:t>
      </w:r>
      <w:r w:rsidR="002271EC">
        <w:rPr>
          <w:noProof/>
        </w:rPr>
        <w:t>14</w:t>
      </w:r>
      <w:r>
        <w:fldChar w:fldCharType="end"/>
      </w:r>
      <w:r>
        <w:t xml:space="preserve"> summarises the estimated breakdown of the CIM market in 2025, based on customs import data and information provided by suppliers during consultations. The industry does not maintain any centralised data collection. These </w:t>
      </w:r>
      <w:r w:rsidR="00A4576E">
        <w:t xml:space="preserve">market share </w:t>
      </w:r>
      <w:r>
        <w:t>estimates were published in the CIM MEPS RIS (E3 2023) and there was no disagreement from respondents.</w:t>
      </w:r>
      <w:r w:rsidR="00A4576E">
        <w:t xml:space="preserve"> </w:t>
      </w:r>
      <w:r w:rsidR="00D1356E">
        <w:t>I</w:t>
      </w:r>
      <w:r w:rsidR="00A4576E">
        <w:t xml:space="preserve">ndustry estimates are that IMH and split units operate at about 80% of their maximum capacity (i.e. equivalent to 19.2 hrs per day) and SCUs at 70% (16.8 hrs/day). This enables calculation of their average annual ice production, and hence </w:t>
      </w:r>
      <w:r w:rsidR="00946373">
        <w:t xml:space="preserve">total </w:t>
      </w:r>
      <w:r w:rsidR="00A4576E">
        <w:t xml:space="preserve">annual energy and water consumption under each water-intensity scenario. </w:t>
      </w:r>
      <w:r w:rsidR="00D1356E">
        <w:t>SCUs account for 60% of sales but are a much smaller output capacity than IMHs, so account for only 20% of ice made.</w:t>
      </w:r>
    </w:p>
    <w:p w14:paraId="3DE89366" w14:textId="468F709C" w:rsidR="00815FAF" w:rsidRDefault="00815FAF">
      <w:pPr>
        <w:spacing w:after="200" w:line="288" w:lineRule="auto"/>
        <w:jc w:val="left"/>
      </w:pPr>
      <w:r>
        <w:br w:type="page"/>
      </w:r>
    </w:p>
    <w:p w14:paraId="24A6CB4A" w14:textId="1C8B52A8" w:rsidR="0015072C" w:rsidRDefault="0015072C" w:rsidP="0015072C">
      <w:pPr>
        <w:pStyle w:val="Caption"/>
        <w:jc w:val="center"/>
      </w:pPr>
      <w:bookmarkStart w:id="128" w:name="_Ref191477318"/>
      <w:bookmarkStart w:id="129" w:name="_Toc196745456"/>
      <w:r>
        <w:lastRenderedPageBreak/>
        <w:t xml:space="preserve">Table </w:t>
      </w:r>
      <w:r w:rsidR="0042496D">
        <w:fldChar w:fldCharType="begin"/>
      </w:r>
      <w:r w:rsidR="0042496D">
        <w:instrText xml:space="preserve"> SEQ Table \* ARABIC </w:instrText>
      </w:r>
      <w:r w:rsidR="0042496D">
        <w:fldChar w:fldCharType="separate"/>
      </w:r>
      <w:r w:rsidR="002271EC">
        <w:rPr>
          <w:noProof/>
        </w:rPr>
        <w:t>14</w:t>
      </w:r>
      <w:r w:rsidR="0042496D">
        <w:rPr>
          <w:noProof/>
        </w:rPr>
        <w:fldChar w:fldCharType="end"/>
      </w:r>
      <w:bookmarkEnd w:id="128"/>
      <w:r>
        <w:t xml:space="preserve"> Capacity, Market share and BAU water-intensity by CIM class</w:t>
      </w:r>
      <w:bookmarkEnd w:id="129"/>
    </w:p>
    <w:tbl>
      <w:tblPr>
        <w:tblW w:w="8878" w:type="dxa"/>
        <w:jc w:val="center"/>
        <w:tblLook w:val="04A0" w:firstRow="1" w:lastRow="0" w:firstColumn="1" w:lastColumn="0" w:noHBand="0" w:noVBand="1"/>
      </w:tblPr>
      <w:tblGrid>
        <w:gridCol w:w="2978"/>
        <w:gridCol w:w="1084"/>
        <w:gridCol w:w="960"/>
        <w:gridCol w:w="968"/>
        <w:gridCol w:w="968"/>
        <w:gridCol w:w="960"/>
        <w:gridCol w:w="960"/>
      </w:tblGrid>
      <w:tr w:rsidR="0015072C" w:rsidRPr="000114E3" w14:paraId="23C9E198" w14:textId="77777777" w:rsidTr="00A4576E">
        <w:trPr>
          <w:trHeight w:val="300"/>
          <w:jc w:val="center"/>
        </w:trPr>
        <w:tc>
          <w:tcPr>
            <w:tcW w:w="2978" w:type="dxa"/>
            <w:tcBorders>
              <w:top w:val="single" w:sz="4" w:space="0" w:color="auto"/>
              <w:left w:val="single" w:sz="4" w:space="0" w:color="auto"/>
              <w:bottom w:val="nil"/>
              <w:right w:val="nil"/>
            </w:tcBorders>
            <w:shd w:val="clear" w:color="auto" w:fill="auto"/>
            <w:noWrap/>
            <w:vAlign w:val="bottom"/>
            <w:hideMark/>
          </w:tcPr>
          <w:p w14:paraId="173006F8"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1084" w:type="dxa"/>
            <w:vMerge w:val="restart"/>
            <w:tcBorders>
              <w:top w:val="single" w:sz="4" w:space="0" w:color="auto"/>
              <w:left w:val="single" w:sz="4" w:space="0" w:color="auto"/>
              <w:right w:val="single" w:sz="4" w:space="0" w:color="auto"/>
            </w:tcBorders>
          </w:tcPr>
          <w:p w14:paraId="2D3879D4" w14:textId="5C2D7E33"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Average</w:t>
            </w:r>
            <w:r w:rsidRPr="000114E3">
              <w:rPr>
                <w:rFonts w:ascii="Calibri" w:eastAsia="Times New Roman" w:hAnsi="Calibri" w:cs="Calibri"/>
                <w:color w:val="000000"/>
                <w:sz w:val="20"/>
                <w:szCs w:val="20"/>
                <w:lang w:eastAsia="en-AU"/>
              </w:rPr>
              <w:br/>
            </w:r>
            <w:r w:rsidR="00A4576E" w:rsidRPr="000114E3">
              <w:rPr>
                <w:rFonts w:ascii="Calibri" w:eastAsia="Times New Roman" w:hAnsi="Calibri" w:cs="Calibri"/>
                <w:color w:val="000000"/>
                <w:sz w:val="20"/>
                <w:szCs w:val="20"/>
                <w:lang w:eastAsia="en-AU"/>
              </w:rPr>
              <w:t>kg</w:t>
            </w:r>
            <w:r w:rsidRPr="000114E3">
              <w:rPr>
                <w:rFonts w:ascii="Calibri" w:eastAsia="Times New Roman" w:hAnsi="Calibri" w:cs="Calibri"/>
                <w:color w:val="000000"/>
                <w:sz w:val="20"/>
                <w:szCs w:val="20"/>
                <w:lang w:eastAsia="en-AU"/>
              </w:rPr>
              <w:t>/24 hr</w:t>
            </w:r>
            <w:r w:rsidR="00A4576E" w:rsidRPr="000114E3">
              <w:rPr>
                <w:rFonts w:ascii="Calibri" w:eastAsia="Times New Roman" w:hAnsi="Calibri" w:cs="Calibri"/>
                <w:color w:val="000000"/>
                <w:sz w:val="20"/>
                <w:szCs w:val="20"/>
                <w:lang w:eastAsia="en-AU"/>
              </w:rPr>
              <w:br/>
              <w:t>capacity</w:t>
            </w:r>
          </w:p>
        </w:tc>
        <w:tc>
          <w:tcPr>
            <w:tcW w:w="960" w:type="dxa"/>
            <w:vMerge w:val="restart"/>
            <w:tcBorders>
              <w:top w:val="single" w:sz="4" w:space="0" w:color="auto"/>
              <w:left w:val="single" w:sz="4" w:space="0" w:color="auto"/>
              <w:right w:val="nil"/>
            </w:tcBorders>
            <w:shd w:val="clear" w:color="auto" w:fill="auto"/>
            <w:noWrap/>
            <w:hideMark/>
          </w:tcPr>
          <w:p w14:paraId="6B6EC509" w14:textId="3AC664C5"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xml:space="preserve"> Market </w:t>
            </w:r>
          </w:p>
          <w:p w14:paraId="2888220D" w14:textId="06B971A0" w:rsidR="0015072C" w:rsidRPr="000114E3" w:rsidRDefault="00946373" w:rsidP="0015072C">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S</w:t>
            </w:r>
            <w:r w:rsidR="0015072C" w:rsidRPr="000114E3">
              <w:rPr>
                <w:rFonts w:ascii="Calibri" w:eastAsia="Times New Roman" w:hAnsi="Calibri" w:cs="Calibri"/>
                <w:color w:val="000000"/>
                <w:sz w:val="20"/>
                <w:szCs w:val="20"/>
                <w:lang w:eastAsia="en-AU"/>
              </w:rPr>
              <w:t>hare</w:t>
            </w:r>
            <w:r w:rsidRPr="000114E3">
              <w:rPr>
                <w:rFonts w:ascii="Calibri" w:eastAsia="Times New Roman" w:hAnsi="Calibri" w:cs="Calibri"/>
                <w:color w:val="000000"/>
                <w:sz w:val="20"/>
                <w:szCs w:val="20"/>
                <w:lang w:eastAsia="en-AU"/>
              </w:rPr>
              <w:t xml:space="preserve"> (sales)</w:t>
            </w:r>
          </w:p>
        </w:tc>
        <w:tc>
          <w:tcPr>
            <w:tcW w:w="1936" w:type="dxa"/>
            <w:gridSpan w:val="2"/>
            <w:tcBorders>
              <w:top w:val="single" w:sz="4" w:space="0" w:color="auto"/>
              <w:left w:val="single" w:sz="4" w:space="0" w:color="auto"/>
              <w:bottom w:val="nil"/>
              <w:right w:val="single" w:sz="4" w:space="0" w:color="auto"/>
            </w:tcBorders>
            <w:shd w:val="clear" w:color="auto" w:fill="auto"/>
            <w:noWrap/>
            <w:vAlign w:val="bottom"/>
            <w:hideMark/>
          </w:tcPr>
          <w:p w14:paraId="4FA283B4" w14:textId="4DE3EC5C" w:rsidR="0015072C" w:rsidRPr="000114E3" w:rsidRDefault="0015072C" w:rsidP="0015072C">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Potable water</w:t>
            </w:r>
          </w:p>
        </w:tc>
        <w:tc>
          <w:tcPr>
            <w:tcW w:w="1920" w:type="dxa"/>
            <w:gridSpan w:val="2"/>
            <w:tcBorders>
              <w:top w:val="single" w:sz="4" w:space="0" w:color="auto"/>
              <w:left w:val="nil"/>
              <w:bottom w:val="nil"/>
              <w:right w:val="single" w:sz="4" w:space="0" w:color="000000"/>
            </w:tcBorders>
            <w:shd w:val="clear" w:color="auto" w:fill="auto"/>
            <w:noWrap/>
            <w:vAlign w:val="bottom"/>
            <w:hideMark/>
          </w:tcPr>
          <w:p w14:paraId="28A38249" w14:textId="600E05BB" w:rsidR="0015072C" w:rsidRPr="000114E3" w:rsidRDefault="0015072C" w:rsidP="0015072C">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Condenser water</w:t>
            </w:r>
          </w:p>
        </w:tc>
      </w:tr>
      <w:tr w:rsidR="0015072C" w:rsidRPr="000114E3" w14:paraId="73C44996" w14:textId="77777777" w:rsidTr="00A4576E">
        <w:trPr>
          <w:trHeight w:val="300"/>
          <w:jc w:val="center"/>
        </w:trPr>
        <w:tc>
          <w:tcPr>
            <w:tcW w:w="2978" w:type="dxa"/>
            <w:tcBorders>
              <w:top w:val="nil"/>
              <w:left w:val="single" w:sz="4" w:space="0" w:color="auto"/>
              <w:bottom w:val="nil"/>
              <w:right w:val="nil"/>
            </w:tcBorders>
            <w:shd w:val="clear" w:color="auto" w:fill="auto"/>
            <w:noWrap/>
            <w:vAlign w:val="bottom"/>
            <w:hideMark/>
          </w:tcPr>
          <w:p w14:paraId="12E04B1B"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1084" w:type="dxa"/>
            <w:vMerge/>
            <w:tcBorders>
              <w:left w:val="single" w:sz="4" w:space="0" w:color="auto"/>
              <w:right w:val="single" w:sz="4" w:space="0" w:color="auto"/>
            </w:tcBorders>
          </w:tcPr>
          <w:p w14:paraId="132FADFC" w14:textId="77777777" w:rsidR="0015072C" w:rsidRPr="000114E3" w:rsidRDefault="0015072C" w:rsidP="0015072C">
            <w:pPr>
              <w:spacing w:after="0" w:line="240" w:lineRule="auto"/>
              <w:jc w:val="center"/>
              <w:rPr>
                <w:rFonts w:ascii="Calibri" w:eastAsia="Times New Roman" w:hAnsi="Calibri" w:cs="Calibri"/>
                <w:color w:val="000000"/>
                <w:sz w:val="20"/>
                <w:szCs w:val="20"/>
                <w:lang w:eastAsia="en-AU"/>
              </w:rPr>
            </w:pPr>
          </w:p>
        </w:tc>
        <w:tc>
          <w:tcPr>
            <w:tcW w:w="960" w:type="dxa"/>
            <w:vMerge/>
            <w:tcBorders>
              <w:left w:val="single" w:sz="4" w:space="0" w:color="auto"/>
              <w:right w:val="nil"/>
            </w:tcBorders>
            <w:shd w:val="clear" w:color="auto" w:fill="auto"/>
            <w:noWrap/>
            <w:vAlign w:val="bottom"/>
            <w:hideMark/>
          </w:tcPr>
          <w:p w14:paraId="41ADF7D7" w14:textId="756F86F7" w:rsidR="0015072C" w:rsidRPr="000114E3" w:rsidRDefault="0015072C" w:rsidP="0015072C">
            <w:pPr>
              <w:spacing w:after="0" w:line="240" w:lineRule="auto"/>
              <w:jc w:val="center"/>
              <w:rPr>
                <w:rFonts w:ascii="Calibri" w:eastAsia="Times New Roman" w:hAnsi="Calibri" w:cs="Calibri"/>
                <w:color w:val="000000"/>
                <w:sz w:val="20"/>
                <w:szCs w:val="20"/>
                <w:lang w:eastAsia="en-AU"/>
              </w:rPr>
            </w:pPr>
          </w:p>
        </w:tc>
        <w:tc>
          <w:tcPr>
            <w:tcW w:w="1936"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A09D350"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litres/kg ice - BAU</w:t>
            </w:r>
          </w:p>
        </w:tc>
        <w:tc>
          <w:tcPr>
            <w:tcW w:w="1920" w:type="dxa"/>
            <w:gridSpan w:val="2"/>
            <w:tcBorders>
              <w:top w:val="single" w:sz="4" w:space="0" w:color="auto"/>
              <w:left w:val="nil"/>
              <w:bottom w:val="nil"/>
              <w:right w:val="single" w:sz="4" w:space="0" w:color="000000"/>
            </w:tcBorders>
            <w:shd w:val="clear" w:color="auto" w:fill="auto"/>
            <w:noWrap/>
            <w:vAlign w:val="bottom"/>
            <w:hideMark/>
          </w:tcPr>
          <w:p w14:paraId="75FC8697"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litres/kg ice - BAU</w:t>
            </w:r>
          </w:p>
        </w:tc>
      </w:tr>
      <w:tr w:rsidR="0015072C" w:rsidRPr="000114E3" w14:paraId="39A075E0" w14:textId="77777777" w:rsidTr="00A4576E">
        <w:trPr>
          <w:trHeight w:val="300"/>
          <w:jc w:val="center"/>
        </w:trPr>
        <w:tc>
          <w:tcPr>
            <w:tcW w:w="2978" w:type="dxa"/>
            <w:tcBorders>
              <w:top w:val="nil"/>
              <w:left w:val="single" w:sz="4" w:space="0" w:color="auto"/>
              <w:bottom w:val="single" w:sz="4" w:space="0" w:color="auto"/>
              <w:right w:val="nil"/>
            </w:tcBorders>
            <w:shd w:val="clear" w:color="auto" w:fill="auto"/>
            <w:noWrap/>
            <w:vAlign w:val="bottom"/>
            <w:hideMark/>
          </w:tcPr>
          <w:p w14:paraId="4C47EDB6"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1084" w:type="dxa"/>
            <w:vMerge/>
            <w:tcBorders>
              <w:left w:val="single" w:sz="4" w:space="0" w:color="auto"/>
              <w:bottom w:val="single" w:sz="4" w:space="0" w:color="auto"/>
              <w:right w:val="single" w:sz="4" w:space="0" w:color="auto"/>
            </w:tcBorders>
          </w:tcPr>
          <w:p w14:paraId="50CD20FF" w14:textId="77777777" w:rsidR="0015072C" w:rsidRPr="000114E3" w:rsidRDefault="0015072C" w:rsidP="0015072C">
            <w:pPr>
              <w:spacing w:after="0" w:line="240" w:lineRule="auto"/>
              <w:jc w:val="center"/>
              <w:rPr>
                <w:rFonts w:ascii="Calibri" w:eastAsia="Times New Roman" w:hAnsi="Calibri" w:cs="Calibri"/>
                <w:color w:val="000000"/>
                <w:sz w:val="20"/>
                <w:szCs w:val="20"/>
                <w:lang w:eastAsia="en-AU"/>
              </w:rPr>
            </w:pPr>
          </w:p>
        </w:tc>
        <w:tc>
          <w:tcPr>
            <w:tcW w:w="960" w:type="dxa"/>
            <w:vMerge/>
            <w:tcBorders>
              <w:left w:val="single" w:sz="4" w:space="0" w:color="auto"/>
              <w:bottom w:val="single" w:sz="4" w:space="0" w:color="auto"/>
              <w:right w:val="nil"/>
            </w:tcBorders>
            <w:shd w:val="clear" w:color="auto" w:fill="auto"/>
            <w:noWrap/>
            <w:vAlign w:val="bottom"/>
            <w:hideMark/>
          </w:tcPr>
          <w:p w14:paraId="7E774072" w14:textId="5A9D50CB" w:rsidR="0015072C" w:rsidRPr="000114E3" w:rsidRDefault="0015072C" w:rsidP="0015072C">
            <w:pPr>
              <w:spacing w:after="0" w:line="240" w:lineRule="auto"/>
              <w:jc w:val="center"/>
              <w:rPr>
                <w:rFonts w:ascii="Calibri" w:eastAsia="Times New Roman" w:hAnsi="Calibri" w:cs="Calibri"/>
                <w:color w:val="000000"/>
                <w:sz w:val="20"/>
                <w:szCs w:val="20"/>
                <w:lang w:eastAsia="en-AU"/>
              </w:rPr>
            </w:pPr>
          </w:p>
        </w:tc>
        <w:tc>
          <w:tcPr>
            <w:tcW w:w="968" w:type="dxa"/>
            <w:tcBorders>
              <w:top w:val="nil"/>
              <w:left w:val="single" w:sz="4" w:space="0" w:color="auto"/>
              <w:bottom w:val="single" w:sz="4" w:space="0" w:color="auto"/>
              <w:right w:val="nil"/>
            </w:tcBorders>
            <w:shd w:val="clear" w:color="auto" w:fill="auto"/>
            <w:noWrap/>
            <w:vAlign w:val="bottom"/>
            <w:hideMark/>
          </w:tcPr>
          <w:p w14:paraId="3FF053BE"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2025</w:t>
            </w:r>
          </w:p>
        </w:tc>
        <w:tc>
          <w:tcPr>
            <w:tcW w:w="968" w:type="dxa"/>
            <w:tcBorders>
              <w:top w:val="nil"/>
              <w:left w:val="nil"/>
              <w:bottom w:val="single" w:sz="4" w:space="0" w:color="auto"/>
              <w:right w:val="single" w:sz="4" w:space="0" w:color="auto"/>
            </w:tcBorders>
            <w:shd w:val="clear" w:color="auto" w:fill="auto"/>
            <w:noWrap/>
            <w:vAlign w:val="bottom"/>
            <w:hideMark/>
          </w:tcPr>
          <w:p w14:paraId="01C98375"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2040</w:t>
            </w:r>
          </w:p>
        </w:tc>
        <w:tc>
          <w:tcPr>
            <w:tcW w:w="960" w:type="dxa"/>
            <w:tcBorders>
              <w:top w:val="nil"/>
              <w:left w:val="nil"/>
              <w:bottom w:val="single" w:sz="4" w:space="0" w:color="auto"/>
              <w:right w:val="nil"/>
            </w:tcBorders>
            <w:shd w:val="clear" w:color="auto" w:fill="auto"/>
            <w:noWrap/>
            <w:vAlign w:val="bottom"/>
            <w:hideMark/>
          </w:tcPr>
          <w:p w14:paraId="2AC4D468"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2025</w:t>
            </w:r>
          </w:p>
        </w:tc>
        <w:tc>
          <w:tcPr>
            <w:tcW w:w="960" w:type="dxa"/>
            <w:tcBorders>
              <w:top w:val="nil"/>
              <w:left w:val="nil"/>
              <w:bottom w:val="single" w:sz="4" w:space="0" w:color="auto"/>
              <w:right w:val="single" w:sz="4" w:space="0" w:color="auto"/>
            </w:tcBorders>
            <w:shd w:val="clear" w:color="auto" w:fill="auto"/>
            <w:noWrap/>
            <w:vAlign w:val="bottom"/>
            <w:hideMark/>
          </w:tcPr>
          <w:p w14:paraId="5C155666"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2040</w:t>
            </w:r>
          </w:p>
        </w:tc>
      </w:tr>
      <w:tr w:rsidR="0015072C" w:rsidRPr="000114E3" w14:paraId="38ED376C" w14:textId="77777777" w:rsidTr="00A4576E">
        <w:trPr>
          <w:trHeight w:val="300"/>
          <w:jc w:val="center"/>
        </w:trPr>
        <w:tc>
          <w:tcPr>
            <w:tcW w:w="2978" w:type="dxa"/>
            <w:tcBorders>
              <w:top w:val="nil"/>
              <w:left w:val="single" w:sz="4" w:space="0" w:color="auto"/>
              <w:bottom w:val="nil"/>
              <w:right w:val="single" w:sz="4" w:space="0" w:color="auto"/>
            </w:tcBorders>
            <w:shd w:val="clear" w:color="auto" w:fill="auto"/>
            <w:noWrap/>
            <w:vAlign w:val="bottom"/>
            <w:hideMark/>
          </w:tcPr>
          <w:p w14:paraId="5BD6DEA7"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 IMH - Batch - Air</w:t>
            </w:r>
          </w:p>
        </w:tc>
        <w:tc>
          <w:tcPr>
            <w:tcW w:w="1084" w:type="dxa"/>
            <w:tcBorders>
              <w:top w:val="single" w:sz="4" w:space="0" w:color="auto"/>
              <w:left w:val="nil"/>
              <w:bottom w:val="nil"/>
              <w:right w:val="single" w:sz="4" w:space="0" w:color="auto"/>
            </w:tcBorders>
            <w:shd w:val="clear" w:color="auto" w:fill="auto"/>
            <w:vAlign w:val="bottom"/>
          </w:tcPr>
          <w:p w14:paraId="546C1677" w14:textId="1D409B0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281</w:t>
            </w:r>
          </w:p>
        </w:tc>
        <w:tc>
          <w:tcPr>
            <w:tcW w:w="960" w:type="dxa"/>
            <w:tcBorders>
              <w:top w:val="nil"/>
              <w:left w:val="single" w:sz="4" w:space="0" w:color="auto"/>
              <w:bottom w:val="nil"/>
              <w:right w:val="nil"/>
            </w:tcBorders>
            <w:shd w:val="clear" w:color="auto" w:fill="auto"/>
            <w:noWrap/>
            <w:vAlign w:val="bottom"/>
            <w:hideMark/>
          </w:tcPr>
          <w:p w14:paraId="5D28830F" w14:textId="6877BBCA"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21%</w:t>
            </w:r>
          </w:p>
        </w:tc>
        <w:tc>
          <w:tcPr>
            <w:tcW w:w="968" w:type="dxa"/>
            <w:tcBorders>
              <w:top w:val="nil"/>
              <w:left w:val="single" w:sz="4" w:space="0" w:color="auto"/>
              <w:bottom w:val="nil"/>
              <w:right w:val="nil"/>
            </w:tcBorders>
            <w:shd w:val="clear" w:color="auto" w:fill="auto"/>
            <w:noWrap/>
            <w:vAlign w:val="bottom"/>
            <w:hideMark/>
          </w:tcPr>
          <w:p w14:paraId="7638C0D8"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2.00</w:t>
            </w:r>
          </w:p>
        </w:tc>
        <w:tc>
          <w:tcPr>
            <w:tcW w:w="968" w:type="dxa"/>
            <w:tcBorders>
              <w:top w:val="nil"/>
              <w:left w:val="nil"/>
              <w:bottom w:val="nil"/>
              <w:right w:val="single" w:sz="4" w:space="0" w:color="auto"/>
            </w:tcBorders>
            <w:shd w:val="clear" w:color="auto" w:fill="auto"/>
            <w:noWrap/>
            <w:vAlign w:val="bottom"/>
            <w:hideMark/>
          </w:tcPr>
          <w:p w14:paraId="7A4B1BF8"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1.94</w:t>
            </w:r>
          </w:p>
        </w:tc>
        <w:tc>
          <w:tcPr>
            <w:tcW w:w="960" w:type="dxa"/>
            <w:tcBorders>
              <w:top w:val="nil"/>
              <w:left w:val="nil"/>
              <w:bottom w:val="nil"/>
              <w:right w:val="nil"/>
            </w:tcBorders>
            <w:shd w:val="clear" w:color="auto" w:fill="auto"/>
            <w:noWrap/>
            <w:vAlign w:val="bottom"/>
            <w:hideMark/>
          </w:tcPr>
          <w:p w14:paraId="2E7D02E3"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960" w:type="dxa"/>
            <w:tcBorders>
              <w:top w:val="nil"/>
              <w:left w:val="nil"/>
              <w:bottom w:val="nil"/>
              <w:right w:val="single" w:sz="4" w:space="0" w:color="auto"/>
            </w:tcBorders>
            <w:shd w:val="clear" w:color="auto" w:fill="auto"/>
            <w:noWrap/>
            <w:vAlign w:val="bottom"/>
            <w:hideMark/>
          </w:tcPr>
          <w:p w14:paraId="0CE499CE"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r>
      <w:tr w:rsidR="0015072C" w:rsidRPr="000114E3" w14:paraId="36B05170" w14:textId="77777777" w:rsidTr="00A4576E">
        <w:trPr>
          <w:trHeight w:val="300"/>
          <w:jc w:val="center"/>
        </w:trPr>
        <w:tc>
          <w:tcPr>
            <w:tcW w:w="2978" w:type="dxa"/>
            <w:tcBorders>
              <w:top w:val="nil"/>
              <w:left w:val="single" w:sz="4" w:space="0" w:color="auto"/>
              <w:bottom w:val="nil"/>
              <w:right w:val="single" w:sz="4" w:space="0" w:color="auto"/>
            </w:tcBorders>
            <w:shd w:val="clear" w:color="auto" w:fill="auto"/>
            <w:noWrap/>
            <w:vAlign w:val="bottom"/>
            <w:hideMark/>
          </w:tcPr>
          <w:p w14:paraId="7F73FDED"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 IMH - Continuous - Air</w:t>
            </w:r>
          </w:p>
        </w:tc>
        <w:tc>
          <w:tcPr>
            <w:tcW w:w="1084" w:type="dxa"/>
            <w:tcBorders>
              <w:top w:val="nil"/>
              <w:left w:val="nil"/>
              <w:bottom w:val="nil"/>
              <w:right w:val="single" w:sz="4" w:space="0" w:color="auto"/>
            </w:tcBorders>
            <w:shd w:val="clear" w:color="auto" w:fill="auto"/>
            <w:vAlign w:val="bottom"/>
          </w:tcPr>
          <w:p w14:paraId="00F44C9B" w14:textId="528820C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281</w:t>
            </w:r>
          </w:p>
        </w:tc>
        <w:tc>
          <w:tcPr>
            <w:tcW w:w="960" w:type="dxa"/>
            <w:tcBorders>
              <w:top w:val="nil"/>
              <w:left w:val="single" w:sz="4" w:space="0" w:color="auto"/>
              <w:bottom w:val="nil"/>
              <w:right w:val="nil"/>
            </w:tcBorders>
            <w:shd w:val="clear" w:color="auto" w:fill="auto"/>
            <w:noWrap/>
            <w:vAlign w:val="bottom"/>
            <w:hideMark/>
          </w:tcPr>
          <w:p w14:paraId="1FE1692E" w14:textId="51A6A42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11%</w:t>
            </w:r>
          </w:p>
        </w:tc>
        <w:tc>
          <w:tcPr>
            <w:tcW w:w="968" w:type="dxa"/>
            <w:tcBorders>
              <w:top w:val="nil"/>
              <w:left w:val="single" w:sz="4" w:space="0" w:color="auto"/>
              <w:bottom w:val="nil"/>
              <w:right w:val="nil"/>
            </w:tcBorders>
            <w:shd w:val="clear" w:color="auto" w:fill="auto"/>
            <w:noWrap/>
            <w:vAlign w:val="bottom"/>
            <w:hideMark/>
          </w:tcPr>
          <w:p w14:paraId="258CDBC2"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1.13</w:t>
            </w:r>
          </w:p>
        </w:tc>
        <w:tc>
          <w:tcPr>
            <w:tcW w:w="968" w:type="dxa"/>
            <w:tcBorders>
              <w:top w:val="nil"/>
              <w:left w:val="nil"/>
              <w:bottom w:val="nil"/>
              <w:right w:val="single" w:sz="4" w:space="0" w:color="auto"/>
            </w:tcBorders>
            <w:shd w:val="clear" w:color="auto" w:fill="auto"/>
            <w:noWrap/>
            <w:vAlign w:val="bottom"/>
            <w:hideMark/>
          </w:tcPr>
          <w:p w14:paraId="27D77759"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1.11</w:t>
            </w:r>
          </w:p>
        </w:tc>
        <w:tc>
          <w:tcPr>
            <w:tcW w:w="960" w:type="dxa"/>
            <w:tcBorders>
              <w:top w:val="nil"/>
              <w:left w:val="nil"/>
              <w:bottom w:val="nil"/>
              <w:right w:val="nil"/>
            </w:tcBorders>
            <w:shd w:val="clear" w:color="auto" w:fill="auto"/>
            <w:noWrap/>
            <w:vAlign w:val="bottom"/>
            <w:hideMark/>
          </w:tcPr>
          <w:p w14:paraId="100A4AF5"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shd w:val="clear" w:color="auto" w:fill="auto"/>
            <w:noWrap/>
            <w:vAlign w:val="bottom"/>
            <w:hideMark/>
          </w:tcPr>
          <w:p w14:paraId="75EA4043"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r>
      <w:tr w:rsidR="0015072C" w:rsidRPr="000114E3" w14:paraId="3A9E150A" w14:textId="77777777" w:rsidTr="00A4576E">
        <w:trPr>
          <w:trHeight w:val="300"/>
          <w:jc w:val="center"/>
        </w:trPr>
        <w:tc>
          <w:tcPr>
            <w:tcW w:w="2978" w:type="dxa"/>
            <w:tcBorders>
              <w:top w:val="nil"/>
              <w:left w:val="single" w:sz="4" w:space="0" w:color="auto"/>
              <w:bottom w:val="nil"/>
              <w:right w:val="single" w:sz="4" w:space="0" w:color="auto"/>
            </w:tcBorders>
            <w:shd w:val="clear" w:color="auto" w:fill="auto"/>
            <w:noWrap/>
            <w:vAlign w:val="bottom"/>
            <w:hideMark/>
          </w:tcPr>
          <w:p w14:paraId="2530FC59"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xml:space="preserve">3. IMH - Batch - Water </w:t>
            </w:r>
          </w:p>
        </w:tc>
        <w:tc>
          <w:tcPr>
            <w:tcW w:w="1084" w:type="dxa"/>
            <w:tcBorders>
              <w:top w:val="nil"/>
              <w:left w:val="nil"/>
              <w:bottom w:val="nil"/>
              <w:right w:val="single" w:sz="4" w:space="0" w:color="auto"/>
            </w:tcBorders>
            <w:shd w:val="clear" w:color="auto" w:fill="auto"/>
            <w:vAlign w:val="bottom"/>
          </w:tcPr>
          <w:p w14:paraId="1B0164D4" w14:textId="4B5E45D6"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330</w:t>
            </w:r>
          </w:p>
        </w:tc>
        <w:tc>
          <w:tcPr>
            <w:tcW w:w="960" w:type="dxa"/>
            <w:tcBorders>
              <w:top w:val="nil"/>
              <w:left w:val="single" w:sz="4" w:space="0" w:color="auto"/>
              <w:bottom w:val="nil"/>
              <w:right w:val="nil"/>
            </w:tcBorders>
            <w:shd w:val="clear" w:color="auto" w:fill="auto"/>
            <w:noWrap/>
            <w:vAlign w:val="bottom"/>
            <w:hideMark/>
          </w:tcPr>
          <w:p w14:paraId="634DA0D2" w14:textId="372B8105"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w:t>
            </w:r>
          </w:p>
        </w:tc>
        <w:tc>
          <w:tcPr>
            <w:tcW w:w="968" w:type="dxa"/>
            <w:tcBorders>
              <w:top w:val="nil"/>
              <w:left w:val="single" w:sz="4" w:space="0" w:color="auto"/>
              <w:bottom w:val="nil"/>
              <w:right w:val="nil"/>
            </w:tcBorders>
            <w:shd w:val="clear" w:color="auto" w:fill="auto"/>
            <w:noWrap/>
            <w:vAlign w:val="bottom"/>
            <w:hideMark/>
          </w:tcPr>
          <w:p w14:paraId="341F84DC"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2.00</w:t>
            </w:r>
          </w:p>
        </w:tc>
        <w:tc>
          <w:tcPr>
            <w:tcW w:w="968" w:type="dxa"/>
            <w:tcBorders>
              <w:top w:val="nil"/>
              <w:left w:val="nil"/>
              <w:bottom w:val="nil"/>
              <w:right w:val="single" w:sz="4" w:space="0" w:color="auto"/>
            </w:tcBorders>
            <w:shd w:val="clear" w:color="auto" w:fill="auto"/>
            <w:noWrap/>
            <w:vAlign w:val="bottom"/>
            <w:hideMark/>
          </w:tcPr>
          <w:p w14:paraId="3838CD54"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1.94</w:t>
            </w:r>
          </w:p>
        </w:tc>
        <w:tc>
          <w:tcPr>
            <w:tcW w:w="960" w:type="dxa"/>
            <w:tcBorders>
              <w:top w:val="nil"/>
              <w:left w:val="nil"/>
              <w:bottom w:val="nil"/>
              <w:right w:val="nil"/>
            </w:tcBorders>
            <w:shd w:val="clear" w:color="auto" w:fill="auto"/>
            <w:noWrap/>
            <w:vAlign w:val="bottom"/>
            <w:hideMark/>
          </w:tcPr>
          <w:p w14:paraId="7629EE72"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17.50</w:t>
            </w:r>
          </w:p>
        </w:tc>
        <w:tc>
          <w:tcPr>
            <w:tcW w:w="960" w:type="dxa"/>
            <w:tcBorders>
              <w:top w:val="nil"/>
              <w:left w:val="nil"/>
              <w:bottom w:val="nil"/>
              <w:right w:val="single" w:sz="4" w:space="0" w:color="auto"/>
            </w:tcBorders>
            <w:shd w:val="clear" w:color="auto" w:fill="auto"/>
            <w:noWrap/>
            <w:vAlign w:val="bottom"/>
            <w:hideMark/>
          </w:tcPr>
          <w:p w14:paraId="41AD90F0"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17.18</w:t>
            </w:r>
          </w:p>
        </w:tc>
      </w:tr>
      <w:tr w:rsidR="0015072C" w:rsidRPr="000114E3" w14:paraId="31407095" w14:textId="77777777" w:rsidTr="00A4576E">
        <w:trPr>
          <w:trHeight w:val="300"/>
          <w:jc w:val="center"/>
        </w:trPr>
        <w:tc>
          <w:tcPr>
            <w:tcW w:w="2978" w:type="dxa"/>
            <w:tcBorders>
              <w:top w:val="nil"/>
              <w:left w:val="single" w:sz="4" w:space="0" w:color="auto"/>
              <w:bottom w:val="nil"/>
              <w:right w:val="single" w:sz="4" w:space="0" w:color="auto"/>
            </w:tcBorders>
            <w:shd w:val="clear" w:color="auto" w:fill="auto"/>
            <w:noWrap/>
            <w:vAlign w:val="bottom"/>
            <w:hideMark/>
          </w:tcPr>
          <w:p w14:paraId="5D99EFE8"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xml:space="preserve">4. IMH - Continuous - Water </w:t>
            </w:r>
          </w:p>
        </w:tc>
        <w:tc>
          <w:tcPr>
            <w:tcW w:w="1084" w:type="dxa"/>
            <w:tcBorders>
              <w:top w:val="nil"/>
              <w:left w:val="nil"/>
              <w:bottom w:val="nil"/>
              <w:right w:val="single" w:sz="4" w:space="0" w:color="auto"/>
            </w:tcBorders>
            <w:shd w:val="clear" w:color="auto" w:fill="auto"/>
            <w:vAlign w:val="bottom"/>
          </w:tcPr>
          <w:p w14:paraId="6A2E1903" w14:textId="7AAA10E2"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330</w:t>
            </w:r>
          </w:p>
        </w:tc>
        <w:tc>
          <w:tcPr>
            <w:tcW w:w="960" w:type="dxa"/>
            <w:tcBorders>
              <w:top w:val="nil"/>
              <w:left w:val="single" w:sz="4" w:space="0" w:color="auto"/>
              <w:bottom w:val="nil"/>
              <w:right w:val="nil"/>
            </w:tcBorders>
            <w:shd w:val="clear" w:color="auto" w:fill="auto"/>
            <w:noWrap/>
            <w:vAlign w:val="bottom"/>
            <w:hideMark/>
          </w:tcPr>
          <w:p w14:paraId="759577DC" w14:textId="1F85C6F3"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w:t>
            </w:r>
          </w:p>
        </w:tc>
        <w:tc>
          <w:tcPr>
            <w:tcW w:w="968" w:type="dxa"/>
            <w:tcBorders>
              <w:top w:val="nil"/>
              <w:left w:val="single" w:sz="4" w:space="0" w:color="auto"/>
              <w:bottom w:val="nil"/>
              <w:right w:val="nil"/>
            </w:tcBorders>
            <w:shd w:val="clear" w:color="auto" w:fill="auto"/>
            <w:noWrap/>
            <w:vAlign w:val="bottom"/>
            <w:hideMark/>
          </w:tcPr>
          <w:p w14:paraId="0224384C"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1.13</w:t>
            </w:r>
          </w:p>
        </w:tc>
        <w:tc>
          <w:tcPr>
            <w:tcW w:w="968" w:type="dxa"/>
            <w:tcBorders>
              <w:top w:val="nil"/>
              <w:left w:val="nil"/>
              <w:bottom w:val="nil"/>
              <w:right w:val="single" w:sz="4" w:space="0" w:color="auto"/>
            </w:tcBorders>
            <w:shd w:val="clear" w:color="auto" w:fill="auto"/>
            <w:noWrap/>
            <w:vAlign w:val="bottom"/>
            <w:hideMark/>
          </w:tcPr>
          <w:p w14:paraId="42907B60"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1.11</w:t>
            </w:r>
          </w:p>
        </w:tc>
        <w:tc>
          <w:tcPr>
            <w:tcW w:w="960" w:type="dxa"/>
            <w:tcBorders>
              <w:top w:val="nil"/>
              <w:left w:val="nil"/>
              <w:bottom w:val="nil"/>
              <w:right w:val="nil"/>
            </w:tcBorders>
            <w:shd w:val="clear" w:color="auto" w:fill="auto"/>
            <w:noWrap/>
            <w:vAlign w:val="bottom"/>
            <w:hideMark/>
          </w:tcPr>
          <w:p w14:paraId="3BD9DB75"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16.40</w:t>
            </w:r>
          </w:p>
        </w:tc>
        <w:tc>
          <w:tcPr>
            <w:tcW w:w="960" w:type="dxa"/>
            <w:tcBorders>
              <w:top w:val="nil"/>
              <w:left w:val="nil"/>
              <w:bottom w:val="nil"/>
              <w:right w:val="single" w:sz="4" w:space="0" w:color="auto"/>
            </w:tcBorders>
            <w:shd w:val="clear" w:color="auto" w:fill="auto"/>
            <w:noWrap/>
            <w:vAlign w:val="bottom"/>
            <w:hideMark/>
          </w:tcPr>
          <w:p w14:paraId="2FC4F038"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15.79</w:t>
            </w:r>
          </w:p>
        </w:tc>
      </w:tr>
      <w:tr w:rsidR="0015072C" w:rsidRPr="000114E3" w14:paraId="46AF55CD" w14:textId="77777777" w:rsidTr="00A4576E">
        <w:trPr>
          <w:trHeight w:val="300"/>
          <w:jc w:val="center"/>
        </w:trPr>
        <w:tc>
          <w:tcPr>
            <w:tcW w:w="2978" w:type="dxa"/>
            <w:tcBorders>
              <w:top w:val="nil"/>
              <w:left w:val="single" w:sz="4" w:space="0" w:color="auto"/>
              <w:bottom w:val="nil"/>
              <w:right w:val="single" w:sz="4" w:space="0" w:color="auto"/>
            </w:tcBorders>
            <w:shd w:val="clear" w:color="auto" w:fill="auto"/>
            <w:noWrap/>
            <w:vAlign w:val="bottom"/>
            <w:hideMark/>
          </w:tcPr>
          <w:p w14:paraId="102BCE9C"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xml:space="preserve">5. SCU - Batch - Air </w:t>
            </w:r>
          </w:p>
        </w:tc>
        <w:tc>
          <w:tcPr>
            <w:tcW w:w="1084" w:type="dxa"/>
            <w:tcBorders>
              <w:top w:val="nil"/>
              <w:left w:val="nil"/>
              <w:bottom w:val="nil"/>
              <w:right w:val="single" w:sz="4" w:space="0" w:color="auto"/>
            </w:tcBorders>
            <w:shd w:val="clear" w:color="auto" w:fill="auto"/>
            <w:vAlign w:val="bottom"/>
          </w:tcPr>
          <w:p w14:paraId="7B577B0E" w14:textId="6956AEC0"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55</w:t>
            </w:r>
          </w:p>
        </w:tc>
        <w:tc>
          <w:tcPr>
            <w:tcW w:w="960" w:type="dxa"/>
            <w:tcBorders>
              <w:top w:val="nil"/>
              <w:left w:val="single" w:sz="4" w:space="0" w:color="auto"/>
              <w:bottom w:val="nil"/>
              <w:right w:val="nil"/>
            </w:tcBorders>
            <w:shd w:val="clear" w:color="auto" w:fill="auto"/>
            <w:noWrap/>
            <w:vAlign w:val="bottom"/>
            <w:hideMark/>
          </w:tcPr>
          <w:p w14:paraId="7BA1FF46" w14:textId="058285E6"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51%</w:t>
            </w:r>
          </w:p>
        </w:tc>
        <w:tc>
          <w:tcPr>
            <w:tcW w:w="968" w:type="dxa"/>
            <w:tcBorders>
              <w:top w:val="nil"/>
              <w:left w:val="single" w:sz="4" w:space="0" w:color="auto"/>
              <w:bottom w:val="nil"/>
              <w:right w:val="nil"/>
            </w:tcBorders>
            <w:shd w:val="clear" w:color="auto" w:fill="auto"/>
            <w:noWrap/>
            <w:vAlign w:val="bottom"/>
            <w:hideMark/>
          </w:tcPr>
          <w:p w14:paraId="10CB2103"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2.50</w:t>
            </w:r>
          </w:p>
        </w:tc>
        <w:tc>
          <w:tcPr>
            <w:tcW w:w="968" w:type="dxa"/>
            <w:tcBorders>
              <w:top w:val="nil"/>
              <w:left w:val="nil"/>
              <w:bottom w:val="nil"/>
              <w:right w:val="single" w:sz="4" w:space="0" w:color="auto"/>
            </w:tcBorders>
            <w:shd w:val="clear" w:color="auto" w:fill="auto"/>
            <w:noWrap/>
            <w:vAlign w:val="bottom"/>
            <w:hideMark/>
          </w:tcPr>
          <w:p w14:paraId="5BBE17E0"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2.46</w:t>
            </w:r>
          </w:p>
        </w:tc>
        <w:tc>
          <w:tcPr>
            <w:tcW w:w="960" w:type="dxa"/>
            <w:tcBorders>
              <w:top w:val="nil"/>
              <w:left w:val="nil"/>
              <w:bottom w:val="nil"/>
              <w:right w:val="nil"/>
            </w:tcBorders>
            <w:shd w:val="clear" w:color="auto" w:fill="auto"/>
            <w:noWrap/>
            <w:vAlign w:val="bottom"/>
            <w:hideMark/>
          </w:tcPr>
          <w:p w14:paraId="26A6D786"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shd w:val="clear" w:color="auto" w:fill="auto"/>
            <w:noWrap/>
            <w:vAlign w:val="bottom"/>
            <w:hideMark/>
          </w:tcPr>
          <w:p w14:paraId="69A6FFC7"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r>
      <w:tr w:rsidR="0015072C" w:rsidRPr="000114E3" w14:paraId="5B30475A" w14:textId="77777777" w:rsidTr="00A4576E">
        <w:trPr>
          <w:trHeight w:val="300"/>
          <w:jc w:val="center"/>
        </w:trPr>
        <w:tc>
          <w:tcPr>
            <w:tcW w:w="2978" w:type="dxa"/>
            <w:tcBorders>
              <w:top w:val="nil"/>
              <w:left w:val="single" w:sz="4" w:space="0" w:color="auto"/>
              <w:bottom w:val="nil"/>
              <w:right w:val="single" w:sz="4" w:space="0" w:color="auto"/>
            </w:tcBorders>
            <w:shd w:val="clear" w:color="auto" w:fill="auto"/>
            <w:noWrap/>
            <w:vAlign w:val="bottom"/>
            <w:hideMark/>
          </w:tcPr>
          <w:p w14:paraId="4F7B7183"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xml:space="preserve">6. SCU - Continuous - Air </w:t>
            </w:r>
          </w:p>
        </w:tc>
        <w:tc>
          <w:tcPr>
            <w:tcW w:w="1084" w:type="dxa"/>
            <w:tcBorders>
              <w:top w:val="nil"/>
              <w:left w:val="nil"/>
              <w:bottom w:val="nil"/>
              <w:right w:val="single" w:sz="4" w:space="0" w:color="auto"/>
            </w:tcBorders>
            <w:shd w:val="clear" w:color="auto" w:fill="auto"/>
            <w:vAlign w:val="bottom"/>
          </w:tcPr>
          <w:p w14:paraId="5C7B76A6" w14:textId="3D7AF74F"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65</w:t>
            </w:r>
          </w:p>
        </w:tc>
        <w:tc>
          <w:tcPr>
            <w:tcW w:w="960" w:type="dxa"/>
            <w:tcBorders>
              <w:top w:val="nil"/>
              <w:left w:val="single" w:sz="4" w:space="0" w:color="auto"/>
              <w:bottom w:val="nil"/>
              <w:right w:val="nil"/>
            </w:tcBorders>
            <w:shd w:val="clear" w:color="auto" w:fill="auto"/>
            <w:noWrap/>
            <w:vAlign w:val="bottom"/>
            <w:hideMark/>
          </w:tcPr>
          <w:p w14:paraId="4DBE98D6" w14:textId="6618B242"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5%</w:t>
            </w:r>
          </w:p>
        </w:tc>
        <w:tc>
          <w:tcPr>
            <w:tcW w:w="968" w:type="dxa"/>
            <w:tcBorders>
              <w:top w:val="nil"/>
              <w:left w:val="single" w:sz="4" w:space="0" w:color="auto"/>
              <w:bottom w:val="nil"/>
              <w:right w:val="nil"/>
            </w:tcBorders>
            <w:shd w:val="clear" w:color="auto" w:fill="auto"/>
            <w:noWrap/>
            <w:vAlign w:val="bottom"/>
            <w:hideMark/>
          </w:tcPr>
          <w:p w14:paraId="23FA3950"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1.23</w:t>
            </w:r>
          </w:p>
        </w:tc>
        <w:tc>
          <w:tcPr>
            <w:tcW w:w="968" w:type="dxa"/>
            <w:tcBorders>
              <w:top w:val="nil"/>
              <w:left w:val="nil"/>
              <w:bottom w:val="nil"/>
              <w:right w:val="single" w:sz="4" w:space="0" w:color="auto"/>
            </w:tcBorders>
            <w:shd w:val="clear" w:color="auto" w:fill="auto"/>
            <w:noWrap/>
            <w:vAlign w:val="bottom"/>
            <w:hideMark/>
          </w:tcPr>
          <w:p w14:paraId="5175774C"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1.21</w:t>
            </w:r>
          </w:p>
        </w:tc>
        <w:tc>
          <w:tcPr>
            <w:tcW w:w="960" w:type="dxa"/>
            <w:tcBorders>
              <w:top w:val="nil"/>
              <w:left w:val="nil"/>
              <w:bottom w:val="nil"/>
              <w:right w:val="nil"/>
            </w:tcBorders>
            <w:shd w:val="clear" w:color="auto" w:fill="auto"/>
            <w:noWrap/>
            <w:vAlign w:val="bottom"/>
            <w:hideMark/>
          </w:tcPr>
          <w:p w14:paraId="226E7228"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shd w:val="clear" w:color="auto" w:fill="auto"/>
            <w:noWrap/>
            <w:vAlign w:val="bottom"/>
            <w:hideMark/>
          </w:tcPr>
          <w:p w14:paraId="021E3051"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r>
      <w:tr w:rsidR="0015072C" w:rsidRPr="000114E3" w14:paraId="4247912C" w14:textId="77777777" w:rsidTr="00A4576E">
        <w:trPr>
          <w:trHeight w:val="300"/>
          <w:jc w:val="center"/>
        </w:trPr>
        <w:tc>
          <w:tcPr>
            <w:tcW w:w="2978" w:type="dxa"/>
            <w:tcBorders>
              <w:top w:val="nil"/>
              <w:left w:val="single" w:sz="4" w:space="0" w:color="auto"/>
              <w:bottom w:val="nil"/>
              <w:right w:val="single" w:sz="4" w:space="0" w:color="auto"/>
            </w:tcBorders>
            <w:shd w:val="clear" w:color="auto" w:fill="auto"/>
            <w:noWrap/>
            <w:vAlign w:val="bottom"/>
            <w:hideMark/>
          </w:tcPr>
          <w:p w14:paraId="662E1CD0"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 SCU - Batch - Water</w:t>
            </w:r>
          </w:p>
        </w:tc>
        <w:tc>
          <w:tcPr>
            <w:tcW w:w="1084" w:type="dxa"/>
            <w:tcBorders>
              <w:top w:val="nil"/>
              <w:left w:val="nil"/>
              <w:bottom w:val="nil"/>
              <w:right w:val="single" w:sz="4" w:space="0" w:color="auto"/>
            </w:tcBorders>
            <w:shd w:val="clear" w:color="auto" w:fill="auto"/>
            <w:vAlign w:val="bottom"/>
          </w:tcPr>
          <w:p w14:paraId="62C34352" w14:textId="316E5955"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72</w:t>
            </w:r>
          </w:p>
        </w:tc>
        <w:tc>
          <w:tcPr>
            <w:tcW w:w="960" w:type="dxa"/>
            <w:tcBorders>
              <w:top w:val="nil"/>
              <w:left w:val="single" w:sz="4" w:space="0" w:color="auto"/>
              <w:bottom w:val="nil"/>
              <w:right w:val="nil"/>
            </w:tcBorders>
            <w:shd w:val="clear" w:color="auto" w:fill="auto"/>
            <w:noWrap/>
            <w:vAlign w:val="bottom"/>
            <w:hideMark/>
          </w:tcPr>
          <w:p w14:paraId="12145598" w14:textId="0783B4FF"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w:t>
            </w:r>
          </w:p>
        </w:tc>
        <w:tc>
          <w:tcPr>
            <w:tcW w:w="968" w:type="dxa"/>
            <w:tcBorders>
              <w:top w:val="nil"/>
              <w:left w:val="single" w:sz="4" w:space="0" w:color="auto"/>
              <w:bottom w:val="nil"/>
              <w:right w:val="nil"/>
            </w:tcBorders>
            <w:shd w:val="clear" w:color="auto" w:fill="auto"/>
            <w:noWrap/>
            <w:vAlign w:val="bottom"/>
            <w:hideMark/>
          </w:tcPr>
          <w:p w14:paraId="31246FA0"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2.50</w:t>
            </w:r>
          </w:p>
        </w:tc>
        <w:tc>
          <w:tcPr>
            <w:tcW w:w="968" w:type="dxa"/>
            <w:tcBorders>
              <w:top w:val="nil"/>
              <w:left w:val="nil"/>
              <w:bottom w:val="nil"/>
              <w:right w:val="single" w:sz="4" w:space="0" w:color="auto"/>
            </w:tcBorders>
            <w:shd w:val="clear" w:color="auto" w:fill="auto"/>
            <w:noWrap/>
            <w:vAlign w:val="bottom"/>
            <w:hideMark/>
          </w:tcPr>
          <w:p w14:paraId="5DDB2AEF"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2.46</w:t>
            </w:r>
          </w:p>
        </w:tc>
        <w:tc>
          <w:tcPr>
            <w:tcW w:w="960" w:type="dxa"/>
            <w:tcBorders>
              <w:top w:val="nil"/>
              <w:left w:val="nil"/>
              <w:bottom w:val="nil"/>
              <w:right w:val="nil"/>
            </w:tcBorders>
            <w:shd w:val="clear" w:color="auto" w:fill="auto"/>
            <w:noWrap/>
            <w:vAlign w:val="bottom"/>
            <w:hideMark/>
          </w:tcPr>
          <w:p w14:paraId="3C0AFC8C"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17.00</w:t>
            </w:r>
          </w:p>
        </w:tc>
        <w:tc>
          <w:tcPr>
            <w:tcW w:w="960" w:type="dxa"/>
            <w:tcBorders>
              <w:top w:val="nil"/>
              <w:left w:val="nil"/>
              <w:bottom w:val="nil"/>
              <w:right w:val="single" w:sz="4" w:space="0" w:color="auto"/>
            </w:tcBorders>
            <w:shd w:val="clear" w:color="auto" w:fill="auto"/>
            <w:noWrap/>
            <w:vAlign w:val="bottom"/>
            <w:hideMark/>
          </w:tcPr>
          <w:p w14:paraId="0C876C04"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16.83</w:t>
            </w:r>
          </w:p>
        </w:tc>
      </w:tr>
      <w:tr w:rsidR="0015072C" w:rsidRPr="000114E3" w14:paraId="2112925D" w14:textId="77777777" w:rsidTr="00A4576E">
        <w:trPr>
          <w:trHeight w:val="300"/>
          <w:jc w:val="center"/>
        </w:trPr>
        <w:tc>
          <w:tcPr>
            <w:tcW w:w="2978" w:type="dxa"/>
            <w:tcBorders>
              <w:top w:val="nil"/>
              <w:left w:val="single" w:sz="4" w:space="0" w:color="auto"/>
              <w:bottom w:val="nil"/>
              <w:right w:val="single" w:sz="4" w:space="0" w:color="auto"/>
            </w:tcBorders>
            <w:shd w:val="clear" w:color="auto" w:fill="auto"/>
            <w:noWrap/>
            <w:vAlign w:val="bottom"/>
            <w:hideMark/>
          </w:tcPr>
          <w:p w14:paraId="4E9915E8"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8. SCU - Continuous - Water</w:t>
            </w:r>
          </w:p>
        </w:tc>
        <w:tc>
          <w:tcPr>
            <w:tcW w:w="1084" w:type="dxa"/>
            <w:tcBorders>
              <w:top w:val="nil"/>
              <w:left w:val="nil"/>
              <w:bottom w:val="nil"/>
              <w:right w:val="single" w:sz="4" w:space="0" w:color="auto"/>
            </w:tcBorders>
            <w:shd w:val="clear" w:color="auto" w:fill="auto"/>
            <w:vAlign w:val="bottom"/>
          </w:tcPr>
          <w:p w14:paraId="62DFBA63" w14:textId="7165DE3A"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85</w:t>
            </w:r>
          </w:p>
        </w:tc>
        <w:tc>
          <w:tcPr>
            <w:tcW w:w="960" w:type="dxa"/>
            <w:tcBorders>
              <w:top w:val="nil"/>
              <w:left w:val="single" w:sz="4" w:space="0" w:color="auto"/>
              <w:bottom w:val="nil"/>
              <w:right w:val="nil"/>
            </w:tcBorders>
            <w:shd w:val="clear" w:color="auto" w:fill="auto"/>
            <w:noWrap/>
            <w:vAlign w:val="bottom"/>
            <w:hideMark/>
          </w:tcPr>
          <w:p w14:paraId="61EA45B6" w14:textId="77FA92D4"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w:t>
            </w:r>
          </w:p>
        </w:tc>
        <w:tc>
          <w:tcPr>
            <w:tcW w:w="968" w:type="dxa"/>
            <w:tcBorders>
              <w:top w:val="nil"/>
              <w:left w:val="single" w:sz="4" w:space="0" w:color="auto"/>
              <w:bottom w:val="nil"/>
              <w:right w:val="nil"/>
            </w:tcBorders>
            <w:shd w:val="clear" w:color="auto" w:fill="auto"/>
            <w:noWrap/>
            <w:vAlign w:val="bottom"/>
            <w:hideMark/>
          </w:tcPr>
          <w:p w14:paraId="73814E8D"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1.23</w:t>
            </w:r>
          </w:p>
        </w:tc>
        <w:tc>
          <w:tcPr>
            <w:tcW w:w="968" w:type="dxa"/>
            <w:tcBorders>
              <w:top w:val="nil"/>
              <w:left w:val="nil"/>
              <w:bottom w:val="nil"/>
              <w:right w:val="single" w:sz="4" w:space="0" w:color="auto"/>
            </w:tcBorders>
            <w:shd w:val="clear" w:color="auto" w:fill="auto"/>
            <w:noWrap/>
            <w:vAlign w:val="bottom"/>
            <w:hideMark/>
          </w:tcPr>
          <w:p w14:paraId="42AF6598"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1.21</w:t>
            </w:r>
          </w:p>
        </w:tc>
        <w:tc>
          <w:tcPr>
            <w:tcW w:w="960" w:type="dxa"/>
            <w:tcBorders>
              <w:top w:val="nil"/>
              <w:left w:val="nil"/>
              <w:bottom w:val="nil"/>
              <w:right w:val="nil"/>
            </w:tcBorders>
            <w:shd w:val="clear" w:color="auto" w:fill="auto"/>
            <w:noWrap/>
            <w:vAlign w:val="bottom"/>
            <w:hideMark/>
          </w:tcPr>
          <w:p w14:paraId="5DD9411F"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16.25</w:t>
            </w:r>
          </w:p>
        </w:tc>
        <w:tc>
          <w:tcPr>
            <w:tcW w:w="960" w:type="dxa"/>
            <w:tcBorders>
              <w:top w:val="nil"/>
              <w:left w:val="nil"/>
              <w:bottom w:val="nil"/>
              <w:right w:val="single" w:sz="4" w:space="0" w:color="auto"/>
            </w:tcBorders>
            <w:shd w:val="clear" w:color="auto" w:fill="auto"/>
            <w:noWrap/>
            <w:vAlign w:val="bottom"/>
            <w:hideMark/>
          </w:tcPr>
          <w:p w14:paraId="72A43859"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16.09</w:t>
            </w:r>
          </w:p>
        </w:tc>
      </w:tr>
      <w:tr w:rsidR="0015072C" w:rsidRPr="000114E3" w14:paraId="45E38AB6" w14:textId="77777777" w:rsidTr="00A4576E">
        <w:trPr>
          <w:trHeight w:val="300"/>
          <w:jc w:val="center"/>
        </w:trPr>
        <w:tc>
          <w:tcPr>
            <w:tcW w:w="2978" w:type="dxa"/>
            <w:tcBorders>
              <w:top w:val="nil"/>
              <w:left w:val="single" w:sz="4" w:space="0" w:color="auto"/>
              <w:bottom w:val="nil"/>
              <w:right w:val="single" w:sz="4" w:space="0" w:color="auto"/>
            </w:tcBorders>
            <w:shd w:val="clear" w:color="auto" w:fill="auto"/>
            <w:noWrap/>
            <w:vAlign w:val="bottom"/>
            <w:hideMark/>
          </w:tcPr>
          <w:p w14:paraId="6085C024"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xml:space="preserve">9. RCU - Batch - Air </w:t>
            </w:r>
          </w:p>
        </w:tc>
        <w:tc>
          <w:tcPr>
            <w:tcW w:w="1084" w:type="dxa"/>
            <w:tcBorders>
              <w:top w:val="nil"/>
              <w:left w:val="nil"/>
              <w:bottom w:val="nil"/>
              <w:right w:val="single" w:sz="4" w:space="0" w:color="auto"/>
            </w:tcBorders>
            <w:shd w:val="clear" w:color="auto" w:fill="auto"/>
            <w:vAlign w:val="bottom"/>
          </w:tcPr>
          <w:p w14:paraId="25DE7A1C" w14:textId="6C0B5ACB"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420</w:t>
            </w:r>
          </w:p>
        </w:tc>
        <w:tc>
          <w:tcPr>
            <w:tcW w:w="960" w:type="dxa"/>
            <w:tcBorders>
              <w:top w:val="nil"/>
              <w:left w:val="single" w:sz="4" w:space="0" w:color="auto"/>
              <w:bottom w:val="nil"/>
              <w:right w:val="nil"/>
            </w:tcBorders>
            <w:shd w:val="clear" w:color="auto" w:fill="auto"/>
            <w:noWrap/>
            <w:vAlign w:val="bottom"/>
            <w:hideMark/>
          </w:tcPr>
          <w:p w14:paraId="0629146D" w14:textId="3BFE4D0B"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w:t>
            </w:r>
          </w:p>
        </w:tc>
        <w:tc>
          <w:tcPr>
            <w:tcW w:w="968" w:type="dxa"/>
            <w:tcBorders>
              <w:top w:val="nil"/>
              <w:left w:val="single" w:sz="4" w:space="0" w:color="auto"/>
              <w:bottom w:val="nil"/>
              <w:right w:val="nil"/>
            </w:tcBorders>
            <w:shd w:val="clear" w:color="auto" w:fill="auto"/>
            <w:noWrap/>
            <w:vAlign w:val="bottom"/>
            <w:hideMark/>
          </w:tcPr>
          <w:p w14:paraId="710149EC"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2.00</w:t>
            </w:r>
          </w:p>
        </w:tc>
        <w:tc>
          <w:tcPr>
            <w:tcW w:w="968" w:type="dxa"/>
            <w:tcBorders>
              <w:top w:val="nil"/>
              <w:left w:val="nil"/>
              <w:bottom w:val="nil"/>
              <w:right w:val="single" w:sz="4" w:space="0" w:color="auto"/>
            </w:tcBorders>
            <w:shd w:val="clear" w:color="auto" w:fill="auto"/>
            <w:noWrap/>
            <w:vAlign w:val="bottom"/>
            <w:hideMark/>
          </w:tcPr>
          <w:p w14:paraId="597DE901"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2.06</w:t>
            </w:r>
          </w:p>
        </w:tc>
        <w:tc>
          <w:tcPr>
            <w:tcW w:w="960" w:type="dxa"/>
            <w:tcBorders>
              <w:top w:val="nil"/>
              <w:left w:val="nil"/>
              <w:bottom w:val="nil"/>
              <w:right w:val="nil"/>
            </w:tcBorders>
            <w:shd w:val="clear" w:color="auto" w:fill="auto"/>
            <w:noWrap/>
            <w:vAlign w:val="bottom"/>
            <w:hideMark/>
          </w:tcPr>
          <w:p w14:paraId="4E60B862"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shd w:val="clear" w:color="auto" w:fill="auto"/>
            <w:noWrap/>
            <w:vAlign w:val="bottom"/>
            <w:hideMark/>
          </w:tcPr>
          <w:p w14:paraId="6F8E6C74"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r>
      <w:tr w:rsidR="0015072C" w:rsidRPr="000114E3" w14:paraId="408318ED" w14:textId="77777777" w:rsidTr="00A4576E">
        <w:trPr>
          <w:trHeight w:val="300"/>
          <w:jc w:val="center"/>
        </w:trPr>
        <w:tc>
          <w:tcPr>
            <w:tcW w:w="2978" w:type="dxa"/>
            <w:tcBorders>
              <w:top w:val="nil"/>
              <w:left w:val="single" w:sz="4" w:space="0" w:color="auto"/>
              <w:bottom w:val="nil"/>
              <w:right w:val="single" w:sz="4" w:space="0" w:color="auto"/>
            </w:tcBorders>
            <w:shd w:val="clear" w:color="auto" w:fill="auto"/>
            <w:noWrap/>
            <w:vAlign w:val="bottom"/>
            <w:hideMark/>
          </w:tcPr>
          <w:p w14:paraId="454D4999"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xml:space="preserve">10. RCU - Continuous - Air </w:t>
            </w:r>
          </w:p>
        </w:tc>
        <w:tc>
          <w:tcPr>
            <w:tcW w:w="1084" w:type="dxa"/>
            <w:tcBorders>
              <w:top w:val="nil"/>
              <w:left w:val="nil"/>
              <w:bottom w:val="nil"/>
              <w:right w:val="single" w:sz="4" w:space="0" w:color="auto"/>
            </w:tcBorders>
            <w:shd w:val="clear" w:color="auto" w:fill="auto"/>
            <w:vAlign w:val="bottom"/>
          </w:tcPr>
          <w:p w14:paraId="790E7309" w14:textId="0AA7042D"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420</w:t>
            </w:r>
          </w:p>
        </w:tc>
        <w:tc>
          <w:tcPr>
            <w:tcW w:w="960" w:type="dxa"/>
            <w:tcBorders>
              <w:top w:val="nil"/>
              <w:left w:val="single" w:sz="4" w:space="0" w:color="auto"/>
              <w:bottom w:val="nil"/>
              <w:right w:val="nil"/>
            </w:tcBorders>
            <w:shd w:val="clear" w:color="auto" w:fill="auto"/>
            <w:noWrap/>
            <w:vAlign w:val="bottom"/>
            <w:hideMark/>
          </w:tcPr>
          <w:p w14:paraId="410D587C" w14:textId="62FF593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w:t>
            </w:r>
          </w:p>
        </w:tc>
        <w:tc>
          <w:tcPr>
            <w:tcW w:w="968" w:type="dxa"/>
            <w:tcBorders>
              <w:top w:val="nil"/>
              <w:left w:val="single" w:sz="4" w:space="0" w:color="auto"/>
              <w:bottom w:val="nil"/>
              <w:right w:val="nil"/>
            </w:tcBorders>
            <w:shd w:val="clear" w:color="auto" w:fill="auto"/>
            <w:noWrap/>
            <w:vAlign w:val="bottom"/>
            <w:hideMark/>
          </w:tcPr>
          <w:p w14:paraId="38086816"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1.13</w:t>
            </w:r>
          </w:p>
        </w:tc>
        <w:tc>
          <w:tcPr>
            <w:tcW w:w="968" w:type="dxa"/>
            <w:tcBorders>
              <w:top w:val="nil"/>
              <w:left w:val="nil"/>
              <w:bottom w:val="nil"/>
              <w:right w:val="single" w:sz="4" w:space="0" w:color="auto"/>
            </w:tcBorders>
            <w:shd w:val="clear" w:color="auto" w:fill="auto"/>
            <w:noWrap/>
            <w:vAlign w:val="bottom"/>
            <w:hideMark/>
          </w:tcPr>
          <w:p w14:paraId="358DE212"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1.11</w:t>
            </w:r>
          </w:p>
        </w:tc>
        <w:tc>
          <w:tcPr>
            <w:tcW w:w="960" w:type="dxa"/>
            <w:tcBorders>
              <w:top w:val="nil"/>
              <w:left w:val="nil"/>
              <w:bottom w:val="nil"/>
              <w:right w:val="nil"/>
            </w:tcBorders>
            <w:shd w:val="clear" w:color="auto" w:fill="auto"/>
            <w:noWrap/>
            <w:vAlign w:val="bottom"/>
            <w:hideMark/>
          </w:tcPr>
          <w:p w14:paraId="1F268A5B"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shd w:val="clear" w:color="auto" w:fill="auto"/>
            <w:noWrap/>
            <w:vAlign w:val="bottom"/>
            <w:hideMark/>
          </w:tcPr>
          <w:p w14:paraId="24969948"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r>
      <w:tr w:rsidR="0015072C" w:rsidRPr="000114E3" w14:paraId="54875FBA" w14:textId="77777777" w:rsidTr="00A4576E">
        <w:trPr>
          <w:trHeight w:val="300"/>
          <w:jc w:val="center"/>
        </w:trPr>
        <w:tc>
          <w:tcPr>
            <w:tcW w:w="2978" w:type="dxa"/>
            <w:tcBorders>
              <w:top w:val="nil"/>
              <w:left w:val="single" w:sz="4" w:space="0" w:color="auto"/>
              <w:right w:val="single" w:sz="4" w:space="0" w:color="auto"/>
            </w:tcBorders>
            <w:shd w:val="clear" w:color="auto" w:fill="auto"/>
            <w:noWrap/>
            <w:vAlign w:val="bottom"/>
            <w:hideMark/>
          </w:tcPr>
          <w:p w14:paraId="006017AA"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xml:space="preserve">11. RCRC - Batch - Air </w:t>
            </w:r>
          </w:p>
        </w:tc>
        <w:tc>
          <w:tcPr>
            <w:tcW w:w="1084" w:type="dxa"/>
            <w:tcBorders>
              <w:top w:val="nil"/>
              <w:left w:val="nil"/>
              <w:right w:val="single" w:sz="4" w:space="0" w:color="auto"/>
            </w:tcBorders>
            <w:shd w:val="clear" w:color="auto" w:fill="auto"/>
            <w:vAlign w:val="bottom"/>
          </w:tcPr>
          <w:p w14:paraId="14015CC2" w14:textId="4457F183"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424</w:t>
            </w:r>
          </w:p>
        </w:tc>
        <w:tc>
          <w:tcPr>
            <w:tcW w:w="960" w:type="dxa"/>
            <w:tcBorders>
              <w:top w:val="nil"/>
              <w:left w:val="single" w:sz="4" w:space="0" w:color="auto"/>
              <w:right w:val="nil"/>
            </w:tcBorders>
            <w:shd w:val="clear" w:color="auto" w:fill="auto"/>
            <w:noWrap/>
            <w:vAlign w:val="bottom"/>
            <w:hideMark/>
          </w:tcPr>
          <w:p w14:paraId="017886E4" w14:textId="3A601B3A"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w:t>
            </w:r>
          </w:p>
        </w:tc>
        <w:tc>
          <w:tcPr>
            <w:tcW w:w="968" w:type="dxa"/>
            <w:tcBorders>
              <w:top w:val="nil"/>
              <w:left w:val="single" w:sz="4" w:space="0" w:color="auto"/>
              <w:right w:val="nil"/>
            </w:tcBorders>
            <w:shd w:val="clear" w:color="auto" w:fill="auto"/>
            <w:noWrap/>
            <w:vAlign w:val="bottom"/>
            <w:hideMark/>
          </w:tcPr>
          <w:p w14:paraId="07DB79CD"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2.00</w:t>
            </w:r>
          </w:p>
        </w:tc>
        <w:tc>
          <w:tcPr>
            <w:tcW w:w="968" w:type="dxa"/>
            <w:tcBorders>
              <w:top w:val="nil"/>
              <w:left w:val="nil"/>
              <w:right w:val="single" w:sz="4" w:space="0" w:color="auto"/>
            </w:tcBorders>
            <w:shd w:val="clear" w:color="auto" w:fill="auto"/>
            <w:noWrap/>
            <w:vAlign w:val="bottom"/>
            <w:hideMark/>
          </w:tcPr>
          <w:p w14:paraId="09DC6C54"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2.06</w:t>
            </w:r>
          </w:p>
        </w:tc>
        <w:tc>
          <w:tcPr>
            <w:tcW w:w="960" w:type="dxa"/>
            <w:tcBorders>
              <w:top w:val="nil"/>
              <w:left w:val="nil"/>
              <w:right w:val="nil"/>
            </w:tcBorders>
            <w:shd w:val="clear" w:color="auto" w:fill="auto"/>
            <w:noWrap/>
            <w:vAlign w:val="bottom"/>
            <w:hideMark/>
          </w:tcPr>
          <w:p w14:paraId="683489D0"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right w:val="single" w:sz="4" w:space="0" w:color="auto"/>
            </w:tcBorders>
            <w:shd w:val="clear" w:color="auto" w:fill="auto"/>
            <w:noWrap/>
            <w:vAlign w:val="bottom"/>
            <w:hideMark/>
          </w:tcPr>
          <w:p w14:paraId="4297CC5A"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r>
      <w:tr w:rsidR="0015072C" w:rsidRPr="000114E3" w14:paraId="32864DF2" w14:textId="77777777" w:rsidTr="00946373">
        <w:trPr>
          <w:trHeight w:val="300"/>
          <w:jc w:val="center"/>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14:paraId="687043E6"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xml:space="preserve">12. RCRC - Cont - Air </w:t>
            </w:r>
          </w:p>
        </w:tc>
        <w:tc>
          <w:tcPr>
            <w:tcW w:w="1084" w:type="dxa"/>
            <w:tcBorders>
              <w:top w:val="nil"/>
              <w:left w:val="nil"/>
              <w:bottom w:val="single" w:sz="4" w:space="0" w:color="auto"/>
              <w:right w:val="single" w:sz="4" w:space="0" w:color="auto"/>
            </w:tcBorders>
            <w:shd w:val="clear" w:color="auto" w:fill="auto"/>
            <w:vAlign w:val="bottom"/>
          </w:tcPr>
          <w:p w14:paraId="0A8FE1AA" w14:textId="7CD90D25"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424</w:t>
            </w:r>
          </w:p>
        </w:tc>
        <w:tc>
          <w:tcPr>
            <w:tcW w:w="960" w:type="dxa"/>
            <w:tcBorders>
              <w:top w:val="nil"/>
              <w:left w:val="single" w:sz="4" w:space="0" w:color="auto"/>
              <w:bottom w:val="single" w:sz="4" w:space="0" w:color="auto"/>
              <w:right w:val="nil"/>
            </w:tcBorders>
            <w:shd w:val="clear" w:color="auto" w:fill="auto"/>
            <w:noWrap/>
            <w:vAlign w:val="bottom"/>
            <w:hideMark/>
          </w:tcPr>
          <w:p w14:paraId="35E9CCE2" w14:textId="13504C68"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w:t>
            </w:r>
          </w:p>
        </w:tc>
        <w:tc>
          <w:tcPr>
            <w:tcW w:w="968" w:type="dxa"/>
            <w:tcBorders>
              <w:top w:val="nil"/>
              <w:left w:val="single" w:sz="4" w:space="0" w:color="auto"/>
              <w:bottom w:val="single" w:sz="4" w:space="0" w:color="auto"/>
              <w:right w:val="nil"/>
            </w:tcBorders>
            <w:shd w:val="clear" w:color="auto" w:fill="auto"/>
            <w:noWrap/>
            <w:vAlign w:val="bottom"/>
            <w:hideMark/>
          </w:tcPr>
          <w:p w14:paraId="6565DD61"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1.13</w:t>
            </w:r>
          </w:p>
        </w:tc>
        <w:tc>
          <w:tcPr>
            <w:tcW w:w="968" w:type="dxa"/>
            <w:tcBorders>
              <w:top w:val="nil"/>
              <w:left w:val="nil"/>
              <w:bottom w:val="single" w:sz="4" w:space="0" w:color="auto"/>
              <w:right w:val="single" w:sz="4" w:space="0" w:color="auto"/>
            </w:tcBorders>
            <w:shd w:val="clear" w:color="auto" w:fill="auto"/>
            <w:noWrap/>
            <w:vAlign w:val="bottom"/>
            <w:hideMark/>
          </w:tcPr>
          <w:p w14:paraId="0FEAC5EE" w14:textId="77777777" w:rsidR="0015072C" w:rsidRPr="000114E3" w:rsidRDefault="0015072C" w:rsidP="0015072C">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1.11</w:t>
            </w:r>
          </w:p>
        </w:tc>
        <w:tc>
          <w:tcPr>
            <w:tcW w:w="960" w:type="dxa"/>
            <w:tcBorders>
              <w:top w:val="nil"/>
              <w:left w:val="nil"/>
              <w:bottom w:val="single" w:sz="4" w:space="0" w:color="auto"/>
              <w:right w:val="nil"/>
            </w:tcBorders>
            <w:shd w:val="clear" w:color="auto" w:fill="auto"/>
            <w:noWrap/>
            <w:vAlign w:val="bottom"/>
            <w:hideMark/>
          </w:tcPr>
          <w:p w14:paraId="3CB80052"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14:paraId="79F120DA" w14:textId="77777777" w:rsidR="0015072C" w:rsidRPr="000114E3" w:rsidRDefault="0015072C" w:rsidP="0015072C">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r>
      <w:tr w:rsidR="008F77BF" w:rsidRPr="000114E3" w14:paraId="1FD490F4" w14:textId="77777777" w:rsidTr="00946373">
        <w:trPr>
          <w:trHeight w:val="300"/>
          <w:jc w:val="center"/>
        </w:trPr>
        <w:tc>
          <w:tcPr>
            <w:tcW w:w="2978" w:type="dxa"/>
            <w:tcBorders>
              <w:top w:val="single" w:sz="4" w:space="0" w:color="auto"/>
              <w:left w:val="single" w:sz="4" w:space="0" w:color="auto"/>
              <w:bottom w:val="nil"/>
              <w:right w:val="nil"/>
            </w:tcBorders>
            <w:shd w:val="clear" w:color="auto" w:fill="auto"/>
            <w:noWrap/>
            <w:vAlign w:val="bottom"/>
          </w:tcPr>
          <w:p w14:paraId="1FC698FE" w14:textId="77777777" w:rsidR="008F77BF" w:rsidRPr="000114E3" w:rsidRDefault="008F77BF" w:rsidP="00D83ECB">
            <w:pPr>
              <w:spacing w:after="0" w:line="240" w:lineRule="auto"/>
              <w:jc w:val="left"/>
              <w:rPr>
                <w:rFonts w:ascii="Calibri" w:hAnsi="Calibri" w:cs="Calibri"/>
                <w:color w:val="000000"/>
                <w:sz w:val="20"/>
                <w:szCs w:val="20"/>
              </w:rPr>
            </w:pPr>
          </w:p>
        </w:tc>
        <w:tc>
          <w:tcPr>
            <w:tcW w:w="1084" w:type="dxa"/>
            <w:tcBorders>
              <w:top w:val="single" w:sz="4" w:space="0" w:color="auto"/>
              <w:left w:val="nil"/>
              <w:bottom w:val="nil"/>
              <w:right w:val="single" w:sz="4" w:space="0" w:color="auto"/>
            </w:tcBorders>
            <w:shd w:val="clear" w:color="auto" w:fill="auto"/>
            <w:vAlign w:val="bottom"/>
          </w:tcPr>
          <w:p w14:paraId="20E81633" w14:textId="77777777" w:rsidR="008F77BF" w:rsidRPr="000114E3" w:rsidRDefault="008F77BF" w:rsidP="00D83ECB">
            <w:pPr>
              <w:spacing w:after="0" w:line="240" w:lineRule="auto"/>
              <w:jc w:val="right"/>
              <w:rPr>
                <w:rFonts w:ascii="Calibri" w:hAnsi="Calibri" w:cs="Calibri"/>
                <w:color w:val="000000"/>
                <w:sz w:val="20"/>
                <w:szCs w:val="20"/>
              </w:rPr>
            </w:pPr>
          </w:p>
        </w:tc>
        <w:tc>
          <w:tcPr>
            <w:tcW w:w="960" w:type="dxa"/>
            <w:tcBorders>
              <w:top w:val="single" w:sz="4" w:space="0" w:color="auto"/>
              <w:left w:val="nil"/>
              <w:bottom w:val="nil"/>
              <w:right w:val="nil"/>
            </w:tcBorders>
            <w:shd w:val="clear" w:color="auto" w:fill="auto"/>
            <w:noWrap/>
            <w:vAlign w:val="bottom"/>
          </w:tcPr>
          <w:p w14:paraId="02A878C6" w14:textId="289BD800" w:rsidR="008F77BF" w:rsidRPr="000114E3" w:rsidRDefault="00946373" w:rsidP="00D83ECB">
            <w:pPr>
              <w:spacing w:after="0" w:line="240" w:lineRule="auto"/>
              <w:jc w:val="right"/>
              <w:rPr>
                <w:rFonts w:ascii="Calibri" w:hAnsi="Calibri" w:cs="Calibri"/>
                <w:color w:val="000000"/>
                <w:sz w:val="20"/>
                <w:szCs w:val="20"/>
              </w:rPr>
            </w:pPr>
            <w:r w:rsidRPr="000114E3">
              <w:rPr>
                <w:rFonts w:ascii="Calibri" w:hAnsi="Calibri" w:cs="Calibri"/>
                <w:color w:val="000000"/>
                <w:sz w:val="20"/>
                <w:szCs w:val="20"/>
              </w:rPr>
              <w:t>% sales</w:t>
            </w:r>
          </w:p>
        </w:tc>
        <w:tc>
          <w:tcPr>
            <w:tcW w:w="19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2DDBDEE" w14:textId="541FE742" w:rsidR="008F77BF" w:rsidRPr="000114E3" w:rsidRDefault="008F77BF" w:rsidP="00D83ECB">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of total ice made</w:t>
            </w:r>
          </w:p>
        </w:tc>
        <w:tc>
          <w:tcPr>
            <w:tcW w:w="960" w:type="dxa"/>
            <w:tcBorders>
              <w:top w:val="single" w:sz="4" w:space="0" w:color="auto"/>
              <w:left w:val="nil"/>
              <w:bottom w:val="nil"/>
              <w:right w:val="nil"/>
            </w:tcBorders>
            <w:shd w:val="clear" w:color="auto" w:fill="auto"/>
            <w:noWrap/>
            <w:vAlign w:val="bottom"/>
          </w:tcPr>
          <w:p w14:paraId="4FCC26B5" w14:textId="77777777" w:rsidR="008F77BF" w:rsidRPr="000114E3" w:rsidRDefault="008F77BF" w:rsidP="00D83ECB">
            <w:pPr>
              <w:spacing w:after="0" w:line="240" w:lineRule="auto"/>
              <w:jc w:val="left"/>
              <w:rPr>
                <w:rFonts w:ascii="Calibri" w:eastAsia="Times New Roman" w:hAnsi="Calibri" w:cs="Calibri"/>
                <w:color w:val="000000"/>
                <w:sz w:val="20"/>
                <w:szCs w:val="20"/>
                <w:lang w:eastAsia="en-AU"/>
              </w:rPr>
            </w:pPr>
          </w:p>
        </w:tc>
        <w:tc>
          <w:tcPr>
            <w:tcW w:w="960" w:type="dxa"/>
            <w:tcBorders>
              <w:top w:val="single" w:sz="4" w:space="0" w:color="auto"/>
              <w:left w:val="nil"/>
              <w:bottom w:val="nil"/>
              <w:right w:val="single" w:sz="4" w:space="0" w:color="auto"/>
            </w:tcBorders>
            <w:shd w:val="clear" w:color="auto" w:fill="auto"/>
            <w:noWrap/>
            <w:vAlign w:val="bottom"/>
          </w:tcPr>
          <w:p w14:paraId="65F5C006" w14:textId="77777777" w:rsidR="008F77BF" w:rsidRPr="000114E3" w:rsidRDefault="008F77BF" w:rsidP="00D83ECB">
            <w:pPr>
              <w:spacing w:after="0" w:line="240" w:lineRule="auto"/>
              <w:jc w:val="left"/>
              <w:rPr>
                <w:rFonts w:ascii="Calibri" w:eastAsia="Times New Roman" w:hAnsi="Calibri" w:cs="Calibri"/>
                <w:color w:val="000000"/>
                <w:sz w:val="20"/>
                <w:szCs w:val="20"/>
                <w:lang w:eastAsia="en-AU"/>
              </w:rPr>
            </w:pPr>
          </w:p>
        </w:tc>
      </w:tr>
      <w:tr w:rsidR="00946373" w:rsidRPr="000114E3" w14:paraId="095903FF" w14:textId="77777777" w:rsidTr="00946373">
        <w:trPr>
          <w:trHeight w:val="300"/>
          <w:jc w:val="center"/>
        </w:trPr>
        <w:tc>
          <w:tcPr>
            <w:tcW w:w="2978" w:type="dxa"/>
            <w:tcBorders>
              <w:top w:val="single" w:sz="4" w:space="0" w:color="auto"/>
              <w:left w:val="single" w:sz="4" w:space="0" w:color="auto"/>
              <w:bottom w:val="nil"/>
              <w:right w:val="nil"/>
            </w:tcBorders>
            <w:shd w:val="clear" w:color="auto" w:fill="auto"/>
            <w:noWrap/>
            <w:vAlign w:val="bottom"/>
          </w:tcPr>
          <w:p w14:paraId="0D234F3C" w14:textId="6D71F982" w:rsidR="00946373" w:rsidRPr="000114E3" w:rsidRDefault="00946373" w:rsidP="00946373">
            <w:pPr>
              <w:spacing w:after="0" w:line="240" w:lineRule="auto"/>
              <w:jc w:val="left"/>
              <w:rPr>
                <w:rFonts w:ascii="Calibri" w:eastAsia="Times New Roman" w:hAnsi="Calibri" w:cs="Calibri"/>
                <w:color w:val="000000"/>
                <w:sz w:val="20"/>
                <w:szCs w:val="20"/>
                <w:lang w:eastAsia="en-AU"/>
              </w:rPr>
            </w:pPr>
            <w:r w:rsidRPr="000114E3">
              <w:rPr>
                <w:rFonts w:ascii="Calibri" w:hAnsi="Calibri" w:cs="Calibri"/>
                <w:color w:val="000000"/>
                <w:sz w:val="20"/>
                <w:szCs w:val="20"/>
              </w:rPr>
              <w:t>IMH total</w:t>
            </w:r>
          </w:p>
        </w:tc>
        <w:tc>
          <w:tcPr>
            <w:tcW w:w="1084" w:type="dxa"/>
            <w:tcBorders>
              <w:top w:val="single" w:sz="4" w:space="0" w:color="auto"/>
              <w:left w:val="nil"/>
              <w:bottom w:val="nil"/>
              <w:right w:val="single" w:sz="4" w:space="0" w:color="auto"/>
            </w:tcBorders>
            <w:shd w:val="clear" w:color="auto" w:fill="auto"/>
            <w:vAlign w:val="bottom"/>
          </w:tcPr>
          <w:p w14:paraId="1EA376DB" w14:textId="77777777" w:rsidR="00946373" w:rsidRPr="000114E3" w:rsidRDefault="00946373" w:rsidP="00946373">
            <w:pPr>
              <w:spacing w:after="0" w:line="240" w:lineRule="auto"/>
              <w:jc w:val="right"/>
              <w:rPr>
                <w:rFonts w:ascii="Calibri" w:hAnsi="Calibri" w:cs="Calibri"/>
                <w:color w:val="000000"/>
                <w:sz w:val="20"/>
                <w:szCs w:val="20"/>
              </w:rPr>
            </w:pPr>
          </w:p>
        </w:tc>
        <w:tc>
          <w:tcPr>
            <w:tcW w:w="960" w:type="dxa"/>
            <w:tcBorders>
              <w:top w:val="single" w:sz="4" w:space="0" w:color="auto"/>
              <w:left w:val="nil"/>
              <w:bottom w:val="nil"/>
              <w:right w:val="single" w:sz="4" w:space="0" w:color="auto"/>
            </w:tcBorders>
            <w:shd w:val="clear" w:color="auto" w:fill="auto"/>
            <w:noWrap/>
            <w:vAlign w:val="bottom"/>
          </w:tcPr>
          <w:p w14:paraId="00138308" w14:textId="7B2B18CE"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36%</w:t>
            </w:r>
          </w:p>
        </w:tc>
        <w:tc>
          <w:tcPr>
            <w:tcW w:w="968" w:type="dxa"/>
            <w:tcBorders>
              <w:top w:val="single" w:sz="4" w:space="0" w:color="auto"/>
              <w:left w:val="single" w:sz="4" w:space="0" w:color="auto"/>
              <w:bottom w:val="nil"/>
              <w:right w:val="single" w:sz="4" w:space="0" w:color="auto"/>
            </w:tcBorders>
            <w:shd w:val="clear" w:color="auto" w:fill="auto"/>
            <w:noWrap/>
            <w:vAlign w:val="bottom"/>
          </w:tcPr>
          <w:p w14:paraId="07968AB9" w14:textId="48F8650A"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69%</w:t>
            </w:r>
          </w:p>
        </w:tc>
        <w:tc>
          <w:tcPr>
            <w:tcW w:w="968" w:type="dxa"/>
            <w:tcBorders>
              <w:top w:val="single" w:sz="4" w:space="0" w:color="auto"/>
              <w:left w:val="nil"/>
              <w:bottom w:val="nil"/>
              <w:right w:val="single" w:sz="4" w:space="0" w:color="auto"/>
            </w:tcBorders>
            <w:shd w:val="clear" w:color="auto" w:fill="auto"/>
            <w:noWrap/>
            <w:vAlign w:val="bottom"/>
          </w:tcPr>
          <w:p w14:paraId="35549341" w14:textId="0D00F17F" w:rsidR="00946373" w:rsidRPr="000114E3" w:rsidRDefault="00946373" w:rsidP="00946373">
            <w:pPr>
              <w:spacing w:after="0" w:line="240" w:lineRule="auto"/>
              <w:jc w:val="right"/>
              <w:rPr>
                <w:rFonts w:ascii="Calibri" w:eastAsia="Times New Roman" w:hAnsi="Calibri" w:cs="Calibri"/>
                <w:color w:val="000000"/>
                <w:sz w:val="20"/>
                <w:szCs w:val="20"/>
                <w:lang w:eastAsia="en-AU"/>
              </w:rPr>
            </w:pPr>
          </w:p>
        </w:tc>
        <w:tc>
          <w:tcPr>
            <w:tcW w:w="960" w:type="dxa"/>
            <w:tcBorders>
              <w:top w:val="single" w:sz="4" w:space="0" w:color="auto"/>
              <w:left w:val="single" w:sz="4" w:space="0" w:color="auto"/>
              <w:bottom w:val="nil"/>
              <w:right w:val="nil"/>
            </w:tcBorders>
            <w:shd w:val="clear" w:color="auto" w:fill="auto"/>
            <w:noWrap/>
            <w:vAlign w:val="bottom"/>
          </w:tcPr>
          <w:p w14:paraId="08A20704"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c>
          <w:tcPr>
            <w:tcW w:w="960" w:type="dxa"/>
            <w:tcBorders>
              <w:top w:val="single" w:sz="4" w:space="0" w:color="auto"/>
              <w:left w:val="nil"/>
              <w:bottom w:val="nil"/>
              <w:right w:val="single" w:sz="4" w:space="0" w:color="auto"/>
            </w:tcBorders>
            <w:shd w:val="clear" w:color="auto" w:fill="auto"/>
            <w:noWrap/>
            <w:vAlign w:val="bottom"/>
          </w:tcPr>
          <w:p w14:paraId="4AF3E305"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r>
      <w:tr w:rsidR="00946373" w:rsidRPr="000114E3" w14:paraId="00C868CF" w14:textId="77777777" w:rsidTr="00946373">
        <w:trPr>
          <w:trHeight w:val="300"/>
          <w:jc w:val="center"/>
        </w:trPr>
        <w:tc>
          <w:tcPr>
            <w:tcW w:w="2978" w:type="dxa"/>
            <w:tcBorders>
              <w:top w:val="nil"/>
              <w:left w:val="single" w:sz="4" w:space="0" w:color="auto"/>
              <w:bottom w:val="nil"/>
              <w:right w:val="nil"/>
            </w:tcBorders>
            <w:shd w:val="clear" w:color="auto" w:fill="auto"/>
            <w:noWrap/>
            <w:vAlign w:val="bottom"/>
          </w:tcPr>
          <w:p w14:paraId="02304A40" w14:textId="487DD54E" w:rsidR="00946373" w:rsidRPr="000114E3" w:rsidRDefault="00946373" w:rsidP="00946373">
            <w:pPr>
              <w:spacing w:after="0" w:line="240" w:lineRule="auto"/>
              <w:jc w:val="left"/>
              <w:rPr>
                <w:rFonts w:ascii="Calibri" w:eastAsia="Times New Roman" w:hAnsi="Calibri" w:cs="Calibri"/>
                <w:color w:val="000000"/>
                <w:sz w:val="20"/>
                <w:szCs w:val="20"/>
                <w:lang w:eastAsia="en-AU"/>
              </w:rPr>
            </w:pPr>
            <w:r w:rsidRPr="000114E3">
              <w:rPr>
                <w:rFonts w:ascii="Calibri" w:hAnsi="Calibri" w:cs="Calibri"/>
                <w:color w:val="000000"/>
                <w:sz w:val="20"/>
                <w:szCs w:val="20"/>
              </w:rPr>
              <w:t>SCU total</w:t>
            </w:r>
          </w:p>
        </w:tc>
        <w:tc>
          <w:tcPr>
            <w:tcW w:w="1084" w:type="dxa"/>
            <w:tcBorders>
              <w:top w:val="nil"/>
              <w:left w:val="nil"/>
              <w:bottom w:val="nil"/>
              <w:right w:val="single" w:sz="4" w:space="0" w:color="auto"/>
            </w:tcBorders>
            <w:shd w:val="clear" w:color="auto" w:fill="auto"/>
            <w:vAlign w:val="bottom"/>
          </w:tcPr>
          <w:p w14:paraId="119D3A5E" w14:textId="77777777" w:rsidR="00946373" w:rsidRPr="000114E3" w:rsidRDefault="00946373" w:rsidP="00946373">
            <w:pPr>
              <w:spacing w:after="0" w:line="240" w:lineRule="auto"/>
              <w:jc w:val="right"/>
              <w:rPr>
                <w:rFonts w:ascii="Calibri" w:hAnsi="Calibri" w:cs="Calibri"/>
                <w:color w:val="000000"/>
                <w:sz w:val="20"/>
                <w:szCs w:val="20"/>
              </w:rPr>
            </w:pPr>
          </w:p>
        </w:tc>
        <w:tc>
          <w:tcPr>
            <w:tcW w:w="960" w:type="dxa"/>
            <w:tcBorders>
              <w:top w:val="nil"/>
              <w:left w:val="nil"/>
              <w:bottom w:val="nil"/>
              <w:right w:val="single" w:sz="4" w:space="0" w:color="auto"/>
            </w:tcBorders>
            <w:shd w:val="clear" w:color="auto" w:fill="auto"/>
            <w:noWrap/>
            <w:vAlign w:val="bottom"/>
          </w:tcPr>
          <w:p w14:paraId="57D4D5B5" w14:textId="3F638535"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60%</w:t>
            </w:r>
          </w:p>
        </w:tc>
        <w:tc>
          <w:tcPr>
            <w:tcW w:w="968" w:type="dxa"/>
            <w:tcBorders>
              <w:top w:val="nil"/>
              <w:left w:val="single" w:sz="4" w:space="0" w:color="auto"/>
              <w:bottom w:val="nil"/>
              <w:right w:val="single" w:sz="4" w:space="0" w:color="auto"/>
            </w:tcBorders>
            <w:shd w:val="clear" w:color="auto" w:fill="auto"/>
            <w:noWrap/>
            <w:vAlign w:val="bottom"/>
          </w:tcPr>
          <w:p w14:paraId="1B175C05" w14:textId="7C491974"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20%</w:t>
            </w:r>
          </w:p>
        </w:tc>
        <w:tc>
          <w:tcPr>
            <w:tcW w:w="968" w:type="dxa"/>
            <w:tcBorders>
              <w:top w:val="nil"/>
              <w:left w:val="nil"/>
              <w:bottom w:val="nil"/>
              <w:right w:val="single" w:sz="4" w:space="0" w:color="auto"/>
            </w:tcBorders>
            <w:shd w:val="clear" w:color="auto" w:fill="auto"/>
            <w:noWrap/>
            <w:vAlign w:val="bottom"/>
          </w:tcPr>
          <w:p w14:paraId="6A31E86E" w14:textId="783D3F05" w:rsidR="00946373" w:rsidRPr="000114E3" w:rsidRDefault="00946373" w:rsidP="00946373">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single" w:sz="4" w:space="0" w:color="auto"/>
              <w:bottom w:val="nil"/>
              <w:right w:val="nil"/>
            </w:tcBorders>
            <w:shd w:val="clear" w:color="auto" w:fill="auto"/>
            <w:noWrap/>
            <w:vAlign w:val="bottom"/>
          </w:tcPr>
          <w:p w14:paraId="17AEC225"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shd w:val="clear" w:color="auto" w:fill="auto"/>
            <w:noWrap/>
            <w:vAlign w:val="bottom"/>
          </w:tcPr>
          <w:p w14:paraId="265AB46C"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r>
      <w:tr w:rsidR="00946373" w:rsidRPr="000114E3" w14:paraId="787C5229" w14:textId="77777777" w:rsidTr="00946373">
        <w:trPr>
          <w:trHeight w:val="300"/>
          <w:jc w:val="center"/>
        </w:trPr>
        <w:tc>
          <w:tcPr>
            <w:tcW w:w="2978" w:type="dxa"/>
            <w:tcBorders>
              <w:top w:val="nil"/>
              <w:left w:val="single" w:sz="4" w:space="0" w:color="auto"/>
              <w:bottom w:val="single" w:sz="4" w:space="0" w:color="auto"/>
              <w:right w:val="nil"/>
            </w:tcBorders>
            <w:shd w:val="clear" w:color="auto" w:fill="auto"/>
            <w:noWrap/>
            <w:vAlign w:val="bottom"/>
          </w:tcPr>
          <w:p w14:paraId="7F028122" w14:textId="1E6CF811" w:rsidR="00946373" w:rsidRPr="000114E3" w:rsidRDefault="00946373" w:rsidP="00946373">
            <w:pPr>
              <w:spacing w:after="0" w:line="240" w:lineRule="auto"/>
              <w:jc w:val="left"/>
              <w:rPr>
                <w:rFonts w:ascii="Calibri" w:eastAsia="Times New Roman" w:hAnsi="Calibri" w:cs="Calibri"/>
                <w:color w:val="000000"/>
                <w:sz w:val="20"/>
                <w:szCs w:val="20"/>
                <w:lang w:eastAsia="en-AU"/>
              </w:rPr>
            </w:pPr>
            <w:r w:rsidRPr="000114E3">
              <w:rPr>
                <w:rFonts w:ascii="Calibri" w:hAnsi="Calibri" w:cs="Calibri"/>
                <w:color w:val="000000"/>
                <w:sz w:val="20"/>
                <w:szCs w:val="20"/>
              </w:rPr>
              <w:t>Split total</w:t>
            </w:r>
          </w:p>
        </w:tc>
        <w:tc>
          <w:tcPr>
            <w:tcW w:w="1084" w:type="dxa"/>
            <w:tcBorders>
              <w:top w:val="nil"/>
              <w:left w:val="nil"/>
              <w:bottom w:val="single" w:sz="4" w:space="0" w:color="auto"/>
              <w:right w:val="single" w:sz="4" w:space="0" w:color="auto"/>
            </w:tcBorders>
            <w:shd w:val="clear" w:color="auto" w:fill="auto"/>
            <w:vAlign w:val="bottom"/>
          </w:tcPr>
          <w:p w14:paraId="1E20FB40" w14:textId="77777777" w:rsidR="00946373" w:rsidRPr="000114E3" w:rsidRDefault="00946373" w:rsidP="00946373">
            <w:pPr>
              <w:spacing w:after="0" w:line="240" w:lineRule="auto"/>
              <w:jc w:val="right"/>
              <w:rPr>
                <w:rFonts w:ascii="Calibri" w:hAnsi="Calibri" w:cs="Calibr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tcPr>
          <w:p w14:paraId="72539080" w14:textId="67FA0B28"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4%</w:t>
            </w:r>
          </w:p>
        </w:tc>
        <w:tc>
          <w:tcPr>
            <w:tcW w:w="968" w:type="dxa"/>
            <w:tcBorders>
              <w:top w:val="nil"/>
              <w:left w:val="single" w:sz="4" w:space="0" w:color="auto"/>
              <w:bottom w:val="single" w:sz="4" w:space="0" w:color="auto"/>
              <w:right w:val="single" w:sz="4" w:space="0" w:color="auto"/>
            </w:tcBorders>
            <w:shd w:val="clear" w:color="auto" w:fill="auto"/>
            <w:noWrap/>
            <w:vAlign w:val="bottom"/>
          </w:tcPr>
          <w:p w14:paraId="0ADB7EEE" w14:textId="1B627BC4"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11%</w:t>
            </w:r>
          </w:p>
        </w:tc>
        <w:tc>
          <w:tcPr>
            <w:tcW w:w="968" w:type="dxa"/>
            <w:tcBorders>
              <w:top w:val="nil"/>
              <w:left w:val="nil"/>
              <w:bottom w:val="single" w:sz="4" w:space="0" w:color="auto"/>
              <w:right w:val="single" w:sz="4" w:space="0" w:color="auto"/>
            </w:tcBorders>
            <w:shd w:val="clear" w:color="auto" w:fill="auto"/>
            <w:noWrap/>
            <w:vAlign w:val="bottom"/>
          </w:tcPr>
          <w:p w14:paraId="21A130D4" w14:textId="60A79142" w:rsidR="00946373" w:rsidRPr="000114E3" w:rsidRDefault="00946373" w:rsidP="00946373">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single" w:sz="4" w:space="0" w:color="auto"/>
              <w:bottom w:val="single" w:sz="4" w:space="0" w:color="auto"/>
              <w:right w:val="nil"/>
            </w:tcBorders>
            <w:shd w:val="clear" w:color="auto" w:fill="auto"/>
            <w:noWrap/>
            <w:vAlign w:val="bottom"/>
          </w:tcPr>
          <w:p w14:paraId="3FDAE99E"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tcPr>
          <w:p w14:paraId="4C411981"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r>
      <w:tr w:rsidR="00946373" w:rsidRPr="000114E3" w14:paraId="3A5FED06" w14:textId="77777777" w:rsidTr="00946373">
        <w:trPr>
          <w:trHeight w:val="300"/>
          <w:jc w:val="center"/>
        </w:trPr>
        <w:tc>
          <w:tcPr>
            <w:tcW w:w="2978" w:type="dxa"/>
            <w:tcBorders>
              <w:top w:val="single" w:sz="4" w:space="0" w:color="auto"/>
              <w:left w:val="single" w:sz="4" w:space="0" w:color="auto"/>
              <w:bottom w:val="nil"/>
              <w:right w:val="nil"/>
            </w:tcBorders>
            <w:shd w:val="clear" w:color="auto" w:fill="auto"/>
            <w:noWrap/>
            <w:vAlign w:val="bottom"/>
          </w:tcPr>
          <w:p w14:paraId="3F4F87F7" w14:textId="5D0A5654" w:rsidR="00946373" w:rsidRPr="000114E3" w:rsidRDefault="00946373" w:rsidP="00946373">
            <w:pPr>
              <w:spacing w:after="0" w:line="240" w:lineRule="auto"/>
              <w:jc w:val="left"/>
              <w:rPr>
                <w:rFonts w:ascii="Calibri" w:eastAsia="Times New Roman" w:hAnsi="Calibri" w:cs="Calibri"/>
                <w:color w:val="000000"/>
                <w:sz w:val="20"/>
                <w:szCs w:val="20"/>
                <w:lang w:eastAsia="en-AU"/>
              </w:rPr>
            </w:pPr>
            <w:r w:rsidRPr="000114E3">
              <w:rPr>
                <w:rFonts w:ascii="Calibri" w:hAnsi="Calibri" w:cs="Calibri"/>
                <w:color w:val="000000"/>
                <w:sz w:val="20"/>
                <w:szCs w:val="20"/>
              </w:rPr>
              <w:t>Air</w:t>
            </w:r>
            <w:r w:rsidR="00885D64">
              <w:rPr>
                <w:rFonts w:ascii="Calibri" w:hAnsi="Calibri" w:cs="Calibri"/>
                <w:color w:val="000000"/>
                <w:sz w:val="20"/>
                <w:szCs w:val="20"/>
              </w:rPr>
              <w:t>-</w:t>
            </w:r>
            <w:r w:rsidRPr="000114E3">
              <w:rPr>
                <w:rFonts w:ascii="Calibri" w:hAnsi="Calibri" w:cs="Calibri"/>
                <w:color w:val="000000"/>
                <w:sz w:val="20"/>
                <w:szCs w:val="20"/>
              </w:rPr>
              <w:t>cooled total</w:t>
            </w:r>
          </w:p>
        </w:tc>
        <w:tc>
          <w:tcPr>
            <w:tcW w:w="1084" w:type="dxa"/>
            <w:tcBorders>
              <w:top w:val="single" w:sz="4" w:space="0" w:color="auto"/>
              <w:left w:val="nil"/>
              <w:bottom w:val="nil"/>
              <w:right w:val="single" w:sz="4" w:space="0" w:color="auto"/>
            </w:tcBorders>
            <w:shd w:val="clear" w:color="auto" w:fill="auto"/>
            <w:vAlign w:val="bottom"/>
          </w:tcPr>
          <w:p w14:paraId="691FEF9C" w14:textId="77777777" w:rsidR="00946373" w:rsidRPr="000114E3" w:rsidRDefault="00946373" w:rsidP="00946373">
            <w:pPr>
              <w:spacing w:after="0" w:line="240" w:lineRule="auto"/>
              <w:jc w:val="right"/>
              <w:rPr>
                <w:rFonts w:ascii="Calibri" w:hAnsi="Calibri" w:cs="Calibri"/>
                <w:color w:val="000000"/>
                <w:sz w:val="20"/>
                <w:szCs w:val="20"/>
              </w:rPr>
            </w:pPr>
          </w:p>
        </w:tc>
        <w:tc>
          <w:tcPr>
            <w:tcW w:w="960" w:type="dxa"/>
            <w:tcBorders>
              <w:top w:val="single" w:sz="4" w:space="0" w:color="auto"/>
              <w:left w:val="nil"/>
              <w:bottom w:val="nil"/>
              <w:right w:val="single" w:sz="4" w:space="0" w:color="auto"/>
            </w:tcBorders>
            <w:shd w:val="clear" w:color="auto" w:fill="auto"/>
            <w:noWrap/>
            <w:vAlign w:val="bottom"/>
          </w:tcPr>
          <w:p w14:paraId="09382E8F" w14:textId="7E8AF39D"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92%</w:t>
            </w:r>
          </w:p>
        </w:tc>
        <w:tc>
          <w:tcPr>
            <w:tcW w:w="968" w:type="dxa"/>
            <w:tcBorders>
              <w:top w:val="single" w:sz="4" w:space="0" w:color="auto"/>
              <w:left w:val="single" w:sz="4" w:space="0" w:color="auto"/>
              <w:bottom w:val="nil"/>
              <w:right w:val="single" w:sz="4" w:space="0" w:color="auto"/>
            </w:tcBorders>
            <w:shd w:val="clear" w:color="auto" w:fill="auto"/>
            <w:noWrap/>
            <w:vAlign w:val="bottom"/>
          </w:tcPr>
          <w:p w14:paraId="4B5ED33B" w14:textId="2C32D529"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89%</w:t>
            </w:r>
          </w:p>
        </w:tc>
        <w:tc>
          <w:tcPr>
            <w:tcW w:w="968" w:type="dxa"/>
            <w:tcBorders>
              <w:top w:val="single" w:sz="4" w:space="0" w:color="auto"/>
              <w:left w:val="nil"/>
              <w:bottom w:val="nil"/>
              <w:right w:val="single" w:sz="4" w:space="0" w:color="auto"/>
            </w:tcBorders>
            <w:shd w:val="clear" w:color="auto" w:fill="auto"/>
            <w:noWrap/>
            <w:vAlign w:val="bottom"/>
          </w:tcPr>
          <w:p w14:paraId="0FDA4984" w14:textId="177C874B" w:rsidR="00946373" w:rsidRPr="000114E3" w:rsidRDefault="00946373" w:rsidP="00946373">
            <w:pPr>
              <w:spacing w:after="0" w:line="240" w:lineRule="auto"/>
              <w:jc w:val="right"/>
              <w:rPr>
                <w:rFonts w:ascii="Calibri" w:eastAsia="Times New Roman" w:hAnsi="Calibri" w:cs="Calibri"/>
                <w:color w:val="000000"/>
                <w:sz w:val="20"/>
                <w:szCs w:val="20"/>
                <w:lang w:eastAsia="en-AU"/>
              </w:rPr>
            </w:pPr>
          </w:p>
        </w:tc>
        <w:tc>
          <w:tcPr>
            <w:tcW w:w="960" w:type="dxa"/>
            <w:tcBorders>
              <w:top w:val="single" w:sz="4" w:space="0" w:color="auto"/>
              <w:left w:val="single" w:sz="4" w:space="0" w:color="auto"/>
              <w:bottom w:val="nil"/>
              <w:right w:val="nil"/>
            </w:tcBorders>
            <w:shd w:val="clear" w:color="auto" w:fill="auto"/>
            <w:noWrap/>
            <w:vAlign w:val="bottom"/>
          </w:tcPr>
          <w:p w14:paraId="44430094"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c>
          <w:tcPr>
            <w:tcW w:w="960" w:type="dxa"/>
            <w:tcBorders>
              <w:top w:val="single" w:sz="4" w:space="0" w:color="auto"/>
              <w:left w:val="nil"/>
              <w:bottom w:val="nil"/>
              <w:right w:val="single" w:sz="4" w:space="0" w:color="auto"/>
            </w:tcBorders>
            <w:shd w:val="clear" w:color="auto" w:fill="auto"/>
            <w:noWrap/>
            <w:vAlign w:val="bottom"/>
          </w:tcPr>
          <w:p w14:paraId="597A0D5F"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r>
      <w:tr w:rsidR="00946373" w:rsidRPr="000114E3" w14:paraId="177B9894" w14:textId="77777777" w:rsidTr="00946373">
        <w:trPr>
          <w:trHeight w:val="300"/>
          <w:jc w:val="center"/>
        </w:trPr>
        <w:tc>
          <w:tcPr>
            <w:tcW w:w="2978" w:type="dxa"/>
            <w:tcBorders>
              <w:top w:val="nil"/>
              <w:left w:val="single" w:sz="4" w:space="0" w:color="auto"/>
              <w:bottom w:val="single" w:sz="4" w:space="0" w:color="auto"/>
              <w:right w:val="nil"/>
            </w:tcBorders>
            <w:shd w:val="clear" w:color="auto" w:fill="auto"/>
            <w:noWrap/>
            <w:vAlign w:val="bottom"/>
          </w:tcPr>
          <w:p w14:paraId="273D93F8" w14:textId="1B31C064" w:rsidR="00946373" w:rsidRPr="000114E3" w:rsidRDefault="00946373" w:rsidP="00946373">
            <w:pPr>
              <w:spacing w:after="0" w:line="240" w:lineRule="auto"/>
              <w:jc w:val="left"/>
              <w:rPr>
                <w:rFonts w:ascii="Calibri" w:eastAsia="Times New Roman" w:hAnsi="Calibri" w:cs="Calibri"/>
                <w:color w:val="000000"/>
                <w:sz w:val="20"/>
                <w:szCs w:val="20"/>
                <w:lang w:eastAsia="en-AU"/>
              </w:rPr>
            </w:pPr>
            <w:r w:rsidRPr="000114E3">
              <w:rPr>
                <w:rFonts w:ascii="Calibri" w:hAnsi="Calibri" w:cs="Calibri"/>
                <w:color w:val="000000"/>
                <w:sz w:val="20"/>
                <w:szCs w:val="20"/>
              </w:rPr>
              <w:t>Water cooled total</w:t>
            </w:r>
          </w:p>
        </w:tc>
        <w:tc>
          <w:tcPr>
            <w:tcW w:w="1084" w:type="dxa"/>
            <w:tcBorders>
              <w:top w:val="nil"/>
              <w:left w:val="nil"/>
              <w:bottom w:val="single" w:sz="4" w:space="0" w:color="auto"/>
              <w:right w:val="single" w:sz="4" w:space="0" w:color="auto"/>
            </w:tcBorders>
            <w:shd w:val="clear" w:color="auto" w:fill="auto"/>
            <w:vAlign w:val="bottom"/>
          </w:tcPr>
          <w:p w14:paraId="00624FE3" w14:textId="77777777" w:rsidR="00946373" w:rsidRPr="000114E3" w:rsidRDefault="00946373" w:rsidP="00946373">
            <w:pPr>
              <w:spacing w:after="0" w:line="240" w:lineRule="auto"/>
              <w:jc w:val="right"/>
              <w:rPr>
                <w:rFonts w:ascii="Calibri" w:hAnsi="Calibri" w:cs="Calibr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tcPr>
          <w:p w14:paraId="569F732F" w14:textId="33B0D86E"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8%</w:t>
            </w:r>
          </w:p>
        </w:tc>
        <w:tc>
          <w:tcPr>
            <w:tcW w:w="968" w:type="dxa"/>
            <w:tcBorders>
              <w:top w:val="nil"/>
              <w:left w:val="single" w:sz="4" w:space="0" w:color="auto"/>
              <w:bottom w:val="single" w:sz="4" w:space="0" w:color="auto"/>
              <w:right w:val="single" w:sz="4" w:space="0" w:color="auto"/>
            </w:tcBorders>
            <w:shd w:val="clear" w:color="auto" w:fill="auto"/>
            <w:noWrap/>
            <w:vAlign w:val="bottom"/>
          </w:tcPr>
          <w:p w14:paraId="3E12A300" w14:textId="35286042"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11%</w:t>
            </w:r>
          </w:p>
        </w:tc>
        <w:tc>
          <w:tcPr>
            <w:tcW w:w="968" w:type="dxa"/>
            <w:tcBorders>
              <w:top w:val="nil"/>
              <w:left w:val="nil"/>
              <w:bottom w:val="single" w:sz="4" w:space="0" w:color="auto"/>
              <w:right w:val="single" w:sz="4" w:space="0" w:color="auto"/>
            </w:tcBorders>
            <w:shd w:val="clear" w:color="auto" w:fill="auto"/>
            <w:noWrap/>
            <w:vAlign w:val="bottom"/>
          </w:tcPr>
          <w:p w14:paraId="6C03FF74" w14:textId="1F5EF475" w:rsidR="00946373" w:rsidRPr="000114E3" w:rsidRDefault="00946373" w:rsidP="00946373">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single" w:sz="4" w:space="0" w:color="auto"/>
              <w:bottom w:val="single" w:sz="4" w:space="0" w:color="auto"/>
              <w:right w:val="nil"/>
            </w:tcBorders>
            <w:shd w:val="clear" w:color="auto" w:fill="auto"/>
            <w:noWrap/>
            <w:vAlign w:val="bottom"/>
          </w:tcPr>
          <w:p w14:paraId="706BF7C7"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tcPr>
          <w:p w14:paraId="790D8A32"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r>
      <w:tr w:rsidR="00946373" w:rsidRPr="000114E3" w14:paraId="1F77E3BA" w14:textId="77777777" w:rsidTr="00946373">
        <w:trPr>
          <w:trHeight w:val="300"/>
          <w:jc w:val="center"/>
        </w:trPr>
        <w:tc>
          <w:tcPr>
            <w:tcW w:w="2978" w:type="dxa"/>
            <w:tcBorders>
              <w:top w:val="single" w:sz="4" w:space="0" w:color="auto"/>
              <w:left w:val="single" w:sz="4" w:space="0" w:color="auto"/>
              <w:bottom w:val="nil"/>
              <w:right w:val="nil"/>
            </w:tcBorders>
            <w:shd w:val="clear" w:color="auto" w:fill="auto"/>
            <w:noWrap/>
            <w:vAlign w:val="bottom"/>
          </w:tcPr>
          <w:p w14:paraId="1AE6C761" w14:textId="4CC61F9E" w:rsidR="00946373" w:rsidRPr="000114E3" w:rsidRDefault="00946373" w:rsidP="00946373">
            <w:pPr>
              <w:spacing w:after="0" w:line="240" w:lineRule="auto"/>
              <w:jc w:val="left"/>
              <w:rPr>
                <w:rFonts w:ascii="Calibri" w:eastAsia="Times New Roman" w:hAnsi="Calibri" w:cs="Calibri"/>
                <w:color w:val="000000"/>
                <w:sz w:val="20"/>
                <w:szCs w:val="20"/>
                <w:lang w:eastAsia="en-AU"/>
              </w:rPr>
            </w:pPr>
            <w:r w:rsidRPr="000114E3">
              <w:rPr>
                <w:rFonts w:ascii="Calibri" w:hAnsi="Calibri" w:cs="Calibri"/>
                <w:color w:val="000000"/>
                <w:sz w:val="20"/>
                <w:szCs w:val="20"/>
              </w:rPr>
              <w:t>Batch total</w:t>
            </w:r>
          </w:p>
        </w:tc>
        <w:tc>
          <w:tcPr>
            <w:tcW w:w="1084" w:type="dxa"/>
            <w:tcBorders>
              <w:top w:val="single" w:sz="4" w:space="0" w:color="auto"/>
              <w:left w:val="nil"/>
              <w:bottom w:val="nil"/>
              <w:right w:val="single" w:sz="4" w:space="0" w:color="auto"/>
            </w:tcBorders>
            <w:shd w:val="clear" w:color="auto" w:fill="auto"/>
            <w:vAlign w:val="bottom"/>
          </w:tcPr>
          <w:p w14:paraId="227BA71C" w14:textId="77777777" w:rsidR="00946373" w:rsidRPr="000114E3" w:rsidRDefault="00946373" w:rsidP="00946373">
            <w:pPr>
              <w:spacing w:after="0" w:line="240" w:lineRule="auto"/>
              <w:jc w:val="right"/>
              <w:rPr>
                <w:rFonts w:ascii="Calibri" w:hAnsi="Calibri" w:cs="Calibri"/>
                <w:color w:val="000000"/>
                <w:sz w:val="20"/>
                <w:szCs w:val="20"/>
              </w:rPr>
            </w:pPr>
          </w:p>
        </w:tc>
        <w:tc>
          <w:tcPr>
            <w:tcW w:w="960" w:type="dxa"/>
            <w:tcBorders>
              <w:top w:val="single" w:sz="4" w:space="0" w:color="auto"/>
              <w:left w:val="nil"/>
              <w:bottom w:val="nil"/>
              <w:right w:val="single" w:sz="4" w:space="0" w:color="auto"/>
            </w:tcBorders>
            <w:shd w:val="clear" w:color="auto" w:fill="auto"/>
            <w:noWrap/>
            <w:vAlign w:val="bottom"/>
          </w:tcPr>
          <w:p w14:paraId="7CC6B2F6" w14:textId="226BBA52"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80%</w:t>
            </w:r>
          </w:p>
        </w:tc>
        <w:tc>
          <w:tcPr>
            <w:tcW w:w="968" w:type="dxa"/>
            <w:tcBorders>
              <w:top w:val="single" w:sz="4" w:space="0" w:color="auto"/>
              <w:left w:val="single" w:sz="4" w:space="0" w:color="auto"/>
              <w:bottom w:val="nil"/>
              <w:right w:val="single" w:sz="4" w:space="0" w:color="auto"/>
            </w:tcBorders>
            <w:shd w:val="clear" w:color="auto" w:fill="auto"/>
            <w:noWrap/>
            <w:vAlign w:val="bottom"/>
          </w:tcPr>
          <w:p w14:paraId="6DCC86BE" w14:textId="6901A010"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69%</w:t>
            </w:r>
          </w:p>
        </w:tc>
        <w:tc>
          <w:tcPr>
            <w:tcW w:w="968" w:type="dxa"/>
            <w:tcBorders>
              <w:top w:val="single" w:sz="4" w:space="0" w:color="auto"/>
              <w:left w:val="nil"/>
              <w:bottom w:val="nil"/>
              <w:right w:val="single" w:sz="4" w:space="0" w:color="auto"/>
            </w:tcBorders>
            <w:shd w:val="clear" w:color="auto" w:fill="auto"/>
            <w:noWrap/>
            <w:vAlign w:val="bottom"/>
          </w:tcPr>
          <w:p w14:paraId="5A5A1F22" w14:textId="18D4E66D" w:rsidR="00946373" w:rsidRPr="000114E3" w:rsidRDefault="00946373" w:rsidP="00946373">
            <w:pPr>
              <w:spacing w:after="0" w:line="240" w:lineRule="auto"/>
              <w:jc w:val="right"/>
              <w:rPr>
                <w:rFonts w:ascii="Calibri" w:eastAsia="Times New Roman" w:hAnsi="Calibri" w:cs="Calibri"/>
                <w:color w:val="000000"/>
                <w:sz w:val="20"/>
                <w:szCs w:val="20"/>
                <w:lang w:eastAsia="en-AU"/>
              </w:rPr>
            </w:pPr>
          </w:p>
        </w:tc>
        <w:tc>
          <w:tcPr>
            <w:tcW w:w="960" w:type="dxa"/>
            <w:tcBorders>
              <w:top w:val="single" w:sz="4" w:space="0" w:color="auto"/>
              <w:left w:val="single" w:sz="4" w:space="0" w:color="auto"/>
              <w:bottom w:val="nil"/>
              <w:right w:val="nil"/>
            </w:tcBorders>
            <w:shd w:val="clear" w:color="auto" w:fill="auto"/>
            <w:noWrap/>
            <w:vAlign w:val="bottom"/>
          </w:tcPr>
          <w:p w14:paraId="4E693BC9"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c>
          <w:tcPr>
            <w:tcW w:w="960" w:type="dxa"/>
            <w:tcBorders>
              <w:top w:val="single" w:sz="4" w:space="0" w:color="auto"/>
              <w:left w:val="nil"/>
              <w:bottom w:val="nil"/>
              <w:right w:val="single" w:sz="4" w:space="0" w:color="auto"/>
            </w:tcBorders>
            <w:shd w:val="clear" w:color="auto" w:fill="auto"/>
            <w:noWrap/>
            <w:vAlign w:val="bottom"/>
          </w:tcPr>
          <w:p w14:paraId="36275F18"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r>
      <w:tr w:rsidR="00946373" w:rsidRPr="000114E3" w14:paraId="1B75AA6D" w14:textId="77777777" w:rsidTr="00946373">
        <w:trPr>
          <w:trHeight w:val="300"/>
          <w:jc w:val="center"/>
        </w:trPr>
        <w:tc>
          <w:tcPr>
            <w:tcW w:w="2978" w:type="dxa"/>
            <w:tcBorders>
              <w:top w:val="nil"/>
              <w:left w:val="single" w:sz="4" w:space="0" w:color="auto"/>
              <w:bottom w:val="single" w:sz="4" w:space="0" w:color="auto"/>
              <w:right w:val="nil"/>
            </w:tcBorders>
            <w:shd w:val="clear" w:color="auto" w:fill="auto"/>
            <w:noWrap/>
            <w:vAlign w:val="bottom"/>
          </w:tcPr>
          <w:p w14:paraId="79091758" w14:textId="0DEFC6DE" w:rsidR="00946373" w:rsidRPr="000114E3" w:rsidRDefault="00946373" w:rsidP="00946373">
            <w:pPr>
              <w:spacing w:after="0" w:line="240" w:lineRule="auto"/>
              <w:jc w:val="left"/>
              <w:rPr>
                <w:rFonts w:ascii="Calibri" w:eastAsia="Times New Roman" w:hAnsi="Calibri" w:cs="Calibri"/>
                <w:color w:val="000000"/>
                <w:sz w:val="20"/>
                <w:szCs w:val="20"/>
                <w:lang w:eastAsia="en-AU"/>
              </w:rPr>
            </w:pPr>
            <w:r w:rsidRPr="000114E3">
              <w:rPr>
                <w:rFonts w:ascii="Calibri" w:hAnsi="Calibri" w:cs="Calibri"/>
                <w:color w:val="000000"/>
                <w:sz w:val="20"/>
                <w:szCs w:val="20"/>
              </w:rPr>
              <w:t>Continuous total</w:t>
            </w:r>
          </w:p>
        </w:tc>
        <w:tc>
          <w:tcPr>
            <w:tcW w:w="1084" w:type="dxa"/>
            <w:tcBorders>
              <w:top w:val="nil"/>
              <w:left w:val="nil"/>
              <w:bottom w:val="single" w:sz="4" w:space="0" w:color="auto"/>
              <w:right w:val="single" w:sz="4" w:space="0" w:color="auto"/>
            </w:tcBorders>
            <w:shd w:val="clear" w:color="auto" w:fill="auto"/>
            <w:vAlign w:val="bottom"/>
          </w:tcPr>
          <w:p w14:paraId="6CD1743E" w14:textId="77777777" w:rsidR="00946373" w:rsidRPr="000114E3" w:rsidRDefault="00946373" w:rsidP="00946373">
            <w:pPr>
              <w:spacing w:after="0" w:line="240" w:lineRule="auto"/>
              <w:jc w:val="right"/>
              <w:rPr>
                <w:rFonts w:ascii="Calibri" w:hAnsi="Calibri" w:cs="Calibr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tcPr>
          <w:p w14:paraId="3A65504E" w14:textId="19D7A4C6"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20%</w:t>
            </w:r>
          </w:p>
        </w:tc>
        <w:tc>
          <w:tcPr>
            <w:tcW w:w="968" w:type="dxa"/>
            <w:tcBorders>
              <w:top w:val="nil"/>
              <w:left w:val="single" w:sz="4" w:space="0" w:color="auto"/>
              <w:bottom w:val="single" w:sz="4" w:space="0" w:color="auto"/>
              <w:right w:val="single" w:sz="4" w:space="0" w:color="auto"/>
            </w:tcBorders>
            <w:shd w:val="clear" w:color="auto" w:fill="auto"/>
            <w:noWrap/>
            <w:vAlign w:val="bottom"/>
          </w:tcPr>
          <w:p w14:paraId="5BC69BD2" w14:textId="7E6668B7" w:rsidR="00946373" w:rsidRPr="000114E3" w:rsidRDefault="00946373" w:rsidP="00946373">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31%</w:t>
            </w:r>
          </w:p>
        </w:tc>
        <w:tc>
          <w:tcPr>
            <w:tcW w:w="968" w:type="dxa"/>
            <w:tcBorders>
              <w:top w:val="nil"/>
              <w:left w:val="nil"/>
              <w:bottom w:val="single" w:sz="4" w:space="0" w:color="auto"/>
              <w:right w:val="single" w:sz="4" w:space="0" w:color="auto"/>
            </w:tcBorders>
            <w:shd w:val="clear" w:color="auto" w:fill="auto"/>
            <w:noWrap/>
            <w:vAlign w:val="bottom"/>
          </w:tcPr>
          <w:p w14:paraId="6D54BF2C" w14:textId="3A98A6BC" w:rsidR="00946373" w:rsidRPr="000114E3" w:rsidRDefault="00946373" w:rsidP="00946373">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single" w:sz="4" w:space="0" w:color="auto"/>
              <w:bottom w:val="single" w:sz="4" w:space="0" w:color="auto"/>
              <w:right w:val="nil"/>
            </w:tcBorders>
            <w:shd w:val="clear" w:color="auto" w:fill="auto"/>
            <w:noWrap/>
            <w:vAlign w:val="bottom"/>
          </w:tcPr>
          <w:p w14:paraId="6736ECCC"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bottom"/>
          </w:tcPr>
          <w:p w14:paraId="41274B04" w14:textId="77777777" w:rsidR="00946373" w:rsidRPr="000114E3" w:rsidRDefault="00946373" w:rsidP="00946373">
            <w:pPr>
              <w:spacing w:after="0" w:line="240" w:lineRule="auto"/>
              <w:jc w:val="left"/>
              <w:rPr>
                <w:rFonts w:ascii="Calibri" w:eastAsia="Times New Roman" w:hAnsi="Calibri" w:cs="Calibri"/>
                <w:color w:val="000000"/>
                <w:sz w:val="20"/>
                <w:szCs w:val="20"/>
                <w:lang w:eastAsia="en-AU"/>
              </w:rPr>
            </w:pPr>
          </w:p>
        </w:tc>
      </w:tr>
    </w:tbl>
    <w:p w14:paraId="5265E356" w14:textId="77777777" w:rsidR="0015072C" w:rsidRPr="0015072C" w:rsidRDefault="0015072C" w:rsidP="0015072C"/>
    <w:p w14:paraId="5418FB4F" w14:textId="4EA45C65" w:rsidR="003728E6" w:rsidRDefault="007203F9" w:rsidP="007550AB">
      <w:r>
        <w:fldChar w:fldCharType="begin"/>
      </w:r>
      <w:r>
        <w:instrText xml:space="preserve"> REF _Ref191458270 \h </w:instrText>
      </w:r>
      <w:r>
        <w:fldChar w:fldCharType="separate"/>
      </w:r>
      <w:r w:rsidR="002271EC" w:rsidRPr="003E6D30">
        <w:t xml:space="preserve">Table </w:t>
      </w:r>
      <w:r w:rsidR="002271EC">
        <w:rPr>
          <w:noProof/>
        </w:rPr>
        <w:t>15</w:t>
      </w:r>
      <w:r>
        <w:fldChar w:fldCharType="end"/>
      </w:r>
      <w:r>
        <w:t xml:space="preserve"> </w:t>
      </w:r>
      <w:r w:rsidR="00A4576E">
        <w:t xml:space="preserve">presents </w:t>
      </w:r>
      <w:r>
        <w:t xml:space="preserve">the </w:t>
      </w:r>
      <w:r w:rsidR="00A4576E">
        <w:t xml:space="preserve">lifetime operating cost of each of the types </w:t>
      </w:r>
      <w:r w:rsidR="00444406">
        <w:t xml:space="preserve">in </w:t>
      </w:r>
      <w:r w:rsidR="00444406">
        <w:fldChar w:fldCharType="begin"/>
      </w:r>
      <w:r w:rsidR="00444406">
        <w:instrText xml:space="preserve"> REF _Ref191477318 \h </w:instrText>
      </w:r>
      <w:r w:rsidR="00444406">
        <w:fldChar w:fldCharType="separate"/>
      </w:r>
      <w:r w:rsidR="002271EC">
        <w:t xml:space="preserve">Table </w:t>
      </w:r>
      <w:r w:rsidR="002271EC">
        <w:rPr>
          <w:noProof/>
        </w:rPr>
        <w:t>14</w:t>
      </w:r>
      <w:r w:rsidR="00444406">
        <w:fldChar w:fldCharType="end"/>
      </w:r>
      <w:r w:rsidR="00444406">
        <w:t xml:space="preserve"> under a </w:t>
      </w:r>
      <w:r w:rsidR="008E654F">
        <w:t>‘</w:t>
      </w:r>
      <w:r w:rsidR="00444406">
        <w:t>no-measures</w:t>
      </w:r>
      <w:r w:rsidR="008E654F">
        <w:t>’</w:t>
      </w:r>
      <w:r w:rsidR="00444406">
        <w:t xml:space="preserve"> scenario, before the impacts of the MEPS or any WELS measures (</w:t>
      </w:r>
      <w:r w:rsidR="00D1356E">
        <w:t xml:space="preserve">this is </w:t>
      </w:r>
      <w:r w:rsidR="00444406">
        <w:t xml:space="preserve">called Option 0). These </w:t>
      </w:r>
      <w:r w:rsidR="00D1356E">
        <w:t xml:space="preserve">are calculated for </w:t>
      </w:r>
      <w:r w:rsidR="00444406">
        <w:t xml:space="preserve">units with the average characteristics for that class as purchased in 2025, Australian-average projected energy prices (as detailed in E3 2023) and </w:t>
      </w:r>
      <w:r w:rsidR="00D1356E">
        <w:t xml:space="preserve">the </w:t>
      </w:r>
      <w:r w:rsidR="00444406">
        <w:t xml:space="preserve">projected water prices </w:t>
      </w:r>
      <w:r w:rsidR="00D1356E">
        <w:t xml:space="preserve">in </w:t>
      </w:r>
      <w:r w:rsidR="00444406">
        <w:fldChar w:fldCharType="begin"/>
      </w:r>
      <w:r w:rsidR="00444406">
        <w:instrText xml:space="preserve"> REF _Ref189733869 \h </w:instrText>
      </w:r>
      <w:r w:rsidR="00444406">
        <w:fldChar w:fldCharType="separate"/>
      </w:r>
      <w:r w:rsidR="002271EC">
        <w:t xml:space="preserve">Figure </w:t>
      </w:r>
      <w:r w:rsidR="002271EC">
        <w:rPr>
          <w:noProof/>
        </w:rPr>
        <w:t>12</w:t>
      </w:r>
      <w:r w:rsidR="00444406">
        <w:fldChar w:fldCharType="end"/>
      </w:r>
      <w:r w:rsidR="00444406">
        <w:t>. The streams of future energy and water expenditures are discounted at 7% to bring them to a present value (PV). This type of information is currently unavailable to prospective CIM purchasers.</w:t>
      </w:r>
    </w:p>
    <w:p w14:paraId="2BC478B5" w14:textId="77777777" w:rsidR="003728E6" w:rsidRDefault="003728E6" w:rsidP="007550AB">
      <w:pPr>
        <w:sectPr w:rsidR="003728E6" w:rsidSect="00D260B9">
          <w:headerReference w:type="even" r:id="rId37"/>
          <w:headerReference w:type="default" r:id="rId38"/>
          <w:footerReference w:type="even" r:id="rId39"/>
          <w:footerReference w:type="default" r:id="rId40"/>
          <w:headerReference w:type="first" r:id="rId41"/>
          <w:pgSz w:w="11906" w:h="16838"/>
          <w:pgMar w:top="1985" w:right="1134" w:bottom="1843" w:left="1134" w:header="426" w:footer="709" w:gutter="0"/>
          <w:pgNumType w:start="1"/>
          <w:cols w:space="708"/>
          <w:titlePg/>
          <w:docGrid w:linePitch="360"/>
        </w:sectPr>
      </w:pPr>
    </w:p>
    <w:p w14:paraId="1BBA87B0" w14:textId="221DB92A" w:rsidR="0042496D" w:rsidRDefault="003728E6" w:rsidP="0042496D">
      <w:pPr>
        <w:pStyle w:val="Caption"/>
        <w:jc w:val="center"/>
        <w:rPr>
          <w:sz w:val="21"/>
        </w:rPr>
      </w:pPr>
      <w:bookmarkStart w:id="130" w:name="_Ref191458270"/>
      <w:bookmarkStart w:id="131" w:name="_Toc196745457"/>
      <w:r w:rsidRPr="003E6D30">
        <w:lastRenderedPageBreak/>
        <w:t xml:space="preserve">Table </w:t>
      </w:r>
      <w:r w:rsidR="0042496D">
        <w:fldChar w:fldCharType="begin"/>
      </w:r>
      <w:r w:rsidR="0042496D">
        <w:instrText xml:space="preserve"> SEQ Table \* ARABIC </w:instrText>
      </w:r>
      <w:r w:rsidR="0042496D">
        <w:fldChar w:fldCharType="separate"/>
      </w:r>
      <w:r w:rsidR="002271EC">
        <w:rPr>
          <w:noProof/>
        </w:rPr>
        <w:t>15</w:t>
      </w:r>
      <w:r w:rsidR="0042496D">
        <w:rPr>
          <w:noProof/>
        </w:rPr>
        <w:fldChar w:fldCharType="end"/>
      </w:r>
      <w:bookmarkStart w:id="132" w:name="_Hlk90378983"/>
      <w:bookmarkEnd w:id="130"/>
      <w:r w:rsidR="00756E7C">
        <w:t xml:space="preserve"> </w:t>
      </w:r>
      <w:r w:rsidR="003E6D30" w:rsidRPr="003E6D30">
        <w:t xml:space="preserve">Estimated lifetime capital and operating costs for </w:t>
      </w:r>
      <w:r w:rsidR="00756E7C">
        <w:t xml:space="preserve">individual </w:t>
      </w:r>
      <w:r w:rsidR="003E6D30" w:rsidRPr="003E6D30">
        <w:t>icemakers</w:t>
      </w:r>
      <w:bookmarkEnd w:id="132"/>
      <w:r w:rsidR="00831E3D">
        <w:t>, 2025</w:t>
      </w:r>
      <w:r w:rsidR="007203F9">
        <w:t xml:space="preserve"> (Australian average)</w:t>
      </w:r>
      <w:bookmarkEnd w:id="131"/>
      <w:r>
        <w:fldChar w:fldCharType="begin"/>
      </w:r>
      <w:r>
        <w:instrText xml:space="preserve"> LINK </w:instrText>
      </w:r>
      <w:r w:rsidR="0042496D">
        <w:instrText xml:space="preserve">Excel.SheetMacroEnabled.12 "C:\\Users\\Admin\\Documents\\Winword\\WORK\\Water\\WELS Extension\\Ice Makers WELS\\WELS CIM 2024 - Cost-Benefit Analysis V3 ANZ.xlsm" IN!R668C55:R680C64 </w:instrText>
      </w:r>
      <w:r>
        <w:instrText xml:space="preserve">\a \f 5 \h  \* MERGEFORMAT </w:instrText>
      </w:r>
      <w:r>
        <w:fldChar w:fldCharType="separate"/>
      </w:r>
    </w:p>
    <w:tbl>
      <w:tblPr>
        <w:tblStyle w:val="TableGrid"/>
        <w:tblW w:w="13284" w:type="dxa"/>
        <w:tblLook w:val="04A0" w:firstRow="1" w:lastRow="0" w:firstColumn="1" w:lastColumn="0" w:noHBand="0" w:noVBand="1"/>
      </w:tblPr>
      <w:tblGrid>
        <w:gridCol w:w="2405"/>
        <w:gridCol w:w="1378"/>
        <w:gridCol w:w="1188"/>
        <w:gridCol w:w="1187"/>
        <w:gridCol w:w="1208"/>
        <w:gridCol w:w="1167"/>
        <w:gridCol w:w="1188"/>
        <w:gridCol w:w="1187"/>
        <w:gridCol w:w="1188"/>
        <w:gridCol w:w="1188"/>
      </w:tblGrid>
      <w:tr w:rsidR="0042496D" w:rsidRPr="00815FAF" w14:paraId="4B08D910" w14:textId="77777777" w:rsidTr="0042496D">
        <w:trPr>
          <w:divId w:val="1512060602"/>
          <w:trHeight w:val="300"/>
        </w:trPr>
        <w:tc>
          <w:tcPr>
            <w:tcW w:w="2405" w:type="dxa"/>
            <w:noWrap/>
            <w:hideMark/>
          </w:tcPr>
          <w:p w14:paraId="17F30FA9" w14:textId="2188E4B4" w:rsidR="0042496D" w:rsidRPr="00815FAF" w:rsidRDefault="0042496D" w:rsidP="0042496D">
            <w:pPr>
              <w:rPr>
                <w:rFonts w:ascii="Calibri" w:hAnsi="Calibri" w:cs="Calibri"/>
                <w:sz w:val="18"/>
                <w:szCs w:val="18"/>
              </w:rPr>
            </w:pPr>
            <w:r w:rsidRPr="00815FAF">
              <w:rPr>
                <w:rFonts w:ascii="Calibri" w:hAnsi="Calibri" w:cs="Calibri"/>
                <w:sz w:val="18"/>
                <w:szCs w:val="18"/>
              </w:rPr>
              <w:t> </w:t>
            </w:r>
          </w:p>
        </w:tc>
        <w:tc>
          <w:tcPr>
            <w:tcW w:w="1378" w:type="dxa"/>
            <w:noWrap/>
            <w:hideMark/>
          </w:tcPr>
          <w:p w14:paraId="62AC80E9"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Purchase price</w:t>
            </w:r>
          </w:p>
        </w:tc>
        <w:tc>
          <w:tcPr>
            <w:tcW w:w="1188" w:type="dxa"/>
            <w:noWrap/>
            <w:hideMark/>
          </w:tcPr>
          <w:p w14:paraId="0EDA6588"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NPV energy</w:t>
            </w:r>
          </w:p>
        </w:tc>
        <w:tc>
          <w:tcPr>
            <w:tcW w:w="1187" w:type="dxa"/>
            <w:noWrap/>
            <w:hideMark/>
          </w:tcPr>
          <w:p w14:paraId="6B75C1AF"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NPV potable water</w:t>
            </w:r>
          </w:p>
        </w:tc>
        <w:tc>
          <w:tcPr>
            <w:tcW w:w="1208" w:type="dxa"/>
            <w:noWrap/>
            <w:hideMark/>
          </w:tcPr>
          <w:p w14:paraId="1F944805"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NPV cooling water (75% reuse)</w:t>
            </w:r>
          </w:p>
        </w:tc>
        <w:tc>
          <w:tcPr>
            <w:tcW w:w="1167" w:type="dxa"/>
            <w:noWrap/>
            <w:hideMark/>
          </w:tcPr>
          <w:p w14:paraId="169B9B98"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NPV cooling water (No reuse)</w:t>
            </w:r>
          </w:p>
        </w:tc>
        <w:tc>
          <w:tcPr>
            <w:tcW w:w="1188" w:type="dxa"/>
            <w:noWrap/>
            <w:hideMark/>
          </w:tcPr>
          <w:p w14:paraId="6AACDD66"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Total (75% reuse)</w:t>
            </w:r>
          </w:p>
        </w:tc>
        <w:tc>
          <w:tcPr>
            <w:tcW w:w="1187" w:type="dxa"/>
            <w:noWrap/>
            <w:hideMark/>
          </w:tcPr>
          <w:p w14:paraId="04B68154"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Total (0% reuse)</w:t>
            </w:r>
          </w:p>
        </w:tc>
        <w:tc>
          <w:tcPr>
            <w:tcW w:w="1188" w:type="dxa"/>
            <w:noWrap/>
            <w:hideMark/>
          </w:tcPr>
          <w:p w14:paraId="688C1CE0"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Total (75% reuse)</w:t>
            </w:r>
          </w:p>
        </w:tc>
        <w:tc>
          <w:tcPr>
            <w:tcW w:w="1188" w:type="dxa"/>
            <w:noWrap/>
            <w:hideMark/>
          </w:tcPr>
          <w:p w14:paraId="623CA167"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Total (0% reuse)</w:t>
            </w:r>
          </w:p>
        </w:tc>
      </w:tr>
      <w:tr w:rsidR="0042496D" w:rsidRPr="00815FAF" w14:paraId="1B887A1B" w14:textId="77777777" w:rsidTr="0042496D">
        <w:trPr>
          <w:divId w:val="1512060602"/>
          <w:trHeight w:val="300"/>
        </w:trPr>
        <w:tc>
          <w:tcPr>
            <w:tcW w:w="2405" w:type="dxa"/>
            <w:noWrap/>
            <w:hideMark/>
          </w:tcPr>
          <w:p w14:paraId="2D7C2330"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1. IMH - Batch - Air </w:t>
            </w:r>
          </w:p>
        </w:tc>
        <w:tc>
          <w:tcPr>
            <w:tcW w:w="1378" w:type="dxa"/>
            <w:noWrap/>
            <w:hideMark/>
          </w:tcPr>
          <w:p w14:paraId="0E5EC341"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4,287 </w:t>
            </w:r>
          </w:p>
        </w:tc>
        <w:tc>
          <w:tcPr>
            <w:tcW w:w="1188" w:type="dxa"/>
            <w:noWrap/>
            <w:hideMark/>
          </w:tcPr>
          <w:p w14:paraId="64754DC8"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27,301 </w:t>
            </w:r>
          </w:p>
        </w:tc>
        <w:tc>
          <w:tcPr>
            <w:tcW w:w="1187" w:type="dxa"/>
            <w:noWrap/>
            <w:hideMark/>
          </w:tcPr>
          <w:p w14:paraId="0335E234"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4,546 </w:t>
            </w:r>
          </w:p>
        </w:tc>
        <w:tc>
          <w:tcPr>
            <w:tcW w:w="1208" w:type="dxa"/>
            <w:noWrap/>
            <w:hideMark/>
          </w:tcPr>
          <w:p w14:paraId="4533919F"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   </w:t>
            </w:r>
          </w:p>
        </w:tc>
        <w:tc>
          <w:tcPr>
            <w:tcW w:w="1167" w:type="dxa"/>
            <w:noWrap/>
            <w:hideMark/>
          </w:tcPr>
          <w:p w14:paraId="66666B76"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w:t>
            </w:r>
          </w:p>
        </w:tc>
        <w:tc>
          <w:tcPr>
            <w:tcW w:w="1188" w:type="dxa"/>
            <w:noWrap/>
            <w:hideMark/>
          </w:tcPr>
          <w:p w14:paraId="02357187"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36,134 </w:t>
            </w:r>
          </w:p>
        </w:tc>
        <w:tc>
          <w:tcPr>
            <w:tcW w:w="1187" w:type="dxa"/>
            <w:noWrap/>
            <w:hideMark/>
          </w:tcPr>
          <w:p w14:paraId="5750EB7C"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36,134 </w:t>
            </w:r>
          </w:p>
        </w:tc>
        <w:tc>
          <w:tcPr>
            <w:tcW w:w="1188" w:type="dxa"/>
            <w:noWrap/>
            <w:hideMark/>
          </w:tcPr>
          <w:p w14:paraId="5666CAAA"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12.6%</w:t>
            </w:r>
          </w:p>
        </w:tc>
        <w:tc>
          <w:tcPr>
            <w:tcW w:w="1188" w:type="dxa"/>
            <w:noWrap/>
            <w:hideMark/>
          </w:tcPr>
          <w:p w14:paraId="4079CBB3"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12.6%</w:t>
            </w:r>
          </w:p>
        </w:tc>
      </w:tr>
      <w:tr w:rsidR="0042496D" w:rsidRPr="00815FAF" w14:paraId="7E310649" w14:textId="77777777" w:rsidTr="0042496D">
        <w:trPr>
          <w:divId w:val="1512060602"/>
          <w:trHeight w:val="300"/>
        </w:trPr>
        <w:tc>
          <w:tcPr>
            <w:tcW w:w="2405" w:type="dxa"/>
            <w:noWrap/>
            <w:hideMark/>
          </w:tcPr>
          <w:p w14:paraId="5DC11CBF"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2. IMH - Cont - Air </w:t>
            </w:r>
          </w:p>
        </w:tc>
        <w:tc>
          <w:tcPr>
            <w:tcW w:w="1378" w:type="dxa"/>
            <w:noWrap/>
            <w:hideMark/>
          </w:tcPr>
          <w:p w14:paraId="5478BB67"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4,323 </w:t>
            </w:r>
          </w:p>
        </w:tc>
        <w:tc>
          <w:tcPr>
            <w:tcW w:w="1188" w:type="dxa"/>
            <w:noWrap/>
            <w:hideMark/>
          </w:tcPr>
          <w:p w14:paraId="36BA4D76"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24,688 </w:t>
            </w:r>
          </w:p>
        </w:tc>
        <w:tc>
          <w:tcPr>
            <w:tcW w:w="1187" w:type="dxa"/>
            <w:noWrap/>
            <w:hideMark/>
          </w:tcPr>
          <w:p w14:paraId="243A890D"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2,174 </w:t>
            </w:r>
          </w:p>
        </w:tc>
        <w:tc>
          <w:tcPr>
            <w:tcW w:w="1208" w:type="dxa"/>
            <w:noWrap/>
            <w:hideMark/>
          </w:tcPr>
          <w:p w14:paraId="74A881C0"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   </w:t>
            </w:r>
          </w:p>
        </w:tc>
        <w:tc>
          <w:tcPr>
            <w:tcW w:w="1167" w:type="dxa"/>
            <w:noWrap/>
            <w:hideMark/>
          </w:tcPr>
          <w:p w14:paraId="7F868E45"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w:t>
            </w:r>
          </w:p>
        </w:tc>
        <w:tc>
          <w:tcPr>
            <w:tcW w:w="1188" w:type="dxa"/>
            <w:noWrap/>
            <w:hideMark/>
          </w:tcPr>
          <w:p w14:paraId="680CE014"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31,184 </w:t>
            </w:r>
          </w:p>
        </w:tc>
        <w:tc>
          <w:tcPr>
            <w:tcW w:w="1187" w:type="dxa"/>
            <w:noWrap/>
            <w:hideMark/>
          </w:tcPr>
          <w:p w14:paraId="50FD5893"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31,184 </w:t>
            </w:r>
          </w:p>
        </w:tc>
        <w:tc>
          <w:tcPr>
            <w:tcW w:w="1188" w:type="dxa"/>
            <w:noWrap/>
            <w:hideMark/>
          </w:tcPr>
          <w:p w14:paraId="223BDC2A"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7.0%</w:t>
            </w:r>
          </w:p>
        </w:tc>
        <w:tc>
          <w:tcPr>
            <w:tcW w:w="1188" w:type="dxa"/>
            <w:noWrap/>
            <w:hideMark/>
          </w:tcPr>
          <w:p w14:paraId="6D7A0C26"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7.0%</w:t>
            </w:r>
          </w:p>
        </w:tc>
      </w:tr>
      <w:tr w:rsidR="0042496D" w:rsidRPr="00815FAF" w14:paraId="1AEDD477" w14:textId="77777777" w:rsidTr="0042496D">
        <w:trPr>
          <w:divId w:val="1512060602"/>
          <w:trHeight w:val="300"/>
        </w:trPr>
        <w:tc>
          <w:tcPr>
            <w:tcW w:w="2405" w:type="dxa"/>
            <w:noWrap/>
            <w:hideMark/>
          </w:tcPr>
          <w:p w14:paraId="39CB21B8"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3. IMH - Batch - Water</w:t>
            </w:r>
          </w:p>
        </w:tc>
        <w:tc>
          <w:tcPr>
            <w:tcW w:w="1378" w:type="dxa"/>
            <w:noWrap/>
            <w:hideMark/>
          </w:tcPr>
          <w:p w14:paraId="40D96BC8"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4,734 </w:t>
            </w:r>
          </w:p>
        </w:tc>
        <w:tc>
          <w:tcPr>
            <w:tcW w:w="1188" w:type="dxa"/>
            <w:noWrap/>
            <w:hideMark/>
          </w:tcPr>
          <w:p w14:paraId="7008AC9F"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27,107 </w:t>
            </w:r>
          </w:p>
        </w:tc>
        <w:tc>
          <w:tcPr>
            <w:tcW w:w="1187" w:type="dxa"/>
            <w:noWrap/>
            <w:hideMark/>
          </w:tcPr>
          <w:p w14:paraId="17D34F38"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3,737 </w:t>
            </w:r>
          </w:p>
        </w:tc>
        <w:tc>
          <w:tcPr>
            <w:tcW w:w="1208" w:type="dxa"/>
            <w:noWrap/>
            <w:hideMark/>
          </w:tcPr>
          <w:p w14:paraId="2092C9C6"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11,599 </w:t>
            </w:r>
          </w:p>
        </w:tc>
        <w:tc>
          <w:tcPr>
            <w:tcW w:w="1167" w:type="dxa"/>
            <w:noWrap/>
            <w:hideMark/>
          </w:tcPr>
          <w:p w14:paraId="3A536DC6"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34,796 </w:t>
            </w:r>
          </w:p>
        </w:tc>
        <w:tc>
          <w:tcPr>
            <w:tcW w:w="1188" w:type="dxa"/>
            <w:noWrap/>
            <w:hideMark/>
          </w:tcPr>
          <w:p w14:paraId="2DA70B4A"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47,176 </w:t>
            </w:r>
          </w:p>
        </w:tc>
        <w:tc>
          <w:tcPr>
            <w:tcW w:w="1187" w:type="dxa"/>
            <w:noWrap/>
            <w:hideMark/>
          </w:tcPr>
          <w:p w14:paraId="7C68DEDC"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70,374 </w:t>
            </w:r>
          </w:p>
        </w:tc>
        <w:tc>
          <w:tcPr>
            <w:tcW w:w="1188" w:type="dxa"/>
            <w:noWrap/>
            <w:hideMark/>
          </w:tcPr>
          <w:p w14:paraId="5E3A9AFA"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7.9%</w:t>
            </w:r>
          </w:p>
        </w:tc>
        <w:tc>
          <w:tcPr>
            <w:tcW w:w="1188" w:type="dxa"/>
            <w:noWrap/>
            <w:hideMark/>
          </w:tcPr>
          <w:p w14:paraId="095848CF"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54.8%</w:t>
            </w:r>
          </w:p>
        </w:tc>
      </w:tr>
      <w:tr w:rsidR="0042496D" w:rsidRPr="00815FAF" w14:paraId="32B4CCCA" w14:textId="77777777" w:rsidTr="0042496D">
        <w:trPr>
          <w:divId w:val="1512060602"/>
          <w:trHeight w:val="300"/>
        </w:trPr>
        <w:tc>
          <w:tcPr>
            <w:tcW w:w="2405" w:type="dxa"/>
            <w:noWrap/>
            <w:hideMark/>
          </w:tcPr>
          <w:p w14:paraId="30FC939A"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4. IMH - Cont - Water</w:t>
            </w:r>
          </w:p>
        </w:tc>
        <w:tc>
          <w:tcPr>
            <w:tcW w:w="1378" w:type="dxa"/>
            <w:noWrap/>
            <w:hideMark/>
          </w:tcPr>
          <w:p w14:paraId="64B74187"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4,734 </w:t>
            </w:r>
          </w:p>
        </w:tc>
        <w:tc>
          <w:tcPr>
            <w:tcW w:w="1188" w:type="dxa"/>
            <w:noWrap/>
            <w:hideMark/>
          </w:tcPr>
          <w:p w14:paraId="6559B5ED"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26,718 </w:t>
            </w:r>
          </w:p>
        </w:tc>
        <w:tc>
          <w:tcPr>
            <w:tcW w:w="1187" w:type="dxa"/>
            <w:noWrap/>
            <w:hideMark/>
          </w:tcPr>
          <w:p w14:paraId="3DA535CA"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3,737 </w:t>
            </w:r>
          </w:p>
        </w:tc>
        <w:tc>
          <w:tcPr>
            <w:tcW w:w="1208" w:type="dxa"/>
            <w:noWrap/>
            <w:hideMark/>
          </w:tcPr>
          <w:p w14:paraId="060D676B"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10,919 </w:t>
            </w:r>
          </w:p>
        </w:tc>
        <w:tc>
          <w:tcPr>
            <w:tcW w:w="1167" w:type="dxa"/>
            <w:noWrap/>
            <w:hideMark/>
          </w:tcPr>
          <w:p w14:paraId="4B452FF7"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32,758 </w:t>
            </w:r>
          </w:p>
        </w:tc>
        <w:tc>
          <w:tcPr>
            <w:tcW w:w="1188" w:type="dxa"/>
            <w:noWrap/>
            <w:hideMark/>
          </w:tcPr>
          <w:p w14:paraId="384DE422"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46,108 </w:t>
            </w:r>
          </w:p>
        </w:tc>
        <w:tc>
          <w:tcPr>
            <w:tcW w:w="1187" w:type="dxa"/>
            <w:noWrap/>
            <w:hideMark/>
          </w:tcPr>
          <w:p w14:paraId="1F35B82E"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67,947 </w:t>
            </w:r>
          </w:p>
        </w:tc>
        <w:tc>
          <w:tcPr>
            <w:tcW w:w="1188" w:type="dxa"/>
            <w:noWrap/>
            <w:hideMark/>
          </w:tcPr>
          <w:p w14:paraId="6AE78FA7"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8.1%</w:t>
            </w:r>
          </w:p>
        </w:tc>
        <w:tc>
          <w:tcPr>
            <w:tcW w:w="1188" w:type="dxa"/>
            <w:noWrap/>
            <w:hideMark/>
          </w:tcPr>
          <w:p w14:paraId="507EFCCB"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53.7%</w:t>
            </w:r>
          </w:p>
        </w:tc>
      </w:tr>
      <w:tr w:rsidR="0042496D" w:rsidRPr="00815FAF" w14:paraId="38F98BCD" w14:textId="77777777" w:rsidTr="0042496D">
        <w:trPr>
          <w:divId w:val="1512060602"/>
          <w:trHeight w:val="300"/>
        </w:trPr>
        <w:tc>
          <w:tcPr>
            <w:tcW w:w="2405" w:type="dxa"/>
            <w:noWrap/>
            <w:hideMark/>
          </w:tcPr>
          <w:p w14:paraId="5D214170"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5. SCU - Batch - Air</w:t>
            </w:r>
          </w:p>
        </w:tc>
        <w:tc>
          <w:tcPr>
            <w:tcW w:w="1378" w:type="dxa"/>
            <w:noWrap/>
            <w:hideMark/>
          </w:tcPr>
          <w:p w14:paraId="5FD860A5"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3,165 </w:t>
            </w:r>
          </w:p>
        </w:tc>
        <w:tc>
          <w:tcPr>
            <w:tcW w:w="1188" w:type="dxa"/>
            <w:noWrap/>
            <w:hideMark/>
          </w:tcPr>
          <w:p w14:paraId="0B00768E"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8,283 </w:t>
            </w:r>
          </w:p>
        </w:tc>
        <w:tc>
          <w:tcPr>
            <w:tcW w:w="1187" w:type="dxa"/>
            <w:noWrap/>
            <w:hideMark/>
          </w:tcPr>
          <w:p w14:paraId="2BD0EC8B"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973 </w:t>
            </w:r>
          </w:p>
        </w:tc>
        <w:tc>
          <w:tcPr>
            <w:tcW w:w="1208" w:type="dxa"/>
            <w:noWrap/>
            <w:hideMark/>
          </w:tcPr>
          <w:p w14:paraId="090F6ADD"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   </w:t>
            </w:r>
          </w:p>
        </w:tc>
        <w:tc>
          <w:tcPr>
            <w:tcW w:w="1167" w:type="dxa"/>
            <w:noWrap/>
            <w:hideMark/>
          </w:tcPr>
          <w:p w14:paraId="2F835603"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w:t>
            </w:r>
          </w:p>
        </w:tc>
        <w:tc>
          <w:tcPr>
            <w:tcW w:w="1188" w:type="dxa"/>
            <w:noWrap/>
            <w:hideMark/>
          </w:tcPr>
          <w:p w14:paraId="5C876DA1"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12,421 </w:t>
            </w:r>
          </w:p>
        </w:tc>
        <w:tc>
          <w:tcPr>
            <w:tcW w:w="1187" w:type="dxa"/>
            <w:noWrap/>
            <w:hideMark/>
          </w:tcPr>
          <w:p w14:paraId="5285B0B3"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12,421 </w:t>
            </w:r>
          </w:p>
        </w:tc>
        <w:tc>
          <w:tcPr>
            <w:tcW w:w="1188" w:type="dxa"/>
            <w:noWrap/>
            <w:hideMark/>
          </w:tcPr>
          <w:p w14:paraId="6DD89C7D"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7.8%</w:t>
            </w:r>
          </w:p>
        </w:tc>
        <w:tc>
          <w:tcPr>
            <w:tcW w:w="1188" w:type="dxa"/>
            <w:noWrap/>
            <w:hideMark/>
          </w:tcPr>
          <w:p w14:paraId="29F862F8"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7.8%</w:t>
            </w:r>
          </w:p>
        </w:tc>
      </w:tr>
      <w:tr w:rsidR="0042496D" w:rsidRPr="00815FAF" w14:paraId="5DA7435D" w14:textId="77777777" w:rsidTr="0042496D">
        <w:trPr>
          <w:divId w:val="1512060602"/>
          <w:trHeight w:val="300"/>
        </w:trPr>
        <w:tc>
          <w:tcPr>
            <w:tcW w:w="2405" w:type="dxa"/>
            <w:noWrap/>
            <w:hideMark/>
          </w:tcPr>
          <w:p w14:paraId="58750ACB"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6. SCU - Cont - Air</w:t>
            </w:r>
          </w:p>
        </w:tc>
        <w:tc>
          <w:tcPr>
            <w:tcW w:w="1378" w:type="dxa"/>
            <w:noWrap/>
            <w:hideMark/>
          </w:tcPr>
          <w:p w14:paraId="1D2BE6FD"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3,025 </w:t>
            </w:r>
          </w:p>
        </w:tc>
        <w:tc>
          <w:tcPr>
            <w:tcW w:w="1188" w:type="dxa"/>
            <w:noWrap/>
            <w:hideMark/>
          </w:tcPr>
          <w:p w14:paraId="38493833"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7,099 </w:t>
            </w:r>
          </w:p>
        </w:tc>
        <w:tc>
          <w:tcPr>
            <w:tcW w:w="1187" w:type="dxa"/>
            <w:noWrap/>
            <w:hideMark/>
          </w:tcPr>
          <w:p w14:paraId="6BFDD085"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559 </w:t>
            </w:r>
          </w:p>
        </w:tc>
        <w:tc>
          <w:tcPr>
            <w:tcW w:w="1208" w:type="dxa"/>
            <w:noWrap/>
            <w:hideMark/>
          </w:tcPr>
          <w:p w14:paraId="03356FE9"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   </w:t>
            </w:r>
          </w:p>
        </w:tc>
        <w:tc>
          <w:tcPr>
            <w:tcW w:w="1167" w:type="dxa"/>
            <w:noWrap/>
            <w:hideMark/>
          </w:tcPr>
          <w:p w14:paraId="3412FF35"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w:t>
            </w:r>
          </w:p>
        </w:tc>
        <w:tc>
          <w:tcPr>
            <w:tcW w:w="1188" w:type="dxa"/>
            <w:noWrap/>
            <w:hideMark/>
          </w:tcPr>
          <w:p w14:paraId="57D56B9F"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10,683 </w:t>
            </w:r>
          </w:p>
        </w:tc>
        <w:tc>
          <w:tcPr>
            <w:tcW w:w="1187" w:type="dxa"/>
            <w:noWrap/>
            <w:hideMark/>
          </w:tcPr>
          <w:p w14:paraId="318E9BAA"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10,683 </w:t>
            </w:r>
          </w:p>
        </w:tc>
        <w:tc>
          <w:tcPr>
            <w:tcW w:w="1188" w:type="dxa"/>
            <w:noWrap/>
            <w:hideMark/>
          </w:tcPr>
          <w:p w14:paraId="46F6879F"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5.2%</w:t>
            </w:r>
          </w:p>
        </w:tc>
        <w:tc>
          <w:tcPr>
            <w:tcW w:w="1188" w:type="dxa"/>
            <w:noWrap/>
            <w:hideMark/>
          </w:tcPr>
          <w:p w14:paraId="7ABDC7CF"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5.2%</w:t>
            </w:r>
          </w:p>
        </w:tc>
      </w:tr>
      <w:tr w:rsidR="0042496D" w:rsidRPr="00815FAF" w14:paraId="43E2E809" w14:textId="77777777" w:rsidTr="0042496D">
        <w:trPr>
          <w:divId w:val="1512060602"/>
          <w:trHeight w:val="300"/>
        </w:trPr>
        <w:tc>
          <w:tcPr>
            <w:tcW w:w="2405" w:type="dxa"/>
            <w:noWrap/>
            <w:hideMark/>
          </w:tcPr>
          <w:p w14:paraId="74D027AA"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7. SCU - Batch - Water</w:t>
            </w:r>
          </w:p>
        </w:tc>
        <w:tc>
          <w:tcPr>
            <w:tcW w:w="1378" w:type="dxa"/>
            <w:noWrap/>
            <w:hideMark/>
          </w:tcPr>
          <w:p w14:paraId="708E9FA3"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4,530 </w:t>
            </w:r>
          </w:p>
        </w:tc>
        <w:tc>
          <w:tcPr>
            <w:tcW w:w="1188" w:type="dxa"/>
            <w:noWrap/>
            <w:hideMark/>
          </w:tcPr>
          <w:p w14:paraId="2A8F2C39"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7,991 </w:t>
            </w:r>
          </w:p>
        </w:tc>
        <w:tc>
          <w:tcPr>
            <w:tcW w:w="1187" w:type="dxa"/>
            <w:noWrap/>
            <w:hideMark/>
          </w:tcPr>
          <w:p w14:paraId="51A051DC"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1,019 </w:t>
            </w:r>
          </w:p>
        </w:tc>
        <w:tc>
          <w:tcPr>
            <w:tcW w:w="1208" w:type="dxa"/>
            <w:noWrap/>
            <w:hideMark/>
          </w:tcPr>
          <w:p w14:paraId="0E7145E2"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2,166 </w:t>
            </w:r>
          </w:p>
        </w:tc>
        <w:tc>
          <w:tcPr>
            <w:tcW w:w="1167" w:type="dxa"/>
            <w:noWrap/>
            <w:hideMark/>
          </w:tcPr>
          <w:p w14:paraId="2A92A43A"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6,497 </w:t>
            </w:r>
          </w:p>
        </w:tc>
        <w:tc>
          <w:tcPr>
            <w:tcW w:w="1188" w:type="dxa"/>
            <w:noWrap/>
            <w:hideMark/>
          </w:tcPr>
          <w:p w14:paraId="56B31697"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15,706 </w:t>
            </w:r>
          </w:p>
        </w:tc>
        <w:tc>
          <w:tcPr>
            <w:tcW w:w="1187" w:type="dxa"/>
            <w:noWrap/>
            <w:hideMark/>
          </w:tcPr>
          <w:p w14:paraId="2F7690AC"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20,037 </w:t>
            </w:r>
          </w:p>
        </w:tc>
        <w:tc>
          <w:tcPr>
            <w:tcW w:w="1188" w:type="dxa"/>
            <w:noWrap/>
            <w:hideMark/>
          </w:tcPr>
          <w:p w14:paraId="7298ECF3"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6.5%</w:t>
            </w:r>
          </w:p>
        </w:tc>
        <w:tc>
          <w:tcPr>
            <w:tcW w:w="1188" w:type="dxa"/>
            <w:noWrap/>
            <w:hideMark/>
          </w:tcPr>
          <w:p w14:paraId="6FC717A4"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37.5%</w:t>
            </w:r>
          </w:p>
        </w:tc>
      </w:tr>
      <w:tr w:rsidR="0042496D" w:rsidRPr="00815FAF" w14:paraId="69C80785" w14:textId="77777777" w:rsidTr="0042496D">
        <w:trPr>
          <w:divId w:val="1512060602"/>
          <w:trHeight w:val="300"/>
        </w:trPr>
        <w:tc>
          <w:tcPr>
            <w:tcW w:w="2405" w:type="dxa"/>
            <w:noWrap/>
            <w:hideMark/>
          </w:tcPr>
          <w:p w14:paraId="72EC8C0A"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8. SCU - Cont - Water</w:t>
            </w:r>
          </w:p>
        </w:tc>
        <w:tc>
          <w:tcPr>
            <w:tcW w:w="1378" w:type="dxa"/>
            <w:noWrap/>
            <w:hideMark/>
          </w:tcPr>
          <w:p w14:paraId="77C5559D"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4,400 </w:t>
            </w:r>
          </w:p>
        </w:tc>
        <w:tc>
          <w:tcPr>
            <w:tcW w:w="1188" w:type="dxa"/>
            <w:noWrap/>
            <w:hideMark/>
          </w:tcPr>
          <w:p w14:paraId="68725D25"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8,671 </w:t>
            </w:r>
          </w:p>
        </w:tc>
        <w:tc>
          <w:tcPr>
            <w:tcW w:w="1187" w:type="dxa"/>
            <w:noWrap/>
            <w:hideMark/>
          </w:tcPr>
          <w:p w14:paraId="066C510D"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1,203 </w:t>
            </w:r>
          </w:p>
        </w:tc>
        <w:tc>
          <w:tcPr>
            <w:tcW w:w="1208" w:type="dxa"/>
            <w:noWrap/>
            <w:hideMark/>
          </w:tcPr>
          <w:p w14:paraId="046E15D3"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2,406 </w:t>
            </w:r>
          </w:p>
        </w:tc>
        <w:tc>
          <w:tcPr>
            <w:tcW w:w="1167" w:type="dxa"/>
            <w:noWrap/>
            <w:hideMark/>
          </w:tcPr>
          <w:p w14:paraId="0E47F8AD"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7,219 </w:t>
            </w:r>
          </w:p>
        </w:tc>
        <w:tc>
          <w:tcPr>
            <w:tcW w:w="1188" w:type="dxa"/>
            <w:noWrap/>
            <w:hideMark/>
          </w:tcPr>
          <w:p w14:paraId="7A1BC116"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16,681 </w:t>
            </w:r>
          </w:p>
        </w:tc>
        <w:tc>
          <w:tcPr>
            <w:tcW w:w="1187" w:type="dxa"/>
            <w:noWrap/>
            <w:hideMark/>
          </w:tcPr>
          <w:p w14:paraId="15CB6AB2"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21,493 </w:t>
            </w:r>
          </w:p>
        </w:tc>
        <w:tc>
          <w:tcPr>
            <w:tcW w:w="1188" w:type="dxa"/>
            <w:noWrap/>
            <w:hideMark/>
          </w:tcPr>
          <w:p w14:paraId="37C8F253"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7.2%</w:t>
            </w:r>
          </w:p>
        </w:tc>
        <w:tc>
          <w:tcPr>
            <w:tcW w:w="1188" w:type="dxa"/>
            <w:noWrap/>
            <w:hideMark/>
          </w:tcPr>
          <w:p w14:paraId="330534D1"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39.2%</w:t>
            </w:r>
          </w:p>
        </w:tc>
      </w:tr>
      <w:tr w:rsidR="0042496D" w:rsidRPr="00815FAF" w14:paraId="43BCB5EF" w14:textId="77777777" w:rsidTr="0042496D">
        <w:trPr>
          <w:divId w:val="1512060602"/>
          <w:trHeight w:val="300"/>
        </w:trPr>
        <w:tc>
          <w:tcPr>
            <w:tcW w:w="2405" w:type="dxa"/>
            <w:noWrap/>
            <w:hideMark/>
          </w:tcPr>
          <w:p w14:paraId="39D5721A"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9. RCU - Batch - Air</w:t>
            </w:r>
          </w:p>
        </w:tc>
        <w:tc>
          <w:tcPr>
            <w:tcW w:w="1378" w:type="dxa"/>
            <w:noWrap/>
            <w:hideMark/>
          </w:tcPr>
          <w:p w14:paraId="4C8721CB"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6,184 </w:t>
            </w:r>
          </w:p>
        </w:tc>
        <w:tc>
          <w:tcPr>
            <w:tcW w:w="1188" w:type="dxa"/>
            <w:noWrap/>
            <w:hideMark/>
          </w:tcPr>
          <w:p w14:paraId="7728341F"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35,702 </w:t>
            </w:r>
          </w:p>
        </w:tc>
        <w:tc>
          <w:tcPr>
            <w:tcW w:w="1187" w:type="dxa"/>
            <w:noWrap/>
            <w:hideMark/>
          </w:tcPr>
          <w:p w14:paraId="5C647F1F"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6,859 </w:t>
            </w:r>
          </w:p>
        </w:tc>
        <w:tc>
          <w:tcPr>
            <w:tcW w:w="1208" w:type="dxa"/>
            <w:noWrap/>
            <w:hideMark/>
          </w:tcPr>
          <w:p w14:paraId="166DBDD4"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   </w:t>
            </w:r>
          </w:p>
        </w:tc>
        <w:tc>
          <w:tcPr>
            <w:tcW w:w="1167" w:type="dxa"/>
            <w:noWrap/>
            <w:hideMark/>
          </w:tcPr>
          <w:p w14:paraId="0B182145"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w:t>
            </w:r>
          </w:p>
        </w:tc>
        <w:tc>
          <w:tcPr>
            <w:tcW w:w="1188" w:type="dxa"/>
            <w:noWrap/>
            <w:hideMark/>
          </w:tcPr>
          <w:p w14:paraId="37C110D6"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48,745 </w:t>
            </w:r>
          </w:p>
        </w:tc>
        <w:tc>
          <w:tcPr>
            <w:tcW w:w="1187" w:type="dxa"/>
            <w:noWrap/>
            <w:hideMark/>
          </w:tcPr>
          <w:p w14:paraId="04AFA123"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48,745 </w:t>
            </w:r>
          </w:p>
        </w:tc>
        <w:tc>
          <w:tcPr>
            <w:tcW w:w="1188" w:type="dxa"/>
            <w:noWrap/>
            <w:hideMark/>
          </w:tcPr>
          <w:p w14:paraId="60C56273"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14.1%</w:t>
            </w:r>
          </w:p>
        </w:tc>
        <w:tc>
          <w:tcPr>
            <w:tcW w:w="1188" w:type="dxa"/>
            <w:noWrap/>
            <w:hideMark/>
          </w:tcPr>
          <w:p w14:paraId="0F5ED276"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14.1%</w:t>
            </w:r>
          </w:p>
        </w:tc>
      </w:tr>
      <w:tr w:rsidR="0042496D" w:rsidRPr="00815FAF" w14:paraId="4206B684" w14:textId="77777777" w:rsidTr="0042496D">
        <w:trPr>
          <w:divId w:val="1512060602"/>
          <w:trHeight w:val="300"/>
        </w:trPr>
        <w:tc>
          <w:tcPr>
            <w:tcW w:w="2405" w:type="dxa"/>
            <w:noWrap/>
            <w:hideMark/>
          </w:tcPr>
          <w:p w14:paraId="399C6D16"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10. RCU - Cont - Air</w:t>
            </w:r>
          </w:p>
        </w:tc>
        <w:tc>
          <w:tcPr>
            <w:tcW w:w="1378" w:type="dxa"/>
            <w:noWrap/>
            <w:hideMark/>
          </w:tcPr>
          <w:p w14:paraId="4111C7F9"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6,184 </w:t>
            </w:r>
          </w:p>
        </w:tc>
        <w:tc>
          <w:tcPr>
            <w:tcW w:w="1188" w:type="dxa"/>
            <w:noWrap/>
            <w:hideMark/>
          </w:tcPr>
          <w:p w14:paraId="62317345"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35,702 </w:t>
            </w:r>
          </w:p>
        </w:tc>
        <w:tc>
          <w:tcPr>
            <w:tcW w:w="1187" w:type="dxa"/>
            <w:noWrap/>
            <w:hideMark/>
          </w:tcPr>
          <w:p w14:paraId="1E2019C7"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3,875 </w:t>
            </w:r>
          </w:p>
        </w:tc>
        <w:tc>
          <w:tcPr>
            <w:tcW w:w="1208" w:type="dxa"/>
            <w:noWrap/>
            <w:hideMark/>
          </w:tcPr>
          <w:p w14:paraId="5089967F"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   </w:t>
            </w:r>
          </w:p>
        </w:tc>
        <w:tc>
          <w:tcPr>
            <w:tcW w:w="1167" w:type="dxa"/>
            <w:noWrap/>
            <w:hideMark/>
          </w:tcPr>
          <w:p w14:paraId="495F709C"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w:t>
            </w:r>
          </w:p>
        </w:tc>
        <w:tc>
          <w:tcPr>
            <w:tcW w:w="1188" w:type="dxa"/>
            <w:noWrap/>
            <w:hideMark/>
          </w:tcPr>
          <w:p w14:paraId="6D6FEEC8"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45,761 </w:t>
            </w:r>
          </w:p>
        </w:tc>
        <w:tc>
          <w:tcPr>
            <w:tcW w:w="1187" w:type="dxa"/>
            <w:noWrap/>
            <w:hideMark/>
          </w:tcPr>
          <w:p w14:paraId="7A284DE3"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45,761 </w:t>
            </w:r>
          </w:p>
        </w:tc>
        <w:tc>
          <w:tcPr>
            <w:tcW w:w="1188" w:type="dxa"/>
            <w:noWrap/>
            <w:hideMark/>
          </w:tcPr>
          <w:p w14:paraId="7740F892"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8.5%</w:t>
            </w:r>
          </w:p>
        </w:tc>
        <w:tc>
          <w:tcPr>
            <w:tcW w:w="1188" w:type="dxa"/>
            <w:noWrap/>
            <w:hideMark/>
          </w:tcPr>
          <w:p w14:paraId="128CE3AA"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8.5%</w:t>
            </w:r>
          </w:p>
        </w:tc>
      </w:tr>
      <w:tr w:rsidR="0042496D" w:rsidRPr="00815FAF" w14:paraId="3B43C570" w14:textId="77777777" w:rsidTr="0042496D">
        <w:trPr>
          <w:divId w:val="1512060602"/>
          <w:trHeight w:val="300"/>
        </w:trPr>
        <w:tc>
          <w:tcPr>
            <w:tcW w:w="2405" w:type="dxa"/>
            <w:noWrap/>
            <w:hideMark/>
          </w:tcPr>
          <w:p w14:paraId="1694C3EB"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11. RCRC - Batch - Air</w:t>
            </w:r>
          </w:p>
        </w:tc>
        <w:tc>
          <w:tcPr>
            <w:tcW w:w="1378" w:type="dxa"/>
            <w:noWrap/>
            <w:hideMark/>
          </w:tcPr>
          <w:p w14:paraId="642CB94E"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6,120 </w:t>
            </w:r>
          </w:p>
        </w:tc>
        <w:tc>
          <w:tcPr>
            <w:tcW w:w="1188" w:type="dxa"/>
            <w:noWrap/>
            <w:hideMark/>
          </w:tcPr>
          <w:p w14:paraId="22CDC240"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41,194 </w:t>
            </w:r>
          </w:p>
        </w:tc>
        <w:tc>
          <w:tcPr>
            <w:tcW w:w="1187" w:type="dxa"/>
            <w:noWrap/>
            <w:hideMark/>
          </w:tcPr>
          <w:p w14:paraId="4AA1CDB8"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6,794 </w:t>
            </w:r>
          </w:p>
        </w:tc>
        <w:tc>
          <w:tcPr>
            <w:tcW w:w="1208" w:type="dxa"/>
            <w:noWrap/>
            <w:hideMark/>
          </w:tcPr>
          <w:p w14:paraId="3C5DD5B9"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   </w:t>
            </w:r>
          </w:p>
        </w:tc>
        <w:tc>
          <w:tcPr>
            <w:tcW w:w="1167" w:type="dxa"/>
            <w:noWrap/>
            <w:hideMark/>
          </w:tcPr>
          <w:p w14:paraId="76DCF7CA"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w:t>
            </w:r>
          </w:p>
        </w:tc>
        <w:tc>
          <w:tcPr>
            <w:tcW w:w="1188" w:type="dxa"/>
            <w:noWrap/>
            <w:hideMark/>
          </w:tcPr>
          <w:p w14:paraId="161AFB91"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54,109 </w:t>
            </w:r>
          </w:p>
        </w:tc>
        <w:tc>
          <w:tcPr>
            <w:tcW w:w="1187" w:type="dxa"/>
            <w:noWrap/>
            <w:hideMark/>
          </w:tcPr>
          <w:p w14:paraId="2431B4D5"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54,109 </w:t>
            </w:r>
          </w:p>
        </w:tc>
        <w:tc>
          <w:tcPr>
            <w:tcW w:w="1188" w:type="dxa"/>
            <w:noWrap/>
            <w:hideMark/>
          </w:tcPr>
          <w:p w14:paraId="21F309FA"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12.6%</w:t>
            </w:r>
          </w:p>
        </w:tc>
        <w:tc>
          <w:tcPr>
            <w:tcW w:w="1188" w:type="dxa"/>
            <w:noWrap/>
            <w:hideMark/>
          </w:tcPr>
          <w:p w14:paraId="03D270F3"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12.6%</w:t>
            </w:r>
          </w:p>
        </w:tc>
      </w:tr>
      <w:tr w:rsidR="0042496D" w:rsidRPr="00815FAF" w14:paraId="1B127FC5" w14:textId="77777777" w:rsidTr="0042496D">
        <w:trPr>
          <w:divId w:val="1512060602"/>
          <w:trHeight w:val="300"/>
        </w:trPr>
        <w:tc>
          <w:tcPr>
            <w:tcW w:w="2405" w:type="dxa"/>
            <w:noWrap/>
            <w:hideMark/>
          </w:tcPr>
          <w:p w14:paraId="31FA2524"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12. RCRC - Cont - Air</w:t>
            </w:r>
          </w:p>
        </w:tc>
        <w:tc>
          <w:tcPr>
            <w:tcW w:w="1378" w:type="dxa"/>
            <w:noWrap/>
            <w:hideMark/>
          </w:tcPr>
          <w:p w14:paraId="646FAC8B"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6,120 </w:t>
            </w:r>
          </w:p>
        </w:tc>
        <w:tc>
          <w:tcPr>
            <w:tcW w:w="1188" w:type="dxa"/>
            <w:noWrap/>
            <w:hideMark/>
          </w:tcPr>
          <w:p w14:paraId="2B3B41DD"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36,142 </w:t>
            </w:r>
          </w:p>
        </w:tc>
        <w:tc>
          <w:tcPr>
            <w:tcW w:w="1187" w:type="dxa"/>
            <w:noWrap/>
            <w:hideMark/>
          </w:tcPr>
          <w:p w14:paraId="1B5A8E4F"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3,839 </w:t>
            </w:r>
          </w:p>
        </w:tc>
        <w:tc>
          <w:tcPr>
            <w:tcW w:w="1208" w:type="dxa"/>
            <w:noWrap/>
            <w:hideMark/>
          </w:tcPr>
          <w:p w14:paraId="7C122A10"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   </w:t>
            </w:r>
          </w:p>
        </w:tc>
        <w:tc>
          <w:tcPr>
            <w:tcW w:w="1167" w:type="dxa"/>
            <w:noWrap/>
            <w:hideMark/>
          </w:tcPr>
          <w:p w14:paraId="5FE49EF2"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w:t>
            </w:r>
          </w:p>
        </w:tc>
        <w:tc>
          <w:tcPr>
            <w:tcW w:w="1188" w:type="dxa"/>
            <w:noWrap/>
            <w:hideMark/>
          </w:tcPr>
          <w:p w14:paraId="60B2A2EC"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46,101 </w:t>
            </w:r>
          </w:p>
        </w:tc>
        <w:tc>
          <w:tcPr>
            <w:tcW w:w="1187" w:type="dxa"/>
            <w:noWrap/>
            <w:hideMark/>
          </w:tcPr>
          <w:p w14:paraId="40211EFC" w14:textId="77777777" w:rsidR="0042496D" w:rsidRPr="00815FAF" w:rsidRDefault="0042496D" w:rsidP="0042496D">
            <w:pPr>
              <w:rPr>
                <w:rFonts w:ascii="Calibri" w:hAnsi="Calibri" w:cs="Calibri"/>
                <w:sz w:val="18"/>
                <w:szCs w:val="18"/>
              </w:rPr>
            </w:pPr>
            <w:r w:rsidRPr="00815FAF">
              <w:rPr>
                <w:rFonts w:ascii="Calibri" w:hAnsi="Calibri" w:cs="Calibri"/>
                <w:sz w:val="18"/>
                <w:szCs w:val="18"/>
              </w:rPr>
              <w:t xml:space="preserve"> $       46,101 </w:t>
            </w:r>
          </w:p>
        </w:tc>
        <w:tc>
          <w:tcPr>
            <w:tcW w:w="1188" w:type="dxa"/>
            <w:noWrap/>
            <w:hideMark/>
          </w:tcPr>
          <w:p w14:paraId="51AE8EED"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8.3%</w:t>
            </w:r>
          </w:p>
        </w:tc>
        <w:tc>
          <w:tcPr>
            <w:tcW w:w="1188" w:type="dxa"/>
            <w:noWrap/>
            <w:hideMark/>
          </w:tcPr>
          <w:p w14:paraId="30ADEAB9" w14:textId="77777777" w:rsidR="0042496D" w:rsidRPr="00815FAF" w:rsidRDefault="0042496D" w:rsidP="0042496D">
            <w:pPr>
              <w:jc w:val="right"/>
              <w:rPr>
                <w:rFonts w:ascii="Calibri" w:hAnsi="Calibri" w:cs="Calibri"/>
                <w:sz w:val="18"/>
                <w:szCs w:val="18"/>
              </w:rPr>
            </w:pPr>
            <w:r w:rsidRPr="00815FAF">
              <w:rPr>
                <w:rFonts w:ascii="Calibri" w:hAnsi="Calibri" w:cs="Calibri"/>
                <w:sz w:val="18"/>
                <w:szCs w:val="18"/>
              </w:rPr>
              <w:t>8.3%</w:t>
            </w:r>
          </w:p>
        </w:tc>
      </w:tr>
    </w:tbl>
    <w:p w14:paraId="0DB8AAA6" w14:textId="63E9AD6C" w:rsidR="003728E6" w:rsidRDefault="003728E6" w:rsidP="007550AB">
      <w:r>
        <w:fldChar w:fldCharType="end"/>
      </w:r>
    </w:p>
    <w:p w14:paraId="45820531" w14:textId="77777777" w:rsidR="003728E6" w:rsidRDefault="003728E6" w:rsidP="007550AB">
      <w:pPr>
        <w:sectPr w:rsidR="003728E6" w:rsidSect="00D228AE">
          <w:pgSz w:w="16838" w:h="11906" w:orient="landscape"/>
          <w:pgMar w:top="1134" w:right="1843" w:bottom="1134" w:left="1701" w:header="993" w:footer="709" w:gutter="0"/>
          <w:cols w:space="708"/>
          <w:titlePg/>
          <w:docGrid w:linePitch="360"/>
        </w:sectPr>
      </w:pPr>
    </w:p>
    <w:p w14:paraId="7221C8A0" w14:textId="79643703" w:rsidR="00144C1A" w:rsidRDefault="00144C1A" w:rsidP="00144C1A">
      <w:pPr>
        <w:pStyle w:val="Heading3"/>
      </w:pPr>
      <w:bookmarkStart w:id="133" w:name="_Toc196745438"/>
      <w:r>
        <w:lastRenderedPageBreak/>
        <w:t>Projected trends</w:t>
      </w:r>
      <w:bookmarkEnd w:id="133"/>
    </w:p>
    <w:p w14:paraId="2A9CCFBA" w14:textId="77777777" w:rsidR="002271EC" w:rsidRDefault="009C31BD" w:rsidP="00981613">
      <w:r>
        <w:t>Water-</w:t>
      </w:r>
      <w:r w:rsidR="001D5FF3">
        <w:t>intensity</w:t>
      </w:r>
      <w:r w:rsidR="00144C1A">
        <w:t xml:space="preserve"> </w:t>
      </w:r>
      <w:r>
        <w:t xml:space="preserve">is projected to change </w:t>
      </w:r>
      <w:r w:rsidR="00144C1A">
        <w:t xml:space="preserve">at </w:t>
      </w:r>
      <w:r w:rsidR="001D5FF3">
        <w:t>different rat</w:t>
      </w:r>
      <w:r w:rsidR="00144C1A">
        <w:t>e</w:t>
      </w:r>
      <w:r w:rsidR="001D5FF3">
        <w:t xml:space="preserve">s </w:t>
      </w:r>
      <w:r>
        <w:t xml:space="preserve">under </w:t>
      </w:r>
      <w:r w:rsidR="001D5FF3">
        <w:t xml:space="preserve">each WELS Option. The trends for the largest-selling product classes are illustrated in </w:t>
      </w:r>
      <w:r w:rsidR="001D5FF3">
        <w:fldChar w:fldCharType="begin"/>
      </w:r>
      <w:r w:rsidR="001D5FF3">
        <w:instrText xml:space="preserve"> REF _Ref189741384 \h </w:instrText>
      </w:r>
      <w:r w:rsidR="00DC5884">
        <w:instrText xml:space="preserve"> \* MERGEFORMAT </w:instrText>
      </w:r>
      <w:r w:rsidR="001D5FF3">
        <w:fldChar w:fldCharType="separate"/>
      </w:r>
      <w:r w:rsidR="002271EC">
        <w:t>Ultimately, it is assumed that all costs, whether borne initially by industry or by the WELS Regulator are passed on to CIM purchasers as higher product prices (although technically the unrecovered share of WELS Regulator costs are borne by the taxpayer). All benefits accrue to CIM purchasers.</w:t>
      </w:r>
    </w:p>
    <w:p w14:paraId="5CD9D5A1" w14:textId="77777777" w:rsidR="002271EC" w:rsidRDefault="002271EC" w:rsidP="00981613">
      <w:r>
        <w:t xml:space="preserve">Figure </w:t>
      </w:r>
      <w:r>
        <w:rPr>
          <w:noProof/>
        </w:rPr>
        <w:t>11</w:t>
      </w:r>
      <w:r>
        <w:t xml:space="preserve"> shows the stacked benefits for each option, starting with the lowest projected benefit (Option 2, $M 32.5) up to the highest benefit (Option 4A, $M 70.0). This is a visual indicator of the additional benefit from moving to progressively more stringent measures. It shows that:</w:t>
      </w:r>
    </w:p>
    <w:p w14:paraId="2BE57122" w14:textId="77777777" w:rsidR="002271EC" w:rsidRPr="00DC5884" w:rsidRDefault="002271EC"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There is little difference in benefit between Option 2 (Voluntary declaration with WELS support) and Options 3A and 3B (Product registration and information declaration), provided that Option 2 has high take-up by suppliers. If Option 2 is not successful then Option 3A would become more attractive.</w:t>
      </w:r>
    </w:p>
    <w:p w14:paraId="1C31F18E" w14:textId="77777777" w:rsidR="002271EC" w:rsidRPr="00DC5884" w:rsidRDefault="002271EC"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The Minimum Water Efficiency Standards options (4A and 4B) lead to a near doubling of benefit, but at much lower B/C ratios.</w:t>
      </w:r>
    </w:p>
    <w:p w14:paraId="430CA403" w14:textId="77777777" w:rsidR="002271EC" w:rsidRPr="00DC5884" w:rsidRDefault="002271EC"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Most of the benefits come from IMH models, because of their high average ice production, and from batch-production (cube ice) models, which have far greater scope to increase potable water efficiency than continuous (flaked ice) models.</w:t>
      </w:r>
    </w:p>
    <w:p w14:paraId="56FCCF3F" w14:textId="77777777" w:rsidR="002271EC" w:rsidRPr="00DC5884" w:rsidRDefault="002271EC"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Water</w:t>
      </w:r>
      <w:r>
        <w:rPr>
          <w:rFonts w:eastAsia="Calibri" w:cs="Times New Roman"/>
          <w:szCs w:val="22"/>
        </w:rPr>
        <w:t>-</w:t>
      </w:r>
      <w:r w:rsidRPr="00DC5884">
        <w:rPr>
          <w:rFonts w:eastAsia="Calibri" w:cs="Times New Roman"/>
          <w:szCs w:val="22"/>
        </w:rPr>
        <w:t>cooled models deliver slightly more benefit than air-cooled models, but this depends on the assumed rate of recirculation of cooling water. This is discussed in the next section.</w:t>
      </w:r>
    </w:p>
    <w:p w14:paraId="3BA77AA7" w14:textId="77777777" w:rsidR="002271EC" w:rsidRDefault="002271EC" w:rsidP="002271EC">
      <w:pPr>
        <w:numPr>
          <w:ilvl w:val="0"/>
          <w:numId w:val="53"/>
        </w:numPr>
        <w:spacing w:before="120" w:after="120" w:line="300" w:lineRule="exact"/>
        <w:jc w:val="left"/>
      </w:pPr>
    </w:p>
    <w:p w14:paraId="7FDA4C07" w14:textId="66B36B58" w:rsidR="003728E6" w:rsidRDefault="002271EC" w:rsidP="007550AB">
      <w:r>
        <w:t xml:space="preserve">Figure </w:t>
      </w:r>
      <w:r>
        <w:rPr>
          <w:noProof/>
        </w:rPr>
        <w:t>11</w:t>
      </w:r>
      <w:r w:rsidR="001D5FF3">
        <w:fldChar w:fldCharType="end"/>
      </w:r>
      <w:r w:rsidR="001D5FF3">
        <w:t xml:space="preserve"> to </w:t>
      </w:r>
      <w:r w:rsidR="001D5FF3">
        <w:fldChar w:fldCharType="begin"/>
      </w:r>
      <w:r w:rsidR="001D5FF3">
        <w:instrText xml:space="preserve"> REF _Ref191548895 \h </w:instrText>
      </w:r>
      <w:r w:rsidR="001D5FF3">
        <w:fldChar w:fldCharType="separate"/>
      </w:r>
      <w:r>
        <w:t xml:space="preserve">Figure </w:t>
      </w:r>
      <w:r>
        <w:rPr>
          <w:noProof/>
        </w:rPr>
        <w:t>17</w:t>
      </w:r>
      <w:r w:rsidR="001D5FF3">
        <w:fldChar w:fldCharType="end"/>
      </w:r>
      <w:r w:rsidR="001D5FF3">
        <w:t>. In these diagrams:</w:t>
      </w:r>
    </w:p>
    <w:p w14:paraId="6226E284" w14:textId="055D7725" w:rsidR="001D5FF3" w:rsidRPr="00DC5884" w:rsidRDefault="001D5FF3"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Option 0 is the </w:t>
      </w:r>
      <w:r w:rsidR="00091E59">
        <w:rPr>
          <w:rFonts w:eastAsia="Calibri" w:cs="Times New Roman"/>
          <w:szCs w:val="22"/>
        </w:rPr>
        <w:t>‘</w:t>
      </w:r>
      <w:r w:rsidRPr="00DC5884">
        <w:rPr>
          <w:rFonts w:eastAsia="Calibri" w:cs="Times New Roman"/>
          <w:szCs w:val="22"/>
        </w:rPr>
        <w:t>no-regulations</w:t>
      </w:r>
      <w:r w:rsidR="00091E59">
        <w:rPr>
          <w:rFonts w:eastAsia="Calibri" w:cs="Times New Roman"/>
          <w:szCs w:val="22"/>
        </w:rPr>
        <w:t>’</w:t>
      </w:r>
      <w:r w:rsidRPr="00DC5884">
        <w:rPr>
          <w:rFonts w:eastAsia="Calibri" w:cs="Times New Roman"/>
          <w:szCs w:val="22"/>
        </w:rPr>
        <w:t xml:space="preserve"> case, without either GEMS or WELS impacts. In this scenario water-intensity is not expected to change.</w:t>
      </w:r>
    </w:p>
    <w:p w14:paraId="2429A6D4" w14:textId="34A7C641" w:rsidR="001D5FF3" w:rsidRPr="00DC5884" w:rsidRDefault="001D5FF3"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Option 1 (</w:t>
      </w:r>
      <w:r w:rsidR="005D5E85">
        <w:rPr>
          <w:rFonts w:eastAsia="Calibri" w:cs="Times New Roman"/>
          <w:szCs w:val="22"/>
        </w:rPr>
        <w:t>s</w:t>
      </w:r>
      <w:r w:rsidR="00CA2FC4" w:rsidRPr="00DC5884">
        <w:rPr>
          <w:rFonts w:eastAsia="Calibri" w:cs="Times New Roman"/>
          <w:szCs w:val="22"/>
        </w:rPr>
        <w:t xml:space="preserve">tatus </w:t>
      </w:r>
      <w:r w:rsidR="005D5E85">
        <w:rPr>
          <w:rFonts w:eastAsia="Calibri" w:cs="Times New Roman"/>
          <w:szCs w:val="22"/>
        </w:rPr>
        <w:t>q</w:t>
      </w:r>
      <w:r w:rsidR="00CA2FC4" w:rsidRPr="00DC5884">
        <w:rPr>
          <w:rFonts w:eastAsia="Calibri" w:cs="Times New Roman"/>
          <w:szCs w:val="22"/>
        </w:rPr>
        <w:t>uo</w:t>
      </w:r>
      <w:r w:rsidRPr="00DC5884">
        <w:rPr>
          <w:rFonts w:eastAsia="Calibri" w:cs="Times New Roman"/>
          <w:szCs w:val="22"/>
        </w:rPr>
        <w:t>) shows the effects of the GEMS regulations. While these are mainly directed at energy-intensity, it is expected that there will be some reduction in water-intensity as well</w:t>
      </w:r>
      <w:r w:rsidR="0001274A" w:rsidRPr="00DC5884">
        <w:rPr>
          <w:rFonts w:eastAsia="Calibri" w:cs="Times New Roman"/>
          <w:szCs w:val="22"/>
        </w:rPr>
        <w:t>. as suppliers review their product range.</w:t>
      </w:r>
    </w:p>
    <w:p w14:paraId="132FDD65" w14:textId="0E034203" w:rsidR="0001274A" w:rsidRPr="00DC5884" w:rsidRDefault="0001274A"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Option 2 shows a faster reduction in water-intensity due to WELS efforts to encourage declaration of water-intensity values and promote the importance of water use to CIM buyers. </w:t>
      </w:r>
    </w:p>
    <w:p w14:paraId="16B0DDF5" w14:textId="77777777" w:rsidR="0001274A" w:rsidRPr="00DC5884" w:rsidRDefault="0001274A"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Options 3A and 3B show a faster reduction in water-intensity than Option 2 due to mandatory WELS labelling, though the later implementation of Option 3A leads to a small delay in the rate of improvement in the first years.</w:t>
      </w:r>
    </w:p>
    <w:p w14:paraId="715FA7F7" w14:textId="1BE320DB" w:rsidR="00355E36" w:rsidRPr="00DC5884" w:rsidRDefault="00355E36"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Options 4A and 4B involve mandatory </w:t>
      </w:r>
      <w:r w:rsidR="00CE59EF" w:rsidRPr="00DC5884">
        <w:rPr>
          <w:rFonts w:eastAsia="Calibri" w:cs="Times New Roman"/>
          <w:szCs w:val="22"/>
        </w:rPr>
        <w:t>water efficiency</w:t>
      </w:r>
      <w:r w:rsidRPr="00DC5884">
        <w:rPr>
          <w:rFonts w:eastAsia="Calibri" w:cs="Times New Roman"/>
          <w:szCs w:val="22"/>
        </w:rPr>
        <w:t xml:space="preserve"> standards (expressed as water-intensity values). These are shown as a set of horizontal lines:</w:t>
      </w:r>
    </w:p>
    <w:p w14:paraId="3DC08761" w14:textId="78E4FEA9" w:rsidR="00457AEB" w:rsidRDefault="00091E59" w:rsidP="004E26AE">
      <w:pPr>
        <w:pStyle w:val="ListParagraph"/>
        <w:numPr>
          <w:ilvl w:val="1"/>
          <w:numId w:val="43"/>
        </w:numPr>
      </w:pPr>
      <w:r>
        <w:lastRenderedPageBreak/>
        <w:t>‘</w:t>
      </w:r>
      <w:r w:rsidR="00457AEB">
        <w:t>USEPA std</w:t>
      </w:r>
      <w:r>
        <w:t>’</w:t>
      </w:r>
      <w:r w:rsidR="00457AEB">
        <w:t xml:space="preserve">: for a CIM to qualify for the </w:t>
      </w:r>
      <w:bookmarkStart w:id="134" w:name="_Hlk191550782"/>
      <w:r w:rsidR="00457AEB">
        <w:t xml:space="preserve">USEPA’s Energy Star certification </w:t>
      </w:r>
      <w:bookmarkEnd w:id="134"/>
      <w:r w:rsidR="00457AEB">
        <w:t>its potable water-intensity use must be at or below this value.</w:t>
      </w:r>
    </w:p>
    <w:p w14:paraId="2E083133" w14:textId="0025AF1B" w:rsidR="0001274A" w:rsidRDefault="00091E59" w:rsidP="004E26AE">
      <w:pPr>
        <w:pStyle w:val="ListParagraph"/>
        <w:numPr>
          <w:ilvl w:val="1"/>
          <w:numId w:val="43"/>
        </w:numPr>
      </w:pPr>
      <w:r>
        <w:t>‘</w:t>
      </w:r>
      <w:r w:rsidR="00457AEB">
        <w:t>USEPA Max (2024)</w:t>
      </w:r>
      <w:r>
        <w:t>’</w:t>
      </w:r>
      <w:r w:rsidR="00457AEB">
        <w:t xml:space="preserve">: the highest declared water-intensity value by any </w:t>
      </w:r>
      <w:r w:rsidR="00457AEB" w:rsidRPr="00457AEB">
        <w:t>Energy Star certifi</w:t>
      </w:r>
      <w:r w:rsidR="00457AEB">
        <w:t xml:space="preserve">ed CIM (of that class) at the end of 2024 (see Appendix </w:t>
      </w:r>
      <w:r w:rsidR="00AD011D">
        <w:t>C</w:t>
      </w:r>
      <w:r w:rsidR="00457AEB">
        <w:t>).</w:t>
      </w:r>
    </w:p>
    <w:p w14:paraId="67BDCA89" w14:textId="176F0CD1" w:rsidR="00457AEB" w:rsidRDefault="00091E59" w:rsidP="004E26AE">
      <w:pPr>
        <w:pStyle w:val="ListParagraph"/>
        <w:numPr>
          <w:ilvl w:val="1"/>
          <w:numId w:val="43"/>
        </w:numPr>
      </w:pPr>
      <w:r>
        <w:t>‘</w:t>
      </w:r>
      <w:r w:rsidR="00457AEB" w:rsidRPr="00457AEB">
        <w:t xml:space="preserve">USEPA </w:t>
      </w:r>
      <w:r w:rsidR="00457AEB">
        <w:t xml:space="preserve">Min </w:t>
      </w:r>
      <w:r w:rsidR="00457AEB" w:rsidRPr="00457AEB">
        <w:t>(2024)</w:t>
      </w:r>
      <w:r>
        <w:t>’</w:t>
      </w:r>
      <w:r w:rsidR="00457AEB" w:rsidRPr="00457AEB">
        <w:t>:</w:t>
      </w:r>
      <w:r w:rsidR="00457AEB">
        <w:t xml:space="preserve"> </w:t>
      </w:r>
      <w:r w:rsidR="00457AEB" w:rsidRPr="00457AEB">
        <w:t xml:space="preserve">the </w:t>
      </w:r>
      <w:r w:rsidR="00457AEB">
        <w:t xml:space="preserve">lowest </w:t>
      </w:r>
      <w:r w:rsidR="00457AEB" w:rsidRPr="00457AEB">
        <w:t xml:space="preserve">declared water-intensity value by any Energy Star certified CIM (of that class) at the end of 2024 (see Appendix </w:t>
      </w:r>
      <w:r w:rsidR="00AD011D">
        <w:t>C</w:t>
      </w:r>
      <w:r w:rsidR="00457AEB" w:rsidRPr="00457AEB">
        <w:t>).</w:t>
      </w:r>
    </w:p>
    <w:p w14:paraId="1CA50104" w14:textId="5F4591C8" w:rsidR="00457AEB" w:rsidRDefault="00091E59" w:rsidP="004E26AE">
      <w:pPr>
        <w:pStyle w:val="ListParagraph"/>
        <w:numPr>
          <w:ilvl w:val="1"/>
          <w:numId w:val="43"/>
        </w:numPr>
      </w:pPr>
      <w:r>
        <w:t>‘</w:t>
      </w:r>
      <w:r w:rsidR="00457AEB" w:rsidRPr="00457AEB">
        <w:t xml:space="preserve">USEPA </w:t>
      </w:r>
      <w:r w:rsidR="00457AEB">
        <w:t xml:space="preserve">Avg </w:t>
      </w:r>
      <w:r w:rsidR="00457AEB" w:rsidRPr="00457AEB">
        <w:t>(2024)</w:t>
      </w:r>
      <w:r>
        <w:t>’</w:t>
      </w:r>
      <w:r w:rsidR="00457AEB" w:rsidRPr="00457AEB">
        <w:t>:</w:t>
      </w:r>
      <w:r w:rsidR="00457AEB">
        <w:t xml:space="preserve"> </w:t>
      </w:r>
      <w:r w:rsidR="00457AEB" w:rsidRPr="00457AEB">
        <w:t xml:space="preserve">the </w:t>
      </w:r>
      <w:r w:rsidR="00457AEB">
        <w:t xml:space="preserve">average </w:t>
      </w:r>
      <w:r w:rsidR="00457AEB" w:rsidRPr="00457AEB">
        <w:t xml:space="preserve">declared water-intensity value by </w:t>
      </w:r>
      <w:r w:rsidR="00457AEB">
        <w:t xml:space="preserve">all </w:t>
      </w:r>
      <w:r w:rsidR="00457AEB" w:rsidRPr="00457AEB">
        <w:t>Energy Star certified CIM</w:t>
      </w:r>
      <w:r w:rsidR="00457AEB">
        <w:t>s</w:t>
      </w:r>
      <w:r w:rsidR="00457AEB" w:rsidRPr="00457AEB">
        <w:t xml:space="preserve"> (of that class) at the end of 2024 (see Appendix </w:t>
      </w:r>
      <w:r w:rsidR="00AD011D">
        <w:t>C</w:t>
      </w:r>
      <w:r w:rsidR="00457AEB" w:rsidRPr="00457AEB">
        <w:t>).</w:t>
      </w:r>
    </w:p>
    <w:p w14:paraId="6FFC51CD" w14:textId="209D084D" w:rsidR="009B0A38" w:rsidRDefault="00091E59" w:rsidP="004E26AE">
      <w:pPr>
        <w:pStyle w:val="ListParagraph"/>
        <w:numPr>
          <w:ilvl w:val="1"/>
          <w:numId w:val="43"/>
        </w:numPr>
      </w:pPr>
      <w:r>
        <w:t>‘</w:t>
      </w:r>
      <w:r w:rsidR="00457AEB">
        <w:t>Opt</w:t>
      </w:r>
      <w:r w:rsidR="006E586F">
        <w:t>ion</w:t>
      </w:r>
      <w:r w:rsidR="00457AEB">
        <w:t xml:space="preserve"> 4</w:t>
      </w:r>
      <w:r w:rsidR="009B0A38">
        <w:t>B</w:t>
      </w:r>
      <w:r w:rsidR="00457AEB">
        <w:t xml:space="preserve"> WELS Std</w:t>
      </w:r>
      <w:r>
        <w:t>’</w:t>
      </w:r>
      <w:r w:rsidR="00457AEB">
        <w:t xml:space="preserve">: this </w:t>
      </w:r>
      <w:r w:rsidR="009B0A38">
        <w:t xml:space="preserve">proposed mandatory </w:t>
      </w:r>
      <w:r w:rsidR="00457AEB">
        <w:t>value</w:t>
      </w:r>
      <w:r w:rsidR="009B0A38">
        <w:t xml:space="preserve"> is </w:t>
      </w:r>
      <w:r w:rsidR="00457AEB">
        <w:t xml:space="preserve">less </w:t>
      </w:r>
      <w:r w:rsidR="009B0A38">
        <w:t>stringent (i.e. more conservative) than the USEPA standard, because it would be based on very little data on the Australian product range.</w:t>
      </w:r>
    </w:p>
    <w:p w14:paraId="0D88171F" w14:textId="0FB46CDD" w:rsidR="009B0A38" w:rsidRPr="009B0A38" w:rsidRDefault="00091E59" w:rsidP="004E26AE">
      <w:pPr>
        <w:pStyle w:val="ListParagraph"/>
        <w:numPr>
          <w:ilvl w:val="1"/>
          <w:numId w:val="43"/>
        </w:numPr>
      </w:pPr>
      <w:r>
        <w:t>‘</w:t>
      </w:r>
      <w:r w:rsidR="009B0A38">
        <w:t>Opt</w:t>
      </w:r>
      <w:r w:rsidR="006E586F">
        <w:t>ion</w:t>
      </w:r>
      <w:r w:rsidR="009B0A38">
        <w:t xml:space="preserve"> 4A WELS Std: </w:t>
      </w:r>
      <w:r w:rsidR="009B0A38" w:rsidRPr="009B0A38">
        <w:t xml:space="preserve">this </w:t>
      </w:r>
      <w:r w:rsidR="009B0A38">
        <w:t xml:space="preserve">proposed mandatory </w:t>
      </w:r>
      <w:r w:rsidR="009B0A38" w:rsidRPr="009B0A38">
        <w:t xml:space="preserve">value is </w:t>
      </w:r>
      <w:r w:rsidR="009B0A38">
        <w:t xml:space="preserve">more </w:t>
      </w:r>
      <w:r w:rsidR="009B0A38" w:rsidRPr="009B0A38">
        <w:t xml:space="preserve">stringent </w:t>
      </w:r>
      <w:r w:rsidR="009B0A38">
        <w:t>than Opt</w:t>
      </w:r>
      <w:r w:rsidR="006E586F">
        <w:t>ion</w:t>
      </w:r>
      <w:r w:rsidR="009B0A38">
        <w:t xml:space="preserve"> 4B WELS Std </w:t>
      </w:r>
      <w:r w:rsidR="009B0A38" w:rsidRPr="009B0A38">
        <w:t xml:space="preserve">(i.e. </w:t>
      </w:r>
      <w:r w:rsidR="009B0A38">
        <w:t xml:space="preserve">less </w:t>
      </w:r>
      <w:r w:rsidR="009B0A38" w:rsidRPr="009B0A38">
        <w:t xml:space="preserve">conservative) because it </w:t>
      </w:r>
      <w:r w:rsidR="009B0A38">
        <w:t xml:space="preserve">would be </w:t>
      </w:r>
      <w:r w:rsidR="009B0A38" w:rsidRPr="009B0A38">
        <w:t xml:space="preserve">based on </w:t>
      </w:r>
      <w:r w:rsidR="009B0A38">
        <w:t xml:space="preserve">complete </w:t>
      </w:r>
      <w:r w:rsidR="009B0A38" w:rsidRPr="009B0A38">
        <w:t>data on the Australian product range.</w:t>
      </w:r>
    </w:p>
    <w:p w14:paraId="7E9A9DAF" w14:textId="2B8C4FDD" w:rsidR="001D5FF3" w:rsidRPr="00DC5884" w:rsidRDefault="009B0A38"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Under the mandatory standards options, all products must meet the standard by the prescribed date but are free to better it, and indeed encouraged to do so under the influence of WELS labelling. </w:t>
      </w:r>
      <w:r w:rsidR="006E586F" w:rsidRPr="00DC5884">
        <w:rPr>
          <w:rFonts w:eastAsia="Calibri" w:cs="Times New Roman"/>
          <w:szCs w:val="22"/>
        </w:rPr>
        <w:t>‘</w:t>
      </w:r>
      <w:r w:rsidRPr="00DC5884">
        <w:rPr>
          <w:rFonts w:eastAsia="Calibri" w:cs="Times New Roman"/>
          <w:szCs w:val="22"/>
        </w:rPr>
        <w:t>Opt</w:t>
      </w:r>
      <w:r w:rsidR="006E586F" w:rsidRPr="00DC5884">
        <w:rPr>
          <w:rFonts w:eastAsia="Calibri" w:cs="Times New Roman"/>
          <w:szCs w:val="22"/>
        </w:rPr>
        <w:t>ion</w:t>
      </w:r>
      <w:r w:rsidRPr="00DC5884">
        <w:rPr>
          <w:rFonts w:eastAsia="Calibri" w:cs="Times New Roman"/>
          <w:szCs w:val="22"/>
        </w:rPr>
        <w:t xml:space="preserve"> 4A Avg</w:t>
      </w:r>
      <w:r w:rsidR="006E586F" w:rsidRPr="00DC5884">
        <w:rPr>
          <w:rFonts w:eastAsia="Calibri" w:cs="Times New Roman"/>
          <w:szCs w:val="22"/>
        </w:rPr>
        <w:t>’</w:t>
      </w:r>
      <w:r w:rsidRPr="00DC5884">
        <w:rPr>
          <w:rFonts w:eastAsia="Calibri" w:cs="Times New Roman"/>
          <w:szCs w:val="22"/>
        </w:rPr>
        <w:t xml:space="preserve"> and </w:t>
      </w:r>
      <w:r w:rsidR="006E586F" w:rsidRPr="00DC5884">
        <w:rPr>
          <w:rFonts w:eastAsia="Calibri" w:cs="Times New Roman"/>
          <w:szCs w:val="22"/>
        </w:rPr>
        <w:t>‘</w:t>
      </w:r>
      <w:r w:rsidRPr="00DC5884">
        <w:rPr>
          <w:rFonts w:eastAsia="Calibri" w:cs="Times New Roman"/>
          <w:szCs w:val="22"/>
        </w:rPr>
        <w:t>Opt</w:t>
      </w:r>
      <w:r w:rsidR="006E586F" w:rsidRPr="00DC5884">
        <w:rPr>
          <w:rFonts w:eastAsia="Calibri" w:cs="Times New Roman"/>
          <w:szCs w:val="22"/>
        </w:rPr>
        <w:t>ion</w:t>
      </w:r>
      <w:r w:rsidRPr="00DC5884">
        <w:rPr>
          <w:rFonts w:eastAsia="Calibri" w:cs="Times New Roman"/>
          <w:szCs w:val="22"/>
        </w:rPr>
        <w:t xml:space="preserve"> 4B Avg</w:t>
      </w:r>
      <w:r w:rsidR="006E586F" w:rsidRPr="00DC5884">
        <w:rPr>
          <w:rFonts w:eastAsia="Calibri" w:cs="Times New Roman"/>
          <w:szCs w:val="22"/>
        </w:rPr>
        <w:t>’</w:t>
      </w:r>
      <w:r w:rsidRPr="00DC5884">
        <w:rPr>
          <w:rFonts w:eastAsia="Calibri" w:cs="Times New Roman"/>
          <w:szCs w:val="22"/>
        </w:rPr>
        <w:t xml:space="preserve"> show these trends.</w:t>
      </w:r>
    </w:p>
    <w:p w14:paraId="783E11C6" w14:textId="4F3ACC89" w:rsidR="00B21139" w:rsidRDefault="008D46BF" w:rsidP="007550AB">
      <w:r>
        <w:t xml:space="preserve">For continuous production CIMS (e.g. </w:t>
      </w:r>
      <w:r>
        <w:fldChar w:fldCharType="begin"/>
      </w:r>
      <w:r>
        <w:instrText xml:space="preserve"> REF _Ref191551809 \h </w:instrText>
      </w:r>
      <w:r>
        <w:fldChar w:fldCharType="separate"/>
      </w:r>
      <w:r w:rsidR="002271EC">
        <w:t xml:space="preserve">Figure </w:t>
      </w:r>
      <w:r w:rsidR="002271EC">
        <w:rPr>
          <w:noProof/>
        </w:rPr>
        <w:t>14</w:t>
      </w:r>
      <w:r>
        <w:fldChar w:fldCharType="end"/>
      </w:r>
      <w:r>
        <w:t>) the potable water-intensity range is much narrower than for batch products. The existing water-intensity range in the Australian market is probably already below the USEPA standard and there is less scope for further improvement.</w:t>
      </w:r>
    </w:p>
    <w:p w14:paraId="2EC7D807" w14:textId="6587ED19" w:rsidR="008E654F" w:rsidRDefault="008D46BF" w:rsidP="007550AB">
      <w:r>
        <w:fldChar w:fldCharType="begin"/>
      </w:r>
      <w:r>
        <w:instrText xml:space="preserve"> REF _Ref191552321 \h </w:instrText>
      </w:r>
      <w:r>
        <w:fldChar w:fldCharType="separate"/>
      </w:r>
      <w:r w:rsidR="002271EC">
        <w:t xml:space="preserve">Figure </w:t>
      </w:r>
      <w:r w:rsidR="002271EC">
        <w:rPr>
          <w:noProof/>
        </w:rPr>
        <w:t>15</w:t>
      </w:r>
      <w:r>
        <w:fldChar w:fldCharType="end"/>
      </w:r>
      <w:r>
        <w:t xml:space="preserve"> and </w:t>
      </w:r>
      <w:r>
        <w:fldChar w:fldCharType="begin"/>
      </w:r>
      <w:r>
        <w:instrText xml:space="preserve"> REF _Ref191552323 \h </w:instrText>
      </w:r>
      <w:r>
        <w:fldChar w:fldCharType="separate"/>
      </w:r>
      <w:r w:rsidR="002271EC">
        <w:t xml:space="preserve">Figure </w:t>
      </w:r>
      <w:r w:rsidR="002271EC">
        <w:rPr>
          <w:noProof/>
        </w:rPr>
        <w:t>16</w:t>
      </w:r>
      <w:r>
        <w:fldChar w:fldCharType="end"/>
      </w:r>
      <w:r>
        <w:t xml:space="preserve"> show the </w:t>
      </w:r>
      <w:r w:rsidR="00D228AE">
        <w:t xml:space="preserve">equivalent cooling </w:t>
      </w:r>
      <w:r w:rsidR="00CE59EF">
        <w:t>water efficiency</w:t>
      </w:r>
      <w:r w:rsidR="00D228AE">
        <w:t xml:space="preserve"> projections for water-cooled IMH models. The L/kg values are much higher, and the reference standards on the diagrams are USDOE rather than USEPA (the USDOE sets cooling water standards, while the USEPA sets potable water standards).</w:t>
      </w:r>
    </w:p>
    <w:p w14:paraId="5D0BF070" w14:textId="77777777" w:rsidR="008E654F" w:rsidRDefault="008E654F">
      <w:pPr>
        <w:spacing w:after="200" w:line="288" w:lineRule="auto"/>
        <w:jc w:val="left"/>
      </w:pPr>
      <w:r>
        <w:br w:type="page"/>
      </w:r>
    </w:p>
    <w:p w14:paraId="4748DC97" w14:textId="6EDFD94D" w:rsidR="00B21139" w:rsidRDefault="007658BC" w:rsidP="007658BC">
      <w:pPr>
        <w:pStyle w:val="Caption"/>
        <w:jc w:val="center"/>
      </w:pPr>
      <w:bookmarkStart w:id="135" w:name="_Toc196745475"/>
      <w:bookmarkStart w:id="136" w:name="_Hlk191547700"/>
      <w:r>
        <w:lastRenderedPageBreak/>
        <w:t xml:space="preserve">Figure </w:t>
      </w:r>
      <w:r w:rsidR="0042496D">
        <w:fldChar w:fldCharType="begin"/>
      </w:r>
      <w:r w:rsidR="0042496D">
        <w:instrText xml:space="preserve"> SEQ Figure \* ARABIC </w:instrText>
      </w:r>
      <w:r w:rsidR="0042496D">
        <w:fldChar w:fldCharType="separate"/>
      </w:r>
      <w:r w:rsidR="002271EC">
        <w:rPr>
          <w:noProof/>
        </w:rPr>
        <w:t>13</w:t>
      </w:r>
      <w:r w:rsidR="0042496D">
        <w:rPr>
          <w:noProof/>
        </w:rPr>
        <w:fldChar w:fldCharType="end"/>
      </w:r>
      <w:r>
        <w:t xml:space="preserve"> Projected water-intensity trends for IMH-Air-Batch CIMs</w:t>
      </w:r>
      <w:bookmarkEnd w:id="135"/>
    </w:p>
    <w:bookmarkEnd w:id="136"/>
    <w:p w14:paraId="1DC619B1" w14:textId="7421A870" w:rsidR="007658BC" w:rsidRDefault="007658BC" w:rsidP="007658BC">
      <w:pPr>
        <w:jc w:val="center"/>
      </w:pPr>
      <w:r>
        <w:rPr>
          <w:noProof/>
        </w:rPr>
        <w:drawing>
          <wp:inline distT="0" distB="0" distL="0" distR="0" wp14:anchorId="68E976A1" wp14:editId="044CDF71">
            <wp:extent cx="4838700" cy="3515252"/>
            <wp:effectExtent l="19050" t="19050" r="19050" b="28575"/>
            <wp:docPr id="30" name="Picture 30" descr="Line chart showing projected trends in the litres of potable water per kilogram of ice made under each WELS option, for air cooled batch production ice maker heads.  Also shows USA standards for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61080" cy="3531510"/>
                    </a:xfrm>
                    <a:prstGeom prst="rect">
                      <a:avLst/>
                    </a:prstGeom>
                    <a:noFill/>
                    <a:ln>
                      <a:solidFill>
                        <a:schemeClr val="accent1"/>
                      </a:solidFill>
                    </a:ln>
                  </pic:spPr>
                </pic:pic>
              </a:graphicData>
            </a:graphic>
          </wp:inline>
        </w:drawing>
      </w:r>
    </w:p>
    <w:p w14:paraId="60EE7609" w14:textId="77777777" w:rsidR="00E25C47" w:rsidRPr="007658BC" w:rsidRDefault="00E25C47" w:rsidP="007658BC">
      <w:pPr>
        <w:jc w:val="center"/>
      </w:pPr>
    </w:p>
    <w:p w14:paraId="24626E56" w14:textId="1051B1E5" w:rsidR="00B21139" w:rsidRDefault="00645ACD" w:rsidP="00645ACD">
      <w:pPr>
        <w:pStyle w:val="Caption"/>
        <w:jc w:val="center"/>
      </w:pPr>
      <w:bookmarkStart w:id="137" w:name="_Ref191551809"/>
      <w:bookmarkStart w:id="138" w:name="_Toc196745476"/>
      <w:r>
        <w:t xml:space="preserve">Figure </w:t>
      </w:r>
      <w:r w:rsidR="0042496D">
        <w:fldChar w:fldCharType="begin"/>
      </w:r>
      <w:r w:rsidR="0042496D">
        <w:instrText xml:space="preserve"> SEQ Figure \* ARABIC </w:instrText>
      </w:r>
      <w:r w:rsidR="0042496D">
        <w:fldChar w:fldCharType="separate"/>
      </w:r>
      <w:r w:rsidR="002271EC">
        <w:rPr>
          <w:noProof/>
        </w:rPr>
        <w:t>14</w:t>
      </w:r>
      <w:r w:rsidR="0042496D">
        <w:rPr>
          <w:noProof/>
        </w:rPr>
        <w:fldChar w:fldCharType="end"/>
      </w:r>
      <w:bookmarkEnd w:id="137"/>
      <w:r w:rsidRPr="00645ACD">
        <w:t xml:space="preserve"> </w:t>
      </w:r>
      <w:bookmarkStart w:id="139" w:name="_Hlk191547477"/>
      <w:r w:rsidRPr="00645ACD">
        <w:t>Projected water-intensity trends for IMH-Air-</w:t>
      </w:r>
      <w:r>
        <w:t>Cont</w:t>
      </w:r>
      <w:r w:rsidRPr="00645ACD">
        <w:t xml:space="preserve"> CIMS</w:t>
      </w:r>
      <w:bookmarkEnd w:id="138"/>
    </w:p>
    <w:bookmarkEnd w:id="139"/>
    <w:p w14:paraId="6CAB0186" w14:textId="402005F7" w:rsidR="00645ACD" w:rsidRDefault="00645ACD" w:rsidP="00645ACD">
      <w:pPr>
        <w:jc w:val="center"/>
      </w:pPr>
      <w:r>
        <w:rPr>
          <w:noProof/>
        </w:rPr>
        <w:drawing>
          <wp:inline distT="0" distB="0" distL="0" distR="0" wp14:anchorId="74B7F325" wp14:editId="59D2BA96">
            <wp:extent cx="4798641" cy="3486150"/>
            <wp:effectExtent l="19050" t="19050" r="21590" b="19050"/>
            <wp:docPr id="1" name="Picture 1" descr="Line chart showing projected trends in the litres of potable water per kilogram of ice made under each WELS option, for air cooled continuous production ice maker head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18489" cy="3500570"/>
                    </a:xfrm>
                    <a:prstGeom prst="rect">
                      <a:avLst/>
                    </a:prstGeom>
                    <a:noFill/>
                    <a:ln>
                      <a:solidFill>
                        <a:schemeClr val="accent1"/>
                      </a:solidFill>
                    </a:ln>
                  </pic:spPr>
                </pic:pic>
              </a:graphicData>
            </a:graphic>
          </wp:inline>
        </w:drawing>
      </w:r>
    </w:p>
    <w:p w14:paraId="301A7DA0" w14:textId="2E13DE84" w:rsidR="008E654F" w:rsidRDefault="008E654F">
      <w:pPr>
        <w:spacing w:after="200" w:line="288" w:lineRule="auto"/>
        <w:jc w:val="left"/>
      </w:pPr>
      <w:r>
        <w:br w:type="page"/>
      </w:r>
    </w:p>
    <w:p w14:paraId="0BB3A0D9" w14:textId="55897BEF" w:rsidR="00645ACD" w:rsidRDefault="00645ACD" w:rsidP="00CD141A">
      <w:pPr>
        <w:pStyle w:val="Caption"/>
        <w:jc w:val="center"/>
      </w:pPr>
      <w:bookmarkStart w:id="140" w:name="_Ref191552321"/>
      <w:bookmarkStart w:id="141" w:name="_Toc196745477"/>
      <w:r>
        <w:lastRenderedPageBreak/>
        <w:t xml:space="preserve">Figure </w:t>
      </w:r>
      <w:r w:rsidR="0042496D">
        <w:fldChar w:fldCharType="begin"/>
      </w:r>
      <w:r w:rsidR="0042496D">
        <w:instrText xml:space="preserve"> SEQ Figure \* ARABIC </w:instrText>
      </w:r>
      <w:r w:rsidR="0042496D">
        <w:fldChar w:fldCharType="separate"/>
      </w:r>
      <w:r w:rsidR="002271EC">
        <w:rPr>
          <w:noProof/>
        </w:rPr>
        <w:t>15</w:t>
      </w:r>
      <w:r w:rsidR="0042496D">
        <w:rPr>
          <w:noProof/>
        </w:rPr>
        <w:fldChar w:fldCharType="end"/>
      </w:r>
      <w:bookmarkEnd w:id="140"/>
      <w:r w:rsidRPr="00645ACD">
        <w:rPr>
          <w:b w:val="0"/>
          <w:bCs w:val="0"/>
          <w:smallCaps w:val="0"/>
        </w:rPr>
        <w:t xml:space="preserve"> </w:t>
      </w:r>
      <w:r w:rsidRPr="00645ACD">
        <w:t xml:space="preserve">Projected </w:t>
      </w:r>
      <w:r w:rsidR="00CD141A">
        <w:t xml:space="preserve">cooling </w:t>
      </w:r>
      <w:r w:rsidRPr="00645ACD">
        <w:t>water-intensity trends for IMH-</w:t>
      </w:r>
      <w:r w:rsidR="00CD141A">
        <w:t>Water</w:t>
      </w:r>
      <w:r w:rsidRPr="00645ACD">
        <w:t>-</w:t>
      </w:r>
      <w:r w:rsidR="00CD141A">
        <w:t xml:space="preserve">Batch </w:t>
      </w:r>
      <w:r w:rsidRPr="00645ACD">
        <w:t>CIMS</w:t>
      </w:r>
      <w:bookmarkEnd w:id="141"/>
    </w:p>
    <w:p w14:paraId="152769A4" w14:textId="23161E1F" w:rsidR="00645ACD" w:rsidRDefault="00645ACD" w:rsidP="00CD141A">
      <w:pPr>
        <w:jc w:val="center"/>
      </w:pPr>
      <w:r>
        <w:rPr>
          <w:noProof/>
        </w:rPr>
        <w:drawing>
          <wp:inline distT="0" distB="0" distL="0" distR="0" wp14:anchorId="1DB39D07" wp14:editId="310CF9AA">
            <wp:extent cx="4876800" cy="3542933"/>
            <wp:effectExtent l="19050" t="19050" r="19050" b="19685"/>
            <wp:docPr id="31" name="Picture 31" descr="Line chart showing projected trends in the litres of cooling water per kilogram of ice made under each WELS option, for water cooled batch production ice maker head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96378" cy="3557156"/>
                    </a:xfrm>
                    <a:prstGeom prst="rect">
                      <a:avLst/>
                    </a:prstGeom>
                    <a:noFill/>
                    <a:ln>
                      <a:solidFill>
                        <a:schemeClr val="accent1"/>
                      </a:solidFill>
                    </a:ln>
                  </pic:spPr>
                </pic:pic>
              </a:graphicData>
            </a:graphic>
          </wp:inline>
        </w:drawing>
      </w:r>
    </w:p>
    <w:p w14:paraId="4F5D0B37" w14:textId="77777777" w:rsidR="00815FAF" w:rsidRPr="00645ACD" w:rsidRDefault="00815FAF" w:rsidP="00CD141A">
      <w:pPr>
        <w:jc w:val="center"/>
      </w:pPr>
    </w:p>
    <w:p w14:paraId="27E5659C" w14:textId="686C4513" w:rsidR="00CD141A" w:rsidRPr="00CD141A" w:rsidRDefault="00CD141A" w:rsidP="00CD141A">
      <w:pPr>
        <w:pStyle w:val="Caption"/>
        <w:jc w:val="center"/>
      </w:pPr>
      <w:bookmarkStart w:id="142" w:name="_Ref191552323"/>
      <w:bookmarkStart w:id="143" w:name="_Toc196745478"/>
      <w:r>
        <w:t xml:space="preserve">Figure </w:t>
      </w:r>
      <w:r w:rsidR="0042496D">
        <w:fldChar w:fldCharType="begin"/>
      </w:r>
      <w:r w:rsidR="0042496D">
        <w:instrText xml:space="preserve"> SEQ Figure \* ARABIC </w:instrText>
      </w:r>
      <w:r w:rsidR="0042496D">
        <w:fldChar w:fldCharType="separate"/>
      </w:r>
      <w:r w:rsidR="002271EC">
        <w:rPr>
          <w:noProof/>
        </w:rPr>
        <w:t>16</w:t>
      </w:r>
      <w:r w:rsidR="0042496D">
        <w:rPr>
          <w:noProof/>
        </w:rPr>
        <w:fldChar w:fldCharType="end"/>
      </w:r>
      <w:bookmarkEnd w:id="142"/>
      <w:r>
        <w:t xml:space="preserve"> </w:t>
      </w:r>
      <w:r w:rsidRPr="00CD141A">
        <w:t>Projected cooling water-intensity trends for IMH-Water-</w:t>
      </w:r>
      <w:r>
        <w:t>Cont</w:t>
      </w:r>
      <w:r w:rsidRPr="00CD141A">
        <w:t xml:space="preserve"> CIMS</w:t>
      </w:r>
      <w:bookmarkEnd w:id="143"/>
    </w:p>
    <w:p w14:paraId="5F7CDD0F" w14:textId="70C35647" w:rsidR="00645ACD" w:rsidRDefault="00CD141A" w:rsidP="00CD141A">
      <w:pPr>
        <w:pStyle w:val="Caption"/>
        <w:jc w:val="center"/>
      </w:pPr>
      <w:r>
        <w:rPr>
          <w:noProof/>
        </w:rPr>
        <w:drawing>
          <wp:inline distT="0" distB="0" distL="0" distR="0" wp14:anchorId="482E35B5" wp14:editId="5443331E">
            <wp:extent cx="4890418" cy="3552825"/>
            <wp:effectExtent l="19050" t="19050" r="24765" b="9525"/>
            <wp:docPr id="32" name="Picture 32" descr="Line chart showing projected trends in the litres of cooling potable water per kilogram of ice made under each WELS option, for water cooled continuous production ice maker head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2868" cy="3569135"/>
                    </a:xfrm>
                    <a:prstGeom prst="rect">
                      <a:avLst/>
                    </a:prstGeom>
                    <a:noFill/>
                    <a:ln>
                      <a:solidFill>
                        <a:schemeClr val="accent1"/>
                      </a:solidFill>
                    </a:ln>
                  </pic:spPr>
                </pic:pic>
              </a:graphicData>
            </a:graphic>
          </wp:inline>
        </w:drawing>
      </w:r>
    </w:p>
    <w:p w14:paraId="33426D2D" w14:textId="68A4A913" w:rsidR="00CD141A" w:rsidRDefault="00CD141A" w:rsidP="00CD141A">
      <w:pPr>
        <w:pStyle w:val="Caption"/>
        <w:jc w:val="center"/>
      </w:pPr>
      <w:bookmarkStart w:id="144" w:name="_Ref191548895"/>
      <w:bookmarkStart w:id="145" w:name="_Toc196745479"/>
      <w:r>
        <w:lastRenderedPageBreak/>
        <w:t xml:space="preserve">Figure </w:t>
      </w:r>
      <w:r w:rsidR="0042496D">
        <w:fldChar w:fldCharType="begin"/>
      </w:r>
      <w:r w:rsidR="0042496D">
        <w:instrText xml:space="preserve"> SEQ Figure \* ARABIC </w:instrText>
      </w:r>
      <w:r w:rsidR="0042496D">
        <w:fldChar w:fldCharType="separate"/>
      </w:r>
      <w:r w:rsidR="002271EC">
        <w:rPr>
          <w:noProof/>
        </w:rPr>
        <w:t>17</w:t>
      </w:r>
      <w:r w:rsidR="0042496D">
        <w:rPr>
          <w:noProof/>
        </w:rPr>
        <w:fldChar w:fldCharType="end"/>
      </w:r>
      <w:bookmarkEnd w:id="144"/>
      <w:r>
        <w:t xml:space="preserve"> </w:t>
      </w:r>
      <w:bookmarkStart w:id="146" w:name="_Hlk191547768"/>
      <w:r>
        <w:t>Projected water-intensity trends for SCU-Air-Batch CIMs</w:t>
      </w:r>
      <w:bookmarkEnd w:id="145"/>
    </w:p>
    <w:bookmarkEnd w:id="146"/>
    <w:p w14:paraId="058D704F" w14:textId="45E21F5E" w:rsidR="00645ACD" w:rsidRDefault="00CD141A" w:rsidP="00CD141A">
      <w:pPr>
        <w:jc w:val="center"/>
      </w:pPr>
      <w:r>
        <w:rPr>
          <w:noProof/>
        </w:rPr>
        <w:drawing>
          <wp:inline distT="0" distB="0" distL="0" distR="0" wp14:anchorId="23CEE654" wp14:editId="2807F4B3">
            <wp:extent cx="5139527" cy="3733800"/>
            <wp:effectExtent l="19050" t="19050" r="23495" b="19050"/>
            <wp:docPr id="35" name="Picture 35" descr="Line chart showing projected trends in the litres of potable water per kilogram of ice made under each WELS option, for air cooled batch production self contained unit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4381" cy="3751856"/>
                    </a:xfrm>
                    <a:prstGeom prst="rect">
                      <a:avLst/>
                    </a:prstGeom>
                    <a:noFill/>
                    <a:ln>
                      <a:solidFill>
                        <a:schemeClr val="accent1"/>
                      </a:solidFill>
                    </a:ln>
                  </pic:spPr>
                </pic:pic>
              </a:graphicData>
            </a:graphic>
          </wp:inline>
        </w:drawing>
      </w:r>
    </w:p>
    <w:p w14:paraId="5C998E79" w14:textId="508FE632" w:rsidR="00CD141A" w:rsidRDefault="00CD141A" w:rsidP="00CD141A">
      <w:pPr>
        <w:pStyle w:val="Caption"/>
        <w:jc w:val="center"/>
      </w:pPr>
      <w:bookmarkStart w:id="147" w:name="_Ref191551797"/>
      <w:bookmarkStart w:id="148" w:name="_Toc196745480"/>
      <w:r>
        <w:t xml:space="preserve">Figure </w:t>
      </w:r>
      <w:r w:rsidR="0042496D">
        <w:fldChar w:fldCharType="begin"/>
      </w:r>
      <w:r w:rsidR="0042496D">
        <w:instrText xml:space="preserve"> SEQ Figure \* ARABIC </w:instrText>
      </w:r>
      <w:r w:rsidR="0042496D">
        <w:fldChar w:fldCharType="separate"/>
      </w:r>
      <w:r w:rsidR="002271EC">
        <w:rPr>
          <w:noProof/>
        </w:rPr>
        <w:t>18</w:t>
      </w:r>
      <w:r w:rsidR="0042496D">
        <w:rPr>
          <w:noProof/>
        </w:rPr>
        <w:fldChar w:fldCharType="end"/>
      </w:r>
      <w:bookmarkEnd w:id="147"/>
      <w:r>
        <w:t xml:space="preserve"> Projected water-intensity trends for SCU-Air-Cont CIMs</w:t>
      </w:r>
      <w:bookmarkEnd w:id="148"/>
    </w:p>
    <w:p w14:paraId="6FAC7CB7" w14:textId="1E91F41D" w:rsidR="00645ACD" w:rsidRDefault="00CD141A" w:rsidP="00CD141A">
      <w:pPr>
        <w:pStyle w:val="Caption"/>
        <w:jc w:val="center"/>
      </w:pPr>
      <w:r>
        <w:rPr>
          <w:noProof/>
        </w:rPr>
        <w:drawing>
          <wp:inline distT="0" distB="0" distL="0" distR="0" wp14:anchorId="5E2B48B1" wp14:editId="12AD93B3">
            <wp:extent cx="5073973" cy="3686175"/>
            <wp:effectExtent l="19050" t="19050" r="12700" b="9525"/>
            <wp:docPr id="36" name="Picture 36" descr="Line chart showing projected trends in the litres of potable water per kilogram of ice made under each WELS option, for air cooled continuous production self contained unit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81460" cy="3691615"/>
                    </a:xfrm>
                    <a:prstGeom prst="rect">
                      <a:avLst/>
                    </a:prstGeom>
                    <a:noFill/>
                    <a:ln>
                      <a:solidFill>
                        <a:schemeClr val="accent1"/>
                      </a:solidFill>
                    </a:ln>
                  </pic:spPr>
                </pic:pic>
              </a:graphicData>
            </a:graphic>
          </wp:inline>
        </w:drawing>
      </w:r>
    </w:p>
    <w:p w14:paraId="5246B332" w14:textId="21FDA0F8" w:rsidR="00A34BE0" w:rsidRDefault="00ED3A22" w:rsidP="00F71625">
      <w:r>
        <w:lastRenderedPageBreak/>
        <w:t xml:space="preserve">The kilolitres of water saved under each option is represented by the area between the trendline for that option and the </w:t>
      </w:r>
      <w:r w:rsidR="00CA2FC4">
        <w:t>Option 1 (</w:t>
      </w:r>
      <w:r w:rsidR="005D5E85">
        <w:t>s</w:t>
      </w:r>
      <w:r w:rsidR="00CA2FC4">
        <w:t xml:space="preserve">tatus </w:t>
      </w:r>
      <w:r w:rsidR="005D5E85">
        <w:t>q</w:t>
      </w:r>
      <w:r w:rsidR="00CA2FC4">
        <w:t>uo)</w:t>
      </w:r>
      <w:r>
        <w:t xml:space="preserve"> trendline, multiplied by the number of units entering service and the average number of years in service. </w:t>
      </w:r>
      <w:r w:rsidR="00AB2CF6">
        <w:t xml:space="preserve">The savings increase as each new cohort enters service up to the end of the modelling period (2040), after which savings decline as units retire. </w:t>
      </w:r>
      <w:r>
        <w:t>The aggregat</w:t>
      </w:r>
      <w:r w:rsidR="00AB2CF6">
        <w:t>e</w:t>
      </w:r>
      <w:r>
        <w:t xml:space="preserve"> </w:t>
      </w:r>
      <w:r w:rsidR="00AB2CF6">
        <w:t xml:space="preserve">water savings for the whole of Australia are illustrated in </w:t>
      </w:r>
      <w:r w:rsidR="00B06A11">
        <w:t>Section 4.2</w:t>
      </w:r>
      <w:r w:rsidR="00A34BE0">
        <w:t>.</w:t>
      </w:r>
    </w:p>
    <w:p w14:paraId="00735EF2" w14:textId="56210578" w:rsidR="00645ACD" w:rsidRDefault="00144C1A" w:rsidP="00144C1A">
      <w:pPr>
        <w:pStyle w:val="Heading3"/>
      </w:pPr>
      <w:bookmarkStart w:id="149" w:name="_Toc196745439"/>
      <w:r>
        <w:t>Product prices</w:t>
      </w:r>
      <w:bookmarkEnd w:id="149"/>
      <w:r>
        <w:t xml:space="preserve"> </w:t>
      </w:r>
    </w:p>
    <w:p w14:paraId="0688D701" w14:textId="63948069" w:rsidR="00144C1A" w:rsidRPr="00144C1A" w:rsidRDefault="001F1E9F" w:rsidP="00B06A11">
      <w:pPr>
        <w:rPr>
          <w:rFonts w:eastAsia="Calibri"/>
        </w:rPr>
      </w:pPr>
      <w:r w:rsidRPr="001F1E9F">
        <w:rPr>
          <w:rFonts w:eastAsia="Calibri"/>
        </w:rPr>
        <w:t xml:space="preserve">It is prudent to assume that there is a relationship between the </w:t>
      </w:r>
      <w:r w:rsidR="00CE59EF">
        <w:rPr>
          <w:rFonts w:eastAsia="Calibri"/>
        </w:rPr>
        <w:t>water efficiency</w:t>
      </w:r>
      <w:r w:rsidRPr="001F1E9F">
        <w:rPr>
          <w:rFonts w:eastAsia="Calibri"/>
        </w:rPr>
        <w:t xml:space="preserve"> of a product and its cost of production. A more </w:t>
      </w:r>
      <w:r>
        <w:rPr>
          <w:rFonts w:eastAsia="Calibri"/>
        </w:rPr>
        <w:t>water</w:t>
      </w:r>
      <w:r w:rsidR="00A17AE2">
        <w:rPr>
          <w:rFonts w:eastAsia="Calibri"/>
        </w:rPr>
        <w:t xml:space="preserve"> </w:t>
      </w:r>
      <w:r w:rsidRPr="001F1E9F">
        <w:rPr>
          <w:rFonts w:eastAsia="Calibri"/>
        </w:rPr>
        <w:t xml:space="preserve">efficient product may contain higher quality components </w:t>
      </w:r>
      <w:r>
        <w:rPr>
          <w:rFonts w:eastAsia="Calibri"/>
        </w:rPr>
        <w:t>or more complex sensors and controls.</w:t>
      </w:r>
      <w:r w:rsidRPr="001F1E9F">
        <w:rPr>
          <w:rFonts w:eastAsia="Calibri"/>
        </w:rPr>
        <w:t xml:space="preserve"> The costs of research and development will also need to be recovered. </w:t>
      </w:r>
      <w:r w:rsidR="00144C1A" w:rsidRPr="00144C1A">
        <w:rPr>
          <w:rFonts w:eastAsia="Calibri"/>
        </w:rPr>
        <w:t xml:space="preserve">In fact, these relationships have been found to be more complex in practice, and for some products the introduction of MEPS had no apparent impact on prices (E3 2011). The re-engineering of products can lead to material and production savings, and the replacement of electro-mechanical with electronic controls may bring both </w:t>
      </w:r>
      <w:r w:rsidR="00E364FB">
        <w:rPr>
          <w:rFonts w:eastAsia="Calibri"/>
        </w:rPr>
        <w:t xml:space="preserve">cost and </w:t>
      </w:r>
      <w:r w:rsidR="00144C1A">
        <w:rPr>
          <w:rFonts w:eastAsia="Calibri"/>
        </w:rPr>
        <w:t xml:space="preserve">water </w:t>
      </w:r>
      <w:r w:rsidR="00144C1A" w:rsidRPr="00144C1A">
        <w:rPr>
          <w:rFonts w:eastAsia="Calibri"/>
        </w:rPr>
        <w:t>savings</w:t>
      </w:r>
      <w:r w:rsidR="00E364FB">
        <w:rPr>
          <w:rFonts w:eastAsia="Calibri"/>
        </w:rPr>
        <w:t>.</w:t>
      </w:r>
      <w:r w:rsidR="00144C1A" w:rsidRPr="00144C1A">
        <w:rPr>
          <w:rFonts w:eastAsia="Calibri"/>
        </w:rPr>
        <w:t xml:space="preserve"> Furthermore, changes in production costs may not be passed on at all if the market is highly competitive, or over-recovered by charging a premium for high-efficiency products.</w:t>
      </w:r>
    </w:p>
    <w:p w14:paraId="4640C338" w14:textId="451AF139" w:rsidR="001F1E9F" w:rsidRPr="001F1E9F" w:rsidRDefault="001F1E9F" w:rsidP="00B06A11">
      <w:pPr>
        <w:rPr>
          <w:rFonts w:eastAsia="Calibri"/>
        </w:rPr>
      </w:pPr>
      <w:r w:rsidRPr="001F1E9F">
        <w:rPr>
          <w:rFonts w:eastAsia="Calibri"/>
        </w:rPr>
        <w:t xml:space="preserve">The relationship between price and </w:t>
      </w:r>
      <w:r w:rsidR="00CE59EF">
        <w:rPr>
          <w:rFonts w:eastAsia="Calibri"/>
        </w:rPr>
        <w:t>water efficiency</w:t>
      </w:r>
      <w:r w:rsidRPr="001F1E9F">
        <w:rPr>
          <w:rFonts w:eastAsia="Calibri"/>
        </w:rPr>
        <w:t xml:space="preserve"> can be captured in modelling by assuming a Price/Efficiency (P/E) ratio. A P/E ratio of 1.0 implies that a 10% increase in </w:t>
      </w:r>
      <w:r w:rsidR="00CE59EF">
        <w:rPr>
          <w:rFonts w:eastAsia="Calibri"/>
        </w:rPr>
        <w:t>water efficiency</w:t>
      </w:r>
      <w:r w:rsidRPr="001F1E9F">
        <w:rPr>
          <w:rFonts w:eastAsia="Calibri"/>
        </w:rPr>
        <w:t xml:space="preserve"> brings about a 10% increase in price. A P/E ratio of 0.5 implies a 5% price increase for every 10% increase in efficiency and so on.</w:t>
      </w:r>
    </w:p>
    <w:p w14:paraId="3D8E16C2" w14:textId="77777777" w:rsidR="001F1E9F" w:rsidRPr="000F10E7" w:rsidRDefault="001F1E9F" w:rsidP="000F10E7">
      <w:pPr>
        <w:rPr>
          <w:rFonts w:eastAsia="Calibri"/>
        </w:rPr>
      </w:pPr>
      <w:r w:rsidRPr="000F10E7">
        <w:rPr>
          <w:rFonts w:eastAsia="Calibri"/>
        </w:rPr>
        <w:t xml:space="preserve">Three types of technical change will be happening simultaneously: </w:t>
      </w:r>
    </w:p>
    <w:p w14:paraId="0F0BDB09" w14:textId="317DF83A" w:rsidR="001F1E9F" w:rsidRPr="00DC5884" w:rsidRDefault="001F1E9F"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Improvements in average </w:t>
      </w:r>
      <w:r w:rsidR="00F61895" w:rsidRPr="00DC5884">
        <w:rPr>
          <w:rFonts w:eastAsia="Calibri" w:cs="Times New Roman"/>
          <w:szCs w:val="22"/>
        </w:rPr>
        <w:t>energy efficiency</w:t>
      </w:r>
      <w:r w:rsidRPr="00DC5884">
        <w:rPr>
          <w:rFonts w:eastAsia="Calibri" w:cs="Times New Roman"/>
          <w:szCs w:val="22"/>
        </w:rPr>
        <w:t xml:space="preserve"> due to the GEMS regulations. The </w:t>
      </w:r>
      <w:hyperlink r:id="rId48" w:history="1">
        <w:r w:rsidRPr="00DC5884">
          <w:rPr>
            <w:rFonts w:eastAsia="Calibri" w:cs="Times New Roman"/>
            <w:szCs w:val="22"/>
          </w:rPr>
          <w:t>GEMS R</w:t>
        </w:r>
        <w:r w:rsidR="00B662D1" w:rsidRPr="00DC5884">
          <w:rPr>
            <w:rFonts w:eastAsia="Calibri" w:cs="Times New Roman"/>
            <w:szCs w:val="22"/>
          </w:rPr>
          <w:t xml:space="preserve">egulatory </w:t>
        </w:r>
        <w:r w:rsidRPr="00DC5884">
          <w:rPr>
            <w:rFonts w:eastAsia="Calibri" w:cs="Times New Roman"/>
            <w:szCs w:val="22"/>
          </w:rPr>
          <w:t>I</w:t>
        </w:r>
        <w:r w:rsidR="00B662D1" w:rsidRPr="00DC5884">
          <w:rPr>
            <w:rFonts w:eastAsia="Calibri" w:cs="Times New Roman"/>
            <w:szCs w:val="22"/>
          </w:rPr>
          <w:t>mpact Statement</w:t>
        </w:r>
      </w:hyperlink>
      <w:r w:rsidRPr="00DC5884">
        <w:rPr>
          <w:rFonts w:eastAsia="Calibri" w:cs="Times New Roman"/>
          <w:szCs w:val="22"/>
        </w:rPr>
        <w:t xml:space="preserve"> estimated P/E ratios in the range 0.3–0.6 (depending on category of CIM) at the time of MEPS implementation, rising to 0.5-0.8 by year 15 as further technical improvements become more difficult. These price increases are bu</w:t>
      </w:r>
      <w:r w:rsidR="00D62E21" w:rsidRPr="00DC5884">
        <w:rPr>
          <w:rFonts w:eastAsia="Calibri" w:cs="Times New Roman"/>
          <w:szCs w:val="22"/>
        </w:rPr>
        <w:t>i</w:t>
      </w:r>
      <w:r w:rsidRPr="00DC5884">
        <w:rPr>
          <w:rFonts w:eastAsia="Calibri" w:cs="Times New Roman"/>
          <w:szCs w:val="22"/>
        </w:rPr>
        <w:t xml:space="preserve">lt into the </w:t>
      </w:r>
      <w:r w:rsidR="005D5E85">
        <w:rPr>
          <w:rFonts w:eastAsia="Calibri" w:cs="Times New Roman"/>
          <w:szCs w:val="22"/>
        </w:rPr>
        <w:t>s</w:t>
      </w:r>
      <w:r w:rsidR="00CA2FC4" w:rsidRPr="00DC5884">
        <w:rPr>
          <w:rFonts w:eastAsia="Calibri" w:cs="Times New Roman"/>
          <w:szCs w:val="22"/>
        </w:rPr>
        <w:t xml:space="preserve">tatus </w:t>
      </w:r>
      <w:r w:rsidR="005D5E85">
        <w:rPr>
          <w:rFonts w:eastAsia="Calibri" w:cs="Times New Roman"/>
          <w:szCs w:val="22"/>
        </w:rPr>
        <w:t>q</w:t>
      </w:r>
      <w:r w:rsidR="00CA2FC4" w:rsidRPr="00DC5884">
        <w:rPr>
          <w:rFonts w:eastAsia="Calibri" w:cs="Times New Roman"/>
          <w:szCs w:val="22"/>
        </w:rPr>
        <w:t>uo</w:t>
      </w:r>
      <w:r w:rsidRPr="00DC5884">
        <w:rPr>
          <w:rFonts w:eastAsia="Calibri" w:cs="Times New Roman"/>
          <w:szCs w:val="22"/>
        </w:rPr>
        <w:t xml:space="preserve"> scenario, Option 1 of the </w:t>
      </w:r>
      <w:r w:rsidR="00B662D1" w:rsidRPr="00DC5884">
        <w:rPr>
          <w:rFonts w:eastAsia="Calibri" w:cs="Times New Roman"/>
          <w:szCs w:val="22"/>
        </w:rPr>
        <w:t>Impact Analysis</w:t>
      </w:r>
      <w:r w:rsidRPr="00DC5884">
        <w:rPr>
          <w:rFonts w:eastAsia="Calibri" w:cs="Times New Roman"/>
          <w:szCs w:val="22"/>
        </w:rPr>
        <w:t>.</w:t>
      </w:r>
    </w:p>
    <w:p w14:paraId="54DE917B" w14:textId="35A4E722" w:rsidR="001F1E9F" w:rsidRPr="00DC5884" w:rsidRDefault="001F1E9F"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Improvements in potable </w:t>
      </w:r>
      <w:r w:rsidR="00CE59EF" w:rsidRPr="00DC5884">
        <w:rPr>
          <w:rFonts w:eastAsia="Calibri" w:cs="Times New Roman"/>
          <w:szCs w:val="22"/>
        </w:rPr>
        <w:t>water efficiency</w:t>
      </w:r>
      <w:r w:rsidRPr="00DC5884">
        <w:rPr>
          <w:rFonts w:eastAsia="Calibri" w:cs="Times New Roman"/>
          <w:szCs w:val="22"/>
        </w:rPr>
        <w:t xml:space="preserve">. There is a very wide range in potable </w:t>
      </w:r>
      <w:r w:rsidR="00CE59EF" w:rsidRPr="00DC5884">
        <w:rPr>
          <w:rFonts w:eastAsia="Calibri" w:cs="Times New Roman"/>
          <w:szCs w:val="22"/>
        </w:rPr>
        <w:t>water efficiency</w:t>
      </w:r>
      <w:r w:rsidRPr="00DC5884">
        <w:rPr>
          <w:rFonts w:eastAsia="Calibri" w:cs="Times New Roman"/>
          <w:szCs w:val="22"/>
        </w:rPr>
        <w:t xml:space="preserve"> for batch-production CIMs, but very little in continuous-production types. A P/E ratio of 0.1-0.15 has been assumed for information-only options (2,3A,3B) and 0.2-0.3 for the water standards options (4A, 4B).</w:t>
      </w:r>
    </w:p>
    <w:p w14:paraId="797FF1C6" w14:textId="7C8A34F5" w:rsidR="001F1E9F" w:rsidRPr="00DC5884" w:rsidRDefault="001F1E9F"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For water-cooled products, improvements in cooling </w:t>
      </w:r>
      <w:r w:rsidR="00CE59EF" w:rsidRPr="00DC5884">
        <w:rPr>
          <w:rFonts w:eastAsia="Calibri" w:cs="Times New Roman"/>
          <w:szCs w:val="22"/>
        </w:rPr>
        <w:t>water efficiency</w:t>
      </w:r>
      <w:r w:rsidRPr="00DC5884">
        <w:rPr>
          <w:rFonts w:eastAsia="Calibri" w:cs="Times New Roman"/>
          <w:szCs w:val="22"/>
        </w:rPr>
        <w:t xml:space="preserve">. There is a very wide range in condenser </w:t>
      </w:r>
      <w:r w:rsidR="00CE59EF" w:rsidRPr="00DC5884">
        <w:rPr>
          <w:rFonts w:eastAsia="Calibri" w:cs="Times New Roman"/>
          <w:szCs w:val="22"/>
        </w:rPr>
        <w:t>water efficiency</w:t>
      </w:r>
      <w:r w:rsidRPr="00DC5884">
        <w:rPr>
          <w:rFonts w:eastAsia="Calibri" w:cs="Times New Roman"/>
          <w:szCs w:val="22"/>
        </w:rPr>
        <w:t xml:space="preserve"> across water-cooled products. A P/E ratio of 0.2-0.3 has been assumed for cooling water efficiency improvements under all options.</w:t>
      </w:r>
    </w:p>
    <w:p w14:paraId="12815D27" w14:textId="16F42088" w:rsidR="001F1E9F" w:rsidRPr="000F10E7" w:rsidRDefault="001F1E9F" w:rsidP="000F10E7">
      <w:pPr>
        <w:rPr>
          <w:rFonts w:eastAsia="Calibri"/>
        </w:rPr>
      </w:pPr>
      <w:r w:rsidRPr="000F10E7">
        <w:rPr>
          <w:rFonts w:eastAsia="Calibri"/>
        </w:rPr>
        <w:t xml:space="preserve">The price increase effects are additive: for water-cooled categories, separate cost and price effects are estimated for potable </w:t>
      </w:r>
      <w:r w:rsidR="00CE59EF">
        <w:rPr>
          <w:rFonts w:eastAsia="Calibri"/>
        </w:rPr>
        <w:t>water efficiency</w:t>
      </w:r>
      <w:r w:rsidRPr="000F10E7">
        <w:rPr>
          <w:rFonts w:eastAsia="Calibri"/>
        </w:rPr>
        <w:t xml:space="preserve"> and condenser </w:t>
      </w:r>
      <w:r w:rsidR="00CE59EF">
        <w:rPr>
          <w:rFonts w:eastAsia="Calibri"/>
        </w:rPr>
        <w:t>water efficiency</w:t>
      </w:r>
      <w:r w:rsidRPr="000F10E7">
        <w:rPr>
          <w:rFonts w:eastAsia="Calibri"/>
        </w:rPr>
        <w:t xml:space="preserve"> improvements. Both volumetric water charges and price impacts are net of goods and services tax (GST), which is a transfer payment – nearly all CIM users are businesses which can claim back any GST payments.</w:t>
      </w:r>
    </w:p>
    <w:p w14:paraId="085E1400" w14:textId="3B5647AB" w:rsidR="001F1E9F" w:rsidRPr="000F10E7" w:rsidRDefault="001F1E9F" w:rsidP="000F10E7">
      <w:pPr>
        <w:rPr>
          <w:rFonts w:eastAsia="Calibri"/>
        </w:rPr>
      </w:pPr>
      <w:r w:rsidRPr="000F10E7">
        <w:rPr>
          <w:rFonts w:eastAsia="Calibri"/>
        </w:rPr>
        <w:lastRenderedPageBreak/>
        <w:t xml:space="preserve">The impact of any given water-intensity MEPS level on product purchase price in any year is calculated separately for each of the </w:t>
      </w:r>
      <w:r w:rsidR="00144C1A" w:rsidRPr="000F10E7">
        <w:rPr>
          <w:rFonts w:eastAsia="Calibri"/>
        </w:rPr>
        <w:t xml:space="preserve">12 </w:t>
      </w:r>
      <w:r w:rsidRPr="000F10E7">
        <w:rPr>
          <w:rFonts w:eastAsia="Calibri"/>
        </w:rPr>
        <w:t xml:space="preserve">product </w:t>
      </w:r>
      <w:r w:rsidR="00144C1A" w:rsidRPr="000F10E7">
        <w:rPr>
          <w:rFonts w:eastAsia="Calibri"/>
        </w:rPr>
        <w:t xml:space="preserve">classes </w:t>
      </w:r>
      <w:r w:rsidRPr="000F10E7">
        <w:rPr>
          <w:rFonts w:eastAsia="Calibri"/>
        </w:rPr>
        <w:t>as follows:</w:t>
      </w:r>
    </w:p>
    <w:p w14:paraId="1C31FE39" w14:textId="2E1A7A15" w:rsidR="001F1E9F" w:rsidRPr="001F1E9F" w:rsidRDefault="00CA2FC4" w:rsidP="001F1E9F">
      <w:pPr>
        <w:spacing w:after="120" w:line="276" w:lineRule="auto"/>
        <w:jc w:val="left"/>
        <w:rPr>
          <w:rFonts w:ascii="Calibri" w:eastAsia="Calibri" w:hAnsi="Calibri" w:cs="Times New Roman"/>
          <w:szCs w:val="20"/>
        </w:rPr>
      </w:pPr>
      <w:bookmarkStart w:id="150" w:name="_Hlk81408434"/>
      <w:r>
        <w:rPr>
          <w:rFonts w:ascii="Calibri" w:eastAsia="Calibri" w:hAnsi="Calibri" w:cs="Times New Roman"/>
          <w:szCs w:val="20"/>
          <w:u w:val="single"/>
        </w:rPr>
        <w:t xml:space="preserve">Status </w:t>
      </w:r>
      <w:r w:rsidR="005D5E85">
        <w:rPr>
          <w:rFonts w:ascii="Calibri" w:eastAsia="Calibri" w:hAnsi="Calibri" w:cs="Times New Roman"/>
          <w:szCs w:val="20"/>
          <w:u w:val="single"/>
        </w:rPr>
        <w:t>q</w:t>
      </w:r>
      <w:r>
        <w:rPr>
          <w:rFonts w:ascii="Calibri" w:eastAsia="Calibri" w:hAnsi="Calibri" w:cs="Times New Roman"/>
          <w:szCs w:val="20"/>
          <w:u w:val="single"/>
        </w:rPr>
        <w:t>uo</w:t>
      </w:r>
      <w:r w:rsidR="001F1E9F" w:rsidRPr="001F1E9F">
        <w:rPr>
          <w:rFonts w:ascii="Calibri" w:eastAsia="Calibri" w:hAnsi="Calibri" w:cs="Times New Roman"/>
          <w:szCs w:val="20"/>
          <w:u w:val="single"/>
        </w:rPr>
        <w:t xml:space="preserve"> average </w:t>
      </w:r>
      <w:r w:rsidR="001F1E9F">
        <w:rPr>
          <w:rFonts w:ascii="Calibri" w:eastAsia="Calibri" w:hAnsi="Calibri" w:cs="Times New Roman"/>
          <w:szCs w:val="20"/>
          <w:u w:val="single"/>
        </w:rPr>
        <w:t>L</w:t>
      </w:r>
      <w:r w:rsidR="001F1E9F" w:rsidRPr="001F1E9F">
        <w:rPr>
          <w:rFonts w:ascii="Calibri" w:eastAsia="Calibri" w:hAnsi="Calibri" w:cs="Times New Roman"/>
          <w:szCs w:val="20"/>
          <w:u w:val="single"/>
        </w:rPr>
        <w:t xml:space="preserve">/100kg </w:t>
      </w:r>
      <w:bookmarkEnd w:id="150"/>
      <w:r w:rsidR="001F1E9F" w:rsidRPr="001F1E9F">
        <w:rPr>
          <w:rFonts w:ascii="Calibri" w:eastAsia="Calibri" w:hAnsi="Calibri" w:cs="Times New Roman"/>
          <w:szCs w:val="20"/>
          <w:u w:val="single"/>
        </w:rPr>
        <w:t>– post-</w:t>
      </w:r>
      <w:r w:rsidR="001F1E9F">
        <w:rPr>
          <w:rFonts w:ascii="Calibri" w:eastAsia="Calibri" w:hAnsi="Calibri" w:cs="Times New Roman"/>
          <w:szCs w:val="20"/>
          <w:u w:val="single"/>
        </w:rPr>
        <w:t xml:space="preserve">measure </w:t>
      </w:r>
      <w:r w:rsidR="001F1E9F" w:rsidRPr="001F1E9F">
        <w:rPr>
          <w:rFonts w:ascii="Calibri" w:eastAsia="Calibri" w:hAnsi="Calibri" w:cs="Times New Roman"/>
          <w:szCs w:val="20"/>
          <w:u w:val="single"/>
        </w:rPr>
        <w:t xml:space="preserve">average </w:t>
      </w:r>
      <w:r w:rsidR="001F1E9F">
        <w:rPr>
          <w:rFonts w:ascii="Calibri" w:eastAsia="Calibri" w:hAnsi="Calibri" w:cs="Times New Roman"/>
          <w:szCs w:val="20"/>
          <w:u w:val="single"/>
        </w:rPr>
        <w:t>L</w:t>
      </w:r>
      <w:r w:rsidR="001F1E9F" w:rsidRPr="001F1E9F">
        <w:rPr>
          <w:rFonts w:ascii="Calibri" w:eastAsia="Calibri" w:hAnsi="Calibri" w:cs="Times New Roman"/>
          <w:szCs w:val="20"/>
          <w:u w:val="single"/>
        </w:rPr>
        <w:t>/100kg</w:t>
      </w:r>
      <w:r w:rsidR="001F1E9F" w:rsidRPr="001F1E9F">
        <w:rPr>
          <w:rFonts w:ascii="Calibri" w:eastAsia="Calibri" w:hAnsi="Calibri" w:cs="Times New Roman"/>
          <w:szCs w:val="20"/>
        </w:rPr>
        <w:t xml:space="preserve"> x </w:t>
      </w:r>
      <w:r>
        <w:rPr>
          <w:rFonts w:ascii="Calibri" w:eastAsia="Calibri" w:hAnsi="Calibri" w:cs="Times New Roman"/>
          <w:szCs w:val="20"/>
        </w:rPr>
        <w:t xml:space="preserve">Status </w:t>
      </w:r>
      <w:r w:rsidR="005D5E85">
        <w:rPr>
          <w:rFonts w:ascii="Calibri" w:eastAsia="Calibri" w:hAnsi="Calibri" w:cs="Times New Roman"/>
          <w:szCs w:val="20"/>
        </w:rPr>
        <w:t>q</w:t>
      </w:r>
      <w:r>
        <w:rPr>
          <w:rFonts w:ascii="Calibri" w:eastAsia="Calibri" w:hAnsi="Calibri" w:cs="Times New Roman"/>
          <w:szCs w:val="20"/>
        </w:rPr>
        <w:t>uo</w:t>
      </w:r>
      <w:r w:rsidR="001F1E9F" w:rsidRPr="001F1E9F">
        <w:rPr>
          <w:rFonts w:ascii="Calibri" w:eastAsia="Calibri" w:hAnsi="Calibri" w:cs="Times New Roman"/>
          <w:szCs w:val="20"/>
        </w:rPr>
        <w:t xml:space="preserve"> average $/unit x P/E ratio</w:t>
      </w:r>
      <w:r w:rsidR="001F1E9F" w:rsidRPr="001F1E9F">
        <w:rPr>
          <w:rFonts w:ascii="Calibri" w:eastAsia="Calibri" w:hAnsi="Calibri" w:cs="Times New Roman"/>
          <w:szCs w:val="20"/>
          <w:u w:val="single"/>
        </w:rPr>
        <w:br/>
      </w:r>
      <w:r w:rsidR="001F1E9F" w:rsidRPr="001F1E9F">
        <w:rPr>
          <w:rFonts w:ascii="Calibri" w:eastAsia="Calibri" w:hAnsi="Calibri" w:cs="Times New Roman"/>
          <w:szCs w:val="20"/>
        </w:rPr>
        <w:t xml:space="preserve">                              </w:t>
      </w:r>
      <w:r>
        <w:rPr>
          <w:rFonts w:ascii="Calibri" w:eastAsia="Calibri" w:hAnsi="Calibri" w:cs="Times New Roman"/>
          <w:szCs w:val="20"/>
        </w:rPr>
        <w:t xml:space="preserve">Status </w:t>
      </w:r>
      <w:r w:rsidR="005D5E85">
        <w:rPr>
          <w:rFonts w:ascii="Calibri" w:eastAsia="Calibri" w:hAnsi="Calibri" w:cs="Times New Roman"/>
          <w:szCs w:val="20"/>
        </w:rPr>
        <w:t>q</w:t>
      </w:r>
      <w:r>
        <w:rPr>
          <w:rFonts w:ascii="Calibri" w:eastAsia="Calibri" w:hAnsi="Calibri" w:cs="Times New Roman"/>
          <w:szCs w:val="20"/>
        </w:rPr>
        <w:t>uo</w:t>
      </w:r>
      <w:r w:rsidR="001F1E9F" w:rsidRPr="001F1E9F">
        <w:rPr>
          <w:rFonts w:ascii="Calibri" w:eastAsia="Calibri" w:hAnsi="Calibri" w:cs="Times New Roman"/>
          <w:szCs w:val="20"/>
        </w:rPr>
        <w:t xml:space="preserve"> average </w:t>
      </w:r>
      <w:r w:rsidR="001F1E9F">
        <w:rPr>
          <w:rFonts w:ascii="Calibri" w:eastAsia="Calibri" w:hAnsi="Calibri" w:cs="Times New Roman"/>
          <w:szCs w:val="20"/>
        </w:rPr>
        <w:t>L</w:t>
      </w:r>
      <w:r w:rsidR="001F1E9F" w:rsidRPr="001F1E9F">
        <w:rPr>
          <w:rFonts w:ascii="Calibri" w:eastAsia="Calibri" w:hAnsi="Calibri" w:cs="Times New Roman"/>
          <w:szCs w:val="20"/>
        </w:rPr>
        <w:t>/100kg</w:t>
      </w:r>
    </w:p>
    <w:p w14:paraId="0B226D4F" w14:textId="4F81D9E8" w:rsidR="001F1E9F" w:rsidRPr="001F1E9F" w:rsidRDefault="00144C1A" w:rsidP="00144C1A">
      <w:pPr>
        <w:pStyle w:val="Heading3"/>
      </w:pPr>
      <w:bookmarkStart w:id="151" w:name="_Toc196745440"/>
      <w:r>
        <w:t>Administrative costs</w:t>
      </w:r>
      <w:bookmarkEnd w:id="151"/>
    </w:p>
    <w:p w14:paraId="13CCFE2F" w14:textId="64DFA3C5" w:rsidR="00AB2CF6" w:rsidRPr="000F10E7" w:rsidRDefault="00116E01" w:rsidP="000F10E7">
      <w:pPr>
        <w:rPr>
          <w:rFonts w:eastAsia="Calibri"/>
        </w:rPr>
      </w:pPr>
      <w:r w:rsidRPr="000F10E7">
        <w:rPr>
          <w:rFonts w:eastAsia="Calibri"/>
        </w:rPr>
        <w:t xml:space="preserve">Apart from an increase in CIM prices, WELS interventions will carry costs for both industry and the WELS Regulator. </w:t>
      </w:r>
      <w:r w:rsidR="00E25C47">
        <w:rPr>
          <w:rFonts w:eastAsia="Calibri"/>
        </w:rPr>
        <w:t>Table 4</w:t>
      </w:r>
      <w:r w:rsidR="00A34BE0">
        <w:rPr>
          <w:rFonts w:eastAsia="Calibri"/>
        </w:rPr>
        <w:fldChar w:fldCharType="begin"/>
      </w:r>
      <w:r w:rsidR="00A34BE0">
        <w:rPr>
          <w:rFonts w:eastAsia="Calibri"/>
        </w:rPr>
        <w:instrText xml:space="preserve"> REF _Ref194421949 \h </w:instrText>
      </w:r>
      <w:r w:rsidR="00A34BE0">
        <w:rPr>
          <w:rFonts w:eastAsia="Calibri"/>
        </w:rPr>
        <w:fldChar w:fldCharType="separate"/>
      </w:r>
      <w:r w:rsidR="002271EC">
        <w:rPr>
          <w:rFonts w:eastAsia="Calibri"/>
          <w:b/>
          <w:bCs/>
          <w:lang w:val="en-US"/>
        </w:rPr>
        <w:t>Error! Reference source not found.</w:t>
      </w:r>
      <w:r w:rsidR="00A34BE0">
        <w:rPr>
          <w:rFonts w:eastAsia="Calibri"/>
        </w:rPr>
        <w:fldChar w:fldCharType="end"/>
      </w:r>
      <w:r w:rsidR="00A34BE0">
        <w:rPr>
          <w:rFonts w:eastAsia="Calibri"/>
        </w:rPr>
        <w:t xml:space="preserve"> in Section 4.3</w:t>
      </w:r>
      <w:r w:rsidR="008E654F">
        <w:rPr>
          <w:rFonts w:eastAsia="Calibri"/>
        </w:rPr>
        <w:t xml:space="preserve"> </w:t>
      </w:r>
      <w:r w:rsidRPr="000F10E7">
        <w:rPr>
          <w:rFonts w:eastAsia="Calibri"/>
        </w:rPr>
        <w:t>presents the cost estimates used in the modelling</w:t>
      </w:r>
      <w:r w:rsidR="000F10E7">
        <w:rPr>
          <w:rFonts w:eastAsia="Calibri"/>
        </w:rPr>
        <w:t>.</w:t>
      </w:r>
    </w:p>
    <w:p w14:paraId="7BA60ABD" w14:textId="24D9DF43" w:rsidR="000F10E7" w:rsidRPr="000F10E7" w:rsidRDefault="000F10E7" w:rsidP="000F10E7">
      <w:pPr>
        <w:rPr>
          <w:rFonts w:eastAsia="Calibri"/>
        </w:rPr>
      </w:pPr>
      <w:r w:rsidRPr="000F10E7">
        <w:rPr>
          <w:rFonts w:eastAsia="Calibri"/>
        </w:rPr>
        <w:t>CIM importers will bear the costs of interacting with the Regulator and, for the mandatory options, registering products, fixing labels and ensuring compliance. Secondary distributors (who obtain CIMs from the importers to on-sell) would also incur compliance costs, for ensuring that labels and other information requirements apply at the points of advertising and display. It is assumed that adding CIMS to the WELS workload costs $75,000 per year for Option 2 (non-regulatory) and $150,000 per year for the mandatory options – the equivalent of a full-time AP</w:t>
      </w:r>
      <w:r w:rsidR="008E654F">
        <w:rPr>
          <w:rFonts w:eastAsia="Calibri"/>
        </w:rPr>
        <w:t xml:space="preserve">S </w:t>
      </w:r>
      <w:r w:rsidRPr="000F10E7">
        <w:rPr>
          <w:rFonts w:eastAsia="Calibri"/>
        </w:rPr>
        <w:t>6 grade officer, including overheads.</w:t>
      </w:r>
    </w:p>
    <w:p w14:paraId="2BF6EF78" w14:textId="12140F9F" w:rsidR="000F10E7" w:rsidRPr="000F10E7" w:rsidRDefault="000F10E7" w:rsidP="000F10E7">
      <w:pPr>
        <w:rPr>
          <w:rFonts w:eastAsia="Calibri"/>
        </w:rPr>
      </w:pPr>
      <w:r w:rsidRPr="000F10E7">
        <w:rPr>
          <w:rFonts w:eastAsia="Calibri"/>
        </w:rPr>
        <w:t>It is assumed that the WELS Regulator will commission some check tests each year even in Option 2 to ensure the integrity of the voluntary declarations; suppliers are more inclined to participate in voluntary programs if they believe that all parties are making accurate declarations.</w:t>
      </w:r>
    </w:p>
    <w:p w14:paraId="7536657B" w14:textId="50F33F06" w:rsidR="000F10E7" w:rsidRPr="00ED3A22" w:rsidRDefault="000F10E7" w:rsidP="000F10E7">
      <w:r w:rsidRPr="000F10E7">
        <w:rPr>
          <w:rFonts w:eastAsia="Calibri"/>
        </w:rPr>
        <w:t xml:space="preserve">The present values in 2025 of the stream of future administrative costs for each </w:t>
      </w:r>
      <w:r w:rsidR="00E25C47">
        <w:rPr>
          <w:rFonts w:eastAsia="Calibri"/>
        </w:rPr>
        <w:t>o</w:t>
      </w:r>
      <w:r w:rsidRPr="000F10E7">
        <w:rPr>
          <w:rFonts w:eastAsia="Calibri"/>
        </w:rPr>
        <w:t xml:space="preserve">ption are illustrated in </w:t>
      </w:r>
      <w:r w:rsidR="00A34BE0">
        <w:rPr>
          <w:rFonts w:eastAsia="Calibri"/>
        </w:rPr>
        <w:fldChar w:fldCharType="begin"/>
      </w:r>
      <w:r w:rsidR="00A34BE0">
        <w:rPr>
          <w:rFonts w:eastAsia="Calibri"/>
        </w:rPr>
        <w:instrText xml:space="preserve"> REF _Ref189740028 \h </w:instrText>
      </w:r>
      <w:r w:rsidR="00A34BE0">
        <w:rPr>
          <w:rFonts w:eastAsia="Calibri"/>
        </w:rPr>
      </w:r>
      <w:r w:rsidR="00A34BE0">
        <w:rPr>
          <w:rFonts w:eastAsia="Calibri"/>
        </w:rPr>
        <w:fldChar w:fldCharType="separate"/>
      </w:r>
      <w:r w:rsidR="002271EC">
        <w:t xml:space="preserve">Figure </w:t>
      </w:r>
      <w:r w:rsidR="002271EC">
        <w:rPr>
          <w:noProof/>
        </w:rPr>
        <w:t>10</w:t>
      </w:r>
      <w:r w:rsidR="00A34BE0">
        <w:rPr>
          <w:rFonts w:eastAsia="Calibri"/>
        </w:rPr>
        <w:fldChar w:fldCharType="end"/>
      </w:r>
      <w:r w:rsidR="00A34BE0">
        <w:rPr>
          <w:rFonts w:eastAsia="Calibri"/>
        </w:rPr>
        <w:t xml:space="preserve">. </w:t>
      </w:r>
      <w:r w:rsidRPr="000F10E7">
        <w:rPr>
          <w:rFonts w:eastAsia="Calibri"/>
        </w:rPr>
        <w:fldChar w:fldCharType="begin"/>
      </w:r>
      <w:r w:rsidRPr="000F10E7">
        <w:rPr>
          <w:rFonts w:eastAsia="Calibri"/>
        </w:rPr>
        <w:instrText xml:space="preserve"> REF _Ref191562736 \h </w:instrText>
      </w:r>
      <w:r>
        <w:rPr>
          <w:rFonts w:eastAsia="Calibri"/>
        </w:rPr>
        <w:instrText xml:space="preserve"> \* MERGEFORMAT </w:instrText>
      </w:r>
      <w:r w:rsidRPr="000F10E7">
        <w:rPr>
          <w:rFonts w:eastAsia="Calibri"/>
        </w:rPr>
      </w:r>
      <w:r w:rsidRPr="000F10E7">
        <w:rPr>
          <w:rFonts w:eastAsia="Calibri"/>
        </w:rPr>
        <w:fldChar w:fldCharType="separate"/>
      </w:r>
      <w:r w:rsidR="002271EC">
        <w:t xml:space="preserve">Figure </w:t>
      </w:r>
      <w:r w:rsidR="002271EC">
        <w:rPr>
          <w:noProof/>
        </w:rPr>
        <w:t>10</w:t>
      </w:r>
      <w:r w:rsidR="002271EC">
        <w:t xml:space="preserve"> </w:t>
      </w:r>
      <w:r w:rsidR="002271EC" w:rsidRPr="00DC3CDA">
        <w:t>NPV of program costs, 2025-2040, Australia</w:t>
      </w:r>
      <w:r w:rsidRPr="000F10E7">
        <w:rPr>
          <w:rFonts w:eastAsia="Calibri"/>
        </w:rPr>
        <w:fldChar w:fldCharType="end"/>
      </w:r>
      <w:r w:rsidRPr="000F10E7">
        <w:rPr>
          <w:rFonts w:eastAsia="Calibri"/>
        </w:rPr>
        <w:t xml:space="preserve">They are combined with </w:t>
      </w:r>
      <w:r w:rsidR="00CE59EF">
        <w:rPr>
          <w:rFonts w:eastAsia="Calibri"/>
        </w:rPr>
        <w:t>water efficiency</w:t>
      </w:r>
      <w:r w:rsidRPr="000F10E7">
        <w:rPr>
          <w:rFonts w:eastAsia="Calibri"/>
        </w:rPr>
        <w:t xml:space="preserve">-induced increases in purchase price in </w:t>
      </w:r>
      <w:r w:rsidRPr="000F10E7">
        <w:rPr>
          <w:rFonts w:eastAsia="Calibri"/>
        </w:rPr>
        <w:fldChar w:fldCharType="begin"/>
      </w:r>
      <w:r w:rsidRPr="000F10E7">
        <w:rPr>
          <w:rFonts w:eastAsia="Calibri"/>
        </w:rPr>
        <w:instrText xml:space="preserve"> REF _Ref191563312 \h </w:instrText>
      </w:r>
      <w:r>
        <w:rPr>
          <w:rFonts w:eastAsia="Calibri"/>
        </w:rPr>
        <w:instrText xml:space="preserve"> \* MERGEFORMAT </w:instrText>
      </w:r>
      <w:r w:rsidRPr="000F10E7">
        <w:rPr>
          <w:rFonts w:eastAsia="Calibri"/>
        </w:rPr>
      </w:r>
      <w:r w:rsidRPr="000F10E7">
        <w:rPr>
          <w:rFonts w:eastAsia="Calibri"/>
        </w:rPr>
        <w:fldChar w:fldCharType="separate"/>
      </w:r>
      <w:r w:rsidR="002271EC" w:rsidRPr="002271EC">
        <w:rPr>
          <w:rFonts w:eastAsia="Calibri"/>
        </w:rPr>
        <w:t>Figure 9</w:t>
      </w:r>
      <w:r w:rsidRPr="000F10E7">
        <w:rPr>
          <w:rFonts w:eastAsia="Calibri"/>
        </w:rPr>
        <w:fldChar w:fldCharType="end"/>
      </w:r>
      <w:r w:rsidRPr="000F10E7">
        <w:rPr>
          <w:rFonts w:eastAsia="Calibri"/>
        </w:rPr>
        <w:t>.</w:t>
      </w:r>
    </w:p>
    <w:p w14:paraId="2E034486" w14:textId="043FC149" w:rsidR="00F0453C" w:rsidRDefault="00F0453C" w:rsidP="00F0453C">
      <w:pPr>
        <w:pStyle w:val="Heading1"/>
        <w:pageBreakBefore/>
      </w:pPr>
      <w:bookmarkStart w:id="152" w:name="_Toc196745441"/>
      <w:r>
        <w:lastRenderedPageBreak/>
        <w:t xml:space="preserve">Appendix </w:t>
      </w:r>
      <w:r w:rsidR="00EF62F3">
        <w:t>C</w:t>
      </w:r>
      <w:r>
        <w:t xml:space="preserve"> US Data on CIM water use</w:t>
      </w:r>
      <w:bookmarkEnd w:id="152"/>
      <w:r>
        <w:t xml:space="preserve"> </w:t>
      </w:r>
    </w:p>
    <w:p w14:paraId="5CB20E7B" w14:textId="270554DB" w:rsidR="00F42AFD" w:rsidRPr="00F42AFD" w:rsidRDefault="00F42AFD" w:rsidP="00F42AFD">
      <w:r w:rsidRPr="00F42AFD">
        <w:t>The USEPA Energy Star (a voluntary accreditation program) only covers air-cooled products</w:t>
      </w:r>
      <w:r w:rsidR="0073765A">
        <w:t>,</w:t>
      </w:r>
      <w:r w:rsidRPr="00F42AFD">
        <w:t xml:space="preserve"> which account for the great majority of the market, both in the USA and in Australia (i.e. </w:t>
      </w:r>
      <w:r w:rsidR="0073765A">
        <w:t xml:space="preserve">GEMS </w:t>
      </w:r>
      <w:r w:rsidRPr="00F42AFD">
        <w:t>Classes 1,2,5,6,9-12). To qualify for Energy Star, a batch type ice maker must have a potable water consumption of no more than 25 gals/100 lb ice (2.08 litres per kg) if a self-contained unit (Class 5) and no more than 20 gals/100 lb ice (1.67 litres per kg) for other air-cooled configurations. A continuous type CIM must use no more than 15 gals/100 lb ice (1.25 litres per kg), whatever the configuration.</w:t>
      </w:r>
    </w:p>
    <w:p w14:paraId="35E26B56" w14:textId="21693DD0" w:rsidR="00F42AFD" w:rsidRPr="00F42AFD" w:rsidRDefault="00F42AFD" w:rsidP="00F42AFD">
      <w:r w:rsidRPr="00F42AFD">
        <w:t xml:space="preserve">At present the only consistent data set on the </w:t>
      </w:r>
      <w:r w:rsidRPr="0073765A">
        <w:t xml:space="preserve">potable </w:t>
      </w:r>
      <w:r w:rsidRPr="00F42AFD">
        <w:t xml:space="preserve">water </w:t>
      </w:r>
      <w:r w:rsidR="0073765A">
        <w:t xml:space="preserve">use </w:t>
      </w:r>
      <w:r w:rsidRPr="00F42AFD">
        <w:t xml:space="preserve">of CIMs is the USEPA’s list of Energy Star certified models. </w:t>
      </w:r>
      <w:r w:rsidR="00553647">
        <w:t>A</w:t>
      </w:r>
      <w:r w:rsidRPr="00F42AFD">
        <w:t xml:space="preserve">nalysis of the current list reveals that for batch type CIMS, some models just meet the </w:t>
      </w:r>
      <w:r w:rsidR="0073765A">
        <w:t xml:space="preserve">ES limit </w:t>
      </w:r>
      <w:r w:rsidRPr="00F42AFD">
        <w:t>but most are considerably more water</w:t>
      </w:r>
      <w:r w:rsidR="00A17AE2">
        <w:t xml:space="preserve"> </w:t>
      </w:r>
      <w:r w:rsidRPr="00F42AFD">
        <w:t>efficient</w:t>
      </w:r>
      <w:r w:rsidR="00553647">
        <w:t xml:space="preserve"> (</w:t>
      </w:r>
      <w:r w:rsidR="00553647">
        <w:fldChar w:fldCharType="begin"/>
      </w:r>
      <w:r w:rsidR="00553647">
        <w:instrText xml:space="preserve"> REF _Ref191568419 \h </w:instrText>
      </w:r>
      <w:r w:rsidR="00553647">
        <w:fldChar w:fldCharType="separate"/>
      </w:r>
      <w:r w:rsidR="002271EC">
        <w:t xml:space="preserve">Table </w:t>
      </w:r>
      <w:r w:rsidR="002271EC">
        <w:rPr>
          <w:noProof/>
        </w:rPr>
        <w:t>16</w:t>
      </w:r>
      <w:r w:rsidR="00553647">
        <w:fldChar w:fldCharType="end"/>
      </w:r>
      <w:r w:rsidR="00553647">
        <w:t>)</w:t>
      </w:r>
      <w:r w:rsidRPr="00F42AFD">
        <w:t>. The most water</w:t>
      </w:r>
      <w:r w:rsidR="00A17AE2">
        <w:t xml:space="preserve"> </w:t>
      </w:r>
      <w:r w:rsidRPr="00F42AFD">
        <w:t xml:space="preserve">efficient </w:t>
      </w:r>
      <w:r w:rsidR="00553647">
        <w:t xml:space="preserve">batch </w:t>
      </w:r>
      <w:r w:rsidRPr="00F42AFD">
        <w:t xml:space="preserve">models convert all the </w:t>
      </w:r>
      <w:r w:rsidR="0073765A">
        <w:t xml:space="preserve">potable </w:t>
      </w:r>
      <w:r w:rsidRPr="00F42AFD">
        <w:t>water to ice (i.e. 1</w:t>
      </w:r>
      <w:r w:rsidR="00553647">
        <w:t>.0</w:t>
      </w:r>
      <w:r w:rsidRPr="00F42AFD">
        <w:t xml:space="preserve"> litre/kg) and use half the water</w:t>
      </w:r>
      <w:r w:rsidR="00553647">
        <w:t xml:space="preserve"> of the least water</w:t>
      </w:r>
      <w:r w:rsidR="00A17AE2">
        <w:t xml:space="preserve"> </w:t>
      </w:r>
      <w:r w:rsidR="00553647">
        <w:t>efficient</w:t>
      </w:r>
      <w:r w:rsidR="0073765A">
        <w:t xml:space="preserve"> certified product</w:t>
      </w:r>
      <w:r w:rsidRPr="00F42AFD">
        <w:t xml:space="preserve">. </w:t>
      </w:r>
      <w:r w:rsidR="00553647">
        <w:t xml:space="preserve">As </w:t>
      </w:r>
      <w:r w:rsidRPr="00F42AFD">
        <w:t xml:space="preserve">three quarters of the air-cooled CIM models on the US market are </w:t>
      </w:r>
      <w:r w:rsidRPr="00F42AFD">
        <w:rPr>
          <w:i/>
          <w:iCs/>
        </w:rPr>
        <w:t>not</w:t>
      </w:r>
      <w:r w:rsidRPr="00F42AFD">
        <w:t xml:space="preserve"> certified for Energy Star, it may be safely assumed that many of those use more potable water than the Energy Star limit.</w:t>
      </w:r>
    </w:p>
    <w:p w14:paraId="4A3C963D" w14:textId="1F8B0C96" w:rsidR="00F42AFD" w:rsidRPr="00F42AFD" w:rsidRDefault="00F42AFD" w:rsidP="00F42AFD">
      <w:r w:rsidRPr="00F42AFD">
        <w:t xml:space="preserve">For continuous production models, there is very little variation in potable </w:t>
      </w:r>
      <w:r w:rsidR="00CE59EF">
        <w:t>water efficiency</w:t>
      </w:r>
      <w:r w:rsidRPr="00F42AFD">
        <w:t>. All models claim around 1.0 litres/kg, well below the Energy Star limit of 1.25.</w:t>
      </w:r>
    </w:p>
    <w:p w14:paraId="57BDEED0" w14:textId="2C7F8CDD" w:rsidR="00F42AFD" w:rsidRDefault="00F42AFD" w:rsidP="00F0453C"/>
    <w:p w14:paraId="344BB1F5" w14:textId="771ABDBD" w:rsidR="00F42AFD" w:rsidRDefault="00553647" w:rsidP="00553647">
      <w:pPr>
        <w:pStyle w:val="Caption"/>
        <w:jc w:val="center"/>
      </w:pPr>
      <w:bookmarkStart w:id="153" w:name="_Ref191568419"/>
      <w:bookmarkStart w:id="154" w:name="_Toc196745458"/>
      <w:r>
        <w:t xml:space="preserve">Table </w:t>
      </w:r>
      <w:r w:rsidR="0042496D">
        <w:fldChar w:fldCharType="begin"/>
      </w:r>
      <w:r w:rsidR="0042496D">
        <w:instrText xml:space="preserve"> SEQ Table \* ARABIC </w:instrText>
      </w:r>
      <w:r w:rsidR="0042496D">
        <w:fldChar w:fldCharType="separate"/>
      </w:r>
      <w:r w:rsidR="002271EC">
        <w:rPr>
          <w:noProof/>
        </w:rPr>
        <w:t>16</w:t>
      </w:r>
      <w:r w:rsidR="0042496D">
        <w:rPr>
          <w:noProof/>
        </w:rPr>
        <w:fldChar w:fldCharType="end"/>
      </w:r>
      <w:bookmarkEnd w:id="153"/>
      <w:r>
        <w:t xml:space="preserve"> Potable water use by USEPA Energy Star certified CIMs, 2024</w:t>
      </w:r>
      <w:bookmarkEnd w:id="154"/>
    </w:p>
    <w:tbl>
      <w:tblPr>
        <w:tblW w:w="8922" w:type="dxa"/>
        <w:jc w:val="center"/>
        <w:tblLook w:val="04A0" w:firstRow="1" w:lastRow="0" w:firstColumn="1" w:lastColumn="0" w:noHBand="0" w:noVBand="1"/>
      </w:tblPr>
      <w:tblGrid>
        <w:gridCol w:w="1238"/>
        <w:gridCol w:w="2130"/>
        <w:gridCol w:w="882"/>
        <w:gridCol w:w="990"/>
        <w:gridCol w:w="718"/>
        <w:gridCol w:w="960"/>
        <w:gridCol w:w="960"/>
        <w:gridCol w:w="1044"/>
      </w:tblGrid>
      <w:tr w:rsidR="00553647" w:rsidRPr="000114E3" w14:paraId="2E1319B0" w14:textId="77777777" w:rsidTr="00553647">
        <w:trPr>
          <w:trHeight w:val="300"/>
          <w:jc w:val="center"/>
        </w:trPr>
        <w:tc>
          <w:tcPr>
            <w:tcW w:w="1238" w:type="dxa"/>
            <w:tcBorders>
              <w:top w:val="single" w:sz="4" w:space="0" w:color="auto"/>
              <w:left w:val="single" w:sz="4" w:space="0" w:color="auto"/>
              <w:bottom w:val="nil"/>
              <w:right w:val="nil"/>
            </w:tcBorders>
            <w:shd w:val="clear" w:color="auto" w:fill="auto"/>
            <w:noWrap/>
            <w:vAlign w:val="bottom"/>
            <w:hideMark/>
          </w:tcPr>
          <w:p w14:paraId="71DFAF37"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2130" w:type="dxa"/>
            <w:tcBorders>
              <w:top w:val="single" w:sz="4" w:space="0" w:color="auto"/>
              <w:left w:val="nil"/>
              <w:bottom w:val="nil"/>
              <w:right w:val="nil"/>
            </w:tcBorders>
            <w:shd w:val="clear" w:color="auto" w:fill="auto"/>
            <w:noWrap/>
            <w:vAlign w:val="bottom"/>
            <w:hideMark/>
          </w:tcPr>
          <w:p w14:paraId="2D51C2A6"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882" w:type="dxa"/>
            <w:tcBorders>
              <w:top w:val="single" w:sz="4" w:space="0" w:color="auto"/>
              <w:left w:val="nil"/>
              <w:bottom w:val="nil"/>
              <w:right w:val="nil"/>
            </w:tcBorders>
            <w:shd w:val="clear" w:color="auto" w:fill="auto"/>
            <w:noWrap/>
            <w:vAlign w:val="bottom"/>
            <w:hideMark/>
          </w:tcPr>
          <w:p w14:paraId="34A522E9" w14:textId="4F365C98" w:rsidR="00553647" w:rsidRPr="000114E3" w:rsidRDefault="00553647" w:rsidP="0066641F">
            <w:pPr>
              <w:spacing w:after="0" w:line="240" w:lineRule="auto"/>
              <w:jc w:val="left"/>
              <w:rPr>
                <w:rFonts w:ascii="Calibri" w:eastAsia="Times New Roman" w:hAnsi="Calibri" w:cs="Calibri"/>
                <w:color w:val="000000"/>
                <w:sz w:val="20"/>
                <w:szCs w:val="20"/>
                <w:lang w:eastAsia="en-AU"/>
              </w:rPr>
            </w:pPr>
          </w:p>
        </w:tc>
        <w:tc>
          <w:tcPr>
            <w:tcW w:w="4672" w:type="dxa"/>
            <w:gridSpan w:val="5"/>
            <w:tcBorders>
              <w:top w:val="single" w:sz="4" w:space="0" w:color="auto"/>
              <w:left w:val="single" w:sz="4" w:space="0" w:color="auto"/>
              <w:bottom w:val="nil"/>
              <w:right w:val="single" w:sz="4" w:space="0" w:color="auto"/>
            </w:tcBorders>
          </w:tcPr>
          <w:p w14:paraId="3061AC13" w14:textId="1641B4F3" w:rsidR="00553647" w:rsidRPr="000114E3" w:rsidRDefault="00553647" w:rsidP="0066641F">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L/100kg</w:t>
            </w:r>
          </w:p>
        </w:tc>
      </w:tr>
      <w:tr w:rsidR="00553647" w:rsidRPr="000114E3" w14:paraId="1BA13CBB" w14:textId="77777777" w:rsidTr="0073765A">
        <w:trPr>
          <w:trHeight w:val="300"/>
          <w:jc w:val="center"/>
        </w:trPr>
        <w:tc>
          <w:tcPr>
            <w:tcW w:w="1238" w:type="dxa"/>
            <w:tcBorders>
              <w:top w:val="nil"/>
              <w:left w:val="single" w:sz="4" w:space="0" w:color="auto"/>
              <w:bottom w:val="single" w:sz="4" w:space="0" w:color="auto"/>
              <w:right w:val="nil"/>
            </w:tcBorders>
            <w:shd w:val="clear" w:color="auto" w:fill="auto"/>
            <w:noWrap/>
            <w:vAlign w:val="bottom"/>
            <w:hideMark/>
          </w:tcPr>
          <w:p w14:paraId="2DCD450A"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Production</w:t>
            </w:r>
          </w:p>
        </w:tc>
        <w:tc>
          <w:tcPr>
            <w:tcW w:w="2130" w:type="dxa"/>
            <w:tcBorders>
              <w:top w:val="nil"/>
              <w:left w:val="nil"/>
              <w:bottom w:val="single" w:sz="4" w:space="0" w:color="auto"/>
              <w:right w:val="nil"/>
            </w:tcBorders>
            <w:shd w:val="clear" w:color="auto" w:fill="auto"/>
            <w:noWrap/>
            <w:vAlign w:val="bottom"/>
            <w:hideMark/>
          </w:tcPr>
          <w:p w14:paraId="36DE4AC7"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Configuration</w:t>
            </w:r>
          </w:p>
        </w:tc>
        <w:tc>
          <w:tcPr>
            <w:tcW w:w="882" w:type="dxa"/>
            <w:tcBorders>
              <w:top w:val="nil"/>
              <w:left w:val="nil"/>
              <w:bottom w:val="single" w:sz="4" w:space="0" w:color="auto"/>
              <w:right w:val="nil"/>
            </w:tcBorders>
            <w:shd w:val="clear" w:color="auto" w:fill="auto"/>
            <w:noWrap/>
            <w:vAlign w:val="center"/>
            <w:hideMark/>
          </w:tcPr>
          <w:p w14:paraId="08E78C56"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Models</w:t>
            </w:r>
          </w:p>
        </w:tc>
        <w:tc>
          <w:tcPr>
            <w:tcW w:w="990" w:type="dxa"/>
            <w:tcBorders>
              <w:top w:val="nil"/>
              <w:left w:val="single" w:sz="4" w:space="0" w:color="auto"/>
              <w:bottom w:val="single" w:sz="4" w:space="0" w:color="auto"/>
              <w:right w:val="single" w:sz="4" w:space="0" w:color="auto"/>
            </w:tcBorders>
            <w:vAlign w:val="center"/>
          </w:tcPr>
          <w:p w14:paraId="614DD6B3" w14:textId="5A419B18"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ES limit</w:t>
            </w:r>
          </w:p>
        </w:tc>
        <w:tc>
          <w:tcPr>
            <w:tcW w:w="718" w:type="dxa"/>
            <w:tcBorders>
              <w:top w:val="nil"/>
              <w:left w:val="single" w:sz="4" w:space="0" w:color="auto"/>
              <w:bottom w:val="single" w:sz="4" w:space="0" w:color="auto"/>
              <w:right w:val="nil"/>
            </w:tcBorders>
            <w:shd w:val="clear" w:color="auto" w:fill="auto"/>
            <w:noWrap/>
            <w:vAlign w:val="center"/>
            <w:hideMark/>
          </w:tcPr>
          <w:p w14:paraId="35FF8321" w14:textId="161FE982"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Max</w:t>
            </w:r>
          </w:p>
        </w:tc>
        <w:tc>
          <w:tcPr>
            <w:tcW w:w="960" w:type="dxa"/>
            <w:tcBorders>
              <w:top w:val="nil"/>
              <w:left w:val="nil"/>
              <w:bottom w:val="single" w:sz="4" w:space="0" w:color="auto"/>
              <w:right w:val="nil"/>
            </w:tcBorders>
            <w:shd w:val="clear" w:color="auto" w:fill="auto"/>
            <w:noWrap/>
            <w:vAlign w:val="center"/>
            <w:hideMark/>
          </w:tcPr>
          <w:p w14:paraId="26565232"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Min</w:t>
            </w:r>
          </w:p>
        </w:tc>
        <w:tc>
          <w:tcPr>
            <w:tcW w:w="960" w:type="dxa"/>
            <w:tcBorders>
              <w:top w:val="nil"/>
              <w:left w:val="nil"/>
              <w:bottom w:val="single" w:sz="4" w:space="0" w:color="auto"/>
              <w:right w:val="nil"/>
            </w:tcBorders>
            <w:shd w:val="clear" w:color="auto" w:fill="auto"/>
            <w:noWrap/>
            <w:vAlign w:val="center"/>
            <w:hideMark/>
          </w:tcPr>
          <w:p w14:paraId="589C0D66"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Avg</w:t>
            </w:r>
          </w:p>
        </w:tc>
        <w:tc>
          <w:tcPr>
            <w:tcW w:w="1044" w:type="dxa"/>
            <w:tcBorders>
              <w:top w:val="nil"/>
              <w:left w:val="nil"/>
              <w:bottom w:val="single" w:sz="4" w:space="0" w:color="auto"/>
              <w:right w:val="single" w:sz="4" w:space="0" w:color="auto"/>
            </w:tcBorders>
            <w:shd w:val="clear" w:color="auto" w:fill="auto"/>
            <w:noWrap/>
            <w:vAlign w:val="center"/>
            <w:hideMark/>
          </w:tcPr>
          <w:p w14:paraId="75BAD599"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Max/Min</w:t>
            </w:r>
          </w:p>
        </w:tc>
      </w:tr>
      <w:tr w:rsidR="00553647" w:rsidRPr="000114E3" w14:paraId="08F3E9D7" w14:textId="77777777" w:rsidTr="00553647">
        <w:trPr>
          <w:trHeight w:val="300"/>
          <w:jc w:val="center"/>
        </w:trPr>
        <w:tc>
          <w:tcPr>
            <w:tcW w:w="1238" w:type="dxa"/>
            <w:tcBorders>
              <w:top w:val="nil"/>
              <w:left w:val="single" w:sz="4" w:space="0" w:color="auto"/>
              <w:bottom w:val="nil"/>
              <w:right w:val="nil"/>
            </w:tcBorders>
            <w:shd w:val="clear" w:color="auto" w:fill="auto"/>
            <w:noWrap/>
            <w:vAlign w:val="bottom"/>
            <w:hideMark/>
          </w:tcPr>
          <w:p w14:paraId="13A38603"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Batch</w:t>
            </w:r>
          </w:p>
        </w:tc>
        <w:tc>
          <w:tcPr>
            <w:tcW w:w="2130" w:type="dxa"/>
            <w:tcBorders>
              <w:top w:val="nil"/>
              <w:left w:val="nil"/>
              <w:bottom w:val="nil"/>
              <w:right w:val="nil"/>
            </w:tcBorders>
            <w:shd w:val="clear" w:color="auto" w:fill="auto"/>
            <w:noWrap/>
            <w:vAlign w:val="bottom"/>
            <w:hideMark/>
          </w:tcPr>
          <w:p w14:paraId="0358DDC9"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Ice Making Head</w:t>
            </w:r>
          </w:p>
        </w:tc>
        <w:tc>
          <w:tcPr>
            <w:tcW w:w="882" w:type="dxa"/>
            <w:tcBorders>
              <w:top w:val="nil"/>
              <w:left w:val="nil"/>
              <w:bottom w:val="nil"/>
              <w:right w:val="nil"/>
            </w:tcBorders>
            <w:shd w:val="clear" w:color="auto" w:fill="auto"/>
            <w:noWrap/>
            <w:vAlign w:val="center"/>
            <w:hideMark/>
          </w:tcPr>
          <w:p w14:paraId="03412072" w14:textId="77777777"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141</w:t>
            </w:r>
          </w:p>
        </w:tc>
        <w:tc>
          <w:tcPr>
            <w:tcW w:w="990" w:type="dxa"/>
            <w:tcBorders>
              <w:top w:val="single" w:sz="4" w:space="0" w:color="auto"/>
              <w:left w:val="single" w:sz="4" w:space="0" w:color="auto"/>
              <w:bottom w:val="nil"/>
              <w:right w:val="single" w:sz="4" w:space="0" w:color="auto"/>
            </w:tcBorders>
            <w:vAlign w:val="center"/>
          </w:tcPr>
          <w:p w14:paraId="638834D4" w14:textId="2ACD995E" w:rsidR="00553647" w:rsidRPr="000114E3" w:rsidRDefault="00553647" w:rsidP="0066641F">
            <w:pPr>
              <w:spacing w:after="0" w:line="240" w:lineRule="auto"/>
              <w:jc w:val="right"/>
              <w:rPr>
                <w:rFonts w:ascii="Calibri" w:hAnsi="Calibri" w:cs="Calibri"/>
                <w:color w:val="000000"/>
                <w:sz w:val="20"/>
                <w:szCs w:val="20"/>
              </w:rPr>
            </w:pPr>
            <w:r w:rsidRPr="000114E3">
              <w:rPr>
                <w:rFonts w:ascii="Calibri" w:hAnsi="Calibri" w:cs="Calibri"/>
                <w:color w:val="000000"/>
                <w:sz w:val="20"/>
                <w:szCs w:val="20"/>
              </w:rPr>
              <w:t>1.67</w:t>
            </w:r>
          </w:p>
        </w:tc>
        <w:tc>
          <w:tcPr>
            <w:tcW w:w="718" w:type="dxa"/>
            <w:tcBorders>
              <w:top w:val="single" w:sz="4" w:space="0" w:color="auto"/>
              <w:left w:val="single" w:sz="4" w:space="0" w:color="auto"/>
              <w:bottom w:val="nil"/>
              <w:right w:val="nil"/>
            </w:tcBorders>
            <w:shd w:val="clear" w:color="auto" w:fill="auto"/>
            <w:noWrap/>
            <w:vAlign w:val="center"/>
            <w:hideMark/>
          </w:tcPr>
          <w:p w14:paraId="74866045" w14:textId="02326CE5"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1.67</w:t>
            </w:r>
          </w:p>
        </w:tc>
        <w:tc>
          <w:tcPr>
            <w:tcW w:w="960" w:type="dxa"/>
            <w:tcBorders>
              <w:top w:val="single" w:sz="4" w:space="0" w:color="auto"/>
              <w:left w:val="nil"/>
              <w:bottom w:val="nil"/>
              <w:right w:val="nil"/>
            </w:tcBorders>
            <w:shd w:val="clear" w:color="auto" w:fill="auto"/>
            <w:noWrap/>
            <w:vAlign w:val="center"/>
            <w:hideMark/>
          </w:tcPr>
          <w:p w14:paraId="6228335F" w14:textId="0834C9F1"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1.06</w:t>
            </w:r>
          </w:p>
        </w:tc>
        <w:tc>
          <w:tcPr>
            <w:tcW w:w="960" w:type="dxa"/>
            <w:tcBorders>
              <w:top w:val="single" w:sz="4" w:space="0" w:color="auto"/>
              <w:left w:val="nil"/>
              <w:bottom w:val="nil"/>
              <w:right w:val="nil"/>
            </w:tcBorders>
            <w:shd w:val="clear" w:color="auto" w:fill="auto"/>
            <w:noWrap/>
            <w:vAlign w:val="center"/>
            <w:hideMark/>
          </w:tcPr>
          <w:p w14:paraId="3B47C177" w14:textId="1AF7441B"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1.47</w:t>
            </w:r>
          </w:p>
        </w:tc>
        <w:tc>
          <w:tcPr>
            <w:tcW w:w="1044" w:type="dxa"/>
            <w:tcBorders>
              <w:top w:val="single" w:sz="4" w:space="0" w:color="auto"/>
              <w:left w:val="nil"/>
              <w:bottom w:val="nil"/>
              <w:right w:val="single" w:sz="4" w:space="0" w:color="auto"/>
            </w:tcBorders>
            <w:shd w:val="clear" w:color="auto" w:fill="auto"/>
            <w:noWrap/>
            <w:vAlign w:val="center"/>
            <w:hideMark/>
          </w:tcPr>
          <w:p w14:paraId="4AD5D908" w14:textId="64FEA53D"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157%</w:t>
            </w:r>
          </w:p>
        </w:tc>
      </w:tr>
      <w:tr w:rsidR="00553647" w:rsidRPr="000114E3" w14:paraId="3CC927EA" w14:textId="77777777" w:rsidTr="00553647">
        <w:trPr>
          <w:trHeight w:val="300"/>
          <w:jc w:val="center"/>
        </w:trPr>
        <w:tc>
          <w:tcPr>
            <w:tcW w:w="1238" w:type="dxa"/>
            <w:tcBorders>
              <w:top w:val="nil"/>
              <w:left w:val="single" w:sz="4" w:space="0" w:color="auto"/>
              <w:bottom w:val="nil"/>
              <w:right w:val="nil"/>
            </w:tcBorders>
            <w:shd w:val="clear" w:color="auto" w:fill="auto"/>
            <w:noWrap/>
            <w:vAlign w:val="bottom"/>
            <w:hideMark/>
          </w:tcPr>
          <w:p w14:paraId="105EA018"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2130" w:type="dxa"/>
            <w:tcBorders>
              <w:top w:val="nil"/>
              <w:left w:val="nil"/>
              <w:bottom w:val="nil"/>
              <w:right w:val="nil"/>
            </w:tcBorders>
            <w:shd w:val="clear" w:color="auto" w:fill="auto"/>
            <w:noWrap/>
            <w:vAlign w:val="bottom"/>
            <w:hideMark/>
          </w:tcPr>
          <w:p w14:paraId="19307B08"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Remote Condensing</w:t>
            </w:r>
          </w:p>
        </w:tc>
        <w:tc>
          <w:tcPr>
            <w:tcW w:w="882" w:type="dxa"/>
            <w:tcBorders>
              <w:top w:val="nil"/>
              <w:left w:val="nil"/>
              <w:bottom w:val="nil"/>
              <w:right w:val="nil"/>
            </w:tcBorders>
            <w:shd w:val="clear" w:color="auto" w:fill="auto"/>
            <w:noWrap/>
            <w:vAlign w:val="center"/>
            <w:hideMark/>
          </w:tcPr>
          <w:p w14:paraId="73ECB23A" w14:textId="77777777"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67</w:t>
            </w:r>
          </w:p>
        </w:tc>
        <w:tc>
          <w:tcPr>
            <w:tcW w:w="990" w:type="dxa"/>
            <w:tcBorders>
              <w:top w:val="nil"/>
              <w:left w:val="single" w:sz="4" w:space="0" w:color="auto"/>
              <w:bottom w:val="nil"/>
              <w:right w:val="single" w:sz="4" w:space="0" w:color="auto"/>
            </w:tcBorders>
            <w:vAlign w:val="center"/>
          </w:tcPr>
          <w:p w14:paraId="1AAD4E6B" w14:textId="6D2A0E62" w:rsidR="00553647" w:rsidRPr="000114E3" w:rsidRDefault="00553647" w:rsidP="0066641F">
            <w:pPr>
              <w:spacing w:after="0" w:line="240" w:lineRule="auto"/>
              <w:jc w:val="right"/>
              <w:rPr>
                <w:rFonts w:ascii="Calibri" w:hAnsi="Calibri" w:cs="Calibri"/>
                <w:color w:val="000000"/>
                <w:sz w:val="20"/>
                <w:szCs w:val="20"/>
              </w:rPr>
            </w:pPr>
            <w:r w:rsidRPr="000114E3">
              <w:rPr>
                <w:rFonts w:ascii="Calibri" w:hAnsi="Calibri" w:cs="Calibri"/>
                <w:color w:val="000000"/>
                <w:sz w:val="20"/>
                <w:szCs w:val="20"/>
              </w:rPr>
              <w:t>1.67</w:t>
            </w:r>
          </w:p>
        </w:tc>
        <w:tc>
          <w:tcPr>
            <w:tcW w:w="718" w:type="dxa"/>
            <w:tcBorders>
              <w:top w:val="nil"/>
              <w:left w:val="single" w:sz="4" w:space="0" w:color="auto"/>
              <w:bottom w:val="nil"/>
              <w:right w:val="nil"/>
            </w:tcBorders>
            <w:shd w:val="clear" w:color="auto" w:fill="auto"/>
            <w:noWrap/>
            <w:vAlign w:val="center"/>
            <w:hideMark/>
          </w:tcPr>
          <w:p w14:paraId="5A7E507B" w14:textId="7B5F863A"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1.67</w:t>
            </w:r>
          </w:p>
        </w:tc>
        <w:tc>
          <w:tcPr>
            <w:tcW w:w="960" w:type="dxa"/>
            <w:tcBorders>
              <w:top w:val="nil"/>
              <w:left w:val="nil"/>
              <w:bottom w:val="nil"/>
              <w:right w:val="nil"/>
            </w:tcBorders>
            <w:shd w:val="clear" w:color="auto" w:fill="auto"/>
            <w:noWrap/>
            <w:vAlign w:val="center"/>
            <w:hideMark/>
          </w:tcPr>
          <w:p w14:paraId="3AE270CD" w14:textId="4166F394"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1.12</w:t>
            </w:r>
          </w:p>
        </w:tc>
        <w:tc>
          <w:tcPr>
            <w:tcW w:w="960" w:type="dxa"/>
            <w:tcBorders>
              <w:top w:val="nil"/>
              <w:left w:val="nil"/>
              <w:bottom w:val="nil"/>
              <w:right w:val="nil"/>
            </w:tcBorders>
            <w:shd w:val="clear" w:color="auto" w:fill="auto"/>
            <w:noWrap/>
            <w:vAlign w:val="center"/>
            <w:hideMark/>
          </w:tcPr>
          <w:p w14:paraId="1C0E3474" w14:textId="50BEF204"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1.52</w:t>
            </w:r>
          </w:p>
        </w:tc>
        <w:tc>
          <w:tcPr>
            <w:tcW w:w="1044" w:type="dxa"/>
            <w:tcBorders>
              <w:top w:val="nil"/>
              <w:left w:val="nil"/>
              <w:bottom w:val="nil"/>
              <w:right w:val="single" w:sz="4" w:space="0" w:color="auto"/>
            </w:tcBorders>
            <w:shd w:val="clear" w:color="auto" w:fill="auto"/>
            <w:noWrap/>
            <w:vAlign w:val="center"/>
            <w:hideMark/>
          </w:tcPr>
          <w:p w14:paraId="67FF00A8" w14:textId="5C69037C"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149%</w:t>
            </w:r>
          </w:p>
        </w:tc>
      </w:tr>
      <w:tr w:rsidR="00553647" w:rsidRPr="000114E3" w14:paraId="2973F2E2" w14:textId="77777777" w:rsidTr="00553647">
        <w:trPr>
          <w:trHeight w:val="300"/>
          <w:jc w:val="center"/>
        </w:trPr>
        <w:tc>
          <w:tcPr>
            <w:tcW w:w="1238" w:type="dxa"/>
            <w:tcBorders>
              <w:top w:val="nil"/>
              <w:left w:val="single" w:sz="4" w:space="0" w:color="auto"/>
              <w:bottom w:val="single" w:sz="4" w:space="0" w:color="auto"/>
              <w:right w:val="nil"/>
            </w:tcBorders>
            <w:shd w:val="clear" w:color="auto" w:fill="auto"/>
            <w:noWrap/>
            <w:vAlign w:val="bottom"/>
            <w:hideMark/>
          </w:tcPr>
          <w:p w14:paraId="0C0D11A8" w14:textId="6A6489E8" w:rsidR="00553647" w:rsidRPr="000114E3" w:rsidRDefault="00553647" w:rsidP="0066641F">
            <w:pPr>
              <w:spacing w:after="0" w:line="240" w:lineRule="auto"/>
              <w:jc w:val="right"/>
              <w:rPr>
                <w:rFonts w:ascii="Calibri" w:eastAsia="Times New Roman" w:hAnsi="Calibri" w:cs="Calibri"/>
                <w:color w:val="000000"/>
                <w:sz w:val="20"/>
                <w:szCs w:val="20"/>
                <w:lang w:eastAsia="en-AU"/>
              </w:rPr>
            </w:pPr>
          </w:p>
        </w:tc>
        <w:tc>
          <w:tcPr>
            <w:tcW w:w="2130" w:type="dxa"/>
            <w:tcBorders>
              <w:top w:val="nil"/>
              <w:left w:val="nil"/>
              <w:bottom w:val="single" w:sz="4" w:space="0" w:color="auto"/>
              <w:right w:val="nil"/>
            </w:tcBorders>
            <w:shd w:val="clear" w:color="auto" w:fill="auto"/>
            <w:noWrap/>
            <w:vAlign w:val="bottom"/>
            <w:hideMark/>
          </w:tcPr>
          <w:p w14:paraId="6C6AFEBE"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Self Contained</w:t>
            </w:r>
          </w:p>
        </w:tc>
        <w:tc>
          <w:tcPr>
            <w:tcW w:w="882" w:type="dxa"/>
            <w:tcBorders>
              <w:top w:val="nil"/>
              <w:left w:val="nil"/>
              <w:bottom w:val="single" w:sz="4" w:space="0" w:color="auto"/>
              <w:right w:val="nil"/>
            </w:tcBorders>
            <w:shd w:val="clear" w:color="auto" w:fill="auto"/>
            <w:noWrap/>
            <w:vAlign w:val="center"/>
            <w:hideMark/>
          </w:tcPr>
          <w:p w14:paraId="5FBBBF60" w14:textId="77777777"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49</w:t>
            </w:r>
          </w:p>
        </w:tc>
        <w:tc>
          <w:tcPr>
            <w:tcW w:w="990" w:type="dxa"/>
            <w:tcBorders>
              <w:top w:val="nil"/>
              <w:left w:val="single" w:sz="4" w:space="0" w:color="auto"/>
              <w:bottom w:val="single" w:sz="4" w:space="0" w:color="auto"/>
              <w:right w:val="single" w:sz="4" w:space="0" w:color="auto"/>
            </w:tcBorders>
            <w:vAlign w:val="center"/>
          </w:tcPr>
          <w:p w14:paraId="4EA7B72D" w14:textId="28C50987" w:rsidR="00553647" w:rsidRPr="000114E3" w:rsidRDefault="00553647" w:rsidP="0066641F">
            <w:pPr>
              <w:spacing w:after="0" w:line="240" w:lineRule="auto"/>
              <w:jc w:val="right"/>
              <w:rPr>
                <w:rFonts w:ascii="Calibri" w:hAnsi="Calibri" w:cs="Calibri"/>
                <w:color w:val="000000"/>
                <w:sz w:val="20"/>
                <w:szCs w:val="20"/>
              </w:rPr>
            </w:pPr>
            <w:r w:rsidRPr="000114E3">
              <w:rPr>
                <w:rFonts w:ascii="Calibri" w:hAnsi="Calibri" w:cs="Calibri"/>
                <w:color w:val="000000"/>
                <w:sz w:val="20"/>
                <w:szCs w:val="20"/>
              </w:rPr>
              <w:t>2.08</w:t>
            </w:r>
          </w:p>
        </w:tc>
        <w:tc>
          <w:tcPr>
            <w:tcW w:w="718" w:type="dxa"/>
            <w:tcBorders>
              <w:top w:val="nil"/>
              <w:left w:val="single" w:sz="4" w:space="0" w:color="auto"/>
              <w:bottom w:val="single" w:sz="4" w:space="0" w:color="auto"/>
              <w:right w:val="nil"/>
            </w:tcBorders>
            <w:shd w:val="clear" w:color="auto" w:fill="auto"/>
            <w:noWrap/>
            <w:vAlign w:val="center"/>
            <w:hideMark/>
          </w:tcPr>
          <w:p w14:paraId="40A9A58F" w14:textId="05A60F5B"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2.08</w:t>
            </w:r>
          </w:p>
        </w:tc>
        <w:tc>
          <w:tcPr>
            <w:tcW w:w="960" w:type="dxa"/>
            <w:tcBorders>
              <w:top w:val="nil"/>
              <w:left w:val="nil"/>
              <w:bottom w:val="single" w:sz="4" w:space="0" w:color="auto"/>
              <w:right w:val="nil"/>
            </w:tcBorders>
            <w:shd w:val="clear" w:color="auto" w:fill="auto"/>
            <w:noWrap/>
            <w:vAlign w:val="center"/>
            <w:hideMark/>
          </w:tcPr>
          <w:p w14:paraId="47413711" w14:textId="21D7B2BC"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1.00</w:t>
            </w:r>
          </w:p>
        </w:tc>
        <w:tc>
          <w:tcPr>
            <w:tcW w:w="960" w:type="dxa"/>
            <w:tcBorders>
              <w:top w:val="nil"/>
              <w:left w:val="nil"/>
              <w:bottom w:val="single" w:sz="4" w:space="0" w:color="auto"/>
              <w:right w:val="nil"/>
            </w:tcBorders>
            <w:shd w:val="clear" w:color="auto" w:fill="auto"/>
            <w:noWrap/>
            <w:vAlign w:val="center"/>
            <w:hideMark/>
          </w:tcPr>
          <w:p w14:paraId="2BEA5208" w14:textId="29581D4D"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1.29</w:t>
            </w:r>
          </w:p>
        </w:tc>
        <w:tc>
          <w:tcPr>
            <w:tcW w:w="1044" w:type="dxa"/>
            <w:tcBorders>
              <w:top w:val="nil"/>
              <w:left w:val="nil"/>
              <w:bottom w:val="single" w:sz="4" w:space="0" w:color="auto"/>
              <w:right w:val="single" w:sz="4" w:space="0" w:color="auto"/>
            </w:tcBorders>
            <w:shd w:val="clear" w:color="auto" w:fill="auto"/>
            <w:noWrap/>
            <w:vAlign w:val="center"/>
            <w:hideMark/>
          </w:tcPr>
          <w:p w14:paraId="5759C1FD" w14:textId="35F054A7"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208%</w:t>
            </w:r>
          </w:p>
        </w:tc>
      </w:tr>
      <w:tr w:rsidR="00553647" w:rsidRPr="000114E3" w14:paraId="301E5866" w14:textId="77777777" w:rsidTr="00553647">
        <w:trPr>
          <w:trHeight w:val="300"/>
          <w:jc w:val="center"/>
        </w:trPr>
        <w:tc>
          <w:tcPr>
            <w:tcW w:w="1238" w:type="dxa"/>
            <w:tcBorders>
              <w:top w:val="nil"/>
              <w:left w:val="single" w:sz="4" w:space="0" w:color="auto"/>
              <w:bottom w:val="nil"/>
              <w:right w:val="nil"/>
            </w:tcBorders>
            <w:shd w:val="clear" w:color="auto" w:fill="auto"/>
            <w:noWrap/>
            <w:vAlign w:val="bottom"/>
            <w:hideMark/>
          </w:tcPr>
          <w:p w14:paraId="60399820"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Continuous</w:t>
            </w:r>
          </w:p>
        </w:tc>
        <w:tc>
          <w:tcPr>
            <w:tcW w:w="2130" w:type="dxa"/>
            <w:tcBorders>
              <w:top w:val="nil"/>
              <w:left w:val="nil"/>
              <w:bottom w:val="nil"/>
              <w:right w:val="nil"/>
            </w:tcBorders>
            <w:shd w:val="clear" w:color="auto" w:fill="auto"/>
            <w:noWrap/>
            <w:vAlign w:val="bottom"/>
            <w:hideMark/>
          </w:tcPr>
          <w:p w14:paraId="1C8DDD2B"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Ice Making Head</w:t>
            </w:r>
          </w:p>
        </w:tc>
        <w:tc>
          <w:tcPr>
            <w:tcW w:w="882" w:type="dxa"/>
            <w:tcBorders>
              <w:top w:val="nil"/>
              <w:left w:val="nil"/>
              <w:bottom w:val="nil"/>
              <w:right w:val="nil"/>
            </w:tcBorders>
            <w:shd w:val="clear" w:color="auto" w:fill="auto"/>
            <w:noWrap/>
            <w:vAlign w:val="center"/>
            <w:hideMark/>
          </w:tcPr>
          <w:p w14:paraId="096A706C" w14:textId="77777777"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18</w:t>
            </w:r>
          </w:p>
        </w:tc>
        <w:tc>
          <w:tcPr>
            <w:tcW w:w="990" w:type="dxa"/>
            <w:tcBorders>
              <w:top w:val="nil"/>
              <w:left w:val="single" w:sz="4" w:space="0" w:color="auto"/>
              <w:bottom w:val="nil"/>
              <w:right w:val="single" w:sz="4" w:space="0" w:color="auto"/>
            </w:tcBorders>
            <w:vAlign w:val="center"/>
          </w:tcPr>
          <w:p w14:paraId="782F973A" w14:textId="11D433D6" w:rsidR="00553647" w:rsidRPr="000114E3" w:rsidRDefault="00553647" w:rsidP="0066641F">
            <w:pPr>
              <w:spacing w:after="0" w:line="240" w:lineRule="auto"/>
              <w:jc w:val="right"/>
              <w:rPr>
                <w:rFonts w:ascii="Calibri" w:hAnsi="Calibri" w:cs="Calibri"/>
                <w:color w:val="000000"/>
                <w:sz w:val="20"/>
                <w:szCs w:val="20"/>
              </w:rPr>
            </w:pPr>
            <w:r w:rsidRPr="000114E3">
              <w:rPr>
                <w:rFonts w:ascii="Calibri" w:hAnsi="Calibri" w:cs="Calibri"/>
                <w:color w:val="000000"/>
                <w:sz w:val="20"/>
                <w:szCs w:val="20"/>
              </w:rPr>
              <w:t>1.25</w:t>
            </w:r>
          </w:p>
        </w:tc>
        <w:tc>
          <w:tcPr>
            <w:tcW w:w="718" w:type="dxa"/>
            <w:tcBorders>
              <w:top w:val="nil"/>
              <w:left w:val="single" w:sz="4" w:space="0" w:color="auto"/>
              <w:bottom w:val="nil"/>
              <w:right w:val="nil"/>
            </w:tcBorders>
            <w:shd w:val="clear" w:color="auto" w:fill="auto"/>
            <w:noWrap/>
            <w:vAlign w:val="center"/>
            <w:hideMark/>
          </w:tcPr>
          <w:p w14:paraId="5367A2BE" w14:textId="132B1E21"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1.00</w:t>
            </w:r>
          </w:p>
        </w:tc>
        <w:tc>
          <w:tcPr>
            <w:tcW w:w="960" w:type="dxa"/>
            <w:tcBorders>
              <w:top w:val="nil"/>
              <w:left w:val="nil"/>
              <w:bottom w:val="nil"/>
              <w:right w:val="nil"/>
            </w:tcBorders>
            <w:shd w:val="clear" w:color="auto" w:fill="auto"/>
            <w:noWrap/>
            <w:vAlign w:val="center"/>
            <w:hideMark/>
          </w:tcPr>
          <w:p w14:paraId="49DB461D" w14:textId="41188967"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1.00</w:t>
            </w:r>
          </w:p>
        </w:tc>
        <w:tc>
          <w:tcPr>
            <w:tcW w:w="960" w:type="dxa"/>
            <w:tcBorders>
              <w:top w:val="nil"/>
              <w:left w:val="nil"/>
              <w:bottom w:val="nil"/>
              <w:right w:val="nil"/>
            </w:tcBorders>
            <w:shd w:val="clear" w:color="auto" w:fill="auto"/>
            <w:noWrap/>
            <w:vAlign w:val="center"/>
            <w:hideMark/>
          </w:tcPr>
          <w:p w14:paraId="7C1DA05F" w14:textId="16A496C6"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1.00</w:t>
            </w:r>
          </w:p>
        </w:tc>
        <w:tc>
          <w:tcPr>
            <w:tcW w:w="1044" w:type="dxa"/>
            <w:tcBorders>
              <w:top w:val="nil"/>
              <w:left w:val="nil"/>
              <w:bottom w:val="nil"/>
              <w:right w:val="single" w:sz="4" w:space="0" w:color="auto"/>
            </w:tcBorders>
            <w:shd w:val="clear" w:color="auto" w:fill="auto"/>
            <w:noWrap/>
            <w:vAlign w:val="center"/>
            <w:hideMark/>
          </w:tcPr>
          <w:p w14:paraId="179E548D" w14:textId="78E02173"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100%</w:t>
            </w:r>
          </w:p>
        </w:tc>
      </w:tr>
      <w:tr w:rsidR="00553647" w:rsidRPr="000114E3" w14:paraId="710B4E02" w14:textId="77777777" w:rsidTr="00553647">
        <w:trPr>
          <w:trHeight w:val="300"/>
          <w:jc w:val="center"/>
        </w:trPr>
        <w:tc>
          <w:tcPr>
            <w:tcW w:w="1238" w:type="dxa"/>
            <w:tcBorders>
              <w:top w:val="nil"/>
              <w:left w:val="single" w:sz="4" w:space="0" w:color="auto"/>
              <w:bottom w:val="nil"/>
              <w:right w:val="nil"/>
            </w:tcBorders>
            <w:shd w:val="clear" w:color="auto" w:fill="auto"/>
            <w:noWrap/>
            <w:vAlign w:val="bottom"/>
            <w:hideMark/>
          </w:tcPr>
          <w:p w14:paraId="17321D38"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2130" w:type="dxa"/>
            <w:tcBorders>
              <w:top w:val="nil"/>
              <w:left w:val="nil"/>
              <w:bottom w:val="nil"/>
              <w:right w:val="nil"/>
            </w:tcBorders>
            <w:shd w:val="clear" w:color="auto" w:fill="auto"/>
            <w:noWrap/>
            <w:vAlign w:val="bottom"/>
            <w:hideMark/>
          </w:tcPr>
          <w:p w14:paraId="7897B0DA"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Remote Condensing</w:t>
            </w:r>
          </w:p>
        </w:tc>
        <w:tc>
          <w:tcPr>
            <w:tcW w:w="882" w:type="dxa"/>
            <w:tcBorders>
              <w:top w:val="nil"/>
              <w:left w:val="nil"/>
              <w:bottom w:val="nil"/>
              <w:right w:val="nil"/>
            </w:tcBorders>
            <w:shd w:val="clear" w:color="auto" w:fill="auto"/>
            <w:noWrap/>
            <w:vAlign w:val="center"/>
            <w:hideMark/>
          </w:tcPr>
          <w:p w14:paraId="6E688E48" w14:textId="77777777"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9</w:t>
            </w:r>
          </w:p>
        </w:tc>
        <w:tc>
          <w:tcPr>
            <w:tcW w:w="990" w:type="dxa"/>
            <w:tcBorders>
              <w:top w:val="nil"/>
              <w:left w:val="single" w:sz="4" w:space="0" w:color="auto"/>
              <w:bottom w:val="nil"/>
              <w:right w:val="single" w:sz="4" w:space="0" w:color="auto"/>
            </w:tcBorders>
            <w:vAlign w:val="center"/>
          </w:tcPr>
          <w:p w14:paraId="4F17D937" w14:textId="4156CEA1" w:rsidR="00553647" w:rsidRPr="000114E3" w:rsidRDefault="00553647" w:rsidP="0066641F">
            <w:pPr>
              <w:spacing w:after="0" w:line="240" w:lineRule="auto"/>
              <w:jc w:val="right"/>
              <w:rPr>
                <w:rFonts w:ascii="Calibri" w:hAnsi="Calibri" w:cs="Calibri"/>
                <w:color w:val="000000"/>
                <w:sz w:val="20"/>
                <w:szCs w:val="20"/>
              </w:rPr>
            </w:pPr>
            <w:r w:rsidRPr="000114E3">
              <w:rPr>
                <w:rFonts w:ascii="Calibri" w:hAnsi="Calibri" w:cs="Calibri"/>
                <w:color w:val="000000"/>
                <w:sz w:val="20"/>
                <w:szCs w:val="20"/>
              </w:rPr>
              <w:t>1.25</w:t>
            </w:r>
          </w:p>
        </w:tc>
        <w:tc>
          <w:tcPr>
            <w:tcW w:w="718" w:type="dxa"/>
            <w:tcBorders>
              <w:top w:val="nil"/>
              <w:left w:val="single" w:sz="4" w:space="0" w:color="auto"/>
              <w:bottom w:val="nil"/>
              <w:right w:val="nil"/>
            </w:tcBorders>
            <w:shd w:val="clear" w:color="auto" w:fill="auto"/>
            <w:noWrap/>
            <w:vAlign w:val="center"/>
            <w:hideMark/>
          </w:tcPr>
          <w:p w14:paraId="3C27605C" w14:textId="54C97199"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1.03</w:t>
            </w:r>
          </w:p>
        </w:tc>
        <w:tc>
          <w:tcPr>
            <w:tcW w:w="960" w:type="dxa"/>
            <w:tcBorders>
              <w:top w:val="nil"/>
              <w:left w:val="nil"/>
              <w:bottom w:val="nil"/>
              <w:right w:val="nil"/>
            </w:tcBorders>
            <w:shd w:val="clear" w:color="auto" w:fill="auto"/>
            <w:noWrap/>
            <w:vAlign w:val="center"/>
            <w:hideMark/>
          </w:tcPr>
          <w:p w14:paraId="4DA87B2B" w14:textId="7CE60952"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1.00</w:t>
            </w:r>
          </w:p>
        </w:tc>
        <w:tc>
          <w:tcPr>
            <w:tcW w:w="960" w:type="dxa"/>
            <w:tcBorders>
              <w:top w:val="nil"/>
              <w:left w:val="nil"/>
              <w:bottom w:val="nil"/>
              <w:right w:val="nil"/>
            </w:tcBorders>
            <w:shd w:val="clear" w:color="auto" w:fill="auto"/>
            <w:noWrap/>
            <w:vAlign w:val="center"/>
            <w:hideMark/>
          </w:tcPr>
          <w:p w14:paraId="538A00FA" w14:textId="4FA8A189"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1.00</w:t>
            </w:r>
          </w:p>
        </w:tc>
        <w:tc>
          <w:tcPr>
            <w:tcW w:w="1044" w:type="dxa"/>
            <w:tcBorders>
              <w:top w:val="nil"/>
              <w:left w:val="nil"/>
              <w:bottom w:val="nil"/>
              <w:right w:val="single" w:sz="4" w:space="0" w:color="auto"/>
            </w:tcBorders>
            <w:shd w:val="clear" w:color="auto" w:fill="auto"/>
            <w:noWrap/>
            <w:vAlign w:val="center"/>
            <w:hideMark/>
          </w:tcPr>
          <w:p w14:paraId="70546749" w14:textId="150A6B8B"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103%</w:t>
            </w:r>
          </w:p>
        </w:tc>
      </w:tr>
      <w:tr w:rsidR="00553647" w:rsidRPr="000114E3" w14:paraId="7693E6CB" w14:textId="77777777" w:rsidTr="00553647">
        <w:trPr>
          <w:trHeight w:val="300"/>
          <w:jc w:val="center"/>
        </w:trPr>
        <w:tc>
          <w:tcPr>
            <w:tcW w:w="1238" w:type="dxa"/>
            <w:tcBorders>
              <w:top w:val="nil"/>
              <w:left w:val="single" w:sz="4" w:space="0" w:color="auto"/>
              <w:bottom w:val="single" w:sz="4" w:space="0" w:color="auto"/>
              <w:right w:val="nil"/>
            </w:tcBorders>
            <w:shd w:val="clear" w:color="auto" w:fill="auto"/>
            <w:noWrap/>
            <w:vAlign w:val="bottom"/>
            <w:hideMark/>
          </w:tcPr>
          <w:p w14:paraId="59BC918B" w14:textId="2E0B87D6" w:rsidR="00553647" w:rsidRPr="000114E3" w:rsidRDefault="00553647" w:rsidP="0066641F">
            <w:pPr>
              <w:spacing w:after="0" w:line="240" w:lineRule="auto"/>
              <w:jc w:val="right"/>
              <w:rPr>
                <w:rFonts w:ascii="Calibri" w:eastAsia="Times New Roman" w:hAnsi="Calibri" w:cs="Calibri"/>
                <w:color w:val="000000"/>
                <w:sz w:val="20"/>
                <w:szCs w:val="20"/>
                <w:lang w:eastAsia="en-AU"/>
              </w:rPr>
            </w:pPr>
          </w:p>
        </w:tc>
        <w:tc>
          <w:tcPr>
            <w:tcW w:w="2130" w:type="dxa"/>
            <w:tcBorders>
              <w:top w:val="nil"/>
              <w:left w:val="nil"/>
              <w:bottom w:val="single" w:sz="4" w:space="0" w:color="auto"/>
              <w:right w:val="nil"/>
            </w:tcBorders>
            <w:shd w:val="clear" w:color="auto" w:fill="auto"/>
            <w:noWrap/>
            <w:vAlign w:val="bottom"/>
            <w:hideMark/>
          </w:tcPr>
          <w:p w14:paraId="32287436" w14:textId="77777777" w:rsidR="00553647" w:rsidRPr="000114E3" w:rsidRDefault="00553647" w:rsidP="0066641F">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Self Contained</w:t>
            </w:r>
          </w:p>
        </w:tc>
        <w:tc>
          <w:tcPr>
            <w:tcW w:w="882" w:type="dxa"/>
            <w:tcBorders>
              <w:top w:val="nil"/>
              <w:left w:val="nil"/>
              <w:bottom w:val="single" w:sz="4" w:space="0" w:color="auto"/>
              <w:right w:val="nil"/>
            </w:tcBorders>
            <w:shd w:val="clear" w:color="auto" w:fill="auto"/>
            <w:noWrap/>
            <w:vAlign w:val="center"/>
            <w:hideMark/>
          </w:tcPr>
          <w:p w14:paraId="54FF18FA" w14:textId="77777777"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61</w:t>
            </w:r>
          </w:p>
        </w:tc>
        <w:tc>
          <w:tcPr>
            <w:tcW w:w="990" w:type="dxa"/>
            <w:tcBorders>
              <w:top w:val="nil"/>
              <w:left w:val="single" w:sz="4" w:space="0" w:color="auto"/>
              <w:bottom w:val="single" w:sz="4" w:space="0" w:color="auto"/>
              <w:right w:val="single" w:sz="4" w:space="0" w:color="auto"/>
            </w:tcBorders>
            <w:vAlign w:val="center"/>
          </w:tcPr>
          <w:p w14:paraId="318C8AAD" w14:textId="743E638B" w:rsidR="00553647" w:rsidRPr="000114E3" w:rsidRDefault="00553647" w:rsidP="0066641F">
            <w:pPr>
              <w:spacing w:after="0" w:line="240" w:lineRule="auto"/>
              <w:jc w:val="right"/>
              <w:rPr>
                <w:rFonts w:ascii="Calibri" w:hAnsi="Calibri" w:cs="Calibri"/>
                <w:color w:val="000000"/>
                <w:sz w:val="20"/>
                <w:szCs w:val="20"/>
              </w:rPr>
            </w:pPr>
            <w:r w:rsidRPr="000114E3">
              <w:rPr>
                <w:rFonts w:ascii="Calibri" w:hAnsi="Calibri" w:cs="Calibri"/>
                <w:color w:val="000000"/>
                <w:sz w:val="20"/>
                <w:szCs w:val="20"/>
              </w:rPr>
              <w:t>1.25</w:t>
            </w:r>
          </w:p>
        </w:tc>
        <w:tc>
          <w:tcPr>
            <w:tcW w:w="718" w:type="dxa"/>
            <w:tcBorders>
              <w:top w:val="nil"/>
              <w:left w:val="single" w:sz="4" w:space="0" w:color="auto"/>
              <w:bottom w:val="single" w:sz="4" w:space="0" w:color="auto"/>
              <w:right w:val="nil"/>
            </w:tcBorders>
            <w:shd w:val="clear" w:color="auto" w:fill="auto"/>
            <w:noWrap/>
            <w:vAlign w:val="center"/>
            <w:hideMark/>
          </w:tcPr>
          <w:p w14:paraId="596E1519" w14:textId="60F4FCA1"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1.00</w:t>
            </w:r>
          </w:p>
        </w:tc>
        <w:tc>
          <w:tcPr>
            <w:tcW w:w="960" w:type="dxa"/>
            <w:tcBorders>
              <w:top w:val="nil"/>
              <w:left w:val="nil"/>
              <w:bottom w:val="single" w:sz="4" w:space="0" w:color="auto"/>
              <w:right w:val="nil"/>
            </w:tcBorders>
            <w:shd w:val="clear" w:color="auto" w:fill="auto"/>
            <w:noWrap/>
            <w:vAlign w:val="center"/>
            <w:hideMark/>
          </w:tcPr>
          <w:p w14:paraId="6F2C3799" w14:textId="61CD7B50"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0.99</w:t>
            </w:r>
          </w:p>
        </w:tc>
        <w:tc>
          <w:tcPr>
            <w:tcW w:w="960" w:type="dxa"/>
            <w:tcBorders>
              <w:top w:val="nil"/>
              <w:left w:val="nil"/>
              <w:bottom w:val="single" w:sz="4" w:space="0" w:color="auto"/>
              <w:right w:val="nil"/>
            </w:tcBorders>
            <w:shd w:val="clear" w:color="auto" w:fill="auto"/>
            <w:noWrap/>
            <w:vAlign w:val="center"/>
            <w:hideMark/>
          </w:tcPr>
          <w:p w14:paraId="0E5DC86B" w14:textId="684E475E"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1.00</w:t>
            </w:r>
          </w:p>
        </w:tc>
        <w:tc>
          <w:tcPr>
            <w:tcW w:w="1044" w:type="dxa"/>
            <w:tcBorders>
              <w:top w:val="nil"/>
              <w:left w:val="nil"/>
              <w:bottom w:val="single" w:sz="4" w:space="0" w:color="auto"/>
              <w:right w:val="single" w:sz="4" w:space="0" w:color="auto"/>
            </w:tcBorders>
            <w:shd w:val="clear" w:color="auto" w:fill="auto"/>
            <w:noWrap/>
            <w:vAlign w:val="center"/>
            <w:hideMark/>
          </w:tcPr>
          <w:p w14:paraId="3EDE70A3" w14:textId="225268A7" w:rsidR="00553647" w:rsidRPr="000114E3" w:rsidRDefault="00553647" w:rsidP="0066641F">
            <w:pPr>
              <w:spacing w:after="0" w:line="240" w:lineRule="auto"/>
              <w:jc w:val="right"/>
              <w:rPr>
                <w:rFonts w:ascii="Calibri" w:eastAsia="Times New Roman" w:hAnsi="Calibri" w:cs="Calibri"/>
                <w:color w:val="000000"/>
                <w:sz w:val="20"/>
                <w:szCs w:val="20"/>
                <w:lang w:eastAsia="en-AU"/>
              </w:rPr>
            </w:pPr>
            <w:r w:rsidRPr="000114E3">
              <w:rPr>
                <w:rFonts w:ascii="Calibri" w:hAnsi="Calibri" w:cs="Calibri"/>
                <w:color w:val="000000"/>
                <w:sz w:val="20"/>
                <w:szCs w:val="20"/>
              </w:rPr>
              <w:t>101%</w:t>
            </w:r>
          </w:p>
        </w:tc>
      </w:tr>
    </w:tbl>
    <w:p w14:paraId="79DD6D61" w14:textId="77777777" w:rsidR="0066641F" w:rsidRDefault="0066641F" w:rsidP="00F0453C"/>
    <w:p w14:paraId="20EFF291" w14:textId="51C8C3F8" w:rsidR="005E1CB7" w:rsidRDefault="005E1CB7" w:rsidP="005E1CB7">
      <w:r w:rsidRPr="005E1CB7">
        <w:t>Energy Star only covers air</w:t>
      </w:r>
      <w:r w:rsidR="00885D64">
        <w:t>-</w:t>
      </w:r>
      <w:r w:rsidRPr="005E1CB7">
        <w:t xml:space="preserve">cooled models, but data on </w:t>
      </w:r>
      <w:r w:rsidRPr="000310AB">
        <w:t xml:space="preserve">condensing </w:t>
      </w:r>
      <w:r w:rsidRPr="005E1CB7">
        <w:t>water consumption of water-cooled models is available from the USDOE</w:t>
      </w:r>
      <w:r>
        <w:t xml:space="preserve"> (see </w:t>
      </w:r>
      <w:r>
        <w:fldChar w:fldCharType="begin"/>
      </w:r>
      <w:r>
        <w:instrText xml:space="preserve"> REF _Ref191568994 \h </w:instrText>
      </w:r>
      <w:r>
        <w:fldChar w:fldCharType="separate"/>
      </w:r>
      <w:r w:rsidR="002271EC">
        <w:t xml:space="preserve">Table </w:t>
      </w:r>
      <w:r w:rsidR="002271EC">
        <w:rPr>
          <w:noProof/>
        </w:rPr>
        <w:t>17</w:t>
      </w:r>
      <w:r>
        <w:fldChar w:fldCharType="end"/>
      </w:r>
      <w:r>
        <w:t xml:space="preserve">). The USDOE has different product classifications than the USEPA and sets limits on cooling water-intensity based on the production capacity of the unit, so there is no single limit value as there is for Energy Star. All water-cooled models on the market must fall below that limit. As </w:t>
      </w:r>
      <w:r>
        <w:fldChar w:fldCharType="begin"/>
      </w:r>
      <w:r>
        <w:instrText xml:space="preserve"> REF _Ref191568994 \h </w:instrText>
      </w:r>
      <w:r>
        <w:fldChar w:fldCharType="separate"/>
      </w:r>
      <w:r w:rsidR="002271EC">
        <w:t xml:space="preserve">Table </w:t>
      </w:r>
      <w:r w:rsidR="002271EC">
        <w:rPr>
          <w:noProof/>
        </w:rPr>
        <w:t>17</w:t>
      </w:r>
      <w:r>
        <w:fldChar w:fldCharType="end"/>
      </w:r>
      <w:r>
        <w:t xml:space="preserve"> shows, </w:t>
      </w:r>
      <w:r w:rsidR="000310AB">
        <w:t xml:space="preserve">there is a wide range in </w:t>
      </w:r>
      <w:r>
        <w:t>c</w:t>
      </w:r>
      <w:r w:rsidRPr="005E1CB7">
        <w:t>ondenser water use per kg of ice</w:t>
      </w:r>
      <w:r w:rsidR="000310AB">
        <w:t xml:space="preserve">, and condenser water use </w:t>
      </w:r>
      <w:r w:rsidRPr="005E1CB7">
        <w:t xml:space="preserve">is typically </w:t>
      </w:r>
      <w:r w:rsidR="000310AB">
        <w:t xml:space="preserve">8 to </w:t>
      </w:r>
      <w:r w:rsidRPr="005E1CB7">
        <w:t>10 times potable water use</w:t>
      </w:r>
      <w:r w:rsidR="000310AB">
        <w:t>.</w:t>
      </w:r>
    </w:p>
    <w:p w14:paraId="57F2EF7A" w14:textId="29FA778C" w:rsidR="005E1CB7" w:rsidRDefault="005E1CB7" w:rsidP="005E1CB7"/>
    <w:p w14:paraId="08C902E4" w14:textId="77777777" w:rsidR="000310AB" w:rsidRPr="005E1CB7" w:rsidRDefault="000310AB" w:rsidP="005E1CB7"/>
    <w:p w14:paraId="4A022AC3" w14:textId="314E99CC" w:rsidR="00553647" w:rsidRDefault="00553647" w:rsidP="00553647">
      <w:pPr>
        <w:pStyle w:val="Caption"/>
        <w:jc w:val="center"/>
      </w:pPr>
      <w:bookmarkStart w:id="155" w:name="_Ref191568994"/>
      <w:bookmarkStart w:id="156" w:name="_Toc196745459"/>
      <w:r>
        <w:lastRenderedPageBreak/>
        <w:t xml:space="preserve">Table </w:t>
      </w:r>
      <w:r w:rsidR="0042496D">
        <w:fldChar w:fldCharType="begin"/>
      </w:r>
      <w:r w:rsidR="0042496D">
        <w:instrText xml:space="preserve"> SEQ Table \* ARABIC </w:instrText>
      </w:r>
      <w:r w:rsidR="0042496D">
        <w:fldChar w:fldCharType="separate"/>
      </w:r>
      <w:r w:rsidR="002271EC">
        <w:rPr>
          <w:noProof/>
        </w:rPr>
        <w:t>17</w:t>
      </w:r>
      <w:r w:rsidR="0042496D">
        <w:rPr>
          <w:noProof/>
        </w:rPr>
        <w:fldChar w:fldCharType="end"/>
      </w:r>
      <w:bookmarkEnd w:id="155"/>
      <w:r>
        <w:t xml:space="preserve"> Condenser </w:t>
      </w:r>
      <w:r w:rsidRPr="00553647">
        <w:t>water use by US</w:t>
      </w:r>
      <w:r>
        <w:t xml:space="preserve">DOE Registered water-cooled </w:t>
      </w:r>
      <w:r w:rsidRPr="00553647">
        <w:t>CIMs, 2024</w:t>
      </w:r>
      <w:bookmarkEnd w:id="156"/>
    </w:p>
    <w:tbl>
      <w:tblPr>
        <w:tblW w:w="8225" w:type="dxa"/>
        <w:jc w:val="center"/>
        <w:tblLook w:val="04A0" w:firstRow="1" w:lastRow="0" w:firstColumn="1" w:lastColumn="0" w:noHBand="0" w:noVBand="1"/>
      </w:tblPr>
      <w:tblGrid>
        <w:gridCol w:w="1418"/>
        <w:gridCol w:w="1984"/>
        <w:gridCol w:w="899"/>
        <w:gridCol w:w="960"/>
        <w:gridCol w:w="960"/>
        <w:gridCol w:w="960"/>
        <w:gridCol w:w="1044"/>
      </w:tblGrid>
      <w:tr w:rsidR="005E1CB7" w:rsidRPr="000114E3" w14:paraId="4A992E0F" w14:textId="77777777" w:rsidTr="0073765A">
        <w:trPr>
          <w:trHeight w:val="300"/>
          <w:jc w:val="center"/>
        </w:trPr>
        <w:tc>
          <w:tcPr>
            <w:tcW w:w="1418" w:type="dxa"/>
            <w:tcBorders>
              <w:top w:val="single" w:sz="4" w:space="0" w:color="auto"/>
              <w:left w:val="single" w:sz="4" w:space="0" w:color="auto"/>
              <w:bottom w:val="nil"/>
              <w:right w:val="nil"/>
            </w:tcBorders>
            <w:shd w:val="clear" w:color="auto" w:fill="auto"/>
            <w:noWrap/>
            <w:vAlign w:val="bottom"/>
            <w:hideMark/>
          </w:tcPr>
          <w:p w14:paraId="463006D5" w14:textId="77777777" w:rsidR="005E1CB7" w:rsidRPr="000114E3" w:rsidRDefault="005E1CB7" w:rsidP="00553647">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1984" w:type="dxa"/>
            <w:tcBorders>
              <w:top w:val="single" w:sz="4" w:space="0" w:color="auto"/>
              <w:left w:val="nil"/>
              <w:bottom w:val="nil"/>
              <w:right w:val="nil"/>
            </w:tcBorders>
            <w:shd w:val="clear" w:color="auto" w:fill="auto"/>
            <w:noWrap/>
            <w:vAlign w:val="bottom"/>
            <w:hideMark/>
          </w:tcPr>
          <w:p w14:paraId="3B82FCA9" w14:textId="77777777" w:rsidR="005E1CB7" w:rsidRPr="000114E3" w:rsidRDefault="005E1CB7" w:rsidP="00553647">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899" w:type="dxa"/>
            <w:tcBorders>
              <w:top w:val="single" w:sz="4" w:space="0" w:color="auto"/>
              <w:left w:val="nil"/>
              <w:bottom w:val="nil"/>
              <w:right w:val="nil"/>
            </w:tcBorders>
            <w:shd w:val="clear" w:color="auto" w:fill="auto"/>
            <w:noWrap/>
            <w:vAlign w:val="bottom"/>
            <w:hideMark/>
          </w:tcPr>
          <w:p w14:paraId="2B23ACB9" w14:textId="77777777" w:rsidR="005E1CB7" w:rsidRPr="000114E3" w:rsidRDefault="005E1CB7" w:rsidP="00553647">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 </w:t>
            </w:r>
          </w:p>
        </w:tc>
        <w:tc>
          <w:tcPr>
            <w:tcW w:w="3924" w:type="dxa"/>
            <w:gridSpan w:val="4"/>
            <w:tcBorders>
              <w:top w:val="single" w:sz="4" w:space="0" w:color="auto"/>
              <w:left w:val="single" w:sz="4" w:space="0" w:color="auto"/>
              <w:bottom w:val="nil"/>
              <w:right w:val="single" w:sz="4" w:space="0" w:color="auto"/>
            </w:tcBorders>
            <w:shd w:val="clear" w:color="auto" w:fill="auto"/>
            <w:noWrap/>
            <w:vAlign w:val="bottom"/>
            <w:hideMark/>
          </w:tcPr>
          <w:p w14:paraId="6C4267E8" w14:textId="7A8BF3ED" w:rsidR="005E1CB7" w:rsidRPr="000114E3" w:rsidRDefault="005E1CB7" w:rsidP="005E1CB7">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L/100kg</w:t>
            </w:r>
          </w:p>
        </w:tc>
      </w:tr>
      <w:tr w:rsidR="00553647" w:rsidRPr="000114E3" w14:paraId="4EBC22F4" w14:textId="77777777" w:rsidTr="0073765A">
        <w:trPr>
          <w:trHeight w:val="300"/>
          <w:jc w:val="center"/>
        </w:trPr>
        <w:tc>
          <w:tcPr>
            <w:tcW w:w="1418" w:type="dxa"/>
            <w:tcBorders>
              <w:top w:val="nil"/>
              <w:left w:val="single" w:sz="4" w:space="0" w:color="auto"/>
              <w:bottom w:val="single" w:sz="4" w:space="0" w:color="auto"/>
              <w:right w:val="nil"/>
            </w:tcBorders>
            <w:shd w:val="clear" w:color="auto" w:fill="auto"/>
            <w:noWrap/>
            <w:vAlign w:val="bottom"/>
            <w:hideMark/>
          </w:tcPr>
          <w:p w14:paraId="7188DC2C" w14:textId="77777777" w:rsidR="00553647" w:rsidRPr="000114E3" w:rsidRDefault="00553647" w:rsidP="00553647">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Production</w:t>
            </w:r>
          </w:p>
        </w:tc>
        <w:tc>
          <w:tcPr>
            <w:tcW w:w="1984" w:type="dxa"/>
            <w:tcBorders>
              <w:top w:val="nil"/>
              <w:left w:val="nil"/>
              <w:bottom w:val="single" w:sz="4" w:space="0" w:color="auto"/>
              <w:right w:val="nil"/>
            </w:tcBorders>
            <w:shd w:val="clear" w:color="auto" w:fill="auto"/>
            <w:noWrap/>
            <w:vAlign w:val="bottom"/>
            <w:hideMark/>
          </w:tcPr>
          <w:p w14:paraId="2A738550" w14:textId="77777777" w:rsidR="00553647" w:rsidRPr="000114E3" w:rsidRDefault="00553647" w:rsidP="00553647">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Configuration</w:t>
            </w:r>
          </w:p>
        </w:tc>
        <w:tc>
          <w:tcPr>
            <w:tcW w:w="899" w:type="dxa"/>
            <w:tcBorders>
              <w:top w:val="nil"/>
              <w:left w:val="nil"/>
              <w:bottom w:val="single" w:sz="4" w:space="0" w:color="auto"/>
              <w:right w:val="nil"/>
            </w:tcBorders>
            <w:shd w:val="clear" w:color="auto" w:fill="auto"/>
            <w:noWrap/>
            <w:vAlign w:val="bottom"/>
            <w:hideMark/>
          </w:tcPr>
          <w:p w14:paraId="2CCE1552" w14:textId="77777777" w:rsidR="00553647" w:rsidRPr="000114E3" w:rsidRDefault="00553647" w:rsidP="00553647">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Models</w:t>
            </w:r>
          </w:p>
        </w:tc>
        <w:tc>
          <w:tcPr>
            <w:tcW w:w="960" w:type="dxa"/>
            <w:tcBorders>
              <w:top w:val="nil"/>
              <w:left w:val="single" w:sz="4" w:space="0" w:color="auto"/>
              <w:bottom w:val="single" w:sz="4" w:space="0" w:color="auto"/>
              <w:right w:val="nil"/>
            </w:tcBorders>
            <w:shd w:val="clear" w:color="auto" w:fill="auto"/>
            <w:noWrap/>
            <w:vAlign w:val="bottom"/>
            <w:hideMark/>
          </w:tcPr>
          <w:p w14:paraId="7914BAA9" w14:textId="77777777" w:rsidR="00553647" w:rsidRPr="000114E3" w:rsidRDefault="00553647" w:rsidP="00553647">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Max</w:t>
            </w:r>
          </w:p>
        </w:tc>
        <w:tc>
          <w:tcPr>
            <w:tcW w:w="960" w:type="dxa"/>
            <w:tcBorders>
              <w:top w:val="nil"/>
              <w:left w:val="nil"/>
              <w:bottom w:val="single" w:sz="4" w:space="0" w:color="auto"/>
              <w:right w:val="nil"/>
            </w:tcBorders>
            <w:shd w:val="clear" w:color="auto" w:fill="auto"/>
            <w:noWrap/>
            <w:vAlign w:val="bottom"/>
            <w:hideMark/>
          </w:tcPr>
          <w:p w14:paraId="2B49D75D" w14:textId="77777777" w:rsidR="00553647" w:rsidRPr="000114E3" w:rsidRDefault="00553647" w:rsidP="00553647">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Min</w:t>
            </w:r>
          </w:p>
        </w:tc>
        <w:tc>
          <w:tcPr>
            <w:tcW w:w="960" w:type="dxa"/>
            <w:tcBorders>
              <w:top w:val="nil"/>
              <w:left w:val="nil"/>
              <w:bottom w:val="single" w:sz="4" w:space="0" w:color="auto"/>
              <w:right w:val="nil"/>
            </w:tcBorders>
            <w:shd w:val="clear" w:color="auto" w:fill="auto"/>
            <w:noWrap/>
            <w:vAlign w:val="bottom"/>
            <w:hideMark/>
          </w:tcPr>
          <w:p w14:paraId="4AD7C8E6" w14:textId="77777777" w:rsidR="00553647" w:rsidRPr="000114E3" w:rsidRDefault="00553647" w:rsidP="00553647">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Avg</w:t>
            </w:r>
          </w:p>
        </w:tc>
        <w:tc>
          <w:tcPr>
            <w:tcW w:w="1044" w:type="dxa"/>
            <w:tcBorders>
              <w:top w:val="nil"/>
              <w:left w:val="nil"/>
              <w:bottom w:val="single" w:sz="4" w:space="0" w:color="auto"/>
              <w:right w:val="single" w:sz="4" w:space="0" w:color="auto"/>
            </w:tcBorders>
            <w:shd w:val="clear" w:color="auto" w:fill="auto"/>
            <w:noWrap/>
            <w:vAlign w:val="bottom"/>
            <w:hideMark/>
          </w:tcPr>
          <w:p w14:paraId="53430FA6" w14:textId="77777777" w:rsidR="00553647" w:rsidRPr="000114E3" w:rsidRDefault="00553647" w:rsidP="00553647">
            <w:pPr>
              <w:spacing w:after="0" w:line="240" w:lineRule="auto"/>
              <w:jc w:val="left"/>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Max/Min</w:t>
            </w:r>
          </w:p>
        </w:tc>
      </w:tr>
      <w:tr w:rsidR="005E1CB7" w:rsidRPr="000114E3" w14:paraId="73FD4C30" w14:textId="77777777" w:rsidTr="0073765A">
        <w:trPr>
          <w:trHeight w:val="300"/>
          <w:jc w:val="center"/>
        </w:trPr>
        <w:tc>
          <w:tcPr>
            <w:tcW w:w="1418" w:type="dxa"/>
            <w:tcBorders>
              <w:top w:val="nil"/>
              <w:left w:val="single" w:sz="4" w:space="0" w:color="auto"/>
              <w:bottom w:val="nil"/>
              <w:right w:val="nil"/>
            </w:tcBorders>
            <w:shd w:val="clear" w:color="auto" w:fill="auto"/>
            <w:noWrap/>
            <w:vAlign w:val="bottom"/>
            <w:hideMark/>
          </w:tcPr>
          <w:p w14:paraId="2295C7B4" w14:textId="77777777" w:rsidR="005E1CB7" w:rsidRPr="000114E3" w:rsidRDefault="005E1CB7" w:rsidP="005E1CB7">
            <w:pPr>
              <w:spacing w:after="0" w:line="240" w:lineRule="auto"/>
              <w:jc w:val="left"/>
              <w:rPr>
                <w:rFonts w:ascii="Calibri" w:eastAsia="Times New Roman" w:hAnsi="Calibri" w:cs="Calibri"/>
                <w:color w:val="1C2B39" w:themeColor="text1"/>
                <w:sz w:val="20"/>
                <w:szCs w:val="20"/>
                <w:lang w:eastAsia="en-AU"/>
              </w:rPr>
            </w:pPr>
            <w:r w:rsidRPr="000114E3">
              <w:rPr>
                <w:rFonts w:ascii="Calibri" w:eastAsia="Times New Roman" w:hAnsi="Calibri" w:cs="Calibri"/>
                <w:color w:val="1C2B39" w:themeColor="text1"/>
                <w:sz w:val="20"/>
                <w:szCs w:val="20"/>
                <w:lang w:eastAsia="en-AU"/>
              </w:rPr>
              <w:t>Batch</w:t>
            </w:r>
          </w:p>
        </w:tc>
        <w:tc>
          <w:tcPr>
            <w:tcW w:w="1984" w:type="dxa"/>
            <w:tcBorders>
              <w:top w:val="nil"/>
              <w:left w:val="nil"/>
              <w:bottom w:val="nil"/>
              <w:right w:val="nil"/>
            </w:tcBorders>
            <w:shd w:val="clear" w:color="auto" w:fill="auto"/>
            <w:noWrap/>
            <w:vAlign w:val="bottom"/>
            <w:hideMark/>
          </w:tcPr>
          <w:p w14:paraId="671B0ECB" w14:textId="77777777" w:rsidR="005E1CB7" w:rsidRPr="000114E3" w:rsidRDefault="005E1CB7" w:rsidP="005E1CB7">
            <w:pPr>
              <w:spacing w:after="0" w:line="240" w:lineRule="auto"/>
              <w:jc w:val="left"/>
              <w:rPr>
                <w:rFonts w:ascii="Calibri" w:eastAsia="Times New Roman" w:hAnsi="Calibri" w:cs="Calibri"/>
                <w:color w:val="1C2B39" w:themeColor="text1"/>
                <w:sz w:val="20"/>
                <w:szCs w:val="20"/>
                <w:lang w:eastAsia="en-AU"/>
              </w:rPr>
            </w:pPr>
            <w:r w:rsidRPr="000114E3">
              <w:rPr>
                <w:rFonts w:ascii="Calibri" w:eastAsia="Times New Roman" w:hAnsi="Calibri" w:cs="Calibri"/>
                <w:color w:val="1C2B39" w:themeColor="text1"/>
                <w:sz w:val="20"/>
                <w:szCs w:val="20"/>
                <w:lang w:eastAsia="en-AU"/>
              </w:rPr>
              <w:t>Ice Making Head</w:t>
            </w:r>
          </w:p>
        </w:tc>
        <w:tc>
          <w:tcPr>
            <w:tcW w:w="899" w:type="dxa"/>
            <w:tcBorders>
              <w:top w:val="nil"/>
              <w:left w:val="nil"/>
              <w:bottom w:val="nil"/>
              <w:right w:val="nil"/>
            </w:tcBorders>
            <w:shd w:val="clear" w:color="auto" w:fill="auto"/>
            <w:noWrap/>
            <w:vAlign w:val="bottom"/>
            <w:hideMark/>
          </w:tcPr>
          <w:p w14:paraId="141369C0" w14:textId="77777777"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eastAsia="Times New Roman" w:hAnsi="Calibri" w:cs="Calibri"/>
                <w:color w:val="1C2B39" w:themeColor="text1"/>
                <w:sz w:val="20"/>
                <w:szCs w:val="20"/>
                <w:lang w:eastAsia="en-AU"/>
              </w:rPr>
              <w:t>166</w:t>
            </w:r>
          </w:p>
        </w:tc>
        <w:tc>
          <w:tcPr>
            <w:tcW w:w="960" w:type="dxa"/>
            <w:tcBorders>
              <w:top w:val="single" w:sz="4" w:space="0" w:color="auto"/>
              <w:left w:val="single" w:sz="4" w:space="0" w:color="auto"/>
              <w:bottom w:val="nil"/>
              <w:right w:val="nil"/>
            </w:tcBorders>
            <w:shd w:val="clear" w:color="auto" w:fill="auto"/>
            <w:noWrap/>
            <w:vAlign w:val="bottom"/>
            <w:hideMark/>
          </w:tcPr>
          <w:p w14:paraId="47CCA2B9" w14:textId="2D68C9D7"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16.1</w:t>
            </w:r>
          </w:p>
        </w:tc>
        <w:tc>
          <w:tcPr>
            <w:tcW w:w="960" w:type="dxa"/>
            <w:tcBorders>
              <w:top w:val="single" w:sz="4" w:space="0" w:color="auto"/>
              <w:left w:val="nil"/>
              <w:bottom w:val="nil"/>
              <w:right w:val="nil"/>
            </w:tcBorders>
            <w:shd w:val="clear" w:color="auto" w:fill="auto"/>
            <w:noWrap/>
            <w:vAlign w:val="bottom"/>
            <w:hideMark/>
          </w:tcPr>
          <w:p w14:paraId="108B60FC" w14:textId="24C6FED7"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6.3</w:t>
            </w:r>
          </w:p>
        </w:tc>
        <w:tc>
          <w:tcPr>
            <w:tcW w:w="960" w:type="dxa"/>
            <w:tcBorders>
              <w:top w:val="single" w:sz="4" w:space="0" w:color="auto"/>
              <w:left w:val="nil"/>
              <w:bottom w:val="nil"/>
              <w:right w:val="nil"/>
            </w:tcBorders>
            <w:shd w:val="clear" w:color="auto" w:fill="auto"/>
            <w:noWrap/>
            <w:vAlign w:val="bottom"/>
            <w:hideMark/>
          </w:tcPr>
          <w:p w14:paraId="4E146BDA" w14:textId="73057CAF"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11.3</w:t>
            </w:r>
          </w:p>
        </w:tc>
        <w:tc>
          <w:tcPr>
            <w:tcW w:w="1044" w:type="dxa"/>
            <w:tcBorders>
              <w:top w:val="single" w:sz="4" w:space="0" w:color="auto"/>
              <w:left w:val="nil"/>
              <w:bottom w:val="nil"/>
              <w:right w:val="single" w:sz="4" w:space="0" w:color="auto"/>
            </w:tcBorders>
            <w:shd w:val="clear" w:color="auto" w:fill="auto"/>
            <w:noWrap/>
            <w:vAlign w:val="bottom"/>
            <w:hideMark/>
          </w:tcPr>
          <w:p w14:paraId="007A6EE7" w14:textId="288A39B9"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257%</w:t>
            </w:r>
          </w:p>
        </w:tc>
      </w:tr>
      <w:tr w:rsidR="005E1CB7" w:rsidRPr="000114E3" w14:paraId="4363FC2D" w14:textId="77777777" w:rsidTr="0073765A">
        <w:trPr>
          <w:trHeight w:val="300"/>
          <w:jc w:val="center"/>
        </w:trPr>
        <w:tc>
          <w:tcPr>
            <w:tcW w:w="1418" w:type="dxa"/>
            <w:tcBorders>
              <w:top w:val="nil"/>
              <w:left w:val="single" w:sz="4" w:space="0" w:color="auto"/>
              <w:bottom w:val="single" w:sz="4" w:space="0" w:color="auto"/>
              <w:right w:val="nil"/>
            </w:tcBorders>
            <w:shd w:val="clear" w:color="auto" w:fill="auto"/>
            <w:noWrap/>
            <w:vAlign w:val="bottom"/>
            <w:hideMark/>
          </w:tcPr>
          <w:p w14:paraId="5760B716" w14:textId="77777777" w:rsidR="005E1CB7" w:rsidRPr="000114E3" w:rsidRDefault="005E1CB7" w:rsidP="005E1CB7">
            <w:pPr>
              <w:spacing w:after="0" w:line="240" w:lineRule="auto"/>
              <w:jc w:val="left"/>
              <w:rPr>
                <w:rFonts w:ascii="Calibri" w:eastAsia="Times New Roman" w:hAnsi="Calibri" w:cs="Calibri"/>
                <w:color w:val="1C2B39" w:themeColor="text1"/>
                <w:sz w:val="20"/>
                <w:szCs w:val="20"/>
                <w:lang w:eastAsia="en-AU"/>
              </w:rPr>
            </w:pPr>
            <w:r w:rsidRPr="000114E3">
              <w:rPr>
                <w:rFonts w:ascii="Calibri" w:eastAsia="Times New Roman" w:hAnsi="Calibri" w:cs="Calibri"/>
                <w:color w:val="1C2B39" w:themeColor="text1"/>
                <w:sz w:val="20"/>
                <w:szCs w:val="20"/>
                <w:lang w:eastAsia="en-AU"/>
              </w:rPr>
              <w:t> </w:t>
            </w:r>
          </w:p>
        </w:tc>
        <w:tc>
          <w:tcPr>
            <w:tcW w:w="1984" w:type="dxa"/>
            <w:tcBorders>
              <w:top w:val="nil"/>
              <w:left w:val="nil"/>
              <w:bottom w:val="single" w:sz="4" w:space="0" w:color="auto"/>
              <w:right w:val="nil"/>
            </w:tcBorders>
            <w:shd w:val="clear" w:color="auto" w:fill="auto"/>
            <w:noWrap/>
            <w:vAlign w:val="bottom"/>
            <w:hideMark/>
          </w:tcPr>
          <w:p w14:paraId="345CB0B8" w14:textId="77777777" w:rsidR="005E1CB7" w:rsidRPr="000114E3" w:rsidRDefault="005E1CB7" w:rsidP="005E1CB7">
            <w:pPr>
              <w:spacing w:after="0" w:line="240" w:lineRule="auto"/>
              <w:jc w:val="left"/>
              <w:rPr>
                <w:rFonts w:ascii="Calibri" w:eastAsia="Times New Roman" w:hAnsi="Calibri" w:cs="Calibri"/>
                <w:color w:val="1C2B39" w:themeColor="text1"/>
                <w:sz w:val="20"/>
                <w:szCs w:val="20"/>
                <w:lang w:eastAsia="en-AU"/>
              </w:rPr>
            </w:pPr>
            <w:r w:rsidRPr="000114E3">
              <w:rPr>
                <w:rFonts w:ascii="Calibri" w:eastAsia="Times New Roman" w:hAnsi="Calibri" w:cs="Calibri"/>
                <w:color w:val="1C2B39" w:themeColor="text1"/>
                <w:sz w:val="20"/>
                <w:szCs w:val="20"/>
                <w:lang w:eastAsia="en-AU"/>
              </w:rPr>
              <w:t>Self Contained</w:t>
            </w:r>
          </w:p>
        </w:tc>
        <w:tc>
          <w:tcPr>
            <w:tcW w:w="899" w:type="dxa"/>
            <w:tcBorders>
              <w:top w:val="nil"/>
              <w:left w:val="nil"/>
              <w:bottom w:val="single" w:sz="4" w:space="0" w:color="auto"/>
              <w:right w:val="nil"/>
            </w:tcBorders>
            <w:shd w:val="clear" w:color="auto" w:fill="auto"/>
            <w:noWrap/>
            <w:vAlign w:val="bottom"/>
            <w:hideMark/>
          </w:tcPr>
          <w:p w14:paraId="62F441A2" w14:textId="77777777"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eastAsia="Times New Roman" w:hAnsi="Calibri" w:cs="Calibri"/>
                <w:color w:val="1C2B39" w:themeColor="text1"/>
                <w:sz w:val="20"/>
                <w:szCs w:val="20"/>
                <w:lang w:eastAsia="en-AU"/>
              </w:rPr>
              <w:t>23</w:t>
            </w:r>
          </w:p>
        </w:tc>
        <w:tc>
          <w:tcPr>
            <w:tcW w:w="960" w:type="dxa"/>
            <w:tcBorders>
              <w:top w:val="nil"/>
              <w:left w:val="single" w:sz="4" w:space="0" w:color="auto"/>
              <w:bottom w:val="single" w:sz="4" w:space="0" w:color="auto"/>
              <w:right w:val="nil"/>
            </w:tcBorders>
            <w:shd w:val="clear" w:color="auto" w:fill="auto"/>
            <w:noWrap/>
            <w:vAlign w:val="bottom"/>
            <w:hideMark/>
          </w:tcPr>
          <w:p w14:paraId="4F86C5EF" w14:textId="65B2AC1C"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15.2</w:t>
            </w:r>
          </w:p>
        </w:tc>
        <w:tc>
          <w:tcPr>
            <w:tcW w:w="960" w:type="dxa"/>
            <w:tcBorders>
              <w:top w:val="nil"/>
              <w:left w:val="nil"/>
              <w:bottom w:val="single" w:sz="4" w:space="0" w:color="auto"/>
              <w:right w:val="nil"/>
            </w:tcBorders>
            <w:shd w:val="clear" w:color="auto" w:fill="auto"/>
            <w:noWrap/>
            <w:vAlign w:val="bottom"/>
            <w:hideMark/>
          </w:tcPr>
          <w:p w14:paraId="006432C0" w14:textId="0E824A4F"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7.7</w:t>
            </w:r>
          </w:p>
        </w:tc>
        <w:tc>
          <w:tcPr>
            <w:tcW w:w="960" w:type="dxa"/>
            <w:tcBorders>
              <w:top w:val="nil"/>
              <w:left w:val="nil"/>
              <w:bottom w:val="single" w:sz="4" w:space="0" w:color="auto"/>
              <w:right w:val="nil"/>
            </w:tcBorders>
            <w:shd w:val="clear" w:color="auto" w:fill="auto"/>
            <w:noWrap/>
            <w:vAlign w:val="bottom"/>
            <w:hideMark/>
          </w:tcPr>
          <w:p w14:paraId="1EFBA9D2" w14:textId="621A2F82"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12.4</w:t>
            </w:r>
          </w:p>
        </w:tc>
        <w:tc>
          <w:tcPr>
            <w:tcW w:w="1044" w:type="dxa"/>
            <w:tcBorders>
              <w:top w:val="nil"/>
              <w:left w:val="nil"/>
              <w:bottom w:val="single" w:sz="4" w:space="0" w:color="auto"/>
              <w:right w:val="single" w:sz="4" w:space="0" w:color="auto"/>
            </w:tcBorders>
            <w:shd w:val="clear" w:color="auto" w:fill="auto"/>
            <w:noWrap/>
            <w:vAlign w:val="bottom"/>
            <w:hideMark/>
          </w:tcPr>
          <w:p w14:paraId="37AEAE5D" w14:textId="33CA0B01"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198%</w:t>
            </w:r>
          </w:p>
        </w:tc>
      </w:tr>
      <w:tr w:rsidR="005E1CB7" w:rsidRPr="000114E3" w14:paraId="443BCA04" w14:textId="77777777" w:rsidTr="0073765A">
        <w:trPr>
          <w:trHeight w:val="300"/>
          <w:jc w:val="center"/>
        </w:trPr>
        <w:tc>
          <w:tcPr>
            <w:tcW w:w="1418" w:type="dxa"/>
            <w:tcBorders>
              <w:top w:val="nil"/>
              <w:left w:val="single" w:sz="4" w:space="0" w:color="auto"/>
              <w:bottom w:val="nil"/>
              <w:right w:val="nil"/>
            </w:tcBorders>
            <w:shd w:val="clear" w:color="auto" w:fill="auto"/>
            <w:noWrap/>
            <w:vAlign w:val="bottom"/>
            <w:hideMark/>
          </w:tcPr>
          <w:p w14:paraId="6DCE34BE" w14:textId="77777777" w:rsidR="005E1CB7" w:rsidRPr="000114E3" w:rsidRDefault="005E1CB7" w:rsidP="005E1CB7">
            <w:pPr>
              <w:spacing w:after="0" w:line="240" w:lineRule="auto"/>
              <w:jc w:val="left"/>
              <w:rPr>
                <w:rFonts w:ascii="Calibri" w:eastAsia="Times New Roman" w:hAnsi="Calibri" w:cs="Calibri"/>
                <w:color w:val="1C2B39" w:themeColor="text1"/>
                <w:sz w:val="20"/>
                <w:szCs w:val="20"/>
                <w:lang w:eastAsia="en-AU"/>
              </w:rPr>
            </w:pPr>
            <w:r w:rsidRPr="000114E3">
              <w:rPr>
                <w:rFonts w:ascii="Calibri" w:eastAsia="Times New Roman" w:hAnsi="Calibri" w:cs="Calibri"/>
                <w:color w:val="1C2B39" w:themeColor="text1"/>
                <w:sz w:val="20"/>
                <w:szCs w:val="20"/>
                <w:lang w:eastAsia="en-AU"/>
              </w:rPr>
              <w:t>Continuous</w:t>
            </w:r>
          </w:p>
        </w:tc>
        <w:tc>
          <w:tcPr>
            <w:tcW w:w="1984" w:type="dxa"/>
            <w:tcBorders>
              <w:top w:val="nil"/>
              <w:left w:val="nil"/>
              <w:bottom w:val="nil"/>
              <w:right w:val="nil"/>
            </w:tcBorders>
            <w:shd w:val="clear" w:color="auto" w:fill="auto"/>
            <w:noWrap/>
            <w:vAlign w:val="bottom"/>
            <w:hideMark/>
          </w:tcPr>
          <w:p w14:paraId="1ACA5A88" w14:textId="77777777" w:rsidR="005E1CB7" w:rsidRPr="000114E3" w:rsidRDefault="005E1CB7" w:rsidP="005E1CB7">
            <w:pPr>
              <w:spacing w:after="0" w:line="240" w:lineRule="auto"/>
              <w:jc w:val="left"/>
              <w:rPr>
                <w:rFonts w:ascii="Calibri" w:eastAsia="Times New Roman" w:hAnsi="Calibri" w:cs="Calibri"/>
                <w:color w:val="1C2B39" w:themeColor="text1"/>
                <w:sz w:val="20"/>
                <w:szCs w:val="20"/>
                <w:lang w:eastAsia="en-AU"/>
              </w:rPr>
            </w:pPr>
            <w:r w:rsidRPr="000114E3">
              <w:rPr>
                <w:rFonts w:ascii="Calibri" w:eastAsia="Times New Roman" w:hAnsi="Calibri" w:cs="Calibri"/>
                <w:color w:val="1C2B39" w:themeColor="text1"/>
                <w:sz w:val="20"/>
                <w:szCs w:val="20"/>
                <w:lang w:eastAsia="en-AU"/>
              </w:rPr>
              <w:t>Ice Making Head</w:t>
            </w:r>
          </w:p>
        </w:tc>
        <w:tc>
          <w:tcPr>
            <w:tcW w:w="899" w:type="dxa"/>
            <w:tcBorders>
              <w:top w:val="nil"/>
              <w:left w:val="nil"/>
              <w:bottom w:val="nil"/>
              <w:right w:val="nil"/>
            </w:tcBorders>
            <w:shd w:val="clear" w:color="auto" w:fill="auto"/>
            <w:noWrap/>
            <w:vAlign w:val="bottom"/>
            <w:hideMark/>
          </w:tcPr>
          <w:p w14:paraId="5FFFD079" w14:textId="77777777"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eastAsia="Times New Roman" w:hAnsi="Calibri" w:cs="Calibri"/>
                <w:color w:val="1C2B39" w:themeColor="text1"/>
                <w:sz w:val="20"/>
                <w:szCs w:val="20"/>
                <w:lang w:eastAsia="en-AU"/>
              </w:rPr>
              <w:t>46</w:t>
            </w:r>
          </w:p>
        </w:tc>
        <w:tc>
          <w:tcPr>
            <w:tcW w:w="960" w:type="dxa"/>
            <w:tcBorders>
              <w:top w:val="nil"/>
              <w:left w:val="single" w:sz="4" w:space="0" w:color="auto"/>
              <w:bottom w:val="nil"/>
              <w:right w:val="nil"/>
            </w:tcBorders>
            <w:shd w:val="clear" w:color="auto" w:fill="auto"/>
            <w:noWrap/>
            <w:vAlign w:val="bottom"/>
            <w:hideMark/>
          </w:tcPr>
          <w:p w14:paraId="73ED8D38" w14:textId="66331830"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14.1</w:t>
            </w:r>
          </w:p>
        </w:tc>
        <w:tc>
          <w:tcPr>
            <w:tcW w:w="960" w:type="dxa"/>
            <w:tcBorders>
              <w:top w:val="nil"/>
              <w:left w:val="nil"/>
              <w:bottom w:val="nil"/>
              <w:right w:val="nil"/>
            </w:tcBorders>
            <w:shd w:val="clear" w:color="auto" w:fill="auto"/>
            <w:noWrap/>
            <w:vAlign w:val="bottom"/>
            <w:hideMark/>
          </w:tcPr>
          <w:p w14:paraId="7B4F8052" w14:textId="4ED0B32C"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7.9</w:t>
            </w:r>
          </w:p>
        </w:tc>
        <w:tc>
          <w:tcPr>
            <w:tcW w:w="960" w:type="dxa"/>
            <w:tcBorders>
              <w:top w:val="nil"/>
              <w:left w:val="nil"/>
              <w:bottom w:val="nil"/>
              <w:right w:val="nil"/>
            </w:tcBorders>
            <w:shd w:val="clear" w:color="auto" w:fill="auto"/>
            <w:noWrap/>
            <w:vAlign w:val="bottom"/>
            <w:hideMark/>
          </w:tcPr>
          <w:p w14:paraId="33FAC80B" w14:textId="59534DD0"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11.0</w:t>
            </w:r>
          </w:p>
        </w:tc>
        <w:tc>
          <w:tcPr>
            <w:tcW w:w="1044" w:type="dxa"/>
            <w:tcBorders>
              <w:top w:val="nil"/>
              <w:left w:val="nil"/>
              <w:bottom w:val="nil"/>
              <w:right w:val="single" w:sz="4" w:space="0" w:color="auto"/>
            </w:tcBorders>
            <w:shd w:val="clear" w:color="auto" w:fill="auto"/>
            <w:noWrap/>
            <w:vAlign w:val="bottom"/>
            <w:hideMark/>
          </w:tcPr>
          <w:p w14:paraId="36D92A62" w14:textId="17E7A94B"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178%</w:t>
            </w:r>
          </w:p>
        </w:tc>
      </w:tr>
      <w:tr w:rsidR="005E1CB7" w:rsidRPr="000114E3" w14:paraId="65B10054" w14:textId="77777777" w:rsidTr="0073765A">
        <w:trPr>
          <w:trHeight w:val="300"/>
          <w:jc w:val="center"/>
        </w:trPr>
        <w:tc>
          <w:tcPr>
            <w:tcW w:w="1418" w:type="dxa"/>
            <w:tcBorders>
              <w:top w:val="nil"/>
              <w:left w:val="single" w:sz="4" w:space="0" w:color="auto"/>
              <w:bottom w:val="single" w:sz="4" w:space="0" w:color="auto"/>
              <w:right w:val="nil"/>
            </w:tcBorders>
            <w:shd w:val="clear" w:color="auto" w:fill="auto"/>
            <w:noWrap/>
            <w:vAlign w:val="bottom"/>
            <w:hideMark/>
          </w:tcPr>
          <w:p w14:paraId="44C1E22E" w14:textId="77777777" w:rsidR="005E1CB7" w:rsidRPr="000114E3" w:rsidRDefault="005E1CB7" w:rsidP="005E1CB7">
            <w:pPr>
              <w:spacing w:after="0" w:line="240" w:lineRule="auto"/>
              <w:jc w:val="left"/>
              <w:rPr>
                <w:rFonts w:ascii="Calibri" w:eastAsia="Times New Roman" w:hAnsi="Calibri" w:cs="Calibri"/>
                <w:color w:val="1C2B39" w:themeColor="text1"/>
                <w:sz w:val="20"/>
                <w:szCs w:val="20"/>
                <w:lang w:eastAsia="en-AU"/>
              </w:rPr>
            </w:pPr>
            <w:r w:rsidRPr="000114E3">
              <w:rPr>
                <w:rFonts w:ascii="Calibri" w:eastAsia="Times New Roman" w:hAnsi="Calibri" w:cs="Calibri"/>
                <w:color w:val="1C2B39" w:themeColor="text1"/>
                <w:sz w:val="20"/>
                <w:szCs w:val="20"/>
                <w:lang w:eastAsia="en-AU"/>
              </w:rPr>
              <w:t> </w:t>
            </w:r>
          </w:p>
        </w:tc>
        <w:tc>
          <w:tcPr>
            <w:tcW w:w="1984" w:type="dxa"/>
            <w:tcBorders>
              <w:top w:val="nil"/>
              <w:left w:val="nil"/>
              <w:bottom w:val="single" w:sz="4" w:space="0" w:color="auto"/>
              <w:right w:val="nil"/>
            </w:tcBorders>
            <w:shd w:val="clear" w:color="auto" w:fill="auto"/>
            <w:noWrap/>
            <w:vAlign w:val="bottom"/>
            <w:hideMark/>
          </w:tcPr>
          <w:p w14:paraId="5D0ED9AC" w14:textId="77777777" w:rsidR="005E1CB7" w:rsidRPr="000114E3" w:rsidRDefault="005E1CB7" w:rsidP="005E1CB7">
            <w:pPr>
              <w:spacing w:after="0" w:line="240" w:lineRule="auto"/>
              <w:jc w:val="left"/>
              <w:rPr>
                <w:rFonts w:ascii="Calibri" w:eastAsia="Times New Roman" w:hAnsi="Calibri" w:cs="Calibri"/>
                <w:color w:val="1C2B39" w:themeColor="text1"/>
                <w:sz w:val="20"/>
                <w:szCs w:val="20"/>
                <w:lang w:eastAsia="en-AU"/>
              </w:rPr>
            </w:pPr>
            <w:r w:rsidRPr="000114E3">
              <w:rPr>
                <w:rFonts w:ascii="Calibri" w:eastAsia="Times New Roman" w:hAnsi="Calibri" w:cs="Calibri"/>
                <w:color w:val="1C2B39" w:themeColor="text1"/>
                <w:sz w:val="20"/>
                <w:szCs w:val="20"/>
                <w:lang w:eastAsia="en-AU"/>
              </w:rPr>
              <w:t>Self Contained</w:t>
            </w:r>
          </w:p>
        </w:tc>
        <w:tc>
          <w:tcPr>
            <w:tcW w:w="899" w:type="dxa"/>
            <w:tcBorders>
              <w:top w:val="nil"/>
              <w:left w:val="nil"/>
              <w:bottom w:val="single" w:sz="4" w:space="0" w:color="auto"/>
              <w:right w:val="nil"/>
            </w:tcBorders>
            <w:shd w:val="clear" w:color="auto" w:fill="auto"/>
            <w:noWrap/>
            <w:vAlign w:val="bottom"/>
            <w:hideMark/>
          </w:tcPr>
          <w:p w14:paraId="1DC188F5" w14:textId="77777777"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eastAsia="Times New Roman" w:hAnsi="Calibri" w:cs="Calibri"/>
                <w:color w:val="1C2B39" w:themeColor="text1"/>
                <w:sz w:val="20"/>
                <w:szCs w:val="20"/>
                <w:lang w:eastAsia="en-AU"/>
              </w:rPr>
              <w:t>9</w:t>
            </w:r>
          </w:p>
        </w:tc>
        <w:tc>
          <w:tcPr>
            <w:tcW w:w="960" w:type="dxa"/>
            <w:tcBorders>
              <w:top w:val="nil"/>
              <w:left w:val="single" w:sz="4" w:space="0" w:color="auto"/>
              <w:bottom w:val="single" w:sz="4" w:space="0" w:color="auto"/>
              <w:right w:val="nil"/>
            </w:tcBorders>
            <w:shd w:val="clear" w:color="auto" w:fill="auto"/>
            <w:noWrap/>
            <w:vAlign w:val="bottom"/>
            <w:hideMark/>
          </w:tcPr>
          <w:p w14:paraId="24AFE0F1" w14:textId="63153809"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11.3</w:t>
            </w:r>
          </w:p>
        </w:tc>
        <w:tc>
          <w:tcPr>
            <w:tcW w:w="960" w:type="dxa"/>
            <w:tcBorders>
              <w:top w:val="nil"/>
              <w:left w:val="nil"/>
              <w:bottom w:val="single" w:sz="4" w:space="0" w:color="auto"/>
              <w:right w:val="nil"/>
            </w:tcBorders>
            <w:shd w:val="clear" w:color="auto" w:fill="auto"/>
            <w:noWrap/>
            <w:vAlign w:val="bottom"/>
            <w:hideMark/>
          </w:tcPr>
          <w:p w14:paraId="0A555166" w14:textId="494AFD27"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8.9</w:t>
            </w:r>
          </w:p>
        </w:tc>
        <w:tc>
          <w:tcPr>
            <w:tcW w:w="960" w:type="dxa"/>
            <w:tcBorders>
              <w:top w:val="nil"/>
              <w:left w:val="nil"/>
              <w:bottom w:val="single" w:sz="4" w:space="0" w:color="auto"/>
              <w:right w:val="nil"/>
            </w:tcBorders>
            <w:shd w:val="clear" w:color="auto" w:fill="auto"/>
            <w:noWrap/>
            <w:vAlign w:val="bottom"/>
            <w:hideMark/>
          </w:tcPr>
          <w:p w14:paraId="0620735A" w14:textId="646E9C11"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10.1</w:t>
            </w:r>
          </w:p>
        </w:tc>
        <w:tc>
          <w:tcPr>
            <w:tcW w:w="1044" w:type="dxa"/>
            <w:tcBorders>
              <w:top w:val="nil"/>
              <w:left w:val="nil"/>
              <w:bottom w:val="single" w:sz="4" w:space="0" w:color="auto"/>
              <w:right w:val="single" w:sz="4" w:space="0" w:color="auto"/>
            </w:tcBorders>
            <w:shd w:val="clear" w:color="auto" w:fill="auto"/>
            <w:noWrap/>
            <w:vAlign w:val="bottom"/>
            <w:hideMark/>
          </w:tcPr>
          <w:p w14:paraId="25F5E723" w14:textId="2437CDD0" w:rsidR="005E1CB7" w:rsidRPr="000114E3" w:rsidRDefault="005E1CB7" w:rsidP="005E1CB7">
            <w:pPr>
              <w:spacing w:after="0" w:line="240" w:lineRule="auto"/>
              <w:jc w:val="right"/>
              <w:rPr>
                <w:rFonts w:ascii="Calibri" w:eastAsia="Times New Roman" w:hAnsi="Calibri" w:cs="Calibri"/>
                <w:color w:val="1C2B39" w:themeColor="text1"/>
                <w:sz w:val="20"/>
                <w:szCs w:val="20"/>
                <w:lang w:eastAsia="en-AU"/>
              </w:rPr>
            </w:pPr>
            <w:r w:rsidRPr="000114E3">
              <w:rPr>
                <w:rFonts w:ascii="Calibri" w:hAnsi="Calibri" w:cs="Calibri"/>
                <w:color w:val="1C2B39" w:themeColor="text1"/>
                <w:sz w:val="20"/>
                <w:szCs w:val="20"/>
              </w:rPr>
              <w:t>127%</w:t>
            </w:r>
          </w:p>
        </w:tc>
      </w:tr>
    </w:tbl>
    <w:p w14:paraId="681C64FC" w14:textId="77777777" w:rsidR="002271EC" w:rsidRDefault="00000F79" w:rsidP="00D94CAD">
      <w:pPr>
        <w:pStyle w:val="Caption"/>
        <w:jc w:val="center"/>
      </w:pPr>
      <w:r>
        <w:fldChar w:fldCharType="begin"/>
      </w:r>
      <w:r>
        <w:instrText xml:space="preserve"> REF _Ref190425961 \h </w:instrText>
      </w:r>
      <w:r w:rsidR="000F10E7">
        <w:instrText xml:space="preserve"> \* MERGEFORMAT </w:instrText>
      </w:r>
      <w:r>
        <w:fldChar w:fldCharType="separate"/>
      </w:r>
      <w:r w:rsidR="002271EC">
        <w:t xml:space="preserve">Figure </w:t>
      </w:r>
      <w:r w:rsidR="002271EC">
        <w:rPr>
          <w:noProof/>
        </w:rPr>
        <w:t>20</w:t>
      </w:r>
      <w:r w:rsidR="002271EC" w:rsidRPr="00A76F79">
        <w:rPr>
          <w:rFonts w:hAnsi="Times New Roman"/>
          <w:b w:val="0"/>
          <w:bCs w:val="0"/>
          <w:color w:val="000000"/>
          <w:kern w:val="24"/>
          <w:sz w:val="29"/>
          <w:szCs w:val="29"/>
          <w:lang w:eastAsia="en-AU"/>
        </w:rPr>
        <w:t xml:space="preserve"> </w:t>
      </w:r>
      <w:r w:rsidR="002271EC" w:rsidRPr="00A76F79">
        <w:t>ES certified CIMs, IMH-Cont-Air, Energy &amp; potable water intensity by capacity</w:t>
      </w:r>
    </w:p>
    <w:p w14:paraId="245B04A5" w14:textId="77777777" w:rsidR="002271EC" w:rsidRPr="00611AF5" w:rsidRDefault="002271EC" w:rsidP="002271EC">
      <w:r>
        <w:drawing>
          <wp:inline distT="0" distB="0" distL="0" distR="0" wp14:anchorId="31C54C9D" wp14:editId="7918FE1B">
            <wp:extent cx="4432673" cy="3220279"/>
            <wp:effectExtent l="19050" t="19050" r="25400" b="18415"/>
            <wp:docPr id="1914856492" name="Picture 1914856492" descr="Scatter graph plotting energy intensity and water intensity against production capacity for Energy Star certified air-cooled, continuous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atter graph plotting energy intensity and water intensity against production capacity for Energy Star certified air-cooled, continuous production ice maker head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66648" cy="3244961"/>
                    </a:xfrm>
                    <a:prstGeom prst="rect">
                      <a:avLst/>
                    </a:prstGeom>
                    <a:noFill/>
                    <a:ln>
                      <a:solidFill>
                        <a:srgbClr val="1C2B39"/>
                      </a:solidFill>
                    </a:ln>
                  </pic:spPr>
                </pic:pic>
              </a:graphicData>
            </a:graphic>
          </wp:inline>
        </w:drawing>
      </w:r>
    </w:p>
    <w:p w14:paraId="52CDF366" w14:textId="77777777" w:rsidR="002271EC" w:rsidRDefault="002271EC" w:rsidP="002271EC"/>
    <w:p w14:paraId="41FF7881" w14:textId="77777777" w:rsidR="002271EC" w:rsidRDefault="002271EC" w:rsidP="00D94CAD"/>
    <w:p w14:paraId="00BECEA6" w14:textId="77777777" w:rsidR="002271EC" w:rsidRPr="00D94CAD" w:rsidRDefault="002271EC" w:rsidP="00D94CAD"/>
    <w:p w14:paraId="1E2FC580" w14:textId="4DBFB148" w:rsidR="00F0453C" w:rsidRDefault="002271EC" w:rsidP="00F0453C">
      <w:r>
        <w:t>Figure 21</w:t>
      </w:r>
      <w:r w:rsidR="00000F79">
        <w:fldChar w:fldCharType="end"/>
      </w:r>
      <w:r w:rsidR="00A34BE0">
        <w:fldChar w:fldCharType="begin"/>
      </w:r>
      <w:r w:rsidR="00A34BE0">
        <w:instrText xml:space="preserve"> REF _Ref194484639 \h </w:instrText>
      </w:r>
      <w:r w:rsidR="00A34BE0">
        <w:fldChar w:fldCharType="separate"/>
      </w:r>
      <w:r>
        <w:t xml:space="preserve">Figure </w:t>
      </w:r>
      <w:r>
        <w:rPr>
          <w:noProof/>
        </w:rPr>
        <w:t>19</w:t>
      </w:r>
      <w:r w:rsidR="00A34BE0">
        <w:fldChar w:fldCharType="end"/>
      </w:r>
      <w:r w:rsidR="00A34BE0">
        <w:t xml:space="preserve"> </w:t>
      </w:r>
      <w:r w:rsidR="00000F79">
        <w:t xml:space="preserve">to </w:t>
      </w:r>
      <w:r w:rsidR="00000F79">
        <w:fldChar w:fldCharType="begin"/>
      </w:r>
      <w:r w:rsidR="00000F79">
        <w:instrText xml:space="preserve"> REF _Ref190425980 \h </w:instrText>
      </w:r>
      <w:r w:rsidR="00000F79">
        <w:fldChar w:fldCharType="separate"/>
      </w:r>
      <w:r>
        <w:t xml:space="preserve">Figure </w:t>
      </w:r>
      <w:r>
        <w:rPr>
          <w:noProof/>
        </w:rPr>
        <w:t>24</w:t>
      </w:r>
      <w:r w:rsidR="00000F79">
        <w:fldChar w:fldCharType="end"/>
      </w:r>
      <w:r w:rsidR="00000F79">
        <w:t xml:space="preserve"> </w:t>
      </w:r>
      <w:r w:rsidR="00CA3411">
        <w:t xml:space="preserve">(US Energy Star data) </w:t>
      </w:r>
      <w:r w:rsidR="00000F79">
        <w:t>show:</w:t>
      </w:r>
    </w:p>
    <w:p w14:paraId="00AF1F56" w14:textId="0D72F614" w:rsidR="001D411D" w:rsidRPr="00DC5884" w:rsidRDefault="000310AB"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A m</w:t>
      </w:r>
      <w:r w:rsidR="00000F79" w:rsidRPr="00DC5884">
        <w:rPr>
          <w:rFonts w:eastAsia="Calibri" w:cs="Times New Roman"/>
          <w:szCs w:val="22"/>
        </w:rPr>
        <w:t xml:space="preserve">uch weaker relationship between potable </w:t>
      </w:r>
      <w:r w:rsidR="00CE59EF" w:rsidRPr="00DC5884">
        <w:rPr>
          <w:rFonts w:eastAsia="Calibri" w:cs="Times New Roman"/>
          <w:szCs w:val="22"/>
        </w:rPr>
        <w:t>water efficiency</w:t>
      </w:r>
      <w:r w:rsidR="00000F79" w:rsidRPr="00DC5884">
        <w:rPr>
          <w:rFonts w:eastAsia="Calibri" w:cs="Times New Roman"/>
          <w:szCs w:val="22"/>
        </w:rPr>
        <w:t xml:space="preserve"> and capacity than between </w:t>
      </w:r>
      <w:r w:rsidR="00F61895" w:rsidRPr="00DC5884">
        <w:rPr>
          <w:rFonts w:eastAsia="Calibri" w:cs="Times New Roman"/>
          <w:szCs w:val="22"/>
        </w:rPr>
        <w:t>energy efficiency</w:t>
      </w:r>
      <w:r w:rsidR="00000F79" w:rsidRPr="00DC5884">
        <w:rPr>
          <w:rFonts w:eastAsia="Calibri" w:cs="Times New Roman"/>
          <w:szCs w:val="22"/>
        </w:rPr>
        <w:t xml:space="preserve"> and capacity</w:t>
      </w:r>
      <w:r w:rsidRPr="00DC5884">
        <w:rPr>
          <w:rFonts w:eastAsia="Calibri" w:cs="Times New Roman"/>
          <w:szCs w:val="22"/>
        </w:rPr>
        <w:t>. Purchasers may think that because a larger unit usually has a lower energy-intensity (kWh/kg) it may also have a lower water-intensity (L/kg). This is not the case higher capacity products are not necessarily more water</w:t>
      </w:r>
      <w:r w:rsidR="00A17AE2" w:rsidRPr="00DC5884">
        <w:rPr>
          <w:rFonts w:eastAsia="Calibri" w:cs="Times New Roman"/>
          <w:szCs w:val="22"/>
        </w:rPr>
        <w:t xml:space="preserve"> </w:t>
      </w:r>
      <w:r w:rsidRPr="00DC5884">
        <w:rPr>
          <w:rFonts w:eastAsia="Calibri" w:cs="Times New Roman"/>
          <w:szCs w:val="22"/>
        </w:rPr>
        <w:t>efficient.</w:t>
      </w:r>
    </w:p>
    <w:p w14:paraId="33CF7CE1" w14:textId="0C54C641" w:rsidR="001D411D" w:rsidRPr="00DC5884" w:rsidRDefault="00000F79"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Hardly any relationship for continuous types: very narrow band of potable </w:t>
      </w:r>
      <w:r w:rsidR="00CE59EF" w:rsidRPr="00DC5884">
        <w:rPr>
          <w:rFonts w:eastAsia="Calibri" w:cs="Times New Roman"/>
          <w:szCs w:val="22"/>
        </w:rPr>
        <w:t>water efficiency</w:t>
      </w:r>
      <w:r w:rsidRPr="00DC5884">
        <w:rPr>
          <w:rFonts w:eastAsia="Calibri" w:cs="Times New Roman"/>
          <w:szCs w:val="22"/>
        </w:rPr>
        <w:t>.</w:t>
      </w:r>
    </w:p>
    <w:p w14:paraId="6DAE8455" w14:textId="613A6366" w:rsidR="00000F79" w:rsidRDefault="00000F79" w:rsidP="00F0453C">
      <w:r>
        <w:fldChar w:fldCharType="begin"/>
      </w:r>
      <w:r>
        <w:instrText xml:space="preserve"> REF _Ref190426198 \h </w:instrText>
      </w:r>
      <w:r>
        <w:fldChar w:fldCharType="separate"/>
      </w:r>
      <w:r w:rsidR="002271EC">
        <w:t xml:space="preserve">Figure </w:t>
      </w:r>
      <w:r w:rsidR="002271EC">
        <w:rPr>
          <w:noProof/>
        </w:rPr>
        <w:t>25</w:t>
      </w:r>
      <w:r>
        <w:fldChar w:fldCharType="end"/>
      </w:r>
      <w:r>
        <w:t xml:space="preserve"> to </w:t>
      </w:r>
      <w:r w:rsidR="00CA3411">
        <w:fldChar w:fldCharType="begin"/>
      </w:r>
      <w:r w:rsidR="00CA3411">
        <w:instrText xml:space="preserve"> REF _Ref190426414 \h </w:instrText>
      </w:r>
      <w:r w:rsidR="00CA3411">
        <w:fldChar w:fldCharType="separate"/>
      </w:r>
      <w:r w:rsidR="002271EC">
        <w:t xml:space="preserve">Figure </w:t>
      </w:r>
      <w:r w:rsidR="002271EC">
        <w:rPr>
          <w:noProof/>
        </w:rPr>
        <w:t>27</w:t>
      </w:r>
      <w:r w:rsidR="00CA3411">
        <w:fldChar w:fldCharType="end"/>
      </w:r>
      <w:r>
        <w:t xml:space="preserve"> </w:t>
      </w:r>
      <w:r w:rsidR="00CA3411">
        <w:t xml:space="preserve">(US Energy Star data) </w:t>
      </w:r>
      <w:r>
        <w:t>show:</w:t>
      </w:r>
    </w:p>
    <w:p w14:paraId="66FC134F" w14:textId="6BA1A3B3" w:rsidR="00000F79" w:rsidRPr="00DC5884" w:rsidRDefault="00000F79"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No apparent relationship between energy-and </w:t>
      </w:r>
      <w:r w:rsidR="00CA3411" w:rsidRPr="00DC5884">
        <w:rPr>
          <w:rFonts w:eastAsia="Calibri" w:cs="Times New Roman"/>
          <w:szCs w:val="22"/>
        </w:rPr>
        <w:t xml:space="preserve">potable </w:t>
      </w:r>
      <w:r w:rsidR="00CE59EF" w:rsidRPr="00DC5884">
        <w:rPr>
          <w:rFonts w:eastAsia="Calibri" w:cs="Times New Roman"/>
          <w:szCs w:val="22"/>
        </w:rPr>
        <w:t>water efficiency</w:t>
      </w:r>
      <w:r w:rsidRPr="00DC5884">
        <w:rPr>
          <w:rFonts w:eastAsia="Calibri" w:cs="Times New Roman"/>
          <w:szCs w:val="22"/>
        </w:rPr>
        <w:t>. An energy</w:t>
      </w:r>
      <w:r w:rsidR="00A17AE2" w:rsidRPr="00DC5884">
        <w:rPr>
          <w:rFonts w:eastAsia="Calibri" w:cs="Times New Roman"/>
          <w:szCs w:val="22"/>
        </w:rPr>
        <w:t xml:space="preserve"> </w:t>
      </w:r>
      <w:r w:rsidRPr="00DC5884">
        <w:rPr>
          <w:rFonts w:eastAsia="Calibri" w:cs="Times New Roman"/>
          <w:szCs w:val="22"/>
        </w:rPr>
        <w:t>efficient CIM is not necessarily water</w:t>
      </w:r>
      <w:r w:rsidR="00A17AE2" w:rsidRPr="00DC5884">
        <w:rPr>
          <w:rFonts w:eastAsia="Calibri" w:cs="Times New Roman"/>
          <w:szCs w:val="22"/>
        </w:rPr>
        <w:t xml:space="preserve"> </w:t>
      </w:r>
      <w:r w:rsidRPr="00DC5884">
        <w:rPr>
          <w:rFonts w:eastAsia="Calibri" w:cs="Times New Roman"/>
          <w:szCs w:val="22"/>
        </w:rPr>
        <w:t xml:space="preserve">efficient, so additional information </w:t>
      </w:r>
      <w:r w:rsidR="00DF6044" w:rsidRPr="00DC5884">
        <w:rPr>
          <w:rFonts w:eastAsia="Calibri" w:cs="Times New Roman"/>
          <w:szCs w:val="22"/>
        </w:rPr>
        <w:t xml:space="preserve">(or standards) for </w:t>
      </w:r>
      <w:r w:rsidRPr="00DC5884">
        <w:rPr>
          <w:rFonts w:eastAsia="Calibri" w:cs="Times New Roman"/>
          <w:szCs w:val="22"/>
        </w:rPr>
        <w:t xml:space="preserve">water </w:t>
      </w:r>
      <w:r w:rsidR="00DF6044" w:rsidRPr="00DC5884">
        <w:rPr>
          <w:rFonts w:eastAsia="Calibri" w:cs="Times New Roman"/>
          <w:szCs w:val="22"/>
        </w:rPr>
        <w:t xml:space="preserve">are </w:t>
      </w:r>
      <w:r w:rsidRPr="00DC5884">
        <w:rPr>
          <w:rFonts w:eastAsia="Calibri" w:cs="Times New Roman"/>
          <w:szCs w:val="22"/>
        </w:rPr>
        <w:t>valuable.</w:t>
      </w:r>
    </w:p>
    <w:p w14:paraId="457DE323" w14:textId="6A49797B" w:rsidR="001D411D" w:rsidRPr="00DC5884" w:rsidRDefault="00000F79"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lastRenderedPageBreak/>
        <w:t xml:space="preserve">At any given </w:t>
      </w:r>
      <w:r w:rsidR="00F61895" w:rsidRPr="00DC5884">
        <w:rPr>
          <w:rFonts w:eastAsia="Calibri" w:cs="Times New Roman"/>
          <w:szCs w:val="22"/>
        </w:rPr>
        <w:t>energy efficiency</w:t>
      </w:r>
      <w:r w:rsidRPr="00DC5884">
        <w:rPr>
          <w:rFonts w:eastAsia="Calibri" w:cs="Times New Roman"/>
          <w:szCs w:val="22"/>
        </w:rPr>
        <w:t xml:space="preserve"> level there is a range of </w:t>
      </w:r>
      <w:r w:rsidR="00CA3411" w:rsidRPr="00DC5884">
        <w:rPr>
          <w:rFonts w:eastAsia="Calibri" w:cs="Times New Roman"/>
          <w:szCs w:val="22"/>
        </w:rPr>
        <w:t xml:space="preserve">water-efficiencies (for batch products). </w:t>
      </w:r>
    </w:p>
    <w:p w14:paraId="7B4EC7CD" w14:textId="30953DC3" w:rsidR="001D411D" w:rsidRDefault="00CA3411" w:rsidP="00F0453C">
      <w:r>
        <w:fldChar w:fldCharType="begin"/>
      </w:r>
      <w:r>
        <w:instrText xml:space="preserve"> REF _Ref190426483 \h </w:instrText>
      </w:r>
      <w:r>
        <w:fldChar w:fldCharType="separate"/>
      </w:r>
      <w:r w:rsidR="002271EC">
        <w:t xml:space="preserve">Figure </w:t>
      </w:r>
      <w:r w:rsidR="002271EC">
        <w:rPr>
          <w:noProof/>
        </w:rPr>
        <w:t>28</w:t>
      </w:r>
      <w:r>
        <w:fldChar w:fldCharType="end"/>
      </w:r>
      <w:r>
        <w:t xml:space="preserve"> to </w:t>
      </w:r>
      <w:r>
        <w:fldChar w:fldCharType="begin"/>
      </w:r>
      <w:r>
        <w:instrText xml:space="preserve"> REF _Ref190426489 \h </w:instrText>
      </w:r>
      <w:r>
        <w:fldChar w:fldCharType="separate"/>
      </w:r>
      <w:r w:rsidR="002271EC">
        <w:t xml:space="preserve">Figure </w:t>
      </w:r>
      <w:r w:rsidR="002271EC">
        <w:rPr>
          <w:noProof/>
        </w:rPr>
        <w:t>31</w:t>
      </w:r>
      <w:r>
        <w:fldChar w:fldCharType="end"/>
      </w:r>
      <w:r>
        <w:t xml:space="preserve"> (USDOE data) show:</w:t>
      </w:r>
    </w:p>
    <w:p w14:paraId="42A58503" w14:textId="7226A02C" w:rsidR="00CA3411" w:rsidRPr="00DC5884" w:rsidRDefault="00CA3411"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For water-cooled products, </w:t>
      </w:r>
      <w:r w:rsidR="00DF6044" w:rsidRPr="00DC5884">
        <w:rPr>
          <w:rFonts w:eastAsia="Calibri" w:cs="Times New Roman"/>
          <w:szCs w:val="22"/>
        </w:rPr>
        <w:t xml:space="preserve">there is </w:t>
      </w:r>
      <w:r w:rsidRPr="00DC5884">
        <w:rPr>
          <w:rFonts w:eastAsia="Calibri" w:cs="Times New Roman"/>
          <w:szCs w:val="22"/>
        </w:rPr>
        <w:t xml:space="preserve">no apparent relationship between capacity and cooling </w:t>
      </w:r>
      <w:r w:rsidR="00CE59EF" w:rsidRPr="00DC5884">
        <w:rPr>
          <w:rFonts w:eastAsia="Calibri" w:cs="Times New Roman"/>
          <w:szCs w:val="22"/>
        </w:rPr>
        <w:t>water efficiency</w:t>
      </w:r>
      <w:r w:rsidR="00DF6044" w:rsidRPr="00DC5884">
        <w:rPr>
          <w:rFonts w:eastAsia="Calibri" w:cs="Times New Roman"/>
          <w:szCs w:val="22"/>
        </w:rPr>
        <w:t>.</w:t>
      </w:r>
    </w:p>
    <w:p w14:paraId="2712EC07" w14:textId="7E30797B" w:rsidR="00CA3411" w:rsidRPr="00DC5884" w:rsidRDefault="00CA3411"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There are several groups of models (presented as horizontally clustered dots) with different capacity but </w:t>
      </w:r>
      <w:r w:rsidR="00DF6044" w:rsidRPr="00DC5884">
        <w:rPr>
          <w:rFonts w:eastAsia="Calibri" w:cs="Times New Roman"/>
          <w:szCs w:val="22"/>
        </w:rPr>
        <w:t xml:space="preserve">the </w:t>
      </w:r>
      <w:r w:rsidRPr="00DC5884">
        <w:rPr>
          <w:rFonts w:eastAsia="Calibri" w:cs="Times New Roman"/>
          <w:szCs w:val="22"/>
        </w:rPr>
        <w:t xml:space="preserve">same cooling </w:t>
      </w:r>
      <w:r w:rsidR="00CE59EF" w:rsidRPr="00DC5884">
        <w:rPr>
          <w:rFonts w:eastAsia="Calibri" w:cs="Times New Roman"/>
          <w:szCs w:val="22"/>
        </w:rPr>
        <w:t>water efficiency</w:t>
      </w:r>
      <w:r w:rsidRPr="00DC5884">
        <w:rPr>
          <w:rFonts w:eastAsia="Calibri" w:cs="Times New Roman"/>
          <w:szCs w:val="22"/>
        </w:rPr>
        <w:t xml:space="preserve">, suggesting that </w:t>
      </w:r>
      <w:r w:rsidR="00DF6044" w:rsidRPr="00DC5884">
        <w:rPr>
          <w:rFonts w:eastAsia="Calibri" w:cs="Times New Roman"/>
          <w:szCs w:val="22"/>
        </w:rPr>
        <w:t xml:space="preserve">the </w:t>
      </w:r>
      <w:r w:rsidRPr="00DC5884">
        <w:rPr>
          <w:rFonts w:eastAsia="Calibri" w:cs="Times New Roman"/>
          <w:szCs w:val="22"/>
        </w:rPr>
        <w:t xml:space="preserve">same cooling circuit is being used across a model family (rather than </w:t>
      </w:r>
      <w:r w:rsidR="00DF6044" w:rsidRPr="00DC5884">
        <w:rPr>
          <w:rFonts w:eastAsia="Calibri" w:cs="Times New Roman"/>
          <w:szCs w:val="22"/>
        </w:rPr>
        <w:t xml:space="preserve">optimised </w:t>
      </w:r>
      <w:r w:rsidRPr="00DC5884">
        <w:rPr>
          <w:rFonts w:eastAsia="Calibri" w:cs="Times New Roman"/>
          <w:szCs w:val="22"/>
        </w:rPr>
        <w:t>according to the cooling load). This may lead to technical inefficiencies</w:t>
      </w:r>
      <w:r w:rsidR="00DF6044" w:rsidRPr="00DC5884">
        <w:rPr>
          <w:rFonts w:eastAsia="Calibri" w:cs="Times New Roman"/>
          <w:szCs w:val="22"/>
        </w:rPr>
        <w:t xml:space="preserve"> and presents one pathway for improvement.</w:t>
      </w:r>
    </w:p>
    <w:p w14:paraId="4B75719D" w14:textId="02FC58A5" w:rsidR="00F0453C" w:rsidRDefault="001D411D" w:rsidP="00DF6044">
      <w:pPr>
        <w:pStyle w:val="Caption"/>
        <w:pageBreakBefore/>
        <w:jc w:val="center"/>
      </w:pPr>
      <w:bookmarkStart w:id="157" w:name="_Ref194484639"/>
      <w:bookmarkStart w:id="158" w:name="_Ref191547674"/>
      <w:bookmarkStart w:id="159" w:name="_Toc196745481"/>
      <w:r>
        <w:lastRenderedPageBreak/>
        <w:t xml:space="preserve">Figure </w:t>
      </w:r>
      <w:r w:rsidR="0042496D">
        <w:fldChar w:fldCharType="begin"/>
      </w:r>
      <w:r w:rsidR="0042496D">
        <w:instrText xml:space="preserve"> SEQ Figure \* ARABIC </w:instrText>
      </w:r>
      <w:r w:rsidR="0042496D">
        <w:fldChar w:fldCharType="separate"/>
      </w:r>
      <w:r w:rsidR="002271EC">
        <w:rPr>
          <w:noProof/>
        </w:rPr>
        <w:t>19</w:t>
      </w:r>
      <w:r w:rsidR="0042496D">
        <w:rPr>
          <w:noProof/>
        </w:rPr>
        <w:fldChar w:fldCharType="end"/>
      </w:r>
      <w:bookmarkEnd w:id="157"/>
      <w:r w:rsidR="00611AF5">
        <w:t xml:space="preserve"> </w:t>
      </w:r>
      <w:r w:rsidR="00A76F79" w:rsidRPr="00A76F79">
        <w:t>ES certified CIMs, IMH-Batch-Air, Energy &amp; potable water intensity by capacity</w:t>
      </w:r>
      <w:bookmarkEnd w:id="158"/>
      <w:bookmarkEnd w:id="159"/>
    </w:p>
    <w:p w14:paraId="0445E14F" w14:textId="18BCFB6D" w:rsidR="001D411D" w:rsidRDefault="001D411D" w:rsidP="00DF6044">
      <w:pPr>
        <w:jc w:val="center"/>
      </w:pPr>
      <w:r>
        <w:rPr>
          <w:noProof/>
        </w:rPr>
        <w:drawing>
          <wp:inline distT="0" distB="0" distL="0" distR="0" wp14:anchorId="25064590" wp14:editId="4054DCF6">
            <wp:extent cx="4384675" cy="3185409"/>
            <wp:effectExtent l="19050" t="19050" r="15875" b="15240"/>
            <wp:docPr id="10" name="Picture 10" descr="Scatter graph plotting energy intensity and water intensity against production capacity for Energy Star certified air-cooled, batch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atter graph plotting energy intensity and water intensity against production capacity for Energy Star certified air-cooled, batch production ice maker head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66135" cy="3244589"/>
                    </a:xfrm>
                    <a:prstGeom prst="rect">
                      <a:avLst/>
                    </a:prstGeom>
                    <a:noFill/>
                    <a:ln>
                      <a:solidFill>
                        <a:schemeClr val="accent1"/>
                      </a:solidFill>
                    </a:ln>
                  </pic:spPr>
                </pic:pic>
              </a:graphicData>
            </a:graphic>
          </wp:inline>
        </w:drawing>
      </w:r>
    </w:p>
    <w:p w14:paraId="54088B84" w14:textId="77777777" w:rsidR="000F2521" w:rsidRDefault="000F2521" w:rsidP="00DF6044">
      <w:pPr>
        <w:jc w:val="center"/>
      </w:pPr>
    </w:p>
    <w:p w14:paraId="0DB02749" w14:textId="45532F2C" w:rsidR="00D94CAD" w:rsidRDefault="00D94CAD" w:rsidP="00D94CAD">
      <w:pPr>
        <w:pStyle w:val="Caption"/>
        <w:jc w:val="center"/>
      </w:pPr>
      <w:bookmarkStart w:id="160" w:name="_Toc196745482"/>
      <w:bookmarkStart w:id="161" w:name="_Ref190425961"/>
      <w:r>
        <w:t xml:space="preserve">Figure </w:t>
      </w:r>
      <w:r w:rsidR="0042496D">
        <w:fldChar w:fldCharType="begin"/>
      </w:r>
      <w:r w:rsidR="0042496D">
        <w:instrText xml:space="preserve"> SEQ Figure \* ARABIC </w:instrText>
      </w:r>
      <w:r w:rsidR="0042496D">
        <w:fldChar w:fldCharType="separate"/>
      </w:r>
      <w:r w:rsidR="002271EC">
        <w:rPr>
          <w:noProof/>
        </w:rPr>
        <w:t>20</w:t>
      </w:r>
      <w:r w:rsidR="0042496D">
        <w:rPr>
          <w:noProof/>
        </w:rPr>
        <w:fldChar w:fldCharType="end"/>
      </w:r>
      <w:r w:rsidRPr="00A76F79">
        <w:rPr>
          <w:rFonts w:hAnsi="Times New Roman"/>
          <w:b w:val="0"/>
          <w:bCs w:val="0"/>
          <w:color w:val="000000"/>
          <w:kern w:val="24"/>
          <w:sz w:val="29"/>
          <w:szCs w:val="29"/>
          <w:lang w:eastAsia="en-AU"/>
        </w:rPr>
        <w:t xml:space="preserve"> </w:t>
      </w:r>
      <w:r w:rsidRPr="00A76F79">
        <w:t>ES certified CIMs, IMH-Cont-Air, Energy &amp; potable water intensity by capacity</w:t>
      </w:r>
      <w:bookmarkEnd w:id="160"/>
    </w:p>
    <w:p w14:paraId="39DFD6A3" w14:textId="77777777" w:rsidR="00D94CAD" w:rsidRPr="00611AF5" w:rsidRDefault="00D94CAD" w:rsidP="00D94CAD">
      <w:pPr>
        <w:jc w:val="center"/>
      </w:pPr>
      <w:r>
        <w:rPr>
          <w:noProof/>
        </w:rPr>
        <w:drawing>
          <wp:inline distT="0" distB="0" distL="0" distR="0" wp14:anchorId="5B3A111E" wp14:editId="2DCD842F">
            <wp:extent cx="4432673" cy="3220279"/>
            <wp:effectExtent l="19050" t="19050" r="25400" b="18415"/>
            <wp:docPr id="21" name="Picture 21" descr="Scatter graph plotting energy intensity and water intensity against production capacity for Energy Star certified air-cooled, continuous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atter graph plotting energy intensity and water intensity against production capacity for Energy Star certified air-cooled, continuous production ice maker head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66648" cy="3244961"/>
                    </a:xfrm>
                    <a:prstGeom prst="rect">
                      <a:avLst/>
                    </a:prstGeom>
                    <a:noFill/>
                    <a:ln>
                      <a:solidFill>
                        <a:srgbClr val="1C2B39"/>
                      </a:solidFill>
                    </a:ln>
                  </pic:spPr>
                </pic:pic>
              </a:graphicData>
            </a:graphic>
          </wp:inline>
        </w:drawing>
      </w:r>
    </w:p>
    <w:p w14:paraId="113E7BA6" w14:textId="29258C4C" w:rsidR="00D94CAD" w:rsidRDefault="00D94CAD" w:rsidP="00DF6044">
      <w:pPr>
        <w:pStyle w:val="Caption"/>
        <w:jc w:val="center"/>
      </w:pPr>
    </w:p>
    <w:p w14:paraId="20840632" w14:textId="03EE63B1" w:rsidR="00D94CAD" w:rsidRDefault="00D94CAD" w:rsidP="00D94CAD"/>
    <w:p w14:paraId="6B732144" w14:textId="77777777" w:rsidR="00D94CAD" w:rsidRPr="00D94CAD" w:rsidRDefault="00D94CAD" w:rsidP="00D94CAD"/>
    <w:p w14:paraId="678E655D" w14:textId="57DDE60B" w:rsidR="001D411D" w:rsidRDefault="001D411D" w:rsidP="00DF6044">
      <w:pPr>
        <w:pStyle w:val="Caption"/>
        <w:jc w:val="center"/>
      </w:pPr>
      <w:bookmarkStart w:id="162" w:name="_Toc196745483"/>
      <w:r>
        <w:lastRenderedPageBreak/>
        <w:t xml:space="preserve">Figure </w:t>
      </w:r>
      <w:r w:rsidR="0042496D">
        <w:fldChar w:fldCharType="begin"/>
      </w:r>
      <w:r w:rsidR="0042496D">
        <w:instrText xml:space="preserve"> SEQ Figure \* ARABIC </w:instrText>
      </w:r>
      <w:r w:rsidR="0042496D">
        <w:fldChar w:fldCharType="separate"/>
      </w:r>
      <w:r w:rsidR="002271EC">
        <w:rPr>
          <w:noProof/>
        </w:rPr>
        <w:t>21</w:t>
      </w:r>
      <w:r w:rsidR="0042496D">
        <w:rPr>
          <w:noProof/>
        </w:rPr>
        <w:fldChar w:fldCharType="end"/>
      </w:r>
      <w:bookmarkEnd w:id="161"/>
      <w:r w:rsidR="00A76F79" w:rsidRPr="00A76F79">
        <w:rPr>
          <w:rFonts w:hAnsi="Times New Roman"/>
          <w:b w:val="0"/>
          <w:bCs w:val="0"/>
          <w:color w:val="000000"/>
          <w:kern w:val="24"/>
          <w:sz w:val="29"/>
          <w:szCs w:val="29"/>
          <w:lang w:eastAsia="en-AU"/>
        </w:rPr>
        <w:t xml:space="preserve"> </w:t>
      </w:r>
      <w:r w:rsidR="00A76F79" w:rsidRPr="00A76F79">
        <w:t>ES certified CIMs, SCU-Batch-Air, Energy &amp; potable water intensity by capacity</w:t>
      </w:r>
      <w:bookmarkEnd w:id="162"/>
    </w:p>
    <w:p w14:paraId="4BD3CC51" w14:textId="552B034D" w:rsidR="00A76F79" w:rsidRDefault="007116A3" w:rsidP="00DF6044">
      <w:pPr>
        <w:jc w:val="center"/>
      </w:pPr>
      <w:r>
        <w:rPr>
          <w:noProof/>
        </w:rPr>
        <w:drawing>
          <wp:inline distT="0" distB="0" distL="0" distR="0" wp14:anchorId="0767B450" wp14:editId="4A4C8987">
            <wp:extent cx="4248150" cy="3086226"/>
            <wp:effectExtent l="19050" t="19050" r="19050" b="19050"/>
            <wp:docPr id="11" name="Picture 11" descr="Scatter graph plotting energy intensity and water intensity against production capacity for Energy Star certified air-cooled, batch production self-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atter graph plotting energy intensity and water intensity against production capacity for Energy Star certified air-cooled, batch production self-contained unit ice makers.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92718" cy="3118604"/>
                    </a:xfrm>
                    <a:prstGeom prst="rect">
                      <a:avLst/>
                    </a:prstGeom>
                    <a:noFill/>
                    <a:ln>
                      <a:solidFill>
                        <a:schemeClr val="accent1"/>
                      </a:solidFill>
                    </a:ln>
                  </pic:spPr>
                </pic:pic>
              </a:graphicData>
            </a:graphic>
          </wp:inline>
        </w:drawing>
      </w:r>
    </w:p>
    <w:p w14:paraId="5093B4F8" w14:textId="77777777" w:rsidR="000F2521" w:rsidRDefault="000F2521" w:rsidP="00DF6044">
      <w:pPr>
        <w:jc w:val="center"/>
      </w:pPr>
    </w:p>
    <w:p w14:paraId="7C062B5C" w14:textId="28A80EB3" w:rsidR="00D94CAD" w:rsidRDefault="00D94CAD" w:rsidP="00D94CAD">
      <w:pPr>
        <w:pStyle w:val="Caption"/>
        <w:jc w:val="center"/>
      </w:pPr>
      <w:bookmarkStart w:id="163" w:name="_Toc196745484"/>
      <w:r>
        <w:t xml:space="preserve">Figure </w:t>
      </w:r>
      <w:r w:rsidR="0042496D">
        <w:fldChar w:fldCharType="begin"/>
      </w:r>
      <w:r w:rsidR="0042496D">
        <w:instrText xml:space="preserve"> SEQ Figure \* ARABIC </w:instrText>
      </w:r>
      <w:r w:rsidR="0042496D">
        <w:fldChar w:fldCharType="separate"/>
      </w:r>
      <w:r w:rsidR="002271EC">
        <w:rPr>
          <w:noProof/>
        </w:rPr>
        <w:t>22</w:t>
      </w:r>
      <w:r w:rsidR="0042496D">
        <w:rPr>
          <w:noProof/>
        </w:rPr>
        <w:fldChar w:fldCharType="end"/>
      </w:r>
      <w:r w:rsidRPr="00A76F79">
        <w:rPr>
          <w:rFonts w:hAnsi="Times New Roman"/>
          <w:b w:val="0"/>
          <w:bCs w:val="0"/>
          <w:color w:val="000000"/>
          <w:kern w:val="24"/>
          <w:sz w:val="29"/>
          <w:szCs w:val="29"/>
          <w:lang w:eastAsia="en-AU"/>
        </w:rPr>
        <w:t xml:space="preserve"> </w:t>
      </w:r>
      <w:r w:rsidRPr="00A76F79">
        <w:t>ES certified CIMs, SCU-Cont-Air, Energy &amp; potable water intensity by capacity</w:t>
      </w:r>
      <w:bookmarkEnd w:id="163"/>
    </w:p>
    <w:p w14:paraId="13BA5C57" w14:textId="77777777" w:rsidR="00D94CAD" w:rsidRPr="00A76F79" w:rsidRDefault="00D94CAD" w:rsidP="00D94CAD">
      <w:pPr>
        <w:jc w:val="center"/>
      </w:pPr>
      <w:r>
        <w:rPr>
          <w:noProof/>
        </w:rPr>
        <w:drawing>
          <wp:inline distT="0" distB="0" distL="0" distR="0" wp14:anchorId="7CB5DC4C" wp14:editId="687D6661">
            <wp:extent cx="4247977" cy="3086100"/>
            <wp:effectExtent l="19050" t="19050" r="19685" b="19050"/>
            <wp:docPr id="22" name="Picture 22" descr="Scatter graph plotting energy intensity and water intensity against production capacity for Energy Star certified air-cooled, continuous production self 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atter graph plotting energy intensity and water intensity against production capacity for Energy Star certified air-cooled, continuous production self contained unit ice makers.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2323" cy="3111052"/>
                    </a:xfrm>
                    <a:prstGeom prst="rect">
                      <a:avLst/>
                    </a:prstGeom>
                    <a:noFill/>
                    <a:ln>
                      <a:solidFill>
                        <a:srgbClr val="1C2B39"/>
                      </a:solidFill>
                    </a:ln>
                  </pic:spPr>
                </pic:pic>
              </a:graphicData>
            </a:graphic>
          </wp:inline>
        </w:drawing>
      </w:r>
    </w:p>
    <w:p w14:paraId="6F752914" w14:textId="77777777" w:rsidR="00D94CAD" w:rsidRDefault="00D94CAD" w:rsidP="00D94CAD">
      <w:pPr>
        <w:pStyle w:val="Caption"/>
        <w:jc w:val="center"/>
      </w:pPr>
    </w:p>
    <w:p w14:paraId="6E2A82FA" w14:textId="0DE527B7" w:rsidR="00D94CAD" w:rsidRDefault="00D94CAD" w:rsidP="00D94CAD"/>
    <w:p w14:paraId="2B313F7E" w14:textId="77777777" w:rsidR="00D94CAD" w:rsidRDefault="00D94CAD" w:rsidP="00DF6044">
      <w:pPr>
        <w:jc w:val="center"/>
      </w:pPr>
    </w:p>
    <w:p w14:paraId="1C9CA1A0" w14:textId="65467372" w:rsidR="001D411D" w:rsidRDefault="00611AF5" w:rsidP="00DF6044">
      <w:pPr>
        <w:pStyle w:val="Caption"/>
        <w:pageBreakBefore/>
        <w:jc w:val="center"/>
      </w:pPr>
      <w:bookmarkStart w:id="164" w:name="_Toc196745485"/>
      <w:r>
        <w:lastRenderedPageBreak/>
        <w:t xml:space="preserve">Figure </w:t>
      </w:r>
      <w:r w:rsidR="0042496D">
        <w:fldChar w:fldCharType="begin"/>
      </w:r>
      <w:r w:rsidR="0042496D">
        <w:instrText xml:space="preserve"> SEQ Figure \* ARABIC </w:instrText>
      </w:r>
      <w:r w:rsidR="0042496D">
        <w:fldChar w:fldCharType="separate"/>
      </w:r>
      <w:r w:rsidR="002271EC">
        <w:rPr>
          <w:noProof/>
        </w:rPr>
        <w:t>23</w:t>
      </w:r>
      <w:r w:rsidR="0042496D">
        <w:rPr>
          <w:noProof/>
        </w:rPr>
        <w:fldChar w:fldCharType="end"/>
      </w:r>
      <w:r w:rsidR="00A76F79" w:rsidRPr="00A76F79">
        <w:rPr>
          <w:rFonts w:hAnsi="Times New Roman"/>
          <w:b w:val="0"/>
          <w:bCs w:val="0"/>
          <w:color w:val="000000"/>
          <w:kern w:val="24"/>
          <w:sz w:val="29"/>
          <w:szCs w:val="29"/>
          <w:lang w:eastAsia="en-AU"/>
        </w:rPr>
        <w:t xml:space="preserve"> </w:t>
      </w:r>
      <w:r w:rsidR="00A76F79" w:rsidRPr="00A76F79">
        <w:t>ES certified CIMs, Split-Batch-Air, Energy &amp; potable water intensity by capacity</w:t>
      </w:r>
      <w:bookmarkEnd w:id="164"/>
    </w:p>
    <w:p w14:paraId="05A8DE4F" w14:textId="7ADE6C59" w:rsidR="00A76F79" w:rsidRDefault="00A76F79" w:rsidP="00DF6044">
      <w:pPr>
        <w:jc w:val="center"/>
      </w:pPr>
      <w:r>
        <w:rPr>
          <w:noProof/>
        </w:rPr>
        <w:drawing>
          <wp:inline distT="0" distB="0" distL="0" distR="0" wp14:anchorId="58F888DE" wp14:editId="08F635DF">
            <wp:extent cx="4454562" cy="3236181"/>
            <wp:effectExtent l="19050" t="19050" r="22225" b="21590"/>
            <wp:docPr id="20" name="Picture 20" descr="Scatter graph plotting energy intensity and water intensity against production capacity for Energy Star certified air-cooled, batch production split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atter graph plotting energy intensity and water intensity against production capacity for Energy Star certified air-cooled, batch production split unit ice makers.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91503" cy="3263018"/>
                    </a:xfrm>
                    <a:prstGeom prst="rect">
                      <a:avLst/>
                    </a:prstGeom>
                    <a:noFill/>
                    <a:ln>
                      <a:solidFill>
                        <a:schemeClr val="accent1"/>
                      </a:solidFill>
                    </a:ln>
                  </pic:spPr>
                </pic:pic>
              </a:graphicData>
            </a:graphic>
          </wp:inline>
        </w:drawing>
      </w:r>
    </w:p>
    <w:p w14:paraId="3D4AD9FF" w14:textId="77777777" w:rsidR="000F2521" w:rsidRPr="00A76F79" w:rsidRDefault="000F2521" w:rsidP="00DF6044">
      <w:pPr>
        <w:jc w:val="center"/>
      </w:pPr>
    </w:p>
    <w:p w14:paraId="1B9A2653" w14:textId="70F02AED" w:rsidR="00A76F79" w:rsidRDefault="00A76F79" w:rsidP="00DF6044">
      <w:pPr>
        <w:pStyle w:val="Caption"/>
        <w:jc w:val="center"/>
      </w:pPr>
      <w:bookmarkStart w:id="165" w:name="_Ref190425980"/>
      <w:bookmarkStart w:id="166" w:name="_Toc196745486"/>
      <w:r>
        <w:t xml:space="preserve">Figure </w:t>
      </w:r>
      <w:r w:rsidR="0042496D">
        <w:fldChar w:fldCharType="begin"/>
      </w:r>
      <w:r w:rsidR="0042496D">
        <w:instrText xml:space="preserve"> SEQ Figure \* ARABIC </w:instrText>
      </w:r>
      <w:r w:rsidR="0042496D">
        <w:fldChar w:fldCharType="separate"/>
      </w:r>
      <w:r w:rsidR="002271EC">
        <w:rPr>
          <w:noProof/>
        </w:rPr>
        <w:t>24</w:t>
      </w:r>
      <w:r w:rsidR="0042496D">
        <w:rPr>
          <w:noProof/>
        </w:rPr>
        <w:fldChar w:fldCharType="end"/>
      </w:r>
      <w:bookmarkEnd w:id="165"/>
      <w:r w:rsidRPr="00A76F79">
        <w:rPr>
          <w:rFonts w:hAnsi="Times New Roman"/>
          <w:b w:val="0"/>
          <w:bCs w:val="0"/>
          <w:color w:val="000000"/>
          <w:kern w:val="24"/>
          <w:sz w:val="29"/>
          <w:szCs w:val="29"/>
          <w:lang w:eastAsia="en-AU"/>
        </w:rPr>
        <w:t xml:space="preserve"> </w:t>
      </w:r>
      <w:r w:rsidRPr="00A76F79">
        <w:t>ES certified CIMs, Split-Cont-Air, Energy &amp; potable water intensity by capacity</w:t>
      </w:r>
      <w:bookmarkEnd w:id="166"/>
    </w:p>
    <w:p w14:paraId="14D78381" w14:textId="62E5D944" w:rsidR="00A76F79" w:rsidRPr="00A76F79" w:rsidRDefault="00A76F79" w:rsidP="00DF6044">
      <w:pPr>
        <w:jc w:val="center"/>
      </w:pPr>
      <w:r>
        <w:rPr>
          <w:noProof/>
        </w:rPr>
        <w:drawing>
          <wp:inline distT="0" distB="0" distL="0" distR="0" wp14:anchorId="3B453985" wp14:editId="67DC4955">
            <wp:extent cx="4457754" cy="3238500"/>
            <wp:effectExtent l="19050" t="19050" r="19050" b="19050"/>
            <wp:docPr id="23" name="Picture 23" descr="Scatter graph plotting energy intensity and water intensity against production capacity for Energy Star certified air-cooled, continuous production split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atter graph plotting energy intensity and water intensity against production capacity for Energy Star certified air-cooled, continuous production split unit ice makers.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84560" cy="3257974"/>
                    </a:xfrm>
                    <a:prstGeom prst="rect">
                      <a:avLst/>
                    </a:prstGeom>
                    <a:noFill/>
                    <a:ln>
                      <a:solidFill>
                        <a:schemeClr val="accent1"/>
                      </a:solidFill>
                    </a:ln>
                  </pic:spPr>
                </pic:pic>
              </a:graphicData>
            </a:graphic>
          </wp:inline>
        </w:drawing>
      </w:r>
    </w:p>
    <w:p w14:paraId="33FEB487" w14:textId="2B662A3C" w:rsidR="00A76F79" w:rsidRDefault="00A76F79" w:rsidP="004B3D00"/>
    <w:p w14:paraId="096F07A8" w14:textId="63E9957E" w:rsidR="004B3D00" w:rsidRDefault="004B3D00" w:rsidP="00DF6044">
      <w:pPr>
        <w:pStyle w:val="Caption"/>
        <w:pageBreakBefore/>
        <w:jc w:val="center"/>
      </w:pPr>
      <w:bookmarkStart w:id="167" w:name="_Ref190426198"/>
      <w:bookmarkStart w:id="168" w:name="_Toc196745487"/>
      <w:r>
        <w:lastRenderedPageBreak/>
        <w:t xml:space="preserve">Figure </w:t>
      </w:r>
      <w:r w:rsidR="0042496D">
        <w:fldChar w:fldCharType="begin"/>
      </w:r>
      <w:r w:rsidR="0042496D">
        <w:instrText xml:space="preserve"> SEQ Figure \* ARABIC </w:instrText>
      </w:r>
      <w:r w:rsidR="0042496D">
        <w:fldChar w:fldCharType="separate"/>
      </w:r>
      <w:r w:rsidR="002271EC">
        <w:rPr>
          <w:noProof/>
        </w:rPr>
        <w:t>25</w:t>
      </w:r>
      <w:r w:rsidR="0042496D">
        <w:rPr>
          <w:noProof/>
        </w:rPr>
        <w:fldChar w:fldCharType="end"/>
      </w:r>
      <w:bookmarkEnd w:id="167"/>
      <w:r w:rsidRPr="004B3D00">
        <w:rPr>
          <w:rFonts w:hAnsi="Times New Roman"/>
          <w:b w:val="0"/>
          <w:bCs w:val="0"/>
          <w:color w:val="000000"/>
          <w:kern w:val="24"/>
          <w:sz w:val="29"/>
          <w:szCs w:val="29"/>
          <w:lang w:eastAsia="en-AU"/>
        </w:rPr>
        <w:t xml:space="preserve"> </w:t>
      </w:r>
      <w:r w:rsidRPr="004B3D00">
        <w:t>ES certified CIMs, IMH-Batch-Air, Potable water- vs energy- intensity</w:t>
      </w:r>
      <w:bookmarkEnd w:id="168"/>
    </w:p>
    <w:p w14:paraId="460E4F43" w14:textId="7859F262" w:rsidR="004B3D00" w:rsidRPr="004B3D00" w:rsidRDefault="004B3D00" w:rsidP="00DF6044">
      <w:pPr>
        <w:jc w:val="center"/>
      </w:pPr>
      <w:r>
        <w:rPr>
          <w:noProof/>
        </w:rPr>
        <w:drawing>
          <wp:inline distT="0" distB="0" distL="0" distR="0" wp14:anchorId="5C2481DD" wp14:editId="568C8522">
            <wp:extent cx="4282605" cy="3111258"/>
            <wp:effectExtent l="19050" t="19050" r="22860" b="13335"/>
            <wp:docPr id="25" name="Picture 25" descr="Scatter graph plotting energy intensity against potable water intensity for Energy Star certified air-cooled, batch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atter graph plotting energy intensity against potable water intensity for Energy Star certified air-cooled, batch production ice maker heads.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8734" cy="3122975"/>
                    </a:xfrm>
                    <a:prstGeom prst="rect">
                      <a:avLst/>
                    </a:prstGeom>
                    <a:noFill/>
                    <a:ln>
                      <a:solidFill>
                        <a:schemeClr val="accent1"/>
                      </a:solidFill>
                    </a:ln>
                  </pic:spPr>
                </pic:pic>
              </a:graphicData>
            </a:graphic>
          </wp:inline>
        </w:drawing>
      </w:r>
    </w:p>
    <w:p w14:paraId="5E9F9C25" w14:textId="3BA7BD78" w:rsidR="004B3D00" w:rsidRDefault="004B3D00" w:rsidP="00DF6044">
      <w:pPr>
        <w:jc w:val="center"/>
      </w:pPr>
    </w:p>
    <w:p w14:paraId="2D1C7DFC" w14:textId="29150E14" w:rsidR="004B3D00" w:rsidRDefault="004B3D00" w:rsidP="00DF6044">
      <w:pPr>
        <w:pStyle w:val="Caption"/>
        <w:jc w:val="center"/>
      </w:pPr>
      <w:bookmarkStart w:id="169" w:name="_Toc196745488"/>
      <w:r>
        <w:t xml:space="preserve">Figure </w:t>
      </w:r>
      <w:r w:rsidR="0042496D">
        <w:fldChar w:fldCharType="begin"/>
      </w:r>
      <w:r w:rsidR="0042496D">
        <w:instrText xml:space="preserve"> SEQ Figure \* ARABIC </w:instrText>
      </w:r>
      <w:r w:rsidR="0042496D">
        <w:fldChar w:fldCharType="separate"/>
      </w:r>
      <w:r w:rsidR="002271EC">
        <w:rPr>
          <w:noProof/>
        </w:rPr>
        <w:t>26</w:t>
      </w:r>
      <w:r w:rsidR="0042496D">
        <w:rPr>
          <w:noProof/>
        </w:rPr>
        <w:fldChar w:fldCharType="end"/>
      </w:r>
      <w:r>
        <w:t xml:space="preserve"> </w:t>
      </w:r>
      <w:r w:rsidRPr="004B3D00">
        <w:t>ES certified CIMs, SCU-Batch-Air, Potable water- vs energy-intensity</w:t>
      </w:r>
      <w:bookmarkEnd w:id="169"/>
    </w:p>
    <w:p w14:paraId="09BF5081" w14:textId="1FAE4C22" w:rsidR="004B3D00" w:rsidRPr="004B3D00" w:rsidRDefault="004B3D00" w:rsidP="00DF6044">
      <w:pPr>
        <w:jc w:val="center"/>
      </w:pPr>
      <w:r>
        <w:rPr>
          <w:noProof/>
        </w:rPr>
        <w:drawing>
          <wp:inline distT="0" distB="0" distL="0" distR="0" wp14:anchorId="49E26DEB" wp14:editId="35003A92">
            <wp:extent cx="4301490" cy="3124977"/>
            <wp:effectExtent l="19050" t="19050" r="22860" b="18415"/>
            <wp:docPr id="26" name="Picture 26" descr="Scatter graph plotting energy intensity against potable water intensity for Energy Star certified air-cooled, batch self 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atter graph plotting energy intensity against potable water intensity for Energy Star certified air-cooled, batch self contained unit ice maker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27869" cy="3144141"/>
                    </a:xfrm>
                    <a:prstGeom prst="rect">
                      <a:avLst/>
                    </a:prstGeom>
                    <a:noFill/>
                    <a:ln>
                      <a:solidFill>
                        <a:schemeClr val="accent1"/>
                      </a:solidFill>
                    </a:ln>
                  </pic:spPr>
                </pic:pic>
              </a:graphicData>
            </a:graphic>
          </wp:inline>
        </w:drawing>
      </w:r>
    </w:p>
    <w:p w14:paraId="2F5A440B" w14:textId="380A0DFE" w:rsidR="00426EF1" w:rsidRDefault="00426EF1" w:rsidP="001D411D"/>
    <w:p w14:paraId="74C79E2A" w14:textId="290BA9BF" w:rsidR="004B3D00" w:rsidRDefault="004B3D00" w:rsidP="001D411D"/>
    <w:p w14:paraId="3F7BBADC" w14:textId="08BC65CA" w:rsidR="004B3D00" w:rsidRDefault="004B3D00" w:rsidP="001D411D"/>
    <w:p w14:paraId="62179016" w14:textId="132E7AA6" w:rsidR="004B3D00" w:rsidRPr="004B3D00" w:rsidRDefault="004B3D00" w:rsidP="00DF6044">
      <w:pPr>
        <w:pStyle w:val="Caption"/>
        <w:jc w:val="center"/>
      </w:pPr>
      <w:bookmarkStart w:id="170" w:name="_Ref190426414"/>
      <w:bookmarkStart w:id="171" w:name="_Toc196745489"/>
      <w:r>
        <w:lastRenderedPageBreak/>
        <w:t xml:space="preserve">Figure </w:t>
      </w:r>
      <w:r w:rsidR="0042496D">
        <w:fldChar w:fldCharType="begin"/>
      </w:r>
      <w:r w:rsidR="0042496D">
        <w:instrText xml:space="preserve"> SEQ Figure \* ARABIC </w:instrText>
      </w:r>
      <w:r w:rsidR="0042496D">
        <w:fldChar w:fldCharType="separate"/>
      </w:r>
      <w:r w:rsidR="002271EC">
        <w:rPr>
          <w:noProof/>
        </w:rPr>
        <w:t>27</w:t>
      </w:r>
      <w:r w:rsidR="0042496D">
        <w:rPr>
          <w:noProof/>
        </w:rPr>
        <w:fldChar w:fldCharType="end"/>
      </w:r>
      <w:bookmarkEnd w:id="170"/>
      <w:r w:rsidRPr="004B3D00">
        <w:rPr>
          <w:rFonts w:hAnsi="Times New Roman"/>
          <w:b w:val="0"/>
          <w:bCs w:val="0"/>
          <w:color w:val="000000"/>
          <w:kern w:val="24"/>
          <w:sz w:val="29"/>
          <w:szCs w:val="29"/>
          <w:lang w:eastAsia="en-AU"/>
        </w:rPr>
        <w:t xml:space="preserve"> </w:t>
      </w:r>
      <w:r w:rsidRPr="004B3D00">
        <w:t>ES certified CIMs, Split-Batch-Air, Potable water- vs energy-intensity</w:t>
      </w:r>
      <w:bookmarkEnd w:id="171"/>
    </w:p>
    <w:p w14:paraId="3E999E05" w14:textId="44882450" w:rsidR="004B3D00" w:rsidRDefault="004B3D00" w:rsidP="00DF6044">
      <w:pPr>
        <w:pStyle w:val="Caption"/>
        <w:jc w:val="center"/>
      </w:pPr>
      <w:r>
        <w:rPr>
          <w:noProof/>
        </w:rPr>
        <w:drawing>
          <wp:inline distT="0" distB="0" distL="0" distR="0" wp14:anchorId="3959D1A7" wp14:editId="42447014">
            <wp:extent cx="4306459" cy="3128587"/>
            <wp:effectExtent l="19050" t="19050" r="18415" b="15240"/>
            <wp:docPr id="27" name="Picture 27" descr="Scatter graph plotting energy intensity against potable water intensity for Energy Star certified air-cooled, batch production split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atter graph plotting energy intensity against potable water intensity for Energy Star certified air-cooled, batch production split unit ice maker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43997" cy="3155858"/>
                    </a:xfrm>
                    <a:prstGeom prst="rect">
                      <a:avLst/>
                    </a:prstGeom>
                    <a:noFill/>
                    <a:ln>
                      <a:solidFill>
                        <a:schemeClr val="accent1"/>
                      </a:solidFill>
                    </a:ln>
                  </pic:spPr>
                </pic:pic>
              </a:graphicData>
            </a:graphic>
          </wp:inline>
        </w:drawing>
      </w:r>
    </w:p>
    <w:p w14:paraId="24784941" w14:textId="77777777" w:rsidR="00426EF1" w:rsidRPr="001D411D" w:rsidRDefault="00426EF1" w:rsidP="00DF6044">
      <w:pPr>
        <w:jc w:val="center"/>
      </w:pPr>
    </w:p>
    <w:p w14:paraId="586C908B" w14:textId="17914A6F" w:rsidR="001D411D" w:rsidRDefault="00A866BA" w:rsidP="00DF6044">
      <w:pPr>
        <w:pStyle w:val="Caption"/>
        <w:jc w:val="center"/>
      </w:pPr>
      <w:bookmarkStart w:id="172" w:name="_Ref190426483"/>
      <w:bookmarkStart w:id="173" w:name="_Toc196745490"/>
      <w:r>
        <w:t xml:space="preserve">Figure </w:t>
      </w:r>
      <w:r w:rsidR="0042496D">
        <w:fldChar w:fldCharType="begin"/>
      </w:r>
      <w:r w:rsidR="0042496D">
        <w:instrText xml:space="preserve"> SEQ Figure \* ARABIC </w:instrText>
      </w:r>
      <w:r w:rsidR="0042496D">
        <w:fldChar w:fldCharType="separate"/>
      </w:r>
      <w:r w:rsidR="002271EC">
        <w:rPr>
          <w:noProof/>
        </w:rPr>
        <w:t>28</w:t>
      </w:r>
      <w:r w:rsidR="0042496D">
        <w:rPr>
          <w:noProof/>
        </w:rPr>
        <w:fldChar w:fldCharType="end"/>
      </w:r>
      <w:bookmarkEnd w:id="172"/>
      <w:r>
        <w:t xml:space="preserve"> </w:t>
      </w:r>
      <w:bookmarkStart w:id="174" w:name="_Hlk190099449"/>
      <w:r>
        <w:t>UDDOE registered CIMs, IMH-Batch-Water, Cooling water-vs energy-intensity</w:t>
      </w:r>
      <w:bookmarkEnd w:id="174"/>
      <w:bookmarkEnd w:id="173"/>
    </w:p>
    <w:p w14:paraId="7DFA61FE" w14:textId="2A410679" w:rsidR="00A866BA" w:rsidRPr="00A866BA" w:rsidRDefault="00A866BA" w:rsidP="00DF6044">
      <w:pPr>
        <w:jc w:val="center"/>
      </w:pPr>
      <w:r>
        <w:rPr>
          <w:noProof/>
        </w:rPr>
        <w:drawing>
          <wp:inline distT="0" distB="0" distL="0" distR="0" wp14:anchorId="3A3E20C2" wp14:editId="08AF25A9">
            <wp:extent cx="4381500" cy="3183103"/>
            <wp:effectExtent l="19050" t="19050" r="19050" b="17780"/>
            <wp:docPr id="4" name="Picture 4" descr="Scatter graph plotting energy intensity against cooling water intensity for US Department of Energy registered water-cooled, batch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06225" cy="3201066"/>
                    </a:xfrm>
                    <a:prstGeom prst="rect">
                      <a:avLst/>
                    </a:prstGeom>
                    <a:noFill/>
                    <a:ln>
                      <a:solidFill>
                        <a:schemeClr val="accent1"/>
                      </a:solidFill>
                    </a:ln>
                  </pic:spPr>
                </pic:pic>
              </a:graphicData>
            </a:graphic>
          </wp:inline>
        </w:drawing>
      </w:r>
    </w:p>
    <w:p w14:paraId="5CA18C63" w14:textId="77777777" w:rsidR="00A866BA" w:rsidRDefault="00A866BA" w:rsidP="001D411D"/>
    <w:p w14:paraId="30E711A5" w14:textId="2D35EBDF" w:rsidR="001D411D" w:rsidRDefault="001D411D" w:rsidP="001D411D"/>
    <w:p w14:paraId="08A68B81" w14:textId="78427DE5" w:rsidR="00A866BA" w:rsidRDefault="00A866BA" w:rsidP="001D411D"/>
    <w:p w14:paraId="79718973" w14:textId="14F16D49" w:rsidR="00A866BA" w:rsidRDefault="00A866BA" w:rsidP="00DF6044">
      <w:pPr>
        <w:pStyle w:val="Caption"/>
        <w:jc w:val="center"/>
      </w:pPr>
      <w:bookmarkStart w:id="175" w:name="_Toc196745491"/>
      <w:r>
        <w:lastRenderedPageBreak/>
        <w:t xml:space="preserve">Figure </w:t>
      </w:r>
      <w:r w:rsidR="0042496D">
        <w:fldChar w:fldCharType="begin"/>
      </w:r>
      <w:r w:rsidR="0042496D">
        <w:instrText xml:space="preserve"> SEQ Figure \* ARABIC </w:instrText>
      </w:r>
      <w:r w:rsidR="0042496D">
        <w:fldChar w:fldCharType="separate"/>
      </w:r>
      <w:r w:rsidR="002271EC">
        <w:rPr>
          <w:noProof/>
        </w:rPr>
        <w:t>29</w:t>
      </w:r>
      <w:r w:rsidR="0042496D">
        <w:rPr>
          <w:noProof/>
        </w:rPr>
        <w:fldChar w:fldCharType="end"/>
      </w:r>
      <w:r>
        <w:t xml:space="preserve"> USDOE registered CIMs, IMH-</w:t>
      </w:r>
      <w:r w:rsidR="0040412C">
        <w:t>Cont</w:t>
      </w:r>
      <w:r>
        <w:t>-Water, Cooling water-vs energy-intensity</w:t>
      </w:r>
      <w:bookmarkEnd w:id="175"/>
    </w:p>
    <w:p w14:paraId="29E4B693" w14:textId="0D5BFBB6" w:rsidR="00A866BA" w:rsidRDefault="00A866BA" w:rsidP="00DF6044">
      <w:pPr>
        <w:pStyle w:val="Caption"/>
        <w:jc w:val="center"/>
      </w:pPr>
      <w:r>
        <w:rPr>
          <w:noProof/>
        </w:rPr>
        <w:drawing>
          <wp:inline distT="0" distB="0" distL="0" distR="0" wp14:anchorId="6212C138" wp14:editId="7A87A877">
            <wp:extent cx="4486275" cy="3259220"/>
            <wp:effectExtent l="19050" t="19050" r="9525" b="17780"/>
            <wp:docPr id="14" name="Picture 14" descr="Scatter graph plotting energy intensity against cooling water intensity for US Department of Energy registered water-cooled, continuous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01421" cy="3270223"/>
                    </a:xfrm>
                    <a:prstGeom prst="rect">
                      <a:avLst/>
                    </a:prstGeom>
                    <a:noFill/>
                    <a:ln>
                      <a:solidFill>
                        <a:schemeClr val="accent1"/>
                      </a:solidFill>
                    </a:ln>
                  </pic:spPr>
                </pic:pic>
              </a:graphicData>
            </a:graphic>
          </wp:inline>
        </w:drawing>
      </w:r>
    </w:p>
    <w:p w14:paraId="2A5B5EC1" w14:textId="02FC764E" w:rsidR="00A866BA" w:rsidRDefault="00A866BA" w:rsidP="00DF6044">
      <w:pPr>
        <w:jc w:val="center"/>
      </w:pPr>
    </w:p>
    <w:p w14:paraId="2A532F28" w14:textId="0166AE77" w:rsidR="00A866BA" w:rsidRDefault="00A866BA" w:rsidP="00DF6044">
      <w:pPr>
        <w:pStyle w:val="Caption"/>
        <w:jc w:val="center"/>
      </w:pPr>
      <w:bookmarkStart w:id="176" w:name="_Ref190426202"/>
      <w:bookmarkStart w:id="177" w:name="_Toc196745492"/>
      <w:r>
        <w:t xml:space="preserve">Figure </w:t>
      </w:r>
      <w:r w:rsidR="0042496D">
        <w:fldChar w:fldCharType="begin"/>
      </w:r>
      <w:r w:rsidR="0042496D">
        <w:instrText xml:space="preserve"> SEQ Figure \* ARABIC </w:instrText>
      </w:r>
      <w:r w:rsidR="0042496D">
        <w:fldChar w:fldCharType="separate"/>
      </w:r>
      <w:r w:rsidR="002271EC">
        <w:rPr>
          <w:noProof/>
        </w:rPr>
        <w:t>30</w:t>
      </w:r>
      <w:r w:rsidR="0042496D">
        <w:rPr>
          <w:noProof/>
        </w:rPr>
        <w:fldChar w:fldCharType="end"/>
      </w:r>
      <w:bookmarkEnd w:id="176"/>
      <w:r>
        <w:t xml:space="preserve"> </w:t>
      </w:r>
      <w:bookmarkStart w:id="178" w:name="_Hlk190099574"/>
      <w:r>
        <w:t>USDOE registered CIMs, SCU-Batch-Water, Cooling water-vs energy-intensity</w:t>
      </w:r>
      <w:bookmarkEnd w:id="178"/>
      <w:bookmarkEnd w:id="177"/>
    </w:p>
    <w:p w14:paraId="00243657" w14:textId="69EA5991" w:rsidR="00A866BA" w:rsidRDefault="00A866BA" w:rsidP="00DF6044">
      <w:pPr>
        <w:jc w:val="center"/>
      </w:pPr>
      <w:r>
        <w:rPr>
          <w:noProof/>
        </w:rPr>
        <w:drawing>
          <wp:inline distT="0" distB="0" distL="0" distR="0" wp14:anchorId="731ECBB1" wp14:editId="7122C87B">
            <wp:extent cx="4552950" cy="3307659"/>
            <wp:effectExtent l="19050" t="19050" r="19050" b="26670"/>
            <wp:docPr id="19" name="Picture 19" descr="Scatter graph plotting energy intensity against cooling water intensity for US Department of Energy registered water-cooled, batch production self-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atter graph plotting energy intensity against cooling water intensity for US Department of Energy registered water-cooled, batch production self-contained unit ice makers.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669" cy="3321985"/>
                    </a:xfrm>
                    <a:prstGeom prst="rect">
                      <a:avLst/>
                    </a:prstGeom>
                    <a:noFill/>
                    <a:ln>
                      <a:solidFill>
                        <a:schemeClr val="accent1"/>
                      </a:solidFill>
                    </a:ln>
                  </pic:spPr>
                </pic:pic>
              </a:graphicData>
            </a:graphic>
          </wp:inline>
        </w:drawing>
      </w:r>
    </w:p>
    <w:p w14:paraId="67F2043B" w14:textId="7DC49C34" w:rsidR="00A866BA" w:rsidRDefault="00A866BA" w:rsidP="001D411D"/>
    <w:p w14:paraId="7AA97345" w14:textId="51B80BFC" w:rsidR="00A866BA" w:rsidRDefault="00A866BA" w:rsidP="001D411D"/>
    <w:p w14:paraId="1CB0AE5F" w14:textId="78403A5F" w:rsidR="00A866BA" w:rsidRDefault="00A866BA" w:rsidP="00DF6044">
      <w:pPr>
        <w:pStyle w:val="Caption"/>
        <w:jc w:val="center"/>
      </w:pPr>
      <w:bookmarkStart w:id="179" w:name="_Ref190426489"/>
      <w:bookmarkStart w:id="180" w:name="_Toc196745493"/>
      <w:r>
        <w:lastRenderedPageBreak/>
        <w:t xml:space="preserve">Figure </w:t>
      </w:r>
      <w:r w:rsidR="0042496D">
        <w:fldChar w:fldCharType="begin"/>
      </w:r>
      <w:r w:rsidR="0042496D">
        <w:instrText xml:space="preserve"> SEQ Figure \* ARABIC </w:instrText>
      </w:r>
      <w:r w:rsidR="0042496D">
        <w:fldChar w:fldCharType="separate"/>
      </w:r>
      <w:r w:rsidR="002271EC">
        <w:rPr>
          <w:noProof/>
        </w:rPr>
        <w:t>31</w:t>
      </w:r>
      <w:r w:rsidR="0042496D">
        <w:rPr>
          <w:noProof/>
        </w:rPr>
        <w:fldChar w:fldCharType="end"/>
      </w:r>
      <w:bookmarkEnd w:id="179"/>
      <w:r>
        <w:t xml:space="preserve"> USDOE registered CIMs, SCU-Cont-Water, Cooling water-vs energy-intensity</w:t>
      </w:r>
      <w:bookmarkEnd w:id="180"/>
    </w:p>
    <w:p w14:paraId="37971739" w14:textId="39A46882" w:rsidR="00A866BA" w:rsidRDefault="00A866BA" w:rsidP="00DF6044">
      <w:pPr>
        <w:jc w:val="center"/>
      </w:pPr>
      <w:r>
        <w:rPr>
          <w:noProof/>
        </w:rPr>
        <w:drawing>
          <wp:inline distT="0" distB="0" distL="0" distR="0" wp14:anchorId="4138C126" wp14:editId="6FFBD1BE">
            <wp:extent cx="4733925" cy="3439135"/>
            <wp:effectExtent l="19050" t="19050" r="9525" b="28575"/>
            <wp:docPr id="28" name="Picture 28" descr="Scatter graph plotting energy intensity against cooling water intensity for US Department of Energy registered water-cooled, continuous production self-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atter graph plotting energy intensity against cooling water intensity for US Department of Energy registered water-cooled, continuous production self-contained unit ice makers.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58482" cy="3456975"/>
                    </a:xfrm>
                    <a:prstGeom prst="rect">
                      <a:avLst/>
                    </a:prstGeom>
                    <a:noFill/>
                    <a:ln>
                      <a:solidFill>
                        <a:schemeClr val="accent1"/>
                      </a:solidFill>
                    </a:ln>
                  </pic:spPr>
                </pic:pic>
              </a:graphicData>
            </a:graphic>
          </wp:inline>
        </w:drawing>
      </w:r>
    </w:p>
    <w:p w14:paraId="779417F6" w14:textId="620124F7" w:rsidR="001D411D" w:rsidRDefault="001D411D" w:rsidP="001D411D"/>
    <w:p w14:paraId="0BFFA343" w14:textId="5AD49053" w:rsidR="007116A3" w:rsidRDefault="007116A3" w:rsidP="007116A3">
      <w:pPr>
        <w:pStyle w:val="Heading1"/>
        <w:pageBreakBefore/>
      </w:pPr>
      <w:bookmarkStart w:id="181" w:name="_Toc196745442"/>
      <w:r>
        <w:lastRenderedPageBreak/>
        <w:t xml:space="preserve">Appendix </w:t>
      </w:r>
      <w:r w:rsidR="00EF62F3">
        <w:t>D</w:t>
      </w:r>
      <w:r>
        <w:t xml:space="preserve"> New Zealand costs and benefits</w:t>
      </w:r>
      <w:bookmarkEnd w:id="181"/>
    </w:p>
    <w:p w14:paraId="4FEEEF69" w14:textId="0195AF1D" w:rsidR="00CC6943" w:rsidRPr="00CC6943" w:rsidRDefault="00CC6943" w:rsidP="00CC6943">
      <w:r w:rsidRPr="00CC6943">
        <w:t>It is estimated that the New Zealand market is about a sixth the size of Australia’s (for about a fifth the population). This equates to 1</w:t>
      </w:r>
      <w:r>
        <w:t>6</w:t>
      </w:r>
      <w:r w:rsidRPr="00CC6943">
        <w:t>00 to 1</w:t>
      </w:r>
      <w:r>
        <w:t>8</w:t>
      </w:r>
      <w:r w:rsidRPr="00CC6943">
        <w:t>00 units per year, and national stock of about 10,</w:t>
      </w:r>
      <w:r>
        <w:t>5</w:t>
      </w:r>
      <w:r w:rsidRPr="00CC6943">
        <w:t xml:space="preserve">00 </w:t>
      </w:r>
      <w:r w:rsidR="00FD11D5">
        <w:t>CIMs</w:t>
      </w:r>
      <w:r w:rsidRPr="00CC6943">
        <w:t>.</w:t>
      </w:r>
    </w:p>
    <w:p w14:paraId="7265D658" w14:textId="2895503C" w:rsidR="00CC6943" w:rsidRPr="00CC6943" w:rsidRDefault="00CC6943" w:rsidP="00CC6943">
      <w:r w:rsidRPr="00CC6943">
        <w:t>The same international brands dominate the market as in Australia. The products are mostly imported direct to New Zealand from the country of manufacture, although some Australian companies ship to New Zealand as well</w:t>
      </w:r>
      <w:r w:rsidR="005A2112">
        <w:t xml:space="preserve"> and New Zealand companies such as </w:t>
      </w:r>
      <w:r w:rsidR="00921ACF">
        <w:t>S</w:t>
      </w:r>
      <w:r w:rsidR="000F10E7">
        <w:t>k</w:t>
      </w:r>
      <w:r w:rsidR="00921ACF">
        <w:t>ope</w:t>
      </w:r>
      <w:r w:rsidR="005A2112">
        <w:t xml:space="preserve"> ship to Australia. T</w:t>
      </w:r>
      <w:r w:rsidRPr="00CC6943">
        <w:t xml:space="preserve">he primary importers supply other </w:t>
      </w:r>
      <w:r w:rsidR="005A2112">
        <w:t xml:space="preserve">local </w:t>
      </w:r>
      <w:r w:rsidRPr="00CC6943">
        <w:t xml:space="preserve">distributors as well. </w:t>
      </w:r>
      <w:r w:rsidR="00484490">
        <w:t>It is assumed that average CIM prices are equivalent to those in Australia, but 10% higher in N</w:t>
      </w:r>
      <w:r w:rsidR="000F10E7">
        <w:t>ew Zealand dollar (NZ</w:t>
      </w:r>
      <w:r w:rsidR="00484490">
        <w:t>D</w:t>
      </w:r>
      <w:r w:rsidR="000F10E7">
        <w:t>)</w:t>
      </w:r>
      <w:r w:rsidR="00484490">
        <w:t xml:space="preserve"> terms allowing for the currency exchange rate.</w:t>
      </w:r>
      <w:r w:rsidR="000F10E7">
        <w:rPr>
          <w:rStyle w:val="FootnoteReference"/>
        </w:rPr>
        <w:footnoteReference w:id="15"/>
      </w:r>
    </w:p>
    <w:p w14:paraId="70C65B8F" w14:textId="169DB0CA" w:rsidR="005A2112" w:rsidRDefault="00CC6943" w:rsidP="001D411D">
      <w:r>
        <w:t>An average water supply price of $4.56</w:t>
      </w:r>
      <w:r w:rsidR="000F10E7">
        <w:t xml:space="preserve"> </w:t>
      </w:r>
      <w:r>
        <w:t xml:space="preserve">has been estimated for New Zealand, </w:t>
      </w:r>
      <w:r w:rsidR="005A2112">
        <w:t xml:space="preserve">based on 2022 data supplied by Water New Zealand, updated for subsequent price increases </w:t>
      </w:r>
      <w:r w:rsidR="000F10E7">
        <w:t xml:space="preserve">reported </w:t>
      </w:r>
      <w:r w:rsidR="005A2112">
        <w:t>by the largest suppliers. Th</w:t>
      </w:r>
      <w:r w:rsidR="000F10E7">
        <w:t xml:space="preserve">e supply price </w:t>
      </w:r>
      <w:r w:rsidR="005A2112">
        <w:t>comprises $1.84/k</w:t>
      </w:r>
      <w:r w:rsidR="000F10E7">
        <w:t>L</w:t>
      </w:r>
      <w:r w:rsidR="005A2112">
        <w:t xml:space="preserve"> supply charge and $2.72/k</w:t>
      </w:r>
      <w:r w:rsidR="000F10E7">
        <w:t>L</w:t>
      </w:r>
      <w:r w:rsidR="005A2112">
        <w:t xml:space="preserve"> wastewater charge. No further real price increase</w:t>
      </w:r>
      <w:r w:rsidR="00484490">
        <w:t>s</w:t>
      </w:r>
      <w:r w:rsidR="005A2112">
        <w:t xml:space="preserve"> are projected for the modelling period (see </w:t>
      </w:r>
      <w:r w:rsidR="005A2112">
        <w:fldChar w:fldCharType="begin"/>
      </w:r>
      <w:r w:rsidR="005A2112">
        <w:instrText xml:space="preserve"> REF _Ref189733869 \h </w:instrText>
      </w:r>
      <w:r w:rsidR="005A2112">
        <w:fldChar w:fldCharType="separate"/>
      </w:r>
      <w:r w:rsidR="002271EC">
        <w:t xml:space="preserve">Figure </w:t>
      </w:r>
      <w:r w:rsidR="002271EC">
        <w:rPr>
          <w:noProof/>
        </w:rPr>
        <w:t>12</w:t>
      </w:r>
      <w:r w:rsidR="005A2112">
        <w:fldChar w:fldCharType="end"/>
      </w:r>
      <w:r w:rsidR="005A2112">
        <w:t xml:space="preserve"> for comparison with water prices in Australian jurisdictions).</w:t>
      </w:r>
    </w:p>
    <w:p w14:paraId="4EBD6B66" w14:textId="069CAA9C" w:rsidR="00E20F4B" w:rsidRDefault="00484490" w:rsidP="00484490">
      <w:r>
        <w:t xml:space="preserve">MEPS for CIMs are to be introduced in New Zealand via the </w:t>
      </w:r>
      <w:r w:rsidR="00E20F4B" w:rsidRPr="00E20F4B">
        <w:rPr>
          <w:i/>
          <w:iCs/>
        </w:rPr>
        <w:t>Energy Efficiency (Energy Using Products) Regulations 2002</w:t>
      </w:r>
      <w:r w:rsidR="00E20F4B">
        <w:t xml:space="preserve">, administered by the </w:t>
      </w:r>
      <w:r w:rsidR="00E20F4B" w:rsidRPr="00E20F4B">
        <w:t xml:space="preserve">Energy Efficiency and Conservation Authority </w:t>
      </w:r>
      <w:r w:rsidR="00E20F4B">
        <w:t>(EECA), at the same time as they take effect in Australia under the Greenhouse and Energy Minimum Standards (GEMS) Act.</w:t>
      </w:r>
      <w:r>
        <w:t xml:space="preserve"> </w:t>
      </w:r>
      <w:r w:rsidR="00E20F4B">
        <w:t xml:space="preserve">The target implementation date is March 2026. This is the </w:t>
      </w:r>
      <w:r w:rsidR="005D5E85">
        <w:t>st</w:t>
      </w:r>
      <w:r w:rsidR="000F10E7">
        <w:t xml:space="preserve">atus </w:t>
      </w:r>
      <w:r w:rsidR="005D5E85">
        <w:t>q</w:t>
      </w:r>
      <w:r w:rsidR="000F10E7">
        <w:t>uo (Option1)</w:t>
      </w:r>
      <w:r w:rsidR="00E20F4B">
        <w:t>.</w:t>
      </w:r>
    </w:p>
    <w:p w14:paraId="1E434266" w14:textId="4E60611E" w:rsidR="00484490" w:rsidRDefault="00E20F4B" w:rsidP="00484490">
      <w:r>
        <w:t xml:space="preserve">CIMs offered for supply in either country will have to be registered with one of the Regulators: EECA in New Zealand or the GEMS Regulator in Australia. There will be a common registration system and the information for each registered model will be published on </w:t>
      </w:r>
      <w:hyperlink r:id="rId61" w:history="1">
        <w:r w:rsidRPr="004647A9">
          <w:rPr>
            <w:rStyle w:val="Hyperlink"/>
          </w:rPr>
          <w:t>www.energy-rating.gov.au</w:t>
        </w:r>
      </w:hyperlink>
      <w:r>
        <w:t>. There are no registration fees for model</w:t>
      </w:r>
      <w:r w:rsidR="000F10E7">
        <w:t>s</w:t>
      </w:r>
      <w:r>
        <w:t xml:space="preserve"> registered with the New Zealand Regulator but there is a requirement to repor</w:t>
      </w:r>
      <w:r w:rsidR="008820A3">
        <w:t>t</w:t>
      </w:r>
      <w:r>
        <w:t xml:space="preserve"> annual sales, which </w:t>
      </w:r>
      <w:r w:rsidR="008820A3">
        <w:t xml:space="preserve">is not the case in Australia. </w:t>
      </w:r>
      <w:r w:rsidR="00FF5210">
        <w:t>Registration requires mandatory declaration of the production capacity (kg/24hrs) and energy-intensity (kWh/kg of ice produced) for each model, measured under standard test conditions. However</w:t>
      </w:r>
      <w:r w:rsidR="00D62E21">
        <w:t>,</w:t>
      </w:r>
      <w:r w:rsidR="00FF5210">
        <w:t xml:space="preserve"> declaration of water-intensity (L/kg ice produced) measured at the same test conditions is optional. It remains to be seen how many suppliers will choose </w:t>
      </w:r>
      <w:r w:rsidR="000F10E7">
        <w:t xml:space="preserve">to </w:t>
      </w:r>
      <w:r w:rsidR="00FF5210">
        <w:t>register water related information.</w:t>
      </w:r>
    </w:p>
    <w:p w14:paraId="48841F47" w14:textId="7644FBB2" w:rsidR="00993F5B" w:rsidRPr="00FF5210" w:rsidRDefault="00993F5B" w:rsidP="00484490">
      <w:r>
        <w:t xml:space="preserve">New Zealand </w:t>
      </w:r>
      <w:r w:rsidR="00FF5210">
        <w:t xml:space="preserve">already </w:t>
      </w:r>
      <w:r>
        <w:t xml:space="preserve">participates in the WELS labelling system via its </w:t>
      </w:r>
      <w:r w:rsidRPr="008820A3">
        <w:rPr>
          <w:i/>
          <w:iCs/>
        </w:rPr>
        <w:t>Consumer Information Standards (Water Efficiency) Regulations 2017</w:t>
      </w:r>
      <w:r w:rsidR="00FF5210">
        <w:rPr>
          <w:i/>
          <w:iCs/>
        </w:rPr>
        <w:t xml:space="preserve"> </w:t>
      </w:r>
      <w:r w:rsidR="00FF5210" w:rsidRPr="00FF5210">
        <w:t xml:space="preserve">administered by the Ministry for the Environment. </w:t>
      </w:r>
    </w:p>
    <w:p w14:paraId="0DB7B210" w14:textId="2DA9A3C0" w:rsidR="00484490" w:rsidRPr="00484490" w:rsidRDefault="00484490" w:rsidP="00484490">
      <w:r>
        <w:t xml:space="preserve">The same range of </w:t>
      </w:r>
      <w:r w:rsidR="000F10E7">
        <w:t>o</w:t>
      </w:r>
      <w:r>
        <w:t>ptions has been modelled for New Zealand as for Australia</w:t>
      </w:r>
      <w:r w:rsidR="00E20F4B">
        <w:t>. All are compared with the</w:t>
      </w:r>
      <w:r w:rsidRPr="00484490">
        <w:t xml:space="preserve"> Option 1 </w:t>
      </w:r>
      <w:r w:rsidR="00CA2FC4">
        <w:t>(</w:t>
      </w:r>
      <w:r w:rsidR="005D5E85">
        <w:t>s</w:t>
      </w:r>
      <w:r w:rsidRPr="00484490">
        <w:t xml:space="preserve">tatus </w:t>
      </w:r>
      <w:r w:rsidR="005D5E85">
        <w:t>q</w:t>
      </w:r>
      <w:r w:rsidRPr="00484490">
        <w:t>uo)</w:t>
      </w:r>
      <w:r w:rsidR="00CA2FC4">
        <w:t xml:space="preserve"> </w:t>
      </w:r>
      <w:r w:rsidR="00CA2FC4" w:rsidRPr="00484490">
        <w:t>scenario</w:t>
      </w:r>
      <w:r w:rsidR="00CA2FC4">
        <w:t>.</w:t>
      </w:r>
    </w:p>
    <w:p w14:paraId="5B36CD07" w14:textId="4BDE6A22" w:rsidR="00484490" w:rsidRPr="00DC5884" w:rsidRDefault="00484490"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Option 2: Declaration of water use rates with </w:t>
      </w:r>
      <w:r w:rsidR="00E20F4B" w:rsidRPr="00DC5884">
        <w:rPr>
          <w:rFonts w:eastAsia="Calibri" w:cs="Times New Roman"/>
          <w:szCs w:val="22"/>
        </w:rPr>
        <w:t xml:space="preserve">the </w:t>
      </w:r>
      <w:r w:rsidRPr="00DC5884">
        <w:rPr>
          <w:rFonts w:eastAsia="Calibri" w:cs="Times New Roman"/>
          <w:szCs w:val="22"/>
        </w:rPr>
        <w:t xml:space="preserve">support </w:t>
      </w:r>
      <w:r w:rsidR="00E20F4B" w:rsidRPr="00DC5884">
        <w:rPr>
          <w:rFonts w:eastAsia="Calibri" w:cs="Times New Roman"/>
          <w:szCs w:val="22"/>
        </w:rPr>
        <w:t xml:space="preserve">of the New Zealand agencies responsible for encouraging the efficient use of water </w:t>
      </w:r>
      <w:r w:rsidRPr="00DC5884">
        <w:rPr>
          <w:rFonts w:eastAsia="Calibri" w:cs="Times New Roman"/>
          <w:szCs w:val="22"/>
        </w:rPr>
        <w:t>(Non-regulatory)</w:t>
      </w:r>
      <w:r w:rsidR="008820A3" w:rsidRPr="00DC5884">
        <w:rPr>
          <w:rFonts w:eastAsia="Calibri" w:cs="Times New Roman"/>
          <w:szCs w:val="22"/>
        </w:rPr>
        <w:t>;</w:t>
      </w:r>
    </w:p>
    <w:p w14:paraId="60646EBE" w14:textId="5A9E9042" w:rsidR="00484490" w:rsidRPr="00DC5884" w:rsidRDefault="00484490"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lastRenderedPageBreak/>
        <w:t xml:space="preserve">Option 3A: </w:t>
      </w:r>
      <w:r w:rsidR="008820A3" w:rsidRPr="00DC5884">
        <w:rPr>
          <w:rFonts w:eastAsia="Calibri" w:cs="Times New Roman"/>
          <w:szCs w:val="22"/>
        </w:rPr>
        <w:t>D</w:t>
      </w:r>
      <w:r w:rsidRPr="00DC5884">
        <w:rPr>
          <w:rFonts w:eastAsia="Calibri" w:cs="Times New Roman"/>
          <w:szCs w:val="22"/>
        </w:rPr>
        <w:t>eclaration of information (Regulatory)</w:t>
      </w:r>
      <w:r w:rsidR="008820A3" w:rsidRPr="00DC5884">
        <w:rPr>
          <w:rFonts w:eastAsia="Calibri" w:cs="Times New Roman"/>
          <w:szCs w:val="22"/>
        </w:rPr>
        <w:t xml:space="preserve">. </w:t>
      </w:r>
      <w:r w:rsidR="00FF5210" w:rsidRPr="00DC5884">
        <w:rPr>
          <w:rFonts w:eastAsia="Calibri" w:cs="Times New Roman"/>
          <w:szCs w:val="22"/>
        </w:rPr>
        <w:t>It is assumed this would be implemented via amendment to the Consumer Information Standards (Water Efficiency) Regulations 2017.</w:t>
      </w:r>
    </w:p>
    <w:p w14:paraId="07F949C4" w14:textId="7AB0BFE7" w:rsidR="00484490" w:rsidRPr="00DC5884" w:rsidRDefault="00484490"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 xml:space="preserve">Option 3B: </w:t>
      </w:r>
      <w:r w:rsidR="008820A3" w:rsidRPr="00DC5884">
        <w:rPr>
          <w:rFonts w:eastAsia="Calibri" w:cs="Times New Roman"/>
          <w:szCs w:val="22"/>
        </w:rPr>
        <w:t>D</w:t>
      </w:r>
      <w:r w:rsidRPr="00DC5884">
        <w:rPr>
          <w:rFonts w:eastAsia="Calibri" w:cs="Times New Roman"/>
          <w:szCs w:val="22"/>
        </w:rPr>
        <w:t>eclaration of information (Regulatory) – accelerated implementation</w:t>
      </w:r>
      <w:r w:rsidR="00D03647" w:rsidRPr="00DC5884">
        <w:rPr>
          <w:rFonts w:eastAsia="Calibri" w:cs="Times New Roman"/>
          <w:szCs w:val="22"/>
        </w:rPr>
        <w:t>.</w:t>
      </w:r>
    </w:p>
    <w:p w14:paraId="018F9669" w14:textId="7CDE640A" w:rsidR="00484490" w:rsidRPr="00DC5884" w:rsidRDefault="00484490"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Option 4A: Minimum Water Efficiency Standards and declaration of information (Regulatory)</w:t>
      </w:r>
      <w:r w:rsidR="008820A3" w:rsidRPr="00DC5884">
        <w:rPr>
          <w:rFonts w:eastAsia="Calibri" w:cs="Times New Roman"/>
          <w:szCs w:val="22"/>
        </w:rPr>
        <w:t>. It is possible that new regulations would be required to enforce Minimum Water Efficiency Standards, as the Consumer Information Standards (Water Efficiency) Regulations 2017 only cover</w:t>
      </w:r>
      <w:r w:rsidR="00FF5210" w:rsidRPr="00DC5884">
        <w:rPr>
          <w:rFonts w:eastAsia="Calibri" w:cs="Times New Roman"/>
          <w:szCs w:val="22"/>
        </w:rPr>
        <w:t>s</w:t>
      </w:r>
      <w:r w:rsidR="008820A3" w:rsidRPr="00DC5884">
        <w:rPr>
          <w:rFonts w:eastAsia="Calibri" w:cs="Times New Roman"/>
          <w:szCs w:val="22"/>
        </w:rPr>
        <w:t xml:space="preserve"> labelling. However, </w:t>
      </w:r>
      <w:r w:rsidR="00993F5B" w:rsidRPr="00DC5884">
        <w:rPr>
          <w:rFonts w:eastAsia="Calibri" w:cs="Times New Roman"/>
          <w:szCs w:val="22"/>
        </w:rPr>
        <w:t xml:space="preserve">the regulation references AS/NZS 6400 Water efficient products—Rating and labelling, so </w:t>
      </w:r>
      <w:r w:rsidR="008820A3" w:rsidRPr="00DC5884">
        <w:rPr>
          <w:rFonts w:eastAsia="Calibri" w:cs="Times New Roman"/>
          <w:szCs w:val="22"/>
        </w:rPr>
        <w:t xml:space="preserve">if </w:t>
      </w:r>
      <w:r w:rsidR="00993F5B" w:rsidRPr="00DC5884">
        <w:rPr>
          <w:rFonts w:eastAsia="Calibri" w:cs="Times New Roman"/>
          <w:szCs w:val="22"/>
        </w:rPr>
        <w:t xml:space="preserve">CIM </w:t>
      </w:r>
      <w:r w:rsidR="000F10E7" w:rsidRPr="00DC5884">
        <w:rPr>
          <w:rFonts w:eastAsia="Calibri" w:cs="Times New Roman"/>
          <w:szCs w:val="22"/>
        </w:rPr>
        <w:t xml:space="preserve">minimum water efficiency standards </w:t>
      </w:r>
      <w:r w:rsidR="00993F5B" w:rsidRPr="00DC5884">
        <w:rPr>
          <w:rFonts w:eastAsia="Calibri" w:cs="Times New Roman"/>
          <w:szCs w:val="22"/>
        </w:rPr>
        <w:t xml:space="preserve">are included in </w:t>
      </w:r>
      <w:r w:rsidR="00FF5210" w:rsidRPr="00DC5884">
        <w:rPr>
          <w:rFonts w:eastAsia="Calibri" w:cs="Times New Roman"/>
          <w:szCs w:val="22"/>
        </w:rPr>
        <w:t xml:space="preserve">AS/NZS 6400 </w:t>
      </w:r>
      <w:r w:rsidR="00993F5B" w:rsidRPr="00DC5884">
        <w:rPr>
          <w:rFonts w:eastAsia="Calibri" w:cs="Times New Roman"/>
          <w:szCs w:val="22"/>
        </w:rPr>
        <w:t>they could be enforced by that route.</w:t>
      </w:r>
    </w:p>
    <w:p w14:paraId="7C89E214" w14:textId="69BEECE3" w:rsidR="00484490" w:rsidRPr="00DC5884" w:rsidRDefault="00484490" w:rsidP="00DC5884">
      <w:pPr>
        <w:numPr>
          <w:ilvl w:val="0"/>
          <w:numId w:val="53"/>
        </w:numPr>
        <w:spacing w:before="120" w:after="120" w:line="300" w:lineRule="exact"/>
        <w:jc w:val="left"/>
        <w:rPr>
          <w:rFonts w:eastAsia="Calibri" w:cs="Times New Roman"/>
          <w:szCs w:val="22"/>
        </w:rPr>
      </w:pPr>
      <w:r w:rsidRPr="00DC5884">
        <w:rPr>
          <w:rFonts w:eastAsia="Calibri" w:cs="Times New Roman"/>
          <w:szCs w:val="22"/>
        </w:rPr>
        <w:t>Option 4B: Minimum Water Efficiency Standards and declaration information (Regulatory) – accelerated implementation.</w:t>
      </w:r>
    </w:p>
    <w:p w14:paraId="46D0FD26" w14:textId="1A678111" w:rsidR="001D411D" w:rsidRPr="001D411D" w:rsidRDefault="00993F5B" w:rsidP="001D411D">
      <w:r w:rsidRPr="00993F5B">
        <w:t xml:space="preserve">In the New Zealand WELS system, there is no registration for products or </w:t>
      </w:r>
      <w:r w:rsidR="00FF5210">
        <w:t xml:space="preserve">for </w:t>
      </w:r>
      <w:r w:rsidRPr="00993F5B">
        <w:t xml:space="preserve">suppliers. </w:t>
      </w:r>
      <w:r w:rsidR="00FF5210">
        <w:t>Therefore</w:t>
      </w:r>
      <w:r w:rsidR="00D62E21">
        <w:t>,</w:t>
      </w:r>
      <w:r w:rsidR="00FF5210">
        <w:t xml:space="preserve"> </w:t>
      </w:r>
      <w:r w:rsidR="00D96196">
        <w:t xml:space="preserve">assessing </w:t>
      </w:r>
      <w:r w:rsidR="00FF5210">
        <w:t xml:space="preserve">the </w:t>
      </w:r>
      <w:r w:rsidR="001D3A18">
        <w:t xml:space="preserve">effectiveness of each option in New Zealand </w:t>
      </w:r>
      <w:r w:rsidR="00D96196">
        <w:t>would rely largely on monitoring</w:t>
      </w:r>
      <w:r w:rsidR="001D3A18">
        <w:t xml:space="preserve"> </w:t>
      </w:r>
      <w:r w:rsidR="00D96196">
        <w:t>GEMS</w:t>
      </w:r>
      <w:r w:rsidR="001D3A18">
        <w:t>,</w:t>
      </w:r>
      <w:r w:rsidR="00D96196">
        <w:t xml:space="preserve"> EECA </w:t>
      </w:r>
      <w:r w:rsidR="001D3A18">
        <w:t xml:space="preserve">and WELS </w:t>
      </w:r>
      <w:r w:rsidR="00D96196">
        <w:t xml:space="preserve">registrations. </w:t>
      </w:r>
      <w:r w:rsidR="001D3A18">
        <w:t>It is assumed that each option is as effective at reducing CIM water use as it is in Australia. The differences in water saving are due to the smaller market size.</w:t>
      </w:r>
    </w:p>
    <w:p w14:paraId="6B07192A" w14:textId="54A18B8B" w:rsidR="001D3A18" w:rsidRPr="001D3A18" w:rsidRDefault="00397B2B" w:rsidP="001D3A18">
      <w:r>
        <w:fldChar w:fldCharType="begin"/>
      </w:r>
      <w:r>
        <w:instrText xml:space="preserve"> REF _Ref191633859 \h </w:instrText>
      </w:r>
      <w:r>
        <w:fldChar w:fldCharType="separate"/>
      </w:r>
      <w:r w:rsidR="002271EC">
        <w:t xml:space="preserve">Figure </w:t>
      </w:r>
      <w:r w:rsidR="002271EC">
        <w:rPr>
          <w:noProof/>
        </w:rPr>
        <w:t>32</w:t>
      </w:r>
      <w:r>
        <w:fldChar w:fldCharType="end"/>
      </w:r>
      <w:r>
        <w:t xml:space="preserve"> </w:t>
      </w:r>
      <w:r w:rsidR="001D3A18" w:rsidRPr="001D3A18">
        <w:t>illustrates the projected total water use</w:t>
      </w:r>
      <w:r w:rsidR="000F10E7">
        <w:t xml:space="preserve">, under each option, </w:t>
      </w:r>
      <w:r w:rsidR="001D3A18" w:rsidRPr="001D3A18">
        <w:t xml:space="preserve">of CIMs purchased </w:t>
      </w:r>
      <w:r w:rsidR="000F10E7">
        <w:t xml:space="preserve">in New Zealand </w:t>
      </w:r>
      <w:r w:rsidR="001D3A18" w:rsidRPr="001D3A18">
        <w:t>between 2025 and 2040. The diagram goes to 2048 because it captures the lifetime water consumption of units sold as late as 2040 (the end of the sales projection period), which will still be operating in 2048 given average service lives.</w:t>
      </w:r>
    </w:p>
    <w:p w14:paraId="0A5D57B2" w14:textId="6D59B726" w:rsidR="001D3A18" w:rsidRPr="001D3A18" w:rsidRDefault="001D3A18" w:rsidP="001D3A18">
      <w:r w:rsidRPr="001D3A18">
        <w:t xml:space="preserve">The </w:t>
      </w:r>
      <w:r w:rsidR="005A2237">
        <w:t xml:space="preserve">area </w:t>
      </w:r>
      <w:r w:rsidRPr="001D3A18">
        <w:t>between the lines represent</w:t>
      </w:r>
      <w:r w:rsidR="00D62E21">
        <w:t>s</w:t>
      </w:r>
      <w:r w:rsidRPr="001D3A18">
        <w:t xml:space="preserve"> the water saved by that option. </w:t>
      </w:r>
      <w:r w:rsidR="00397B2B">
        <w:fldChar w:fldCharType="begin"/>
      </w:r>
      <w:r w:rsidR="00397B2B">
        <w:instrText xml:space="preserve"> REF _Ref191633896 \h </w:instrText>
      </w:r>
      <w:r w:rsidR="00397B2B">
        <w:fldChar w:fldCharType="separate"/>
      </w:r>
      <w:r w:rsidR="002271EC">
        <w:t xml:space="preserve">Figure </w:t>
      </w:r>
      <w:r w:rsidR="002271EC">
        <w:rPr>
          <w:noProof/>
        </w:rPr>
        <w:t>33</w:t>
      </w:r>
      <w:r w:rsidR="00397B2B">
        <w:fldChar w:fldCharType="end"/>
      </w:r>
      <w:r w:rsidR="00397B2B">
        <w:t xml:space="preserve"> </w:t>
      </w:r>
      <w:r w:rsidRPr="001D3A18">
        <w:t>illustrates, at larger scale, the intervals between the lines in</w:t>
      </w:r>
      <w:r w:rsidR="00397B2B">
        <w:t xml:space="preserve"> </w:t>
      </w:r>
      <w:r w:rsidR="00397B2B">
        <w:fldChar w:fldCharType="begin"/>
      </w:r>
      <w:r w:rsidR="00397B2B">
        <w:instrText xml:space="preserve"> REF _Ref191633859 \h </w:instrText>
      </w:r>
      <w:r w:rsidR="00397B2B">
        <w:fldChar w:fldCharType="separate"/>
      </w:r>
      <w:r w:rsidR="002271EC">
        <w:t xml:space="preserve">Figure </w:t>
      </w:r>
      <w:r w:rsidR="002271EC">
        <w:rPr>
          <w:noProof/>
        </w:rPr>
        <w:t>32</w:t>
      </w:r>
      <w:r w:rsidR="00397B2B">
        <w:fldChar w:fldCharType="end"/>
      </w:r>
      <w:r w:rsidRPr="001D3A18">
        <w:t xml:space="preserve">. The water saving from Option 2 are projected to peak around </w:t>
      </w:r>
      <w:r w:rsidR="005A2237">
        <w:t>60</w:t>
      </w:r>
      <w:r w:rsidRPr="001D3A18">
        <w:t>,000 kilolitres (0.</w:t>
      </w:r>
      <w:r w:rsidR="005A2237">
        <w:t>06</w:t>
      </w:r>
      <w:r w:rsidRPr="001D3A18">
        <w:t xml:space="preserve"> gigalitres) in 2040 and then decline as post-2025 CIMS retire. The maximum savings are from the mandatory water efficiency standards Option 4A (</w:t>
      </w:r>
      <w:r w:rsidR="005A2237">
        <w:t>0.30</w:t>
      </w:r>
      <w:r w:rsidRPr="001D3A18">
        <w:t xml:space="preserve"> G</w:t>
      </w:r>
      <w:r w:rsidR="005A2237">
        <w:t>L</w:t>
      </w:r>
      <w:r w:rsidRPr="001D3A18">
        <w:t xml:space="preserve"> in 2040). These are higher than Option 4B because, even though they come into effect a year later, the standard levels are more stringent.</w:t>
      </w:r>
    </w:p>
    <w:p w14:paraId="032785EE" w14:textId="4AD7FAE0" w:rsidR="001D411D" w:rsidRDefault="004A523A" w:rsidP="001D411D">
      <w:r>
        <w:t>The present value of these saving can be calculated by multiplying the kl of water saved in each year by the cost of water ($4.56/kl). The stream of savings is brought to a present value by applying a 5% discount rate as specified by the New Zealand Treasury.</w:t>
      </w:r>
    </w:p>
    <w:p w14:paraId="68A91EAB" w14:textId="5AC044EE" w:rsidR="004A523A" w:rsidRPr="004A523A" w:rsidRDefault="004A523A" w:rsidP="004A523A">
      <w:r w:rsidRPr="004A523A">
        <w:t xml:space="preserve">The costs of the measure </w:t>
      </w:r>
      <w:r w:rsidR="005A2237">
        <w:t xml:space="preserve">are incurred </w:t>
      </w:r>
      <w:r w:rsidRPr="004A523A">
        <w:t xml:space="preserve">initially </w:t>
      </w:r>
      <w:r w:rsidR="005A2237">
        <w:t xml:space="preserve">by </w:t>
      </w:r>
      <w:r w:rsidRPr="004A523A">
        <w:t xml:space="preserve">three groups: CIM suppliers, the program administrator/regulator and CIM purchasers. There are however transfers of costs between groups, as </w:t>
      </w:r>
      <w:r w:rsidR="005A2237">
        <w:t xml:space="preserve">is </w:t>
      </w:r>
      <w:r w:rsidRPr="004A523A">
        <w:t>described in the cost/benefit analysis</w:t>
      </w:r>
      <w:r w:rsidR="005A2237">
        <w:t xml:space="preserve"> methodology (Appendix B)</w:t>
      </w:r>
      <w:r w:rsidRPr="004A523A">
        <w:t>.</w:t>
      </w:r>
    </w:p>
    <w:p w14:paraId="4E1DF604" w14:textId="514C85E4" w:rsidR="004A523A" w:rsidRDefault="005A2237" w:rsidP="001D411D">
      <w:r>
        <w:t xml:space="preserve">As neither additional testing nor </w:t>
      </w:r>
      <w:r w:rsidR="004A523A" w:rsidRPr="004A523A">
        <w:t>payment of registration fees</w:t>
      </w:r>
      <w:r w:rsidR="004A523A">
        <w:t xml:space="preserve"> </w:t>
      </w:r>
      <w:r>
        <w:t xml:space="preserve">would be </w:t>
      </w:r>
      <w:r w:rsidR="004A523A">
        <w:t>not required in New Zealand</w:t>
      </w:r>
      <w:r w:rsidR="004A523A" w:rsidRPr="004A523A">
        <w:t xml:space="preserve">, </w:t>
      </w:r>
      <w:r>
        <w:t xml:space="preserve">industry costs comprise the </w:t>
      </w:r>
      <w:r w:rsidR="004A523A" w:rsidRPr="004A523A">
        <w:t xml:space="preserve">administration time costs of dealing with the regulator and </w:t>
      </w:r>
      <w:r w:rsidR="00A17AE2">
        <w:rPr>
          <w:rFonts w:ascii="Calibri" w:eastAsia="Calibri" w:hAnsi="Calibri" w:cs="Times New Roman"/>
          <w:szCs w:val="22"/>
        </w:rPr>
        <w:t>purchasers</w:t>
      </w:r>
      <w:r w:rsidR="004A523A" w:rsidRPr="004A523A">
        <w:t xml:space="preserve">, reprinting brochures and changing website contents, and attaching physical labels if required. It is assumed that these costs are higher at the introduction phase and then reduce to a lower constant level. The dollar value estimates for each activity are summarised in </w:t>
      </w:r>
      <w:r w:rsidR="004A523A">
        <w:fldChar w:fldCharType="begin"/>
      </w:r>
      <w:r w:rsidR="004A523A">
        <w:instrText xml:space="preserve"> REF _Ref191634966 \h </w:instrText>
      </w:r>
      <w:r w:rsidR="004A523A">
        <w:fldChar w:fldCharType="separate"/>
      </w:r>
      <w:r w:rsidR="002271EC">
        <w:t xml:space="preserve">Table </w:t>
      </w:r>
      <w:r w:rsidR="002271EC">
        <w:rPr>
          <w:noProof/>
        </w:rPr>
        <w:t>18</w:t>
      </w:r>
      <w:r w:rsidR="004A523A">
        <w:fldChar w:fldCharType="end"/>
      </w:r>
      <w:r w:rsidR="004A523A">
        <w:t>.</w:t>
      </w:r>
    </w:p>
    <w:p w14:paraId="5CB9871B" w14:textId="5B863197" w:rsidR="001D3A18" w:rsidRDefault="001D3A18" w:rsidP="001D3A18">
      <w:pPr>
        <w:pStyle w:val="Caption"/>
        <w:pageBreakBefore/>
        <w:jc w:val="center"/>
      </w:pPr>
      <w:bookmarkStart w:id="182" w:name="_Ref191633859"/>
      <w:bookmarkStart w:id="183" w:name="_Toc196745494"/>
      <w:r>
        <w:lastRenderedPageBreak/>
        <w:t xml:space="preserve">Figure </w:t>
      </w:r>
      <w:r w:rsidR="0042496D">
        <w:fldChar w:fldCharType="begin"/>
      </w:r>
      <w:r w:rsidR="0042496D">
        <w:instrText xml:space="preserve"> SEQ Figure \* ARABIC </w:instrText>
      </w:r>
      <w:r w:rsidR="0042496D">
        <w:fldChar w:fldCharType="separate"/>
      </w:r>
      <w:r w:rsidR="002271EC">
        <w:rPr>
          <w:noProof/>
        </w:rPr>
        <w:t>32</w:t>
      </w:r>
      <w:r w:rsidR="0042496D">
        <w:rPr>
          <w:noProof/>
        </w:rPr>
        <w:fldChar w:fldCharType="end"/>
      </w:r>
      <w:bookmarkEnd w:id="182"/>
      <w:r>
        <w:t xml:space="preserve"> </w:t>
      </w:r>
      <w:r w:rsidRPr="001D3A18">
        <w:t xml:space="preserve">Water consumed by CIMs sold 2025-2040, </w:t>
      </w:r>
      <w:r>
        <w:t>New Zealand</w:t>
      </w:r>
      <w:bookmarkEnd w:id="183"/>
    </w:p>
    <w:p w14:paraId="4ECB8291" w14:textId="35BDFF58" w:rsidR="001D3A18" w:rsidRDefault="00397B2B" w:rsidP="001D3A18">
      <w:pPr>
        <w:jc w:val="center"/>
      </w:pPr>
      <w:r>
        <w:rPr>
          <w:noProof/>
        </w:rPr>
        <w:drawing>
          <wp:inline distT="0" distB="0" distL="0" distR="0" wp14:anchorId="5402CB2A" wp14:editId="1D48B0B1">
            <wp:extent cx="4641308" cy="3371850"/>
            <wp:effectExtent l="19050" t="19050" r="26035" b="19050"/>
            <wp:docPr id="38" name="Picture 38" descr="Line graph showing water consumption from 2025 to 2040 by all ice makers installed in New Zealand from 2025 to 2040, for business as usual and for each WEL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57363" cy="3383514"/>
                    </a:xfrm>
                    <a:prstGeom prst="rect">
                      <a:avLst/>
                    </a:prstGeom>
                    <a:noFill/>
                    <a:ln>
                      <a:solidFill>
                        <a:schemeClr val="accent1"/>
                      </a:solidFill>
                    </a:ln>
                  </pic:spPr>
                </pic:pic>
              </a:graphicData>
            </a:graphic>
          </wp:inline>
        </w:drawing>
      </w:r>
    </w:p>
    <w:p w14:paraId="3ACC0B5F" w14:textId="77777777" w:rsidR="000F2521" w:rsidRPr="001D3A18" w:rsidRDefault="000F2521" w:rsidP="001D3A18">
      <w:pPr>
        <w:jc w:val="center"/>
      </w:pPr>
    </w:p>
    <w:p w14:paraId="7A951C49" w14:textId="43086AD8" w:rsidR="001D3A18" w:rsidRDefault="001D3A18" w:rsidP="001D3A18">
      <w:pPr>
        <w:pStyle w:val="Caption"/>
        <w:jc w:val="center"/>
      </w:pPr>
      <w:bookmarkStart w:id="184" w:name="_Ref191633896"/>
      <w:bookmarkStart w:id="185" w:name="_Toc196745495"/>
      <w:r>
        <w:t xml:space="preserve">Figure </w:t>
      </w:r>
      <w:r w:rsidR="0042496D">
        <w:fldChar w:fldCharType="begin"/>
      </w:r>
      <w:r w:rsidR="0042496D">
        <w:instrText xml:space="preserve"> SEQ Figure \* ARABIC </w:instrText>
      </w:r>
      <w:r w:rsidR="0042496D">
        <w:fldChar w:fldCharType="separate"/>
      </w:r>
      <w:r w:rsidR="002271EC">
        <w:rPr>
          <w:noProof/>
        </w:rPr>
        <w:t>33</w:t>
      </w:r>
      <w:r w:rsidR="0042496D">
        <w:rPr>
          <w:noProof/>
        </w:rPr>
        <w:fldChar w:fldCharType="end"/>
      </w:r>
      <w:bookmarkEnd w:id="184"/>
      <w:r>
        <w:t xml:space="preserve"> </w:t>
      </w:r>
      <w:r w:rsidRPr="001D3A18">
        <w:t xml:space="preserve">Water saved by WELS option for CIMs sold 2025-2040, </w:t>
      </w:r>
      <w:r>
        <w:t>New Zealand</w:t>
      </w:r>
      <w:bookmarkEnd w:id="185"/>
    </w:p>
    <w:p w14:paraId="3A9E26EB" w14:textId="7FFE261A" w:rsidR="001D3A18" w:rsidRDefault="00397B2B" w:rsidP="00397B2B">
      <w:pPr>
        <w:jc w:val="center"/>
      </w:pPr>
      <w:r>
        <w:rPr>
          <w:noProof/>
        </w:rPr>
        <w:drawing>
          <wp:inline distT="0" distB="0" distL="0" distR="0" wp14:anchorId="41AB4B6E" wp14:editId="664FC515">
            <wp:extent cx="4549314" cy="3305018"/>
            <wp:effectExtent l="19050" t="19050" r="22860" b="10160"/>
            <wp:docPr id="40" name="Picture 40" descr="Line graph showing savings in water consumption from 2025 to 2040 by all ice makers installed in New Zealand for each WELS option, compared with business as us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0435" cy="3320362"/>
                    </a:xfrm>
                    <a:prstGeom prst="rect">
                      <a:avLst/>
                    </a:prstGeom>
                    <a:noFill/>
                    <a:ln>
                      <a:solidFill>
                        <a:schemeClr val="accent1"/>
                      </a:solidFill>
                    </a:ln>
                  </pic:spPr>
                </pic:pic>
              </a:graphicData>
            </a:graphic>
          </wp:inline>
        </w:drawing>
      </w:r>
    </w:p>
    <w:p w14:paraId="3F6D963F" w14:textId="6A29D2B0" w:rsidR="001D3A18" w:rsidRDefault="001D3A18" w:rsidP="001D411D"/>
    <w:p w14:paraId="6184A80A" w14:textId="392F7C5F" w:rsidR="001D3A18" w:rsidRDefault="001D3A18" w:rsidP="001D411D"/>
    <w:p w14:paraId="6DC32233" w14:textId="7203E8A0" w:rsidR="001D3A18" w:rsidRDefault="001D3A18" w:rsidP="001D411D"/>
    <w:p w14:paraId="10ABC818" w14:textId="5E49EA2C" w:rsidR="00C909EF" w:rsidRDefault="00C909EF" w:rsidP="00C909EF">
      <w:pPr>
        <w:pStyle w:val="Caption"/>
        <w:jc w:val="center"/>
      </w:pPr>
      <w:bookmarkStart w:id="186" w:name="_Ref191634966"/>
      <w:bookmarkStart w:id="187" w:name="_Toc196745460"/>
      <w:r>
        <w:t xml:space="preserve">Table </w:t>
      </w:r>
      <w:r w:rsidR="0042496D">
        <w:fldChar w:fldCharType="begin"/>
      </w:r>
      <w:r w:rsidR="0042496D">
        <w:instrText xml:space="preserve"> SEQ Table \* ARABIC </w:instrText>
      </w:r>
      <w:r w:rsidR="0042496D">
        <w:fldChar w:fldCharType="separate"/>
      </w:r>
      <w:r w:rsidR="002271EC">
        <w:rPr>
          <w:noProof/>
        </w:rPr>
        <w:t>18</w:t>
      </w:r>
      <w:r w:rsidR="0042496D">
        <w:rPr>
          <w:noProof/>
        </w:rPr>
        <w:fldChar w:fldCharType="end"/>
      </w:r>
      <w:bookmarkEnd w:id="186"/>
      <w:r>
        <w:t xml:space="preserve"> Estimates of cost to New Zealand industry and Regulators</w:t>
      </w:r>
      <w:bookmarkEnd w:id="187"/>
    </w:p>
    <w:tbl>
      <w:tblPr>
        <w:tblStyle w:val="TableGrid"/>
        <w:tblW w:w="0" w:type="auto"/>
        <w:tblLook w:val="04A0" w:firstRow="1" w:lastRow="0" w:firstColumn="1" w:lastColumn="0" w:noHBand="0" w:noVBand="1"/>
      </w:tblPr>
      <w:tblGrid>
        <w:gridCol w:w="3539"/>
        <w:gridCol w:w="1217"/>
        <w:gridCol w:w="1218"/>
        <w:gridCol w:w="1218"/>
        <w:gridCol w:w="1218"/>
        <w:gridCol w:w="1218"/>
      </w:tblGrid>
      <w:tr w:rsidR="00C909EF" w:rsidRPr="008D79C5" w14:paraId="43DCF667" w14:textId="77777777" w:rsidTr="004A523A">
        <w:tc>
          <w:tcPr>
            <w:tcW w:w="3539" w:type="dxa"/>
          </w:tcPr>
          <w:p w14:paraId="2928062E" w14:textId="77777777" w:rsidR="00C909EF" w:rsidRPr="008D79C5" w:rsidRDefault="00C909EF" w:rsidP="004A523A">
            <w:pPr>
              <w:rPr>
                <w:rFonts w:ascii="Calibri" w:hAnsi="Calibri" w:cs="Calibri"/>
                <w:b/>
                <w:bCs/>
                <w:sz w:val="20"/>
                <w:szCs w:val="20"/>
              </w:rPr>
            </w:pPr>
          </w:p>
        </w:tc>
        <w:tc>
          <w:tcPr>
            <w:tcW w:w="1217" w:type="dxa"/>
          </w:tcPr>
          <w:p w14:paraId="7F81D4CB" w14:textId="77777777" w:rsidR="00C909EF" w:rsidRPr="008D79C5" w:rsidRDefault="00C909EF" w:rsidP="004A523A">
            <w:pPr>
              <w:rPr>
                <w:rFonts w:ascii="Calibri" w:hAnsi="Calibri" w:cs="Calibri"/>
                <w:b/>
                <w:bCs/>
                <w:sz w:val="20"/>
                <w:szCs w:val="20"/>
              </w:rPr>
            </w:pPr>
            <w:r w:rsidRPr="008D79C5">
              <w:rPr>
                <w:rFonts w:ascii="Calibri" w:hAnsi="Calibri" w:cs="Calibri"/>
                <w:b/>
                <w:bCs/>
                <w:sz w:val="20"/>
                <w:szCs w:val="20"/>
              </w:rPr>
              <w:t>Option 2</w:t>
            </w:r>
          </w:p>
        </w:tc>
        <w:tc>
          <w:tcPr>
            <w:tcW w:w="1218" w:type="dxa"/>
          </w:tcPr>
          <w:p w14:paraId="32CD77E4" w14:textId="77777777" w:rsidR="00C909EF" w:rsidRPr="008D79C5" w:rsidRDefault="00C909EF" w:rsidP="004A523A">
            <w:pPr>
              <w:rPr>
                <w:rFonts w:ascii="Calibri" w:hAnsi="Calibri" w:cs="Calibri"/>
                <w:b/>
                <w:bCs/>
                <w:sz w:val="20"/>
                <w:szCs w:val="20"/>
              </w:rPr>
            </w:pPr>
            <w:r w:rsidRPr="008D79C5">
              <w:rPr>
                <w:rFonts w:ascii="Calibri" w:hAnsi="Calibri" w:cs="Calibri"/>
                <w:b/>
                <w:bCs/>
                <w:sz w:val="20"/>
                <w:szCs w:val="20"/>
              </w:rPr>
              <w:t>Option 3A</w:t>
            </w:r>
          </w:p>
        </w:tc>
        <w:tc>
          <w:tcPr>
            <w:tcW w:w="1218" w:type="dxa"/>
          </w:tcPr>
          <w:p w14:paraId="0F7D4152" w14:textId="3DDD4588" w:rsidR="00C909EF" w:rsidRPr="008D79C5" w:rsidRDefault="00C909EF" w:rsidP="004A523A">
            <w:pPr>
              <w:rPr>
                <w:rFonts w:ascii="Calibri" w:hAnsi="Calibri" w:cs="Calibri"/>
                <w:b/>
                <w:bCs/>
                <w:sz w:val="20"/>
                <w:szCs w:val="20"/>
              </w:rPr>
            </w:pPr>
            <w:r w:rsidRPr="008D79C5">
              <w:rPr>
                <w:rFonts w:ascii="Calibri" w:hAnsi="Calibri" w:cs="Calibri"/>
                <w:b/>
                <w:bCs/>
                <w:sz w:val="20"/>
                <w:szCs w:val="20"/>
              </w:rPr>
              <w:t>Option 3B</w:t>
            </w:r>
          </w:p>
        </w:tc>
        <w:tc>
          <w:tcPr>
            <w:tcW w:w="1218" w:type="dxa"/>
          </w:tcPr>
          <w:p w14:paraId="533F91F2" w14:textId="77777777" w:rsidR="00C909EF" w:rsidRPr="008D79C5" w:rsidRDefault="00C909EF" w:rsidP="004A523A">
            <w:pPr>
              <w:rPr>
                <w:rFonts w:ascii="Calibri" w:hAnsi="Calibri" w:cs="Calibri"/>
                <w:b/>
                <w:bCs/>
                <w:sz w:val="20"/>
                <w:szCs w:val="20"/>
              </w:rPr>
            </w:pPr>
            <w:r w:rsidRPr="008D79C5">
              <w:rPr>
                <w:rFonts w:ascii="Calibri" w:hAnsi="Calibri" w:cs="Calibri"/>
                <w:b/>
                <w:bCs/>
                <w:sz w:val="20"/>
                <w:szCs w:val="20"/>
              </w:rPr>
              <w:t>Option 4A</w:t>
            </w:r>
          </w:p>
        </w:tc>
        <w:tc>
          <w:tcPr>
            <w:tcW w:w="1218" w:type="dxa"/>
          </w:tcPr>
          <w:p w14:paraId="48CEE2BB" w14:textId="77777777" w:rsidR="00C909EF" w:rsidRPr="008D79C5" w:rsidRDefault="00C909EF" w:rsidP="004A523A">
            <w:pPr>
              <w:rPr>
                <w:rFonts w:ascii="Calibri" w:hAnsi="Calibri" w:cs="Calibri"/>
                <w:b/>
                <w:bCs/>
                <w:sz w:val="20"/>
                <w:szCs w:val="20"/>
              </w:rPr>
            </w:pPr>
            <w:r w:rsidRPr="008D79C5">
              <w:rPr>
                <w:rFonts w:ascii="Calibri" w:hAnsi="Calibri" w:cs="Calibri"/>
                <w:b/>
                <w:bCs/>
                <w:sz w:val="20"/>
                <w:szCs w:val="20"/>
              </w:rPr>
              <w:t>Option 4B</w:t>
            </w:r>
          </w:p>
        </w:tc>
      </w:tr>
      <w:tr w:rsidR="00C909EF" w:rsidRPr="008D79C5" w14:paraId="03663EFC" w14:textId="77777777" w:rsidTr="004A523A">
        <w:tc>
          <w:tcPr>
            <w:tcW w:w="3539" w:type="dxa"/>
          </w:tcPr>
          <w:p w14:paraId="0EE5986D" w14:textId="77777777" w:rsidR="00C909EF" w:rsidRPr="008D79C5" w:rsidRDefault="00C909EF" w:rsidP="004A523A">
            <w:pPr>
              <w:rPr>
                <w:rFonts w:ascii="Calibri" w:hAnsi="Calibri" w:cs="Calibri"/>
                <w:sz w:val="20"/>
                <w:szCs w:val="20"/>
              </w:rPr>
            </w:pPr>
            <w:r w:rsidRPr="008D79C5">
              <w:rPr>
                <w:rFonts w:ascii="Calibri" w:hAnsi="Calibri" w:cs="Calibri"/>
                <w:sz w:val="20"/>
                <w:szCs w:val="20"/>
              </w:rPr>
              <w:t>Importers</w:t>
            </w:r>
          </w:p>
        </w:tc>
        <w:tc>
          <w:tcPr>
            <w:tcW w:w="1217" w:type="dxa"/>
          </w:tcPr>
          <w:p w14:paraId="19153A42" w14:textId="2D46F040" w:rsidR="00C909EF" w:rsidRPr="008D79C5" w:rsidRDefault="00C909EF" w:rsidP="004A523A">
            <w:pPr>
              <w:jc w:val="right"/>
              <w:rPr>
                <w:rFonts w:ascii="Calibri" w:hAnsi="Calibri" w:cs="Calibri"/>
                <w:sz w:val="20"/>
                <w:szCs w:val="20"/>
              </w:rPr>
            </w:pPr>
            <w:r w:rsidRPr="008D79C5">
              <w:rPr>
                <w:rFonts w:ascii="Calibri" w:hAnsi="Calibri" w:cs="Calibri"/>
                <w:sz w:val="20"/>
                <w:szCs w:val="20"/>
              </w:rPr>
              <w:t>10</w:t>
            </w:r>
          </w:p>
        </w:tc>
        <w:tc>
          <w:tcPr>
            <w:tcW w:w="1218" w:type="dxa"/>
          </w:tcPr>
          <w:p w14:paraId="5E68B357" w14:textId="67D0409A" w:rsidR="00C909EF" w:rsidRPr="008D79C5" w:rsidRDefault="00C909EF" w:rsidP="004A523A">
            <w:pPr>
              <w:jc w:val="right"/>
              <w:rPr>
                <w:rFonts w:ascii="Calibri" w:hAnsi="Calibri" w:cs="Calibri"/>
                <w:sz w:val="20"/>
                <w:szCs w:val="20"/>
              </w:rPr>
            </w:pPr>
            <w:r w:rsidRPr="008D79C5">
              <w:rPr>
                <w:rFonts w:ascii="Calibri" w:hAnsi="Calibri" w:cs="Calibri"/>
                <w:sz w:val="20"/>
                <w:szCs w:val="20"/>
              </w:rPr>
              <w:t>10</w:t>
            </w:r>
          </w:p>
        </w:tc>
        <w:tc>
          <w:tcPr>
            <w:tcW w:w="1218" w:type="dxa"/>
          </w:tcPr>
          <w:p w14:paraId="71B507BD" w14:textId="38F1C405" w:rsidR="00C909EF" w:rsidRPr="008D79C5" w:rsidRDefault="00C909EF" w:rsidP="004A523A">
            <w:pPr>
              <w:jc w:val="right"/>
              <w:rPr>
                <w:rFonts w:ascii="Calibri" w:hAnsi="Calibri" w:cs="Calibri"/>
                <w:sz w:val="20"/>
                <w:szCs w:val="20"/>
              </w:rPr>
            </w:pPr>
            <w:r w:rsidRPr="008D79C5">
              <w:rPr>
                <w:rFonts w:ascii="Calibri" w:hAnsi="Calibri" w:cs="Calibri"/>
                <w:sz w:val="20"/>
                <w:szCs w:val="20"/>
              </w:rPr>
              <w:t>10</w:t>
            </w:r>
          </w:p>
        </w:tc>
        <w:tc>
          <w:tcPr>
            <w:tcW w:w="1218" w:type="dxa"/>
          </w:tcPr>
          <w:p w14:paraId="48F6D685" w14:textId="53CC2D48" w:rsidR="00C909EF" w:rsidRPr="008D79C5" w:rsidRDefault="00C909EF" w:rsidP="004A523A">
            <w:pPr>
              <w:jc w:val="right"/>
              <w:rPr>
                <w:rFonts w:ascii="Calibri" w:hAnsi="Calibri" w:cs="Calibri"/>
                <w:sz w:val="20"/>
                <w:szCs w:val="20"/>
              </w:rPr>
            </w:pPr>
            <w:r w:rsidRPr="008D79C5">
              <w:rPr>
                <w:rFonts w:ascii="Calibri" w:hAnsi="Calibri" w:cs="Calibri"/>
                <w:sz w:val="20"/>
                <w:szCs w:val="20"/>
              </w:rPr>
              <w:t>10</w:t>
            </w:r>
          </w:p>
        </w:tc>
        <w:tc>
          <w:tcPr>
            <w:tcW w:w="1218" w:type="dxa"/>
          </w:tcPr>
          <w:p w14:paraId="409085B5" w14:textId="4FD314A0" w:rsidR="00C909EF" w:rsidRPr="008D79C5" w:rsidRDefault="00C909EF" w:rsidP="004A523A">
            <w:pPr>
              <w:jc w:val="right"/>
              <w:rPr>
                <w:rFonts w:ascii="Calibri" w:hAnsi="Calibri" w:cs="Calibri"/>
                <w:sz w:val="20"/>
                <w:szCs w:val="20"/>
              </w:rPr>
            </w:pPr>
            <w:r w:rsidRPr="008D79C5">
              <w:rPr>
                <w:rFonts w:ascii="Calibri" w:hAnsi="Calibri" w:cs="Calibri"/>
                <w:sz w:val="20"/>
                <w:szCs w:val="20"/>
              </w:rPr>
              <w:t>10</w:t>
            </w:r>
          </w:p>
        </w:tc>
      </w:tr>
      <w:tr w:rsidR="00C909EF" w:rsidRPr="008D79C5" w14:paraId="63DB80CB" w14:textId="77777777" w:rsidTr="004A523A">
        <w:tc>
          <w:tcPr>
            <w:tcW w:w="3539" w:type="dxa"/>
          </w:tcPr>
          <w:p w14:paraId="048AEEF1" w14:textId="5556DEB6" w:rsidR="00C909EF" w:rsidRPr="008D79C5" w:rsidRDefault="00C909EF" w:rsidP="004A523A">
            <w:pPr>
              <w:rPr>
                <w:rFonts w:ascii="Calibri" w:hAnsi="Calibri" w:cs="Calibri"/>
                <w:sz w:val="20"/>
                <w:szCs w:val="20"/>
              </w:rPr>
            </w:pPr>
            <w:r w:rsidRPr="008D79C5">
              <w:rPr>
                <w:rFonts w:ascii="Calibri" w:hAnsi="Calibri" w:cs="Calibri"/>
                <w:sz w:val="20"/>
                <w:szCs w:val="20"/>
              </w:rPr>
              <w:t>Secondary distributors</w:t>
            </w:r>
          </w:p>
        </w:tc>
        <w:tc>
          <w:tcPr>
            <w:tcW w:w="1217" w:type="dxa"/>
          </w:tcPr>
          <w:p w14:paraId="60FD392A" w14:textId="509AF680" w:rsidR="00C909EF" w:rsidRPr="008D79C5" w:rsidRDefault="00C909EF" w:rsidP="004A523A">
            <w:pPr>
              <w:jc w:val="right"/>
              <w:rPr>
                <w:rFonts w:ascii="Calibri" w:hAnsi="Calibri" w:cs="Calibri"/>
                <w:sz w:val="20"/>
                <w:szCs w:val="20"/>
              </w:rPr>
            </w:pPr>
            <w:r w:rsidRPr="008D79C5">
              <w:rPr>
                <w:rFonts w:ascii="Calibri" w:hAnsi="Calibri" w:cs="Calibri"/>
                <w:sz w:val="20"/>
                <w:szCs w:val="20"/>
              </w:rPr>
              <w:t>20</w:t>
            </w:r>
          </w:p>
        </w:tc>
        <w:tc>
          <w:tcPr>
            <w:tcW w:w="1218" w:type="dxa"/>
          </w:tcPr>
          <w:p w14:paraId="6D86E123" w14:textId="15B0B10E" w:rsidR="00C909EF" w:rsidRPr="008D79C5" w:rsidRDefault="00C909EF" w:rsidP="004A523A">
            <w:pPr>
              <w:jc w:val="right"/>
              <w:rPr>
                <w:rFonts w:ascii="Calibri" w:hAnsi="Calibri" w:cs="Calibri"/>
                <w:sz w:val="20"/>
                <w:szCs w:val="20"/>
              </w:rPr>
            </w:pPr>
            <w:r w:rsidRPr="008D79C5">
              <w:rPr>
                <w:rFonts w:ascii="Calibri" w:hAnsi="Calibri" w:cs="Calibri"/>
                <w:sz w:val="20"/>
                <w:szCs w:val="20"/>
              </w:rPr>
              <w:t>20</w:t>
            </w:r>
          </w:p>
        </w:tc>
        <w:tc>
          <w:tcPr>
            <w:tcW w:w="1218" w:type="dxa"/>
          </w:tcPr>
          <w:p w14:paraId="6A77F698" w14:textId="1391488C" w:rsidR="00C909EF" w:rsidRPr="008D79C5" w:rsidRDefault="00C909EF" w:rsidP="004A523A">
            <w:pPr>
              <w:jc w:val="right"/>
              <w:rPr>
                <w:rFonts w:ascii="Calibri" w:hAnsi="Calibri" w:cs="Calibri"/>
                <w:sz w:val="20"/>
                <w:szCs w:val="20"/>
              </w:rPr>
            </w:pPr>
            <w:r w:rsidRPr="008D79C5">
              <w:rPr>
                <w:rFonts w:ascii="Calibri" w:hAnsi="Calibri" w:cs="Calibri"/>
                <w:sz w:val="20"/>
                <w:szCs w:val="20"/>
              </w:rPr>
              <w:t>20</w:t>
            </w:r>
          </w:p>
        </w:tc>
        <w:tc>
          <w:tcPr>
            <w:tcW w:w="1218" w:type="dxa"/>
          </w:tcPr>
          <w:p w14:paraId="173C213A" w14:textId="300BBF68" w:rsidR="00C909EF" w:rsidRPr="008D79C5" w:rsidRDefault="00C909EF" w:rsidP="004A523A">
            <w:pPr>
              <w:jc w:val="right"/>
              <w:rPr>
                <w:rFonts w:ascii="Calibri" w:hAnsi="Calibri" w:cs="Calibri"/>
                <w:sz w:val="20"/>
                <w:szCs w:val="20"/>
              </w:rPr>
            </w:pPr>
            <w:r w:rsidRPr="008D79C5">
              <w:rPr>
                <w:rFonts w:ascii="Calibri" w:hAnsi="Calibri" w:cs="Calibri"/>
                <w:sz w:val="20"/>
                <w:szCs w:val="20"/>
              </w:rPr>
              <w:t>20</w:t>
            </w:r>
          </w:p>
        </w:tc>
        <w:tc>
          <w:tcPr>
            <w:tcW w:w="1218" w:type="dxa"/>
          </w:tcPr>
          <w:p w14:paraId="78D37925" w14:textId="3467B8A9" w:rsidR="00C909EF" w:rsidRPr="008D79C5" w:rsidRDefault="00C909EF" w:rsidP="004A523A">
            <w:pPr>
              <w:jc w:val="right"/>
              <w:rPr>
                <w:rFonts w:ascii="Calibri" w:hAnsi="Calibri" w:cs="Calibri"/>
                <w:sz w:val="20"/>
                <w:szCs w:val="20"/>
              </w:rPr>
            </w:pPr>
            <w:r w:rsidRPr="008D79C5">
              <w:rPr>
                <w:rFonts w:ascii="Calibri" w:hAnsi="Calibri" w:cs="Calibri"/>
                <w:sz w:val="20"/>
                <w:szCs w:val="20"/>
              </w:rPr>
              <w:t>20</w:t>
            </w:r>
          </w:p>
        </w:tc>
      </w:tr>
      <w:tr w:rsidR="00C909EF" w:rsidRPr="008D79C5" w14:paraId="74E593DF" w14:textId="77777777" w:rsidTr="004A523A">
        <w:tc>
          <w:tcPr>
            <w:tcW w:w="3539" w:type="dxa"/>
          </w:tcPr>
          <w:p w14:paraId="76E8CB6D" w14:textId="00AAD000" w:rsidR="00C909EF" w:rsidRPr="008D79C5" w:rsidRDefault="00C909EF" w:rsidP="004A523A">
            <w:pPr>
              <w:rPr>
                <w:rFonts w:ascii="Calibri" w:hAnsi="Calibri" w:cs="Calibri"/>
                <w:sz w:val="20"/>
                <w:szCs w:val="20"/>
              </w:rPr>
            </w:pPr>
            <w:r w:rsidRPr="008D79C5">
              <w:rPr>
                <w:rFonts w:ascii="Calibri" w:hAnsi="Calibri" w:cs="Calibri"/>
                <w:sz w:val="20"/>
                <w:szCs w:val="20"/>
              </w:rPr>
              <w:t>Models (2025, 2040)</w:t>
            </w:r>
          </w:p>
        </w:tc>
        <w:tc>
          <w:tcPr>
            <w:tcW w:w="1217" w:type="dxa"/>
          </w:tcPr>
          <w:p w14:paraId="5BD11313" w14:textId="1B5FF38F" w:rsidR="00C909EF" w:rsidRPr="008D79C5" w:rsidRDefault="00A643E5" w:rsidP="004A523A">
            <w:pPr>
              <w:jc w:val="right"/>
              <w:rPr>
                <w:rFonts w:ascii="Calibri" w:hAnsi="Calibri" w:cs="Calibri"/>
                <w:sz w:val="20"/>
                <w:szCs w:val="20"/>
              </w:rPr>
            </w:pPr>
            <w:r w:rsidRPr="008D79C5">
              <w:rPr>
                <w:rFonts w:ascii="Calibri" w:hAnsi="Calibri" w:cs="Calibri"/>
                <w:sz w:val="20"/>
                <w:szCs w:val="20"/>
              </w:rPr>
              <w:t>3</w:t>
            </w:r>
            <w:r w:rsidR="00C909EF" w:rsidRPr="008D79C5">
              <w:rPr>
                <w:rFonts w:ascii="Calibri" w:hAnsi="Calibri" w:cs="Calibri"/>
                <w:sz w:val="20"/>
                <w:szCs w:val="20"/>
              </w:rPr>
              <w:t>00-</w:t>
            </w:r>
            <w:r w:rsidRPr="008D79C5">
              <w:rPr>
                <w:rFonts w:ascii="Calibri" w:hAnsi="Calibri" w:cs="Calibri"/>
                <w:sz w:val="20"/>
                <w:szCs w:val="20"/>
              </w:rPr>
              <w:t>4</w:t>
            </w:r>
            <w:r w:rsidR="00C909EF" w:rsidRPr="008D79C5">
              <w:rPr>
                <w:rFonts w:ascii="Calibri" w:hAnsi="Calibri" w:cs="Calibri"/>
                <w:sz w:val="20"/>
                <w:szCs w:val="20"/>
              </w:rPr>
              <w:t>00</w:t>
            </w:r>
          </w:p>
        </w:tc>
        <w:tc>
          <w:tcPr>
            <w:tcW w:w="1218" w:type="dxa"/>
          </w:tcPr>
          <w:p w14:paraId="7ED5B11E" w14:textId="4CD51A48" w:rsidR="00C909EF" w:rsidRPr="008D79C5" w:rsidRDefault="00A643E5" w:rsidP="004A523A">
            <w:pPr>
              <w:jc w:val="right"/>
              <w:rPr>
                <w:rFonts w:ascii="Calibri" w:hAnsi="Calibri" w:cs="Calibri"/>
                <w:sz w:val="20"/>
                <w:szCs w:val="20"/>
              </w:rPr>
            </w:pPr>
            <w:r w:rsidRPr="008D79C5">
              <w:rPr>
                <w:rFonts w:ascii="Calibri" w:hAnsi="Calibri" w:cs="Calibri"/>
                <w:sz w:val="20"/>
                <w:szCs w:val="20"/>
              </w:rPr>
              <w:t>3</w:t>
            </w:r>
            <w:r w:rsidR="00C909EF" w:rsidRPr="008D79C5">
              <w:rPr>
                <w:rFonts w:ascii="Calibri" w:hAnsi="Calibri" w:cs="Calibri"/>
                <w:sz w:val="20"/>
                <w:szCs w:val="20"/>
              </w:rPr>
              <w:t>00-</w:t>
            </w:r>
            <w:r w:rsidRPr="008D79C5">
              <w:rPr>
                <w:rFonts w:ascii="Calibri" w:hAnsi="Calibri" w:cs="Calibri"/>
                <w:sz w:val="20"/>
                <w:szCs w:val="20"/>
              </w:rPr>
              <w:t>4</w:t>
            </w:r>
            <w:r w:rsidR="00C909EF" w:rsidRPr="008D79C5">
              <w:rPr>
                <w:rFonts w:ascii="Calibri" w:hAnsi="Calibri" w:cs="Calibri"/>
                <w:sz w:val="20"/>
                <w:szCs w:val="20"/>
              </w:rPr>
              <w:t>00</w:t>
            </w:r>
          </w:p>
        </w:tc>
        <w:tc>
          <w:tcPr>
            <w:tcW w:w="1218" w:type="dxa"/>
          </w:tcPr>
          <w:p w14:paraId="66F8B758" w14:textId="72E2E5A7" w:rsidR="00C909EF" w:rsidRPr="008D79C5" w:rsidRDefault="00A643E5" w:rsidP="004A523A">
            <w:pPr>
              <w:jc w:val="right"/>
              <w:rPr>
                <w:rFonts w:ascii="Calibri" w:hAnsi="Calibri" w:cs="Calibri"/>
                <w:sz w:val="20"/>
                <w:szCs w:val="20"/>
              </w:rPr>
            </w:pPr>
            <w:r w:rsidRPr="008D79C5">
              <w:rPr>
                <w:rFonts w:ascii="Calibri" w:hAnsi="Calibri" w:cs="Calibri"/>
                <w:sz w:val="20"/>
                <w:szCs w:val="20"/>
              </w:rPr>
              <w:t>3</w:t>
            </w:r>
            <w:r w:rsidR="00C909EF" w:rsidRPr="008D79C5">
              <w:rPr>
                <w:rFonts w:ascii="Calibri" w:hAnsi="Calibri" w:cs="Calibri"/>
                <w:sz w:val="20"/>
                <w:szCs w:val="20"/>
              </w:rPr>
              <w:t>00-</w:t>
            </w:r>
            <w:r w:rsidRPr="008D79C5">
              <w:rPr>
                <w:rFonts w:ascii="Calibri" w:hAnsi="Calibri" w:cs="Calibri"/>
                <w:sz w:val="20"/>
                <w:szCs w:val="20"/>
              </w:rPr>
              <w:t>4</w:t>
            </w:r>
            <w:r w:rsidR="00C909EF" w:rsidRPr="008D79C5">
              <w:rPr>
                <w:rFonts w:ascii="Calibri" w:hAnsi="Calibri" w:cs="Calibri"/>
                <w:sz w:val="20"/>
                <w:szCs w:val="20"/>
              </w:rPr>
              <w:t>00</w:t>
            </w:r>
          </w:p>
        </w:tc>
        <w:tc>
          <w:tcPr>
            <w:tcW w:w="1218" w:type="dxa"/>
          </w:tcPr>
          <w:p w14:paraId="6E9E9716" w14:textId="579445CE" w:rsidR="00C909EF" w:rsidRPr="008D79C5" w:rsidRDefault="00A643E5" w:rsidP="004A523A">
            <w:pPr>
              <w:jc w:val="right"/>
              <w:rPr>
                <w:rFonts w:ascii="Calibri" w:hAnsi="Calibri" w:cs="Calibri"/>
                <w:sz w:val="20"/>
                <w:szCs w:val="20"/>
              </w:rPr>
            </w:pPr>
            <w:r w:rsidRPr="008D79C5">
              <w:rPr>
                <w:rFonts w:ascii="Calibri" w:hAnsi="Calibri" w:cs="Calibri"/>
                <w:sz w:val="20"/>
                <w:szCs w:val="20"/>
              </w:rPr>
              <w:t>3</w:t>
            </w:r>
            <w:r w:rsidR="00C909EF" w:rsidRPr="008D79C5">
              <w:rPr>
                <w:rFonts w:ascii="Calibri" w:hAnsi="Calibri" w:cs="Calibri"/>
                <w:sz w:val="20"/>
                <w:szCs w:val="20"/>
              </w:rPr>
              <w:t>00-</w:t>
            </w:r>
            <w:r w:rsidRPr="008D79C5">
              <w:rPr>
                <w:rFonts w:ascii="Calibri" w:hAnsi="Calibri" w:cs="Calibri"/>
                <w:sz w:val="20"/>
                <w:szCs w:val="20"/>
              </w:rPr>
              <w:t>4</w:t>
            </w:r>
            <w:r w:rsidR="00C909EF" w:rsidRPr="008D79C5">
              <w:rPr>
                <w:rFonts w:ascii="Calibri" w:hAnsi="Calibri" w:cs="Calibri"/>
                <w:sz w:val="20"/>
                <w:szCs w:val="20"/>
              </w:rPr>
              <w:t>00</w:t>
            </w:r>
          </w:p>
        </w:tc>
        <w:tc>
          <w:tcPr>
            <w:tcW w:w="1218" w:type="dxa"/>
          </w:tcPr>
          <w:p w14:paraId="55172B51" w14:textId="3A7A7D91" w:rsidR="00C909EF" w:rsidRPr="008D79C5" w:rsidRDefault="00A643E5" w:rsidP="004A523A">
            <w:pPr>
              <w:jc w:val="right"/>
              <w:rPr>
                <w:rFonts w:ascii="Calibri" w:hAnsi="Calibri" w:cs="Calibri"/>
                <w:sz w:val="20"/>
                <w:szCs w:val="20"/>
              </w:rPr>
            </w:pPr>
            <w:r w:rsidRPr="008D79C5">
              <w:rPr>
                <w:rFonts w:ascii="Calibri" w:hAnsi="Calibri" w:cs="Calibri"/>
                <w:sz w:val="20"/>
                <w:szCs w:val="20"/>
              </w:rPr>
              <w:t>3</w:t>
            </w:r>
            <w:r w:rsidR="00C909EF" w:rsidRPr="008D79C5">
              <w:rPr>
                <w:rFonts w:ascii="Calibri" w:hAnsi="Calibri" w:cs="Calibri"/>
                <w:sz w:val="20"/>
                <w:szCs w:val="20"/>
              </w:rPr>
              <w:t>00-</w:t>
            </w:r>
            <w:r w:rsidRPr="008D79C5">
              <w:rPr>
                <w:rFonts w:ascii="Calibri" w:hAnsi="Calibri" w:cs="Calibri"/>
                <w:sz w:val="20"/>
                <w:szCs w:val="20"/>
              </w:rPr>
              <w:t>4</w:t>
            </w:r>
            <w:r w:rsidR="00C909EF" w:rsidRPr="008D79C5">
              <w:rPr>
                <w:rFonts w:ascii="Calibri" w:hAnsi="Calibri" w:cs="Calibri"/>
                <w:sz w:val="20"/>
                <w:szCs w:val="20"/>
              </w:rPr>
              <w:t>00</w:t>
            </w:r>
          </w:p>
        </w:tc>
      </w:tr>
      <w:tr w:rsidR="00C909EF" w:rsidRPr="008D79C5" w14:paraId="0BEFD96A" w14:textId="77777777" w:rsidTr="004A523A">
        <w:tc>
          <w:tcPr>
            <w:tcW w:w="3539" w:type="dxa"/>
          </w:tcPr>
          <w:p w14:paraId="2666BCDD" w14:textId="33FA4859" w:rsidR="00C909EF" w:rsidRPr="008D79C5" w:rsidRDefault="00C909EF" w:rsidP="004A523A">
            <w:pPr>
              <w:rPr>
                <w:rFonts w:ascii="Calibri" w:hAnsi="Calibri" w:cs="Calibri"/>
                <w:sz w:val="20"/>
                <w:szCs w:val="20"/>
              </w:rPr>
            </w:pPr>
            <w:r w:rsidRPr="008D79C5">
              <w:rPr>
                <w:rFonts w:ascii="Calibri" w:hAnsi="Calibri" w:cs="Calibri"/>
                <w:sz w:val="20"/>
                <w:szCs w:val="20"/>
              </w:rPr>
              <w:t>Admin cost per importer (Yr 1)</w:t>
            </w:r>
          </w:p>
        </w:tc>
        <w:tc>
          <w:tcPr>
            <w:tcW w:w="1217" w:type="dxa"/>
          </w:tcPr>
          <w:p w14:paraId="4E681EA9"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$5,000</w:t>
            </w:r>
          </w:p>
        </w:tc>
        <w:tc>
          <w:tcPr>
            <w:tcW w:w="1218" w:type="dxa"/>
          </w:tcPr>
          <w:p w14:paraId="0B6D11F7" w14:textId="6160A847" w:rsidR="00C909EF" w:rsidRPr="008D79C5" w:rsidRDefault="00C909EF" w:rsidP="004A523A">
            <w:pPr>
              <w:jc w:val="right"/>
              <w:rPr>
                <w:rFonts w:ascii="Calibri" w:hAnsi="Calibri" w:cs="Calibri"/>
                <w:sz w:val="20"/>
                <w:szCs w:val="20"/>
              </w:rPr>
            </w:pPr>
            <w:r w:rsidRPr="008D79C5">
              <w:rPr>
                <w:rFonts w:ascii="Calibri" w:hAnsi="Calibri" w:cs="Calibri"/>
                <w:sz w:val="20"/>
                <w:szCs w:val="20"/>
              </w:rPr>
              <w:t>$7,000</w:t>
            </w:r>
          </w:p>
        </w:tc>
        <w:tc>
          <w:tcPr>
            <w:tcW w:w="1218" w:type="dxa"/>
          </w:tcPr>
          <w:p w14:paraId="7256D8AA" w14:textId="4E23E3BB" w:rsidR="00C909EF" w:rsidRPr="008D79C5" w:rsidRDefault="00C909EF" w:rsidP="004A523A">
            <w:pPr>
              <w:jc w:val="right"/>
              <w:rPr>
                <w:rFonts w:ascii="Calibri" w:hAnsi="Calibri" w:cs="Calibri"/>
                <w:sz w:val="20"/>
                <w:szCs w:val="20"/>
              </w:rPr>
            </w:pPr>
            <w:r w:rsidRPr="008D79C5">
              <w:rPr>
                <w:rFonts w:ascii="Calibri" w:hAnsi="Calibri" w:cs="Calibri"/>
                <w:sz w:val="20"/>
                <w:szCs w:val="20"/>
              </w:rPr>
              <w:t>$7,000</w:t>
            </w:r>
          </w:p>
        </w:tc>
        <w:tc>
          <w:tcPr>
            <w:tcW w:w="1218" w:type="dxa"/>
          </w:tcPr>
          <w:p w14:paraId="08C2EAD8" w14:textId="3B73BA36" w:rsidR="00C909EF" w:rsidRPr="008D79C5" w:rsidRDefault="00C909EF" w:rsidP="004A523A">
            <w:pPr>
              <w:jc w:val="right"/>
              <w:rPr>
                <w:rFonts w:ascii="Calibri" w:hAnsi="Calibri" w:cs="Calibri"/>
                <w:sz w:val="20"/>
                <w:szCs w:val="20"/>
              </w:rPr>
            </w:pPr>
            <w:r w:rsidRPr="008D79C5">
              <w:rPr>
                <w:rFonts w:ascii="Calibri" w:hAnsi="Calibri" w:cs="Calibri"/>
                <w:sz w:val="20"/>
                <w:szCs w:val="20"/>
              </w:rPr>
              <w:t>$7,000</w:t>
            </w:r>
          </w:p>
        </w:tc>
        <w:tc>
          <w:tcPr>
            <w:tcW w:w="1218" w:type="dxa"/>
          </w:tcPr>
          <w:p w14:paraId="38B82853" w14:textId="6FF170AF" w:rsidR="00C909EF" w:rsidRPr="008D79C5" w:rsidRDefault="00C909EF" w:rsidP="004A523A">
            <w:pPr>
              <w:jc w:val="right"/>
              <w:rPr>
                <w:rFonts w:ascii="Calibri" w:hAnsi="Calibri" w:cs="Calibri"/>
                <w:sz w:val="20"/>
                <w:szCs w:val="20"/>
              </w:rPr>
            </w:pPr>
            <w:r w:rsidRPr="008D79C5">
              <w:rPr>
                <w:rFonts w:ascii="Calibri" w:hAnsi="Calibri" w:cs="Calibri"/>
                <w:sz w:val="20"/>
                <w:szCs w:val="20"/>
              </w:rPr>
              <w:t>$7,000</w:t>
            </w:r>
          </w:p>
        </w:tc>
      </w:tr>
      <w:tr w:rsidR="00C909EF" w:rsidRPr="008D79C5" w14:paraId="0A7C8881" w14:textId="77777777" w:rsidTr="004A523A">
        <w:tc>
          <w:tcPr>
            <w:tcW w:w="3539" w:type="dxa"/>
          </w:tcPr>
          <w:p w14:paraId="0B746225" w14:textId="77777777" w:rsidR="00C909EF" w:rsidRPr="008D79C5" w:rsidRDefault="00C909EF" w:rsidP="004A523A">
            <w:pPr>
              <w:rPr>
                <w:rFonts w:ascii="Calibri" w:hAnsi="Calibri" w:cs="Calibri"/>
                <w:sz w:val="20"/>
                <w:szCs w:val="20"/>
              </w:rPr>
            </w:pPr>
            <w:r w:rsidRPr="008D79C5">
              <w:rPr>
                <w:rFonts w:ascii="Calibri" w:hAnsi="Calibri" w:cs="Calibri"/>
                <w:sz w:val="20"/>
                <w:szCs w:val="20"/>
              </w:rPr>
              <w:t>Admin costs per importer (Yr 2 etc)</w:t>
            </w:r>
          </w:p>
        </w:tc>
        <w:tc>
          <w:tcPr>
            <w:tcW w:w="1217" w:type="dxa"/>
          </w:tcPr>
          <w:p w14:paraId="0AE5E67C"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$2,500</w:t>
            </w:r>
          </w:p>
        </w:tc>
        <w:tc>
          <w:tcPr>
            <w:tcW w:w="1218" w:type="dxa"/>
          </w:tcPr>
          <w:p w14:paraId="30C7C9A3"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$5,000</w:t>
            </w:r>
          </w:p>
        </w:tc>
        <w:tc>
          <w:tcPr>
            <w:tcW w:w="1218" w:type="dxa"/>
          </w:tcPr>
          <w:p w14:paraId="7B8F3A98"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$5,000</w:t>
            </w:r>
          </w:p>
        </w:tc>
        <w:tc>
          <w:tcPr>
            <w:tcW w:w="1218" w:type="dxa"/>
          </w:tcPr>
          <w:p w14:paraId="40C7C4E4"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$5,000</w:t>
            </w:r>
          </w:p>
        </w:tc>
        <w:tc>
          <w:tcPr>
            <w:tcW w:w="1218" w:type="dxa"/>
          </w:tcPr>
          <w:p w14:paraId="4AD9396B"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$5,000</w:t>
            </w:r>
          </w:p>
        </w:tc>
      </w:tr>
      <w:tr w:rsidR="00C909EF" w:rsidRPr="008D79C5" w14:paraId="248E89E5" w14:textId="77777777" w:rsidTr="004A523A">
        <w:tc>
          <w:tcPr>
            <w:tcW w:w="3539" w:type="dxa"/>
          </w:tcPr>
          <w:p w14:paraId="668D6D0A" w14:textId="77777777" w:rsidR="00C909EF" w:rsidRPr="008D79C5" w:rsidRDefault="00C909EF" w:rsidP="004A523A">
            <w:pPr>
              <w:rPr>
                <w:rFonts w:ascii="Calibri" w:hAnsi="Calibri" w:cs="Calibri"/>
                <w:sz w:val="20"/>
                <w:szCs w:val="20"/>
              </w:rPr>
            </w:pPr>
            <w:r w:rsidRPr="008D79C5">
              <w:rPr>
                <w:rFonts w:ascii="Calibri" w:hAnsi="Calibri" w:cs="Calibri"/>
                <w:sz w:val="20"/>
                <w:szCs w:val="20"/>
              </w:rPr>
              <w:t>Registration costs/yr per importer</w:t>
            </w:r>
          </w:p>
        </w:tc>
        <w:tc>
          <w:tcPr>
            <w:tcW w:w="1217" w:type="dxa"/>
          </w:tcPr>
          <w:p w14:paraId="5A9D10F7" w14:textId="205FFDB3" w:rsidR="00C909EF" w:rsidRPr="008D79C5" w:rsidRDefault="00C909EF" w:rsidP="004A523A">
            <w:pPr>
              <w:jc w:val="right"/>
              <w:rPr>
                <w:rFonts w:ascii="Calibri" w:hAnsi="Calibri" w:cs="Calibri"/>
                <w:sz w:val="20"/>
                <w:szCs w:val="20"/>
              </w:rPr>
            </w:pPr>
            <w:r w:rsidRPr="008D79C5">
              <w:rPr>
                <w:rFonts w:ascii="Calibri" w:hAnsi="Calibri" w:cs="Calibri"/>
                <w:sz w:val="20"/>
                <w:szCs w:val="20"/>
              </w:rPr>
              <w:t>0</w:t>
            </w:r>
          </w:p>
        </w:tc>
        <w:tc>
          <w:tcPr>
            <w:tcW w:w="1218" w:type="dxa"/>
          </w:tcPr>
          <w:p w14:paraId="56A0C8FE" w14:textId="19DF35BD" w:rsidR="00C909EF" w:rsidRPr="008D79C5" w:rsidRDefault="00C909EF" w:rsidP="004A523A">
            <w:pPr>
              <w:jc w:val="right"/>
              <w:rPr>
                <w:rFonts w:ascii="Calibri" w:hAnsi="Calibri" w:cs="Calibri"/>
                <w:sz w:val="20"/>
                <w:szCs w:val="20"/>
              </w:rPr>
            </w:pPr>
            <w:r w:rsidRPr="008D79C5">
              <w:rPr>
                <w:rFonts w:ascii="Calibri" w:hAnsi="Calibri" w:cs="Calibri"/>
                <w:sz w:val="20"/>
                <w:szCs w:val="20"/>
              </w:rPr>
              <w:t>0</w:t>
            </w:r>
          </w:p>
        </w:tc>
        <w:tc>
          <w:tcPr>
            <w:tcW w:w="1218" w:type="dxa"/>
          </w:tcPr>
          <w:p w14:paraId="714B9C60" w14:textId="386C56CA" w:rsidR="00C909EF" w:rsidRPr="008D79C5" w:rsidRDefault="00C909EF" w:rsidP="004A523A">
            <w:pPr>
              <w:jc w:val="right"/>
              <w:rPr>
                <w:rFonts w:ascii="Calibri" w:hAnsi="Calibri" w:cs="Calibri"/>
                <w:sz w:val="20"/>
                <w:szCs w:val="20"/>
              </w:rPr>
            </w:pPr>
            <w:r w:rsidRPr="008D79C5">
              <w:rPr>
                <w:rFonts w:ascii="Calibri" w:hAnsi="Calibri" w:cs="Calibri"/>
                <w:sz w:val="20"/>
                <w:szCs w:val="20"/>
              </w:rPr>
              <w:t>0</w:t>
            </w:r>
          </w:p>
        </w:tc>
        <w:tc>
          <w:tcPr>
            <w:tcW w:w="1218" w:type="dxa"/>
          </w:tcPr>
          <w:p w14:paraId="7CBB027C" w14:textId="5088A0AA" w:rsidR="00C909EF" w:rsidRPr="008D79C5" w:rsidRDefault="00C909EF" w:rsidP="004A523A">
            <w:pPr>
              <w:jc w:val="right"/>
              <w:rPr>
                <w:rFonts w:ascii="Calibri" w:hAnsi="Calibri" w:cs="Calibri"/>
                <w:sz w:val="20"/>
                <w:szCs w:val="20"/>
              </w:rPr>
            </w:pPr>
            <w:r w:rsidRPr="008D79C5">
              <w:rPr>
                <w:rFonts w:ascii="Calibri" w:hAnsi="Calibri" w:cs="Calibri"/>
                <w:sz w:val="20"/>
                <w:szCs w:val="20"/>
              </w:rPr>
              <w:t>0</w:t>
            </w:r>
          </w:p>
        </w:tc>
        <w:tc>
          <w:tcPr>
            <w:tcW w:w="1218" w:type="dxa"/>
          </w:tcPr>
          <w:p w14:paraId="2D5B59BE" w14:textId="258A7AEF" w:rsidR="00C909EF" w:rsidRPr="008D79C5" w:rsidRDefault="00C909EF" w:rsidP="004A523A">
            <w:pPr>
              <w:jc w:val="right"/>
              <w:rPr>
                <w:rFonts w:ascii="Calibri" w:hAnsi="Calibri" w:cs="Calibri"/>
                <w:sz w:val="20"/>
                <w:szCs w:val="20"/>
              </w:rPr>
            </w:pPr>
            <w:r w:rsidRPr="008D79C5">
              <w:rPr>
                <w:rFonts w:ascii="Calibri" w:hAnsi="Calibri" w:cs="Calibri"/>
                <w:sz w:val="20"/>
                <w:szCs w:val="20"/>
              </w:rPr>
              <w:t>0</w:t>
            </w:r>
          </w:p>
        </w:tc>
      </w:tr>
      <w:tr w:rsidR="00C909EF" w:rsidRPr="008D79C5" w14:paraId="6A72F44B" w14:textId="77777777" w:rsidTr="004A523A">
        <w:tc>
          <w:tcPr>
            <w:tcW w:w="3539" w:type="dxa"/>
          </w:tcPr>
          <w:p w14:paraId="0B4CCEB1" w14:textId="23B64897" w:rsidR="00C909EF" w:rsidRPr="008D79C5" w:rsidRDefault="00C909EF" w:rsidP="004A523A">
            <w:pPr>
              <w:rPr>
                <w:rFonts w:ascii="Calibri" w:hAnsi="Calibri" w:cs="Calibri"/>
                <w:sz w:val="20"/>
                <w:szCs w:val="20"/>
              </w:rPr>
            </w:pPr>
            <w:r w:rsidRPr="008D79C5">
              <w:rPr>
                <w:rFonts w:ascii="Calibri" w:hAnsi="Calibri" w:cs="Calibri"/>
                <w:sz w:val="20"/>
                <w:szCs w:val="20"/>
              </w:rPr>
              <w:t>Admin cost per distributor (Yr 1)</w:t>
            </w:r>
          </w:p>
        </w:tc>
        <w:tc>
          <w:tcPr>
            <w:tcW w:w="1217" w:type="dxa"/>
          </w:tcPr>
          <w:p w14:paraId="1CA20E21"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0</w:t>
            </w:r>
          </w:p>
        </w:tc>
        <w:tc>
          <w:tcPr>
            <w:tcW w:w="1218" w:type="dxa"/>
          </w:tcPr>
          <w:p w14:paraId="1004D9D0" w14:textId="50169159" w:rsidR="00C909EF" w:rsidRPr="008D79C5" w:rsidRDefault="00C909EF" w:rsidP="004A523A">
            <w:pPr>
              <w:jc w:val="right"/>
              <w:rPr>
                <w:rFonts w:ascii="Calibri" w:hAnsi="Calibri" w:cs="Calibri"/>
                <w:sz w:val="20"/>
                <w:szCs w:val="20"/>
              </w:rPr>
            </w:pPr>
            <w:r w:rsidRPr="008D79C5">
              <w:rPr>
                <w:rFonts w:ascii="Calibri" w:hAnsi="Calibri" w:cs="Calibri"/>
                <w:sz w:val="20"/>
                <w:szCs w:val="20"/>
              </w:rPr>
              <w:t xml:space="preserve"> $2,500</w:t>
            </w:r>
          </w:p>
        </w:tc>
        <w:tc>
          <w:tcPr>
            <w:tcW w:w="1218" w:type="dxa"/>
          </w:tcPr>
          <w:p w14:paraId="2524C187" w14:textId="792C6076" w:rsidR="00C909EF" w:rsidRPr="008D79C5" w:rsidRDefault="00C909EF" w:rsidP="004A523A">
            <w:pPr>
              <w:jc w:val="right"/>
              <w:rPr>
                <w:rFonts w:ascii="Calibri" w:hAnsi="Calibri" w:cs="Calibri"/>
                <w:sz w:val="20"/>
                <w:szCs w:val="20"/>
              </w:rPr>
            </w:pPr>
            <w:r w:rsidRPr="008D79C5">
              <w:rPr>
                <w:rFonts w:ascii="Calibri" w:hAnsi="Calibri" w:cs="Calibri"/>
                <w:sz w:val="20"/>
                <w:szCs w:val="20"/>
              </w:rPr>
              <w:t xml:space="preserve"> $2,500</w:t>
            </w:r>
          </w:p>
        </w:tc>
        <w:tc>
          <w:tcPr>
            <w:tcW w:w="1218" w:type="dxa"/>
          </w:tcPr>
          <w:p w14:paraId="0E211E08" w14:textId="7BD9EECD" w:rsidR="00C909EF" w:rsidRPr="008D79C5" w:rsidRDefault="00C909EF" w:rsidP="004A523A">
            <w:pPr>
              <w:jc w:val="right"/>
              <w:rPr>
                <w:rFonts w:ascii="Calibri" w:hAnsi="Calibri" w:cs="Calibri"/>
                <w:sz w:val="20"/>
                <w:szCs w:val="20"/>
              </w:rPr>
            </w:pPr>
            <w:r w:rsidRPr="008D79C5">
              <w:rPr>
                <w:rFonts w:ascii="Calibri" w:hAnsi="Calibri" w:cs="Calibri"/>
                <w:sz w:val="20"/>
                <w:szCs w:val="20"/>
              </w:rPr>
              <w:t xml:space="preserve"> $4,000</w:t>
            </w:r>
          </w:p>
        </w:tc>
        <w:tc>
          <w:tcPr>
            <w:tcW w:w="1218" w:type="dxa"/>
          </w:tcPr>
          <w:p w14:paraId="2789BF0C" w14:textId="29813352" w:rsidR="00C909EF" w:rsidRPr="008D79C5" w:rsidRDefault="00C909EF" w:rsidP="004A523A">
            <w:pPr>
              <w:jc w:val="right"/>
              <w:rPr>
                <w:rFonts w:ascii="Calibri" w:hAnsi="Calibri" w:cs="Calibri"/>
                <w:sz w:val="20"/>
                <w:szCs w:val="20"/>
              </w:rPr>
            </w:pPr>
            <w:r w:rsidRPr="008D79C5">
              <w:rPr>
                <w:rFonts w:ascii="Calibri" w:hAnsi="Calibri" w:cs="Calibri"/>
                <w:sz w:val="20"/>
                <w:szCs w:val="20"/>
              </w:rPr>
              <w:t xml:space="preserve"> $4,000</w:t>
            </w:r>
          </w:p>
        </w:tc>
      </w:tr>
      <w:tr w:rsidR="00C909EF" w:rsidRPr="008D79C5" w14:paraId="0BA1360C" w14:textId="77777777" w:rsidTr="004A523A">
        <w:tc>
          <w:tcPr>
            <w:tcW w:w="3539" w:type="dxa"/>
          </w:tcPr>
          <w:p w14:paraId="5712BF48" w14:textId="77777777" w:rsidR="00C909EF" w:rsidRPr="008D79C5" w:rsidRDefault="00C909EF" w:rsidP="004A523A">
            <w:pPr>
              <w:rPr>
                <w:rFonts w:ascii="Calibri" w:hAnsi="Calibri" w:cs="Calibri"/>
                <w:sz w:val="20"/>
                <w:szCs w:val="20"/>
              </w:rPr>
            </w:pPr>
            <w:r w:rsidRPr="008D79C5">
              <w:rPr>
                <w:rFonts w:ascii="Calibri" w:hAnsi="Calibri" w:cs="Calibri"/>
                <w:sz w:val="20"/>
                <w:szCs w:val="20"/>
              </w:rPr>
              <w:t>Admin costs per distributor (Yr 2 etc)</w:t>
            </w:r>
          </w:p>
        </w:tc>
        <w:tc>
          <w:tcPr>
            <w:tcW w:w="1217" w:type="dxa"/>
          </w:tcPr>
          <w:p w14:paraId="0541056D"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0</w:t>
            </w:r>
          </w:p>
        </w:tc>
        <w:tc>
          <w:tcPr>
            <w:tcW w:w="1218" w:type="dxa"/>
          </w:tcPr>
          <w:p w14:paraId="2A79D907"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$2,500</w:t>
            </w:r>
          </w:p>
        </w:tc>
        <w:tc>
          <w:tcPr>
            <w:tcW w:w="1218" w:type="dxa"/>
          </w:tcPr>
          <w:p w14:paraId="1F879E63"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$2,500</w:t>
            </w:r>
          </w:p>
        </w:tc>
        <w:tc>
          <w:tcPr>
            <w:tcW w:w="1218" w:type="dxa"/>
          </w:tcPr>
          <w:p w14:paraId="30D40253"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$2,500</w:t>
            </w:r>
          </w:p>
        </w:tc>
        <w:tc>
          <w:tcPr>
            <w:tcW w:w="1218" w:type="dxa"/>
          </w:tcPr>
          <w:p w14:paraId="5069F322"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$2,500</w:t>
            </w:r>
          </w:p>
        </w:tc>
      </w:tr>
      <w:tr w:rsidR="00C909EF" w:rsidRPr="008D79C5" w14:paraId="2FBD9EBB" w14:textId="77777777" w:rsidTr="004A523A">
        <w:tc>
          <w:tcPr>
            <w:tcW w:w="3539" w:type="dxa"/>
          </w:tcPr>
          <w:p w14:paraId="42A323E8" w14:textId="35AFE80F" w:rsidR="00C909EF" w:rsidRPr="008D79C5" w:rsidRDefault="00C909EF" w:rsidP="004A523A">
            <w:pPr>
              <w:rPr>
                <w:rFonts w:ascii="Calibri" w:hAnsi="Calibri" w:cs="Calibri"/>
                <w:sz w:val="20"/>
                <w:szCs w:val="20"/>
              </w:rPr>
            </w:pPr>
            <w:r w:rsidRPr="008D79C5">
              <w:rPr>
                <w:rFonts w:ascii="Calibri" w:hAnsi="Calibri" w:cs="Calibri"/>
                <w:sz w:val="20"/>
                <w:szCs w:val="20"/>
              </w:rPr>
              <w:t>Regulator Admin costs per year</w:t>
            </w:r>
          </w:p>
        </w:tc>
        <w:tc>
          <w:tcPr>
            <w:tcW w:w="1217" w:type="dxa"/>
          </w:tcPr>
          <w:p w14:paraId="07A541F1" w14:textId="548B2DC9" w:rsidR="00C909EF" w:rsidRPr="008D79C5" w:rsidRDefault="00C909EF" w:rsidP="004A523A">
            <w:pPr>
              <w:jc w:val="right"/>
              <w:rPr>
                <w:rFonts w:ascii="Calibri" w:hAnsi="Calibri" w:cs="Calibri"/>
                <w:sz w:val="20"/>
                <w:szCs w:val="20"/>
              </w:rPr>
            </w:pPr>
            <w:r w:rsidRPr="008D79C5">
              <w:rPr>
                <w:rFonts w:ascii="Calibri" w:hAnsi="Calibri" w:cs="Calibri"/>
                <w:sz w:val="20"/>
                <w:szCs w:val="20"/>
              </w:rPr>
              <w:t>$30,000</w:t>
            </w:r>
          </w:p>
        </w:tc>
        <w:tc>
          <w:tcPr>
            <w:tcW w:w="1218" w:type="dxa"/>
          </w:tcPr>
          <w:p w14:paraId="69DF790A" w14:textId="0CD2EEA2" w:rsidR="00C909EF" w:rsidRPr="008D79C5" w:rsidRDefault="00C909EF" w:rsidP="004A523A">
            <w:pPr>
              <w:jc w:val="right"/>
              <w:rPr>
                <w:rFonts w:ascii="Calibri" w:hAnsi="Calibri" w:cs="Calibri"/>
                <w:sz w:val="20"/>
                <w:szCs w:val="20"/>
              </w:rPr>
            </w:pPr>
            <w:r w:rsidRPr="008D79C5">
              <w:rPr>
                <w:rFonts w:ascii="Calibri" w:hAnsi="Calibri" w:cs="Calibri"/>
                <w:sz w:val="20"/>
                <w:szCs w:val="20"/>
              </w:rPr>
              <w:t>$50,000</w:t>
            </w:r>
          </w:p>
        </w:tc>
        <w:tc>
          <w:tcPr>
            <w:tcW w:w="1218" w:type="dxa"/>
          </w:tcPr>
          <w:p w14:paraId="3D336134" w14:textId="367D7898" w:rsidR="00C909EF" w:rsidRPr="008D79C5" w:rsidRDefault="00C909EF" w:rsidP="004A523A">
            <w:pPr>
              <w:jc w:val="right"/>
              <w:rPr>
                <w:rFonts w:ascii="Calibri" w:hAnsi="Calibri" w:cs="Calibri"/>
                <w:sz w:val="20"/>
                <w:szCs w:val="20"/>
              </w:rPr>
            </w:pPr>
            <w:r w:rsidRPr="008D79C5">
              <w:rPr>
                <w:rFonts w:ascii="Calibri" w:hAnsi="Calibri" w:cs="Calibri"/>
                <w:sz w:val="20"/>
                <w:szCs w:val="20"/>
              </w:rPr>
              <w:t>$50,000</w:t>
            </w:r>
          </w:p>
        </w:tc>
        <w:tc>
          <w:tcPr>
            <w:tcW w:w="1218" w:type="dxa"/>
          </w:tcPr>
          <w:p w14:paraId="7724E94B" w14:textId="5C9AA36F" w:rsidR="00C909EF" w:rsidRPr="008D79C5" w:rsidRDefault="00C909EF" w:rsidP="004A523A">
            <w:pPr>
              <w:jc w:val="right"/>
              <w:rPr>
                <w:rFonts w:ascii="Calibri" w:hAnsi="Calibri" w:cs="Calibri"/>
                <w:sz w:val="20"/>
                <w:szCs w:val="20"/>
              </w:rPr>
            </w:pPr>
            <w:r w:rsidRPr="008D79C5">
              <w:rPr>
                <w:rFonts w:ascii="Calibri" w:hAnsi="Calibri" w:cs="Calibri"/>
                <w:sz w:val="20"/>
                <w:szCs w:val="20"/>
              </w:rPr>
              <w:t>$50,000</w:t>
            </w:r>
          </w:p>
        </w:tc>
        <w:tc>
          <w:tcPr>
            <w:tcW w:w="1218" w:type="dxa"/>
          </w:tcPr>
          <w:p w14:paraId="5E16E78B" w14:textId="337CC094" w:rsidR="00C909EF" w:rsidRPr="008D79C5" w:rsidRDefault="00C909EF" w:rsidP="004A523A">
            <w:pPr>
              <w:jc w:val="right"/>
              <w:rPr>
                <w:rFonts w:ascii="Calibri" w:hAnsi="Calibri" w:cs="Calibri"/>
                <w:sz w:val="20"/>
                <w:szCs w:val="20"/>
              </w:rPr>
            </w:pPr>
            <w:r w:rsidRPr="008D79C5">
              <w:rPr>
                <w:rFonts w:ascii="Calibri" w:hAnsi="Calibri" w:cs="Calibri"/>
                <w:sz w:val="20"/>
                <w:szCs w:val="20"/>
              </w:rPr>
              <w:t>$50,000</w:t>
            </w:r>
          </w:p>
        </w:tc>
      </w:tr>
      <w:tr w:rsidR="00C909EF" w:rsidRPr="008D79C5" w14:paraId="5437EDEC" w14:textId="77777777" w:rsidTr="004A523A">
        <w:tc>
          <w:tcPr>
            <w:tcW w:w="3539" w:type="dxa"/>
          </w:tcPr>
          <w:p w14:paraId="187F409B" w14:textId="230B880F" w:rsidR="00C909EF" w:rsidRPr="008D79C5" w:rsidRDefault="00C909EF" w:rsidP="004A523A">
            <w:pPr>
              <w:rPr>
                <w:rFonts w:ascii="Calibri" w:hAnsi="Calibri" w:cs="Calibri"/>
                <w:sz w:val="20"/>
                <w:szCs w:val="20"/>
              </w:rPr>
            </w:pPr>
            <w:r w:rsidRPr="008D79C5">
              <w:rPr>
                <w:rFonts w:ascii="Calibri" w:hAnsi="Calibri" w:cs="Calibri"/>
                <w:sz w:val="20"/>
                <w:szCs w:val="20"/>
              </w:rPr>
              <w:t>Check tests (Yr 1)</w:t>
            </w:r>
          </w:p>
        </w:tc>
        <w:tc>
          <w:tcPr>
            <w:tcW w:w="1217" w:type="dxa"/>
          </w:tcPr>
          <w:p w14:paraId="64DE3786" w14:textId="77C8480E" w:rsidR="00C909EF" w:rsidRPr="008D79C5" w:rsidRDefault="00C909EF" w:rsidP="004A523A">
            <w:pPr>
              <w:jc w:val="right"/>
              <w:rPr>
                <w:rFonts w:ascii="Calibri" w:hAnsi="Calibri" w:cs="Calibri"/>
                <w:sz w:val="20"/>
                <w:szCs w:val="20"/>
              </w:rPr>
            </w:pPr>
            <w:r w:rsidRPr="008D79C5">
              <w:rPr>
                <w:rFonts w:ascii="Calibri" w:hAnsi="Calibri" w:cs="Calibri"/>
                <w:sz w:val="20"/>
                <w:szCs w:val="20"/>
              </w:rPr>
              <w:t>0</w:t>
            </w:r>
          </w:p>
        </w:tc>
        <w:tc>
          <w:tcPr>
            <w:tcW w:w="1218" w:type="dxa"/>
          </w:tcPr>
          <w:p w14:paraId="3C04F8E1" w14:textId="6C954547" w:rsidR="00C909EF" w:rsidRPr="008D79C5" w:rsidRDefault="00C909EF" w:rsidP="004A523A">
            <w:pPr>
              <w:jc w:val="right"/>
              <w:rPr>
                <w:rFonts w:ascii="Calibri" w:hAnsi="Calibri" w:cs="Calibri"/>
                <w:sz w:val="20"/>
                <w:szCs w:val="20"/>
              </w:rPr>
            </w:pPr>
            <w:r w:rsidRPr="008D79C5">
              <w:rPr>
                <w:rFonts w:ascii="Calibri" w:hAnsi="Calibri" w:cs="Calibri"/>
                <w:sz w:val="20"/>
                <w:szCs w:val="20"/>
              </w:rPr>
              <w:t>1</w:t>
            </w:r>
          </w:p>
        </w:tc>
        <w:tc>
          <w:tcPr>
            <w:tcW w:w="1218" w:type="dxa"/>
          </w:tcPr>
          <w:p w14:paraId="25CCAA7A" w14:textId="2EF6F4AE" w:rsidR="00C909EF" w:rsidRPr="008D79C5" w:rsidRDefault="00C909EF" w:rsidP="004A523A">
            <w:pPr>
              <w:jc w:val="right"/>
              <w:rPr>
                <w:rFonts w:ascii="Calibri" w:hAnsi="Calibri" w:cs="Calibri"/>
                <w:sz w:val="20"/>
                <w:szCs w:val="20"/>
              </w:rPr>
            </w:pPr>
            <w:r w:rsidRPr="008D79C5">
              <w:rPr>
                <w:rFonts w:ascii="Calibri" w:hAnsi="Calibri" w:cs="Calibri"/>
                <w:sz w:val="20"/>
                <w:szCs w:val="20"/>
              </w:rPr>
              <w:t>1</w:t>
            </w:r>
          </w:p>
        </w:tc>
        <w:tc>
          <w:tcPr>
            <w:tcW w:w="1218" w:type="dxa"/>
          </w:tcPr>
          <w:p w14:paraId="37B4E2E3" w14:textId="5CB70F4A" w:rsidR="00C909EF" w:rsidRPr="008D79C5" w:rsidRDefault="00C909EF" w:rsidP="004A523A">
            <w:pPr>
              <w:jc w:val="right"/>
              <w:rPr>
                <w:rFonts w:ascii="Calibri" w:hAnsi="Calibri" w:cs="Calibri"/>
                <w:sz w:val="20"/>
                <w:szCs w:val="20"/>
              </w:rPr>
            </w:pPr>
            <w:r w:rsidRPr="008D79C5">
              <w:rPr>
                <w:rFonts w:ascii="Calibri" w:hAnsi="Calibri" w:cs="Calibri"/>
                <w:sz w:val="20"/>
                <w:szCs w:val="20"/>
              </w:rPr>
              <w:t>2</w:t>
            </w:r>
          </w:p>
        </w:tc>
        <w:tc>
          <w:tcPr>
            <w:tcW w:w="1218" w:type="dxa"/>
          </w:tcPr>
          <w:p w14:paraId="3170ECC4" w14:textId="75D26704" w:rsidR="00C909EF" w:rsidRPr="008D79C5" w:rsidRDefault="00C909EF" w:rsidP="004A523A">
            <w:pPr>
              <w:jc w:val="right"/>
              <w:rPr>
                <w:rFonts w:ascii="Calibri" w:hAnsi="Calibri" w:cs="Calibri"/>
                <w:sz w:val="20"/>
                <w:szCs w:val="20"/>
              </w:rPr>
            </w:pPr>
            <w:r w:rsidRPr="008D79C5">
              <w:rPr>
                <w:rFonts w:ascii="Calibri" w:hAnsi="Calibri" w:cs="Calibri"/>
                <w:sz w:val="20"/>
                <w:szCs w:val="20"/>
              </w:rPr>
              <w:t>2</w:t>
            </w:r>
          </w:p>
        </w:tc>
      </w:tr>
      <w:tr w:rsidR="00C909EF" w:rsidRPr="008D79C5" w14:paraId="5BB6D987" w14:textId="77777777" w:rsidTr="004A523A">
        <w:tc>
          <w:tcPr>
            <w:tcW w:w="3539" w:type="dxa"/>
          </w:tcPr>
          <w:p w14:paraId="00AF64F5" w14:textId="77777777" w:rsidR="00C909EF" w:rsidRPr="008D79C5" w:rsidRDefault="00C909EF" w:rsidP="004A523A">
            <w:pPr>
              <w:rPr>
                <w:rFonts w:ascii="Calibri" w:hAnsi="Calibri" w:cs="Calibri"/>
                <w:sz w:val="20"/>
                <w:szCs w:val="20"/>
              </w:rPr>
            </w:pPr>
            <w:r w:rsidRPr="008D79C5">
              <w:rPr>
                <w:rFonts w:ascii="Calibri" w:hAnsi="Calibri" w:cs="Calibri"/>
                <w:sz w:val="20"/>
                <w:szCs w:val="20"/>
              </w:rPr>
              <w:t>Check tests (Yr 2, etc)</w:t>
            </w:r>
          </w:p>
        </w:tc>
        <w:tc>
          <w:tcPr>
            <w:tcW w:w="1217" w:type="dxa"/>
          </w:tcPr>
          <w:p w14:paraId="63C0C5E5" w14:textId="4FB819EF" w:rsidR="00C909EF" w:rsidRPr="008D79C5" w:rsidRDefault="00C909EF" w:rsidP="004A523A">
            <w:pPr>
              <w:jc w:val="right"/>
              <w:rPr>
                <w:rFonts w:ascii="Calibri" w:hAnsi="Calibri" w:cs="Calibri"/>
                <w:sz w:val="20"/>
                <w:szCs w:val="20"/>
              </w:rPr>
            </w:pPr>
            <w:r w:rsidRPr="008D79C5">
              <w:rPr>
                <w:rFonts w:ascii="Calibri" w:hAnsi="Calibri" w:cs="Calibri"/>
                <w:sz w:val="20"/>
                <w:szCs w:val="20"/>
              </w:rPr>
              <w:t>0</w:t>
            </w:r>
          </w:p>
        </w:tc>
        <w:tc>
          <w:tcPr>
            <w:tcW w:w="1218" w:type="dxa"/>
          </w:tcPr>
          <w:p w14:paraId="7574D98D" w14:textId="61EF111C" w:rsidR="00C909EF" w:rsidRPr="008D79C5" w:rsidRDefault="00C909EF" w:rsidP="004A523A">
            <w:pPr>
              <w:jc w:val="right"/>
              <w:rPr>
                <w:rFonts w:ascii="Calibri" w:hAnsi="Calibri" w:cs="Calibri"/>
                <w:sz w:val="20"/>
                <w:szCs w:val="20"/>
              </w:rPr>
            </w:pPr>
            <w:r w:rsidRPr="008D79C5">
              <w:rPr>
                <w:rFonts w:ascii="Calibri" w:hAnsi="Calibri" w:cs="Calibri"/>
                <w:sz w:val="20"/>
                <w:szCs w:val="20"/>
              </w:rPr>
              <w:t>1</w:t>
            </w:r>
          </w:p>
        </w:tc>
        <w:tc>
          <w:tcPr>
            <w:tcW w:w="1218" w:type="dxa"/>
          </w:tcPr>
          <w:p w14:paraId="1ECAE917" w14:textId="7B7647E5" w:rsidR="00C909EF" w:rsidRPr="008D79C5" w:rsidRDefault="00C909EF" w:rsidP="004A523A">
            <w:pPr>
              <w:jc w:val="right"/>
              <w:rPr>
                <w:rFonts w:ascii="Calibri" w:hAnsi="Calibri" w:cs="Calibri"/>
                <w:sz w:val="20"/>
                <w:szCs w:val="20"/>
              </w:rPr>
            </w:pPr>
            <w:r w:rsidRPr="008D79C5">
              <w:rPr>
                <w:rFonts w:ascii="Calibri" w:hAnsi="Calibri" w:cs="Calibri"/>
                <w:sz w:val="20"/>
                <w:szCs w:val="20"/>
              </w:rPr>
              <w:t>1</w:t>
            </w:r>
          </w:p>
        </w:tc>
        <w:tc>
          <w:tcPr>
            <w:tcW w:w="1218" w:type="dxa"/>
          </w:tcPr>
          <w:p w14:paraId="695CDC5D" w14:textId="23C5A178" w:rsidR="00C909EF" w:rsidRPr="008D79C5" w:rsidRDefault="00C909EF" w:rsidP="004A523A">
            <w:pPr>
              <w:jc w:val="right"/>
              <w:rPr>
                <w:rFonts w:ascii="Calibri" w:hAnsi="Calibri" w:cs="Calibri"/>
                <w:sz w:val="20"/>
                <w:szCs w:val="20"/>
              </w:rPr>
            </w:pPr>
            <w:r w:rsidRPr="008D79C5">
              <w:rPr>
                <w:rFonts w:ascii="Calibri" w:hAnsi="Calibri" w:cs="Calibri"/>
                <w:sz w:val="20"/>
                <w:szCs w:val="20"/>
              </w:rPr>
              <w:t>1</w:t>
            </w:r>
          </w:p>
        </w:tc>
        <w:tc>
          <w:tcPr>
            <w:tcW w:w="1218" w:type="dxa"/>
          </w:tcPr>
          <w:p w14:paraId="2A7EC0CA" w14:textId="2308FFC1" w:rsidR="00C909EF" w:rsidRPr="008D79C5" w:rsidRDefault="00C909EF" w:rsidP="004A523A">
            <w:pPr>
              <w:jc w:val="right"/>
              <w:rPr>
                <w:rFonts w:ascii="Calibri" w:hAnsi="Calibri" w:cs="Calibri"/>
                <w:sz w:val="20"/>
                <w:szCs w:val="20"/>
              </w:rPr>
            </w:pPr>
            <w:r w:rsidRPr="008D79C5">
              <w:rPr>
                <w:rFonts w:ascii="Calibri" w:hAnsi="Calibri" w:cs="Calibri"/>
                <w:sz w:val="20"/>
                <w:szCs w:val="20"/>
              </w:rPr>
              <w:t>1</w:t>
            </w:r>
          </w:p>
        </w:tc>
      </w:tr>
      <w:tr w:rsidR="00C909EF" w:rsidRPr="008D79C5" w14:paraId="43B17DAB" w14:textId="77777777" w:rsidTr="004A523A">
        <w:tc>
          <w:tcPr>
            <w:tcW w:w="3539" w:type="dxa"/>
          </w:tcPr>
          <w:p w14:paraId="10C3E936" w14:textId="77777777" w:rsidR="00C909EF" w:rsidRPr="008D79C5" w:rsidRDefault="00C909EF" w:rsidP="004A523A">
            <w:pPr>
              <w:rPr>
                <w:rFonts w:ascii="Calibri" w:hAnsi="Calibri" w:cs="Calibri"/>
                <w:sz w:val="20"/>
                <w:szCs w:val="20"/>
              </w:rPr>
            </w:pPr>
            <w:r w:rsidRPr="008D79C5">
              <w:rPr>
                <w:rFonts w:ascii="Calibri" w:hAnsi="Calibri" w:cs="Calibri"/>
                <w:sz w:val="20"/>
                <w:szCs w:val="20"/>
              </w:rPr>
              <w:t>Cost per check test</w:t>
            </w:r>
          </w:p>
        </w:tc>
        <w:tc>
          <w:tcPr>
            <w:tcW w:w="1217" w:type="dxa"/>
          </w:tcPr>
          <w:p w14:paraId="46D675F0"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 xml:space="preserve">$6,250 </w:t>
            </w:r>
          </w:p>
        </w:tc>
        <w:tc>
          <w:tcPr>
            <w:tcW w:w="1218" w:type="dxa"/>
          </w:tcPr>
          <w:p w14:paraId="2C77504E"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 xml:space="preserve">$6,250 </w:t>
            </w:r>
          </w:p>
        </w:tc>
        <w:tc>
          <w:tcPr>
            <w:tcW w:w="1218" w:type="dxa"/>
          </w:tcPr>
          <w:p w14:paraId="78508B30"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 xml:space="preserve">$6,250 </w:t>
            </w:r>
          </w:p>
        </w:tc>
        <w:tc>
          <w:tcPr>
            <w:tcW w:w="1218" w:type="dxa"/>
          </w:tcPr>
          <w:p w14:paraId="44F89BE2"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 xml:space="preserve">$6,250 </w:t>
            </w:r>
          </w:p>
        </w:tc>
        <w:tc>
          <w:tcPr>
            <w:tcW w:w="1218" w:type="dxa"/>
          </w:tcPr>
          <w:p w14:paraId="1081193A"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 xml:space="preserve">$6,250 </w:t>
            </w:r>
          </w:p>
        </w:tc>
      </w:tr>
      <w:tr w:rsidR="00C909EF" w:rsidRPr="008D79C5" w14:paraId="7E5F80A8" w14:textId="77777777" w:rsidTr="004A523A">
        <w:tc>
          <w:tcPr>
            <w:tcW w:w="3539" w:type="dxa"/>
          </w:tcPr>
          <w:p w14:paraId="0B2EDA6C" w14:textId="77777777" w:rsidR="00C909EF" w:rsidRPr="008D79C5" w:rsidRDefault="00C909EF" w:rsidP="004A523A">
            <w:pPr>
              <w:rPr>
                <w:rFonts w:ascii="Calibri" w:hAnsi="Calibri" w:cs="Calibri"/>
                <w:sz w:val="20"/>
                <w:szCs w:val="20"/>
              </w:rPr>
            </w:pPr>
            <w:r w:rsidRPr="008D79C5">
              <w:rPr>
                <w:rFonts w:ascii="Calibri" w:hAnsi="Calibri" w:cs="Calibri"/>
                <w:sz w:val="20"/>
                <w:szCs w:val="20"/>
              </w:rPr>
              <w:t>Cost per label</w:t>
            </w:r>
          </w:p>
        </w:tc>
        <w:tc>
          <w:tcPr>
            <w:tcW w:w="1217" w:type="dxa"/>
          </w:tcPr>
          <w:p w14:paraId="1F7E17C9"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NA</w:t>
            </w:r>
          </w:p>
        </w:tc>
        <w:tc>
          <w:tcPr>
            <w:tcW w:w="1218" w:type="dxa"/>
          </w:tcPr>
          <w:p w14:paraId="4363367D"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$0.50</w:t>
            </w:r>
          </w:p>
        </w:tc>
        <w:tc>
          <w:tcPr>
            <w:tcW w:w="1218" w:type="dxa"/>
          </w:tcPr>
          <w:p w14:paraId="502E234A"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$0.50</w:t>
            </w:r>
          </w:p>
        </w:tc>
        <w:tc>
          <w:tcPr>
            <w:tcW w:w="1218" w:type="dxa"/>
          </w:tcPr>
          <w:p w14:paraId="150CAB79"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$0.50</w:t>
            </w:r>
          </w:p>
        </w:tc>
        <w:tc>
          <w:tcPr>
            <w:tcW w:w="1218" w:type="dxa"/>
          </w:tcPr>
          <w:p w14:paraId="221AEF6A" w14:textId="77777777" w:rsidR="00C909EF" w:rsidRPr="008D79C5" w:rsidRDefault="00C909EF" w:rsidP="004A523A">
            <w:pPr>
              <w:jc w:val="right"/>
              <w:rPr>
                <w:rFonts w:ascii="Calibri" w:hAnsi="Calibri" w:cs="Calibri"/>
                <w:sz w:val="20"/>
                <w:szCs w:val="20"/>
              </w:rPr>
            </w:pPr>
            <w:r w:rsidRPr="008D79C5">
              <w:rPr>
                <w:rFonts w:ascii="Calibri" w:hAnsi="Calibri" w:cs="Calibri"/>
                <w:sz w:val="20"/>
                <w:szCs w:val="20"/>
              </w:rPr>
              <w:t>$0.50</w:t>
            </w:r>
          </w:p>
        </w:tc>
      </w:tr>
    </w:tbl>
    <w:p w14:paraId="30D7B45A" w14:textId="2D937583" w:rsidR="00C909EF" w:rsidRDefault="00C909EF" w:rsidP="00C909EF">
      <w:pPr>
        <w:jc w:val="center"/>
        <w:rPr>
          <w:sz w:val="18"/>
          <w:szCs w:val="18"/>
        </w:rPr>
      </w:pPr>
      <w:r w:rsidRPr="00ED3A22">
        <w:rPr>
          <w:sz w:val="18"/>
          <w:szCs w:val="18"/>
        </w:rPr>
        <w:t xml:space="preserve">Note: These </w:t>
      </w:r>
      <w:r>
        <w:rPr>
          <w:sz w:val="18"/>
          <w:szCs w:val="18"/>
        </w:rPr>
        <w:t xml:space="preserve">costs </w:t>
      </w:r>
      <w:r w:rsidRPr="00ED3A22">
        <w:rPr>
          <w:sz w:val="18"/>
          <w:szCs w:val="18"/>
        </w:rPr>
        <w:t xml:space="preserve">are </w:t>
      </w:r>
      <w:r>
        <w:rPr>
          <w:sz w:val="18"/>
          <w:szCs w:val="18"/>
        </w:rPr>
        <w:t xml:space="preserve">held </w:t>
      </w:r>
      <w:r w:rsidRPr="00ED3A22">
        <w:rPr>
          <w:sz w:val="18"/>
          <w:szCs w:val="18"/>
        </w:rPr>
        <w:t>constant in real terms but may rise in nominal terms with inflation.</w:t>
      </w:r>
      <w:r>
        <w:rPr>
          <w:sz w:val="18"/>
          <w:szCs w:val="18"/>
        </w:rPr>
        <w:t xml:space="preserve"> All values </w:t>
      </w:r>
      <w:r w:rsidR="008E654F">
        <w:rPr>
          <w:sz w:val="18"/>
          <w:szCs w:val="18"/>
        </w:rPr>
        <w:t xml:space="preserve">are in </w:t>
      </w:r>
      <w:r>
        <w:rPr>
          <w:sz w:val="18"/>
          <w:szCs w:val="18"/>
        </w:rPr>
        <w:t>NZ</w:t>
      </w:r>
      <w:r w:rsidR="008E654F">
        <w:rPr>
          <w:sz w:val="18"/>
          <w:szCs w:val="18"/>
        </w:rPr>
        <w:t xml:space="preserve"> dollars.</w:t>
      </w:r>
    </w:p>
    <w:p w14:paraId="18B19D82" w14:textId="77777777" w:rsidR="000F2521" w:rsidRPr="00ED3A22" w:rsidRDefault="000F2521" w:rsidP="00C909EF">
      <w:pPr>
        <w:jc w:val="center"/>
        <w:rPr>
          <w:sz w:val="18"/>
          <w:szCs w:val="18"/>
        </w:rPr>
      </w:pPr>
    </w:p>
    <w:p w14:paraId="05BF58A3" w14:textId="6A113D08" w:rsidR="004A523A" w:rsidRPr="00397B2B" w:rsidRDefault="004A523A" w:rsidP="004A523A">
      <w:r w:rsidRPr="00397B2B">
        <w:t xml:space="preserve">There are no additional costs for product testing, because this will be required for every CIM model as part of compliance with the </w:t>
      </w:r>
      <w:r w:rsidRPr="004A523A">
        <w:rPr>
          <w:i/>
          <w:iCs/>
        </w:rPr>
        <w:t>Energy Efficiency (Energy Using Products) Regulations 2002</w:t>
      </w:r>
      <w:r>
        <w:t xml:space="preserve">. </w:t>
      </w:r>
      <w:r w:rsidRPr="00397B2B">
        <w:t xml:space="preserve">The same tests measure both energy and water use, and if the test report is in the form required by </w:t>
      </w:r>
      <w:r>
        <w:t xml:space="preserve">EECA </w:t>
      </w:r>
      <w:r w:rsidR="0018715C">
        <w:t xml:space="preserve">and the GEMS Regulator Australia </w:t>
      </w:r>
      <w:r w:rsidRPr="00397B2B">
        <w:t>it will include the water use data as a well.</w:t>
      </w:r>
    </w:p>
    <w:p w14:paraId="72C990BE" w14:textId="27CAAA90" w:rsidR="0018715C" w:rsidRDefault="0018715C" w:rsidP="004A523A">
      <w:r>
        <w:t xml:space="preserve">It is assumed that no mandatory options for CIMS would be introduced in New Zealand unless the same options were introduced in Australia. </w:t>
      </w:r>
      <w:r w:rsidR="005A2237">
        <w:t xml:space="preserve">As most </w:t>
      </w:r>
      <w:r>
        <w:t>New Zealand CIM suppliers would need to comply with the Australian requirements in any case</w:t>
      </w:r>
      <w:r w:rsidR="005A2237">
        <w:t xml:space="preserve">, the additional </w:t>
      </w:r>
      <w:r>
        <w:t>costs of meeting New Zealand requirements would be less than in Australia.</w:t>
      </w:r>
    </w:p>
    <w:p w14:paraId="3D736991" w14:textId="0A79360A" w:rsidR="00A643E5" w:rsidRDefault="0018715C" w:rsidP="004A523A">
      <w:r>
        <w:t xml:space="preserve">Administrative costs to </w:t>
      </w:r>
      <w:r w:rsidR="00A643E5">
        <w:t xml:space="preserve">the regulator are estimated to be a third of the Australian level, because the costs of registration, checking test reports etc would be </w:t>
      </w:r>
      <w:r w:rsidR="005A2237">
        <w:t xml:space="preserve">largely </w:t>
      </w:r>
      <w:r w:rsidR="00A643E5">
        <w:t xml:space="preserve">borne by the Australian </w:t>
      </w:r>
      <w:r w:rsidR="005A2237">
        <w:t>GEMS and WELS R</w:t>
      </w:r>
      <w:r w:rsidR="00A643E5">
        <w:t>egulator</w:t>
      </w:r>
      <w:r w:rsidR="005A2237">
        <w:t>s</w:t>
      </w:r>
      <w:r w:rsidR="00A643E5">
        <w:t xml:space="preserve">. </w:t>
      </w:r>
      <w:r w:rsidR="00D62E21">
        <w:t>Nevertheless,</w:t>
      </w:r>
      <w:r w:rsidR="00A643E5">
        <w:t xml:space="preserve"> there would be staff costs for engagement with industry and </w:t>
      </w:r>
      <w:r w:rsidR="00A17AE2">
        <w:rPr>
          <w:rFonts w:ascii="Calibri" w:eastAsia="Calibri" w:hAnsi="Calibri" w:cs="Times New Roman"/>
          <w:szCs w:val="22"/>
        </w:rPr>
        <w:t>purchasers</w:t>
      </w:r>
      <w:r w:rsidR="00A643E5">
        <w:t xml:space="preserve"> and verifying compliance with regulations. Allowance </w:t>
      </w:r>
      <w:r w:rsidR="00B23FC6">
        <w:t>has</w:t>
      </w:r>
      <w:r w:rsidR="00A643E5">
        <w:t xml:space="preserve"> been made for a small number of check tests in case the regulator needs to verify performance claims for models not sold in Australia (which will have a larger check test program).</w:t>
      </w:r>
    </w:p>
    <w:p w14:paraId="3222C2D9" w14:textId="7A43A9DE" w:rsidR="00DD08A9" w:rsidRDefault="00DD08A9" w:rsidP="00DD08A9">
      <w:r>
        <w:lastRenderedPageBreak/>
        <w:fldChar w:fldCharType="begin"/>
      </w:r>
      <w:r>
        <w:instrText xml:space="preserve"> REF _Ref191636689 \h </w:instrText>
      </w:r>
      <w:r>
        <w:fldChar w:fldCharType="separate"/>
      </w:r>
      <w:r w:rsidR="002271EC">
        <w:t xml:space="preserve">Table </w:t>
      </w:r>
      <w:r w:rsidR="002271EC">
        <w:rPr>
          <w:noProof/>
        </w:rPr>
        <w:t>19</w:t>
      </w:r>
      <w:r>
        <w:fldChar w:fldCharType="end"/>
      </w:r>
      <w:r>
        <w:t xml:space="preserve"> </w:t>
      </w:r>
      <w:r w:rsidRPr="00DD08A9">
        <w:t xml:space="preserve">and </w:t>
      </w:r>
      <w:r>
        <w:fldChar w:fldCharType="begin"/>
      </w:r>
      <w:r>
        <w:instrText xml:space="preserve"> REF _Ref191636762 \h </w:instrText>
      </w:r>
      <w:r>
        <w:fldChar w:fldCharType="separate"/>
      </w:r>
      <w:r w:rsidR="002271EC">
        <w:t xml:space="preserve">Figure </w:t>
      </w:r>
      <w:r w:rsidR="002271EC">
        <w:rPr>
          <w:noProof/>
        </w:rPr>
        <w:t>34</w:t>
      </w:r>
      <w:r>
        <w:fldChar w:fldCharType="end"/>
      </w:r>
      <w:r>
        <w:t xml:space="preserve"> </w:t>
      </w:r>
      <w:r w:rsidRPr="00DD08A9">
        <w:t xml:space="preserve">summarise the projected costs and benefits of each option. All three information-only options (2, 3A, 3B) have very similar net benefits. While the water savings increase by mandating information </w:t>
      </w:r>
      <w:r w:rsidR="004D237B">
        <w:t>declaration</w:t>
      </w:r>
      <w:r w:rsidRPr="00DD08A9">
        <w:t xml:space="preserve">, the costs of regulation </w:t>
      </w:r>
      <w:r w:rsidR="005A2237">
        <w:t xml:space="preserve">partially offset </w:t>
      </w:r>
      <w:r w:rsidRPr="00DD08A9">
        <w:t>the extra savings.</w:t>
      </w:r>
    </w:p>
    <w:p w14:paraId="18A30081" w14:textId="77777777" w:rsidR="000F2521" w:rsidRDefault="000F2521" w:rsidP="00DD08A9"/>
    <w:p w14:paraId="3DE19A32" w14:textId="03740542" w:rsidR="00DD08A9" w:rsidRDefault="00DD08A9" w:rsidP="00DD08A9">
      <w:pPr>
        <w:pStyle w:val="Caption"/>
        <w:jc w:val="center"/>
      </w:pPr>
      <w:bookmarkStart w:id="188" w:name="_Ref191636689"/>
      <w:bookmarkStart w:id="189" w:name="_Toc196745461"/>
      <w:r>
        <w:t xml:space="preserve">Table </w:t>
      </w:r>
      <w:r w:rsidR="0042496D">
        <w:fldChar w:fldCharType="begin"/>
      </w:r>
      <w:r w:rsidR="0042496D">
        <w:instrText xml:space="preserve"> SEQ Table \* ARABIC </w:instrText>
      </w:r>
      <w:r w:rsidR="0042496D">
        <w:fldChar w:fldCharType="separate"/>
      </w:r>
      <w:r w:rsidR="002271EC">
        <w:rPr>
          <w:noProof/>
        </w:rPr>
        <w:t>19</w:t>
      </w:r>
      <w:r w:rsidR="0042496D">
        <w:rPr>
          <w:noProof/>
        </w:rPr>
        <w:fldChar w:fldCharType="end"/>
      </w:r>
      <w:bookmarkEnd w:id="188"/>
      <w:r>
        <w:t xml:space="preserve"> Summary of projected costs and benefits, New Zealand</w:t>
      </w:r>
      <w:bookmarkEnd w:id="189"/>
    </w:p>
    <w:tbl>
      <w:tblPr>
        <w:tblW w:w="9918" w:type="dxa"/>
        <w:tblLayout w:type="fixed"/>
        <w:tblLook w:val="04A0" w:firstRow="1" w:lastRow="0" w:firstColumn="1" w:lastColumn="0" w:noHBand="0" w:noVBand="1"/>
      </w:tblPr>
      <w:tblGrid>
        <w:gridCol w:w="1413"/>
        <w:gridCol w:w="942"/>
        <w:gridCol w:w="1042"/>
        <w:gridCol w:w="844"/>
        <w:gridCol w:w="943"/>
        <w:gridCol w:w="943"/>
        <w:gridCol w:w="943"/>
        <w:gridCol w:w="943"/>
        <w:gridCol w:w="943"/>
        <w:gridCol w:w="962"/>
      </w:tblGrid>
      <w:tr w:rsidR="00DD08A9" w:rsidRPr="008D79C5" w14:paraId="23009232" w14:textId="77777777" w:rsidTr="002D70A4">
        <w:trPr>
          <w:trHeight w:val="300"/>
        </w:trPr>
        <w:tc>
          <w:tcPr>
            <w:tcW w:w="1413" w:type="dxa"/>
            <w:tcBorders>
              <w:top w:val="single" w:sz="4" w:space="0" w:color="auto"/>
              <w:left w:val="single" w:sz="4" w:space="0" w:color="auto"/>
              <w:bottom w:val="nil"/>
              <w:right w:val="single" w:sz="4" w:space="0" w:color="auto"/>
            </w:tcBorders>
            <w:shd w:val="clear" w:color="auto" w:fill="auto"/>
            <w:noWrap/>
            <w:vAlign w:val="bottom"/>
            <w:hideMark/>
          </w:tcPr>
          <w:p w14:paraId="12E5456F" w14:textId="77777777" w:rsidR="00DD08A9" w:rsidRPr="008D79C5" w:rsidRDefault="00DD08A9" w:rsidP="0041186E">
            <w:pPr>
              <w:spacing w:after="0" w:line="240" w:lineRule="auto"/>
              <w:jc w:val="lef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 </w:t>
            </w:r>
          </w:p>
        </w:tc>
        <w:tc>
          <w:tcPr>
            <w:tcW w:w="2828" w:type="dxa"/>
            <w:gridSpan w:val="3"/>
            <w:tcBorders>
              <w:top w:val="single" w:sz="4" w:space="0" w:color="auto"/>
              <w:left w:val="nil"/>
              <w:bottom w:val="nil"/>
              <w:right w:val="nil"/>
            </w:tcBorders>
            <w:shd w:val="clear" w:color="auto" w:fill="auto"/>
            <w:noWrap/>
            <w:vAlign w:val="bottom"/>
            <w:hideMark/>
          </w:tcPr>
          <w:p w14:paraId="00A581EE" w14:textId="149CC58A"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 xml:space="preserve">Costs $M PV, </w:t>
            </w:r>
            <w:r w:rsidR="002D70A4" w:rsidRPr="008D79C5">
              <w:rPr>
                <w:rFonts w:ascii="Calibri" w:eastAsia="Times New Roman" w:hAnsi="Calibri" w:cs="Calibri"/>
                <w:color w:val="000000"/>
                <w:sz w:val="20"/>
                <w:szCs w:val="20"/>
                <w:lang w:eastAsia="en-AU"/>
              </w:rPr>
              <w:t>5</w:t>
            </w:r>
            <w:r w:rsidRPr="008D79C5">
              <w:rPr>
                <w:rFonts w:ascii="Calibri" w:eastAsia="Times New Roman" w:hAnsi="Calibri" w:cs="Calibri"/>
                <w:color w:val="000000"/>
                <w:sz w:val="20"/>
                <w:szCs w:val="20"/>
                <w:lang w:eastAsia="en-AU"/>
              </w:rPr>
              <w:t>% discount rate</w:t>
            </w:r>
          </w:p>
        </w:tc>
        <w:tc>
          <w:tcPr>
            <w:tcW w:w="2829" w:type="dxa"/>
            <w:gridSpan w:val="3"/>
            <w:tcBorders>
              <w:top w:val="single" w:sz="4" w:space="0" w:color="auto"/>
              <w:left w:val="single" w:sz="4" w:space="0" w:color="auto"/>
              <w:bottom w:val="nil"/>
              <w:right w:val="nil"/>
            </w:tcBorders>
            <w:shd w:val="clear" w:color="auto" w:fill="auto"/>
            <w:noWrap/>
            <w:vAlign w:val="bottom"/>
            <w:hideMark/>
          </w:tcPr>
          <w:p w14:paraId="68762954" w14:textId="534EAF8A"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 xml:space="preserve">Benefit $M PV, </w:t>
            </w:r>
            <w:r w:rsidR="002D70A4" w:rsidRPr="008D79C5">
              <w:rPr>
                <w:rFonts w:ascii="Calibri" w:eastAsia="Times New Roman" w:hAnsi="Calibri" w:cs="Calibri"/>
                <w:color w:val="000000"/>
                <w:sz w:val="20"/>
                <w:szCs w:val="20"/>
                <w:lang w:eastAsia="en-AU"/>
              </w:rPr>
              <w:t>5</w:t>
            </w:r>
            <w:r w:rsidRPr="008D79C5">
              <w:rPr>
                <w:rFonts w:ascii="Calibri" w:eastAsia="Times New Roman" w:hAnsi="Calibri" w:cs="Calibri"/>
                <w:color w:val="000000"/>
                <w:sz w:val="20"/>
                <w:szCs w:val="20"/>
                <w:lang w:eastAsia="en-AU"/>
              </w:rPr>
              <w:t>% discount rate</w:t>
            </w:r>
          </w:p>
        </w:tc>
        <w:tc>
          <w:tcPr>
            <w:tcW w:w="943" w:type="dxa"/>
            <w:tcBorders>
              <w:top w:val="single" w:sz="4" w:space="0" w:color="auto"/>
              <w:left w:val="single" w:sz="4" w:space="0" w:color="auto"/>
              <w:bottom w:val="nil"/>
              <w:right w:val="nil"/>
            </w:tcBorders>
            <w:shd w:val="clear" w:color="auto" w:fill="D9D9D9" w:themeFill="background2" w:themeFillShade="D9"/>
            <w:noWrap/>
            <w:vAlign w:val="bottom"/>
            <w:hideMark/>
          </w:tcPr>
          <w:p w14:paraId="181C5941" w14:textId="77777777"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Net</w:t>
            </w:r>
          </w:p>
        </w:tc>
        <w:tc>
          <w:tcPr>
            <w:tcW w:w="943" w:type="dxa"/>
            <w:tcBorders>
              <w:top w:val="single" w:sz="4" w:space="0" w:color="auto"/>
              <w:left w:val="nil"/>
              <w:bottom w:val="nil"/>
              <w:right w:val="nil"/>
            </w:tcBorders>
            <w:shd w:val="clear" w:color="auto" w:fill="D9D9D9" w:themeFill="background2" w:themeFillShade="D9"/>
            <w:noWrap/>
            <w:vAlign w:val="bottom"/>
            <w:hideMark/>
          </w:tcPr>
          <w:p w14:paraId="1298DA79" w14:textId="77777777"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B/C</w:t>
            </w:r>
          </w:p>
        </w:tc>
        <w:tc>
          <w:tcPr>
            <w:tcW w:w="962" w:type="dxa"/>
            <w:tcBorders>
              <w:top w:val="single" w:sz="4" w:space="0" w:color="auto"/>
              <w:left w:val="nil"/>
              <w:bottom w:val="nil"/>
              <w:right w:val="single" w:sz="4" w:space="0" w:color="auto"/>
            </w:tcBorders>
            <w:shd w:val="clear" w:color="auto" w:fill="auto"/>
            <w:noWrap/>
            <w:vAlign w:val="bottom"/>
            <w:hideMark/>
          </w:tcPr>
          <w:p w14:paraId="0D020EDB" w14:textId="77777777"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 Price</w:t>
            </w:r>
          </w:p>
        </w:tc>
      </w:tr>
      <w:tr w:rsidR="00DD08A9" w:rsidRPr="008D79C5" w14:paraId="15E8A749" w14:textId="77777777" w:rsidTr="002D70A4">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7F54933" w14:textId="77777777" w:rsidR="00DD08A9" w:rsidRPr="008D79C5" w:rsidRDefault="00DD08A9" w:rsidP="0041186E">
            <w:pPr>
              <w:spacing w:after="0" w:line="240" w:lineRule="auto"/>
              <w:jc w:val="lef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 </w:t>
            </w:r>
          </w:p>
        </w:tc>
        <w:tc>
          <w:tcPr>
            <w:tcW w:w="942" w:type="dxa"/>
            <w:tcBorders>
              <w:top w:val="nil"/>
              <w:left w:val="nil"/>
              <w:bottom w:val="single" w:sz="4" w:space="0" w:color="auto"/>
              <w:right w:val="nil"/>
            </w:tcBorders>
            <w:shd w:val="clear" w:color="auto" w:fill="auto"/>
            <w:noWrap/>
            <w:vAlign w:val="bottom"/>
            <w:hideMark/>
          </w:tcPr>
          <w:p w14:paraId="48061CD8" w14:textId="77777777"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Price</w:t>
            </w:r>
          </w:p>
        </w:tc>
        <w:tc>
          <w:tcPr>
            <w:tcW w:w="1042" w:type="dxa"/>
            <w:tcBorders>
              <w:top w:val="nil"/>
              <w:left w:val="nil"/>
              <w:bottom w:val="single" w:sz="4" w:space="0" w:color="auto"/>
              <w:right w:val="nil"/>
            </w:tcBorders>
            <w:shd w:val="clear" w:color="auto" w:fill="auto"/>
            <w:noWrap/>
            <w:vAlign w:val="bottom"/>
            <w:hideMark/>
          </w:tcPr>
          <w:p w14:paraId="2D8D52DA" w14:textId="77777777"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Program</w:t>
            </w:r>
          </w:p>
        </w:tc>
        <w:tc>
          <w:tcPr>
            <w:tcW w:w="844" w:type="dxa"/>
            <w:tcBorders>
              <w:top w:val="nil"/>
              <w:left w:val="nil"/>
              <w:bottom w:val="single" w:sz="4" w:space="0" w:color="auto"/>
              <w:right w:val="nil"/>
            </w:tcBorders>
            <w:shd w:val="clear" w:color="auto" w:fill="auto"/>
            <w:noWrap/>
            <w:vAlign w:val="bottom"/>
            <w:hideMark/>
          </w:tcPr>
          <w:p w14:paraId="21B03A82" w14:textId="77777777"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Total</w:t>
            </w:r>
          </w:p>
        </w:tc>
        <w:tc>
          <w:tcPr>
            <w:tcW w:w="943" w:type="dxa"/>
            <w:tcBorders>
              <w:top w:val="nil"/>
              <w:left w:val="single" w:sz="4" w:space="0" w:color="auto"/>
              <w:bottom w:val="single" w:sz="4" w:space="0" w:color="auto"/>
              <w:right w:val="nil"/>
            </w:tcBorders>
            <w:shd w:val="clear" w:color="auto" w:fill="auto"/>
            <w:noWrap/>
            <w:vAlign w:val="bottom"/>
            <w:hideMark/>
          </w:tcPr>
          <w:p w14:paraId="00C14161" w14:textId="77777777"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Pot</w:t>
            </w:r>
          </w:p>
        </w:tc>
        <w:tc>
          <w:tcPr>
            <w:tcW w:w="943" w:type="dxa"/>
            <w:tcBorders>
              <w:top w:val="nil"/>
              <w:left w:val="nil"/>
              <w:bottom w:val="single" w:sz="4" w:space="0" w:color="auto"/>
              <w:right w:val="nil"/>
            </w:tcBorders>
            <w:shd w:val="clear" w:color="auto" w:fill="auto"/>
            <w:noWrap/>
            <w:vAlign w:val="bottom"/>
            <w:hideMark/>
          </w:tcPr>
          <w:p w14:paraId="10F5E9E7" w14:textId="77777777"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Cond</w:t>
            </w:r>
          </w:p>
        </w:tc>
        <w:tc>
          <w:tcPr>
            <w:tcW w:w="943" w:type="dxa"/>
            <w:tcBorders>
              <w:top w:val="nil"/>
              <w:left w:val="nil"/>
              <w:bottom w:val="single" w:sz="4" w:space="0" w:color="auto"/>
              <w:right w:val="nil"/>
            </w:tcBorders>
            <w:shd w:val="clear" w:color="auto" w:fill="auto"/>
            <w:noWrap/>
            <w:vAlign w:val="bottom"/>
            <w:hideMark/>
          </w:tcPr>
          <w:p w14:paraId="451AF738" w14:textId="77777777"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Total</w:t>
            </w:r>
          </w:p>
        </w:tc>
        <w:tc>
          <w:tcPr>
            <w:tcW w:w="943" w:type="dxa"/>
            <w:tcBorders>
              <w:top w:val="nil"/>
              <w:left w:val="single" w:sz="4" w:space="0" w:color="auto"/>
              <w:bottom w:val="single" w:sz="4" w:space="0" w:color="auto"/>
              <w:right w:val="nil"/>
            </w:tcBorders>
            <w:shd w:val="clear" w:color="auto" w:fill="D9D9D9" w:themeFill="background2" w:themeFillShade="D9"/>
            <w:noWrap/>
            <w:vAlign w:val="bottom"/>
            <w:hideMark/>
          </w:tcPr>
          <w:p w14:paraId="368AFC71" w14:textId="77777777"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Benefit</w:t>
            </w:r>
          </w:p>
        </w:tc>
        <w:tc>
          <w:tcPr>
            <w:tcW w:w="943" w:type="dxa"/>
            <w:tcBorders>
              <w:top w:val="nil"/>
              <w:left w:val="nil"/>
              <w:bottom w:val="single" w:sz="4" w:space="0" w:color="auto"/>
              <w:right w:val="nil"/>
            </w:tcBorders>
            <w:shd w:val="clear" w:color="auto" w:fill="D9D9D9" w:themeFill="background2" w:themeFillShade="D9"/>
            <w:noWrap/>
            <w:vAlign w:val="bottom"/>
            <w:hideMark/>
          </w:tcPr>
          <w:p w14:paraId="0D035C29" w14:textId="77777777"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ratio</w:t>
            </w:r>
          </w:p>
        </w:tc>
        <w:tc>
          <w:tcPr>
            <w:tcW w:w="962" w:type="dxa"/>
            <w:tcBorders>
              <w:top w:val="nil"/>
              <w:left w:val="nil"/>
              <w:bottom w:val="single" w:sz="4" w:space="0" w:color="auto"/>
              <w:right w:val="single" w:sz="4" w:space="0" w:color="auto"/>
            </w:tcBorders>
            <w:shd w:val="clear" w:color="auto" w:fill="auto"/>
            <w:noWrap/>
            <w:vAlign w:val="bottom"/>
            <w:hideMark/>
          </w:tcPr>
          <w:p w14:paraId="54F353F4" w14:textId="77777777" w:rsidR="00DD08A9" w:rsidRPr="008D79C5" w:rsidRDefault="00DD08A9" w:rsidP="0041186E">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increase</w:t>
            </w:r>
          </w:p>
        </w:tc>
      </w:tr>
      <w:tr w:rsidR="002D70A4" w:rsidRPr="008D79C5" w14:paraId="1D2E7A75" w14:textId="77777777" w:rsidTr="002D70A4">
        <w:trPr>
          <w:trHeight w:val="300"/>
        </w:trPr>
        <w:tc>
          <w:tcPr>
            <w:tcW w:w="1413" w:type="dxa"/>
            <w:tcBorders>
              <w:top w:val="nil"/>
              <w:left w:val="single" w:sz="4" w:space="0" w:color="auto"/>
              <w:bottom w:val="nil"/>
              <w:right w:val="single" w:sz="4" w:space="0" w:color="auto"/>
            </w:tcBorders>
            <w:shd w:val="clear" w:color="auto" w:fill="auto"/>
            <w:noWrap/>
            <w:vAlign w:val="bottom"/>
            <w:hideMark/>
          </w:tcPr>
          <w:p w14:paraId="196667B9" w14:textId="77777777" w:rsidR="002D70A4" w:rsidRPr="008D79C5" w:rsidRDefault="002D70A4" w:rsidP="002D70A4">
            <w:pPr>
              <w:spacing w:after="0" w:line="240" w:lineRule="auto"/>
              <w:jc w:val="lef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Option 2</w:t>
            </w:r>
          </w:p>
        </w:tc>
        <w:tc>
          <w:tcPr>
            <w:tcW w:w="942" w:type="dxa"/>
            <w:tcBorders>
              <w:top w:val="nil"/>
              <w:left w:val="nil"/>
              <w:bottom w:val="nil"/>
              <w:right w:val="nil"/>
            </w:tcBorders>
            <w:shd w:val="clear" w:color="auto" w:fill="auto"/>
            <w:noWrap/>
            <w:vAlign w:val="bottom"/>
            <w:hideMark/>
          </w:tcPr>
          <w:p w14:paraId="08A5F3A2" w14:textId="32F24B48"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$0.5</w:t>
            </w:r>
          </w:p>
        </w:tc>
        <w:tc>
          <w:tcPr>
            <w:tcW w:w="1042" w:type="dxa"/>
            <w:tcBorders>
              <w:top w:val="nil"/>
              <w:left w:val="nil"/>
              <w:bottom w:val="nil"/>
              <w:right w:val="nil"/>
            </w:tcBorders>
            <w:shd w:val="clear" w:color="auto" w:fill="auto"/>
            <w:noWrap/>
            <w:vAlign w:val="bottom"/>
            <w:hideMark/>
          </w:tcPr>
          <w:p w14:paraId="61805601" w14:textId="4CADF5C3"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$0.6</w:t>
            </w:r>
          </w:p>
        </w:tc>
        <w:tc>
          <w:tcPr>
            <w:tcW w:w="844" w:type="dxa"/>
            <w:tcBorders>
              <w:top w:val="nil"/>
              <w:left w:val="nil"/>
              <w:bottom w:val="nil"/>
              <w:right w:val="single" w:sz="4" w:space="0" w:color="auto"/>
            </w:tcBorders>
            <w:shd w:val="clear" w:color="auto" w:fill="auto"/>
            <w:noWrap/>
            <w:vAlign w:val="bottom"/>
            <w:hideMark/>
          </w:tcPr>
          <w:p w14:paraId="1370617F" w14:textId="28D64640"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$1.1</w:t>
            </w:r>
          </w:p>
        </w:tc>
        <w:tc>
          <w:tcPr>
            <w:tcW w:w="943" w:type="dxa"/>
            <w:tcBorders>
              <w:top w:val="single" w:sz="4" w:space="0" w:color="auto"/>
              <w:left w:val="single" w:sz="4" w:space="0" w:color="auto"/>
              <w:bottom w:val="nil"/>
              <w:right w:val="nil"/>
            </w:tcBorders>
            <w:shd w:val="clear" w:color="auto" w:fill="auto"/>
            <w:noWrap/>
            <w:vAlign w:val="bottom"/>
            <w:hideMark/>
          </w:tcPr>
          <w:p w14:paraId="595905A6" w14:textId="4158B901"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$6.6</w:t>
            </w:r>
          </w:p>
        </w:tc>
        <w:tc>
          <w:tcPr>
            <w:tcW w:w="943" w:type="dxa"/>
            <w:tcBorders>
              <w:top w:val="single" w:sz="4" w:space="0" w:color="auto"/>
              <w:left w:val="nil"/>
              <w:bottom w:val="nil"/>
              <w:right w:val="nil"/>
            </w:tcBorders>
            <w:shd w:val="clear" w:color="auto" w:fill="auto"/>
            <w:noWrap/>
            <w:vAlign w:val="bottom"/>
            <w:hideMark/>
          </w:tcPr>
          <w:p w14:paraId="473A9A34" w14:textId="329602DE"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$1.8</w:t>
            </w:r>
          </w:p>
        </w:tc>
        <w:tc>
          <w:tcPr>
            <w:tcW w:w="943" w:type="dxa"/>
            <w:tcBorders>
              <w:top w:val="single" w:sz="4" w:space="0" w:color="auto"/>
              <w:left w:val="nil"/>
              <w:bottom w:val="nil"/>
              <w:right w:val="single" w:sz="4" w:space="0" w:color="auto"/>
            </w:tcBorders>
            <w:shd w:val="clear" w:color="auto" w:fill="auto"/>
            <w:noWrap/>
            <w:vAlign w:val="bottom"/>
            <w:hideMark/>
          </w:tcPr>
          <w:p w14:paraId="2E3AA21F" w14:textId="45180D4D"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$8.4</w:t>
            </w:r>
          </w:p>
        </w:tc>
        <w:tc>
          <w:tcPr>
            <w:tcW w:w="943" w:type="dxa"/>
            <w:tcBorders>
              <w:top w:val="nil"/>
              <w:left w:val="single" w:sz="4" w:space="0" w:color="auto"/>
              <w:bottom w:val="nil"/>
              <w:right w:val="nil"/>
            </w:tcBorders>
            <w:shd w:val="clear" w:color="auto" w:fill="D9D9D9" w:themeFill="background2" w:themeFillShade="D9"/>
            <w:noWrap/>
            <w:vAlign w:val="bottom"/>
            <w:hideMark/>
          </w:tcPr>
          <w:p w14:paraId="1A6A41F3" w14:textId="487CAEFB"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$7.3</w:t>
            </w:r>
          </w:p>
        </w:tc>
        <w:tc>
          <w:tcPr>
            <w:tcW w:w="943" w:type="dxa"/>
            <w:tcBorders>
              <w:top w:val="nil"/>
              <w:left w:val="nil"/>
              <w:bottom w:val="nil"/>
              <w:right w:val="nil"/>
            </w:tcBorders>
            <w:shd w:val="clear" w:color="auto" w:fill="D9D9D9" w:themeFill="background2" w:themeFillShade="D9"/>
            <w:noWrap/>
            <w:vAlign w:val="bottom"/>
            <w:hideMark/>
          </w:tcPr>
          <w:p w14:paraId="7970D413" w14:textId="4372E4D3"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7.6</w:t>
            </w:r>
          </w:p>
        </w:tc>
        <w:tc>
          <w:tcPr>
            <w:tcW w:w="962" w:type="dxa"/>
            <w:tcBorders>
              <w:top w:val="nil"/>
              <w:left w:val="nil"/>
              <w:bottom w:val="nil"/>
              <w:right w:val="single" w:sz="4" w:space="0" w:color="auto"/>
            </w:tcBorders>
            <w:shd w:val="clear" w:color="auto" w:fill="auto"/>
            <w:noWrap/>
            <w:vAlign w:val="bottom"/>
            <w:hideMark/>
          </w:tcPr>
          <w:p w14:paraId="7884E412" w14:textId="77A04F71"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0.5%</w:t>
            </w:r>
          </w:p>
        </w:tc>
      </w:tr>
      <w:tr w:rsidR="002D70A4" w:rsidRPr="008D79C5" w14:paraId="188D21B3" w14:textId="77777777" w:rsidTr="002D70A4">
        <w:trPr>
          <w:trHeight w:val="300"/>
        </w:trPr>
        <w:tc>
          <w:tcPr>
            <w:tcW w:w="1413" w:type="dxa"/>
            <w:tcBorders>
              <w:top w:val="nil"/>
              <w:left w:val="single" w:sz="4" w:space="0" w:color="auto"/>
              <w:bottom w:val="nil"/>
              <w:right w:val="single" w:sz="4" w:space="0" w:color="auto"/>
            </w:tcBorders>
            <w:shd w:val="clear" w:color="auto" w:fill="auto"/>
            <w:noWrap/>
            <w:vAlign w:val="bottom"/>
            <w:hideMark/>
          </w:tcPr>
          <w:p w14:paraId="1B1C8DFB" w14:textId="77777777" w:rsidR="002D70A4" w:rsidRPr="008D79C5" w:rsidRDefault="002D70A4" w:rsidP="002D70A4">
            <w:pPr>
              <w:spacing w:after="0" w:line="240" w:lineRule="auto"/>
              <w:jc w:val="lef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Option 3A</w:t>
            </w:r>
          </w:p>
        </w:tc>
        <w:tc>
          <w:tcPr>
            <w:tcW w:w="942" w:type="dxa"/>
            <w:tcBorders>
              <w:top w:val="nil"/>
              <w:left w:val="nil"/>
              <w:bottom w:val="nil"/>
              <w:right w:val="nil"/>
            </w:tcBorders>
            <w:shd w:val="clear" w:color="auto" w:fill="auto"/>
            <w:noWrap/>
            <w:vAlign w:val="bottom"/>
            <w:hideMark/>
          </w:tcPr>
          <w:p w14:paraId="317FA7DB" w14:textId="1E902A23"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$0.8</w:t>
            </w:r>
          </w:p>
        </w:tc>
        <w:tc>
          <w:tcPr>
            <w:tcW w:w="1042" w:type="dxa"/>
            <w:tcBorders>
              <w:top w:val="nil"/>
              <w:left w:val="nil"/>
              <w:bottom w:val="nil"/>
              <w:right w:val="nil"/>
            </w:tcBorders>
            <w:shd w:val="clear" w:color="auto" w:fill="auto"/>
            <w:noWrap/>
            <w:vAlign w:val="bottom"/>
            <w:hideMark/>
          </w:tcPr>
          <w:p w14:paraId="095755F4" w14:textId="6366B78B"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$1.6</w:t>
            </w:r>
          </w:p>
        </w:tc>
        <w:tc>
          <w:tcPr>
            <w:tcW w:w="844" w:type="dxa"/>
            <w:tcBorders>
              <w:top w:val="nil"/>
              <w:left w:val="nil"/>
              <w:bottom w:val="nil"/>
              <w:right w:val="single" w:sz="4" w:space="0" w:color="auto"/>
            </w:tcBorders>
            <w:shd w:val="clear" w:color="auto" w:fill="auto"/>
            <w:noWrap/>
            <w:vAlign w:val="bottom"/>
            <w:hideMark/>
          </w:tcPr>
          <w:p w14:paraId="76891980" w14:textId="61072D1C"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$2.4</w:t>
            </w:r>
          </w:p>
        </w:tc>
        <w:tc>
          <w:tcPr>
            <w:tcW w:w="943" w:type="dxa"/>
            <w:tcBorders>
              <w:top w:val="nil"/>
              <w:left w:val="single" w:sz="4" w:space="0" w:color="auto"/>
              <w:bottom w:val="nil"/>
              <w:right w:val="nil"/>
            </w:tcBorders>
            <w:shd w:val="clear" w:color="auto" w:fill="auto"/>
            <w:noWrap/>
            <w:vAlign w:val="bottom"/>
            <w:hideMark/>
          </w:tcPr>
          <w:p w14:paraId="04A4359F" w14:textId="07ED1E3A"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$7.1</w:t>
            </w:r>
          </w:p>
        </w:tc>
        <w:tc>
          <w:tcPr>
            <w:tcW w:w="943" w:type="dxa"/>
            <w:tcBorders>
              <w:top w:val="nil"/>
              <w:left w:val="nil"/>
              <w:bottom w:val="nil"/>
              <w:right w:val="nil"/>
            </w:tcBorders>
            <w:shd w:val="clear" w:color="auto" w:fill="auto"/>
            <w:noWrap/>
            <w:vAlign w:val="bottom"/>
            <w:hideMark/>
          </w:tcPr>
          <w:p w14:paraId="2AA9BA74" w14:textId="4B959190"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$1.7</w:t>
            </w:r>
          </w:p>
        </w:tc>
        <w:tc>
          <w:tcPr>
            <w:tcW w:w="943" w:type="dxa"/>
            <w:tcBorders>
              <w:top w:val="nil"/>
              <w:left w:val="nil"/>
              <w:bottom w:val="nil"/>
              <w:right w:val="single" w:sz="4" w:space="0" w:color="auto"/>
            </w:tcBorders>
            <w:shd w:val="clear" w:color="auto" w:fill="auto"/>
            <w:noWrap/>
            <w:vAlign w:val="bottom"/>
            <w:hideMark/>
          </w:tcPr>
          <w:p w14:paraId="4C62B5A1" w14:textId="05F73DC2"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$8.8</w:t>
            </w:r>
          </w:p>
        </w:tc>
        <w:tc>
          <w:tcPr>
            <w:tcW w:w="943" w:type="dxa"/>
            <w:tcBorders>
              <w:top w:val="nil"/>
              <w:left w:val="single" w:sz="4" w:space="0" w:color="auto"/>
              <w:bottom w:val="nil"/>
              <w:right w:val="nil"/>
            </w:tcBorders>
            <w:shd w:val="clear" w:color="auto" w:fill="D9D9D9" w:themeFill="background2" w:themeFillShade="D9"/>
            <w:noWrap/>
            <w:vAlign w:val="bottom"/>
            <w:hideMark/>
          </w:tcPr>
          <w:p w14:paraId="01DEB1E4" w14:textId="672B53A8"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$6.4</w:t>
            </w:r>
          </w:p>
        </w:tc>
        <w:tc>
          <w:tcPr>
            <w:tcW w:w="943" w:type="dxa"/>
            <w:tcBorders>
              <w:top w:val="nil"/>
              <w:left w:val="nil"/>
              <w:bottom w:val="nil"/>
              <w:right w:val="nil"/>
            </w:tcBorders>
            <w:shd w:val="clear" w:color="auto" w:fill="D9D9D9" w:themeFill="background2" w:themeFillShade="D9"/>
            <w:noWrap/>
            <w:vAlign w:val="bottom"/>
            <w:hideMark/>
          </w:tcPr>
          <w:p w14:paraId="575B277B" w14:textId="07E58D69"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3.7</w:t>
            </w:r>
          </w:p>
        </w:tc>
        <w:tc>
          <w:tcPr>
            <w:tcW w:w="962" w:type="dxa"/>
            <w:tcBorders>
              <w:top w:val="nil"/>
              <w:left w:val="nil"/>
              <w:bottom w:val="nil"/>
              <w:right w:val="single" w:sz="4" w:space="0" w:color="auto"/>
            </w:tcBorders>
            <w:shd w:val="clear" w:color="auto" w:fill="auto"/>
            <w:noWrap/>
            <w:vAlign w:val="bottom"/>
            <w:hideMark/>
          </w:tcPr>
          <w:p w14:paraId="5F06879B" w14:textId="0CEE65F0"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0.8%</w:t>
            </w:r>
          </w:p>
        </w:tc>
      </w:tr>
      <w:tr w:rsidR="002D70A4" w:rsidRPr="008D79C5" w14:paraId="36E4B5B6" w14:textId="77777777" w:rsidTr="002D70A4">
        <w:trPr>
          <w:trHeight w:val="300"/>
        </w:trPr>
        <w:tc>
          <w:tcPr>
            <w:tcW w:w="1413" w:type="dxa"/>
            <w:tcBorders>
              <w:top w:val="nil"/>
              <w:left w:val="single" w:sz="4" w:space="0" w:color="auto"/>
              <w:bottom w:val="nil"/>
              <w:right w:val="single" w:sz="4" w:space="0" w:color="auto"/>
            </w:tcBorders>
            <w:shd w:val="clear" w:color="auto" w:fill="auto"/>
            <w:noWrap/>
            <w:vAlign w:val="bottom"/>
            <w:hideMark/>
          </w:tcPr>
          <w:p w14:paraId="79528214" w14:textId="77777777" w:rsidR="002D70A4" w:rsidRPr="008D79C5" w:rsidRDefault="002D70A4" w:rsidP="002D70A4">
            <w:pPr>
              <w:spacing w:after="0" w:line="240" w:lineRule="auto"/>
              <w:jc w:val="lef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Option 3B</w:t>
            </w:r>
          </w:p>
        </w:tc>
        <w:tc>
          <w:tcPr>
            <w:tcW w:w="942" w:type="dxa"/>
            <w:tcBorders>
              <w:top w:val="nil"/>
              <w:left w:val="nil"/>
              <w:bottom w:val="nil"/>
              <w:right w:val="nil"/>
            </w:tcBorders>
            <w:shd w:val="clear" w:color="auto" w:fill="auto"/>
            <w:noWrap/>
            <w:vAlign w:val="bottom"/>
            <w:hideMark/>
          </w:tcPr>
          <w:p w14:paraId="6D551FFD" w14:textId="3669EA78"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$0.9</w:t>
            </w:r>
          </w:p>
        </w:tc>
        <w:tc>
          <w:tcPr>
            <w:tcW w:w="1042" w:type="dxa"/>
            <w:tcBorders>
              <w:top w:val="nil"/>
              <w:left w:val="nil"/>
              <w:bottom w:val="nil"/>
              <w:right w:val="nil"/>
            </w:tcBorders>
            <w:shd w:val="clear" w:color="auto" w:fill="auto"/>
            <w:noWrap/>
            <w:vAlign w:val="bottom"/>
            <w:hideMark/>
          </w:tcPr>
          <w:p w14:paraId="75B92E4F" w14:textId="05DFFCC8"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$1.7</w:t>
            </w:r>
          </w:p>
        </w:tc>
        <w:tc>
          <w:tcPr>
            <w:tcW w:w="844" w:type="dxa"/>
            <w:tcBorders>
              <w:top w:val="nil"/>
              <w:left w:val="nil"/>
              <w:bottom w:val="nil"/>
              <w:right w:val="single" w:sz="4" w:space="0" w:color="auto"/>
            </w:tcBorders>
            <w:shd w:val="clear" w:color="auto" w:fill="auto"/>
            <w:noWrap/>
            <w:vAlign w:val="bottom"/>
            <w:hideMark/>
          </w:tcPr>
          <w:p w14:paraId="5C328136" w14:textId="4D1A40FD"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$2.6</w:t>
            </w:r>
          </w:p>
        </w:tc>
        <w:tc>
          <w:tcPr>
            <w:tcW w:w="943" w:type="dxa"/>
            <w:tcBorders>
              <w:top w:val="nil"/>
              <w:left w:val="single" w:sz="4" w:space="0" w:color="auto"/>
              <w:bottom w:val="nil"/>
              <w:right w:val="nil"/>
            </w:tcBorders>
            <w:shd w:val="clear" w:color="auto" w:fill="auto"/>
            <w:noWrap/>
            <w:vAlign w:val="bottom"/>
            <w:hideMark/>
          </w:tcPr>
          <w:p w14:paraId="1893DFD8" w14:textId="312C25A1"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$7.5</w:t>
            </w:r>
          </w:p>
        </w:tc>
        <w:tc>
          <w:tcPr>
            <w:tcW w:w="943" w:type="dxa"/>
            <w:tcBorders>
              <w:top w:val="nil"/>
              <w:left w:val="nil"/>
              <w:bottom w:val="nil"/>
              <w:right w:val="nil"/>
            </w:tcBorders>
            <w:shd w:val="clear" w:color="auto" w:fill="auto"/>
            <w:noWrap/>
            <w:vAlign w:val="bottom"/>
            <w:hideMark/>
          </w:tcPr>
          <w:p w14:paraId="7BFF122B" w14:textId="40CCB324"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$1.7</w:t>
            </w:r>
          </w:p>
        </w:tc>
        <w:tc>
          <w:tcPr>
            <w:tcW w:w="943" w:type="dxa"/>
            <w:tcBorders>
              <w:top w:val="nil"/>
              <w:left w:val="nil"/>
              <w:bottom w:val="nil"/>
              <w:right w:val="single" w:sz="4" w:space="0" w:color="auto"/>
            </w:tcBorders>
            <w:shd w:val="clear" w:color="auto" w:fill="auto"/>
            <w:noWrap/>
            <w:vAlign w:val="bottom"/>
            <w:hideMark/>
          </w:tcPr>
          <w:p w14:paraId="0368FE60" w14:textId="34C72FD4"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$9.2</w:t>
            </w:r>
          </w:p>
        </w:tc>
        <w:tc>
          <w:tcPr>
            <w:tcW w:w="943" w:type="dxa"/>
            <w:tcBorders>
              <w:top w:val="nil"/>
              <w:left w:val="single" w:sz="4" w:space="0" w:color="auto"/>
              <w:bottom w:val="nil"/>
              <w:right w:val="nil"/>
            </w:tcBorders>
            <w:shd w:val="clear" w:color="auto" w:fill="D9D9D9" w:themeFill="background2" w:themeFillShade="D9"/>
            <w:noWrap/>
            <w:vAlign w:val="bottom"/>
            <w:hideMark/>
          </w:tcPr>
          <w:p w14:paraId="6DF35B00" w14:textId="2610F136"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$6.6</w:t>
            </w:r>
          </w:p>
        </w:tc>
        <w:tc>
          <w:tcPr>
            <w:tcW w:w="943" w:type="dxa"/>
            <w:tcBorders>
              <w:top w:val="nil"/>
              <w:left w:val="nil"/>
              <w:bottom w:val="nil"/>
              <w:right w:val="nil"/>
            </w:tcBorders>
            <w:shd w:val="clear" w:color="auto" w:fill="D9D9D9" w:themeFill="background2" w:themeFillShade="D9"/>
            <w:noWrap/>
            <w:vAlign w:val="bottom"/>
            <w:hideMark/>
          </w:tcPr>
          <w:p w14:paraId="2BF6FCB2" w14:textId="3E2AE92C"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3.5</w:t>
            </w:r>
          </w:p>
        </w:tc>
        <w:tc>
          <w:tcPr>
            <w:tcW w:w="962" w:type="dxa"/>
            <w:tcBorders>
              <w:top w:val="nil"/>
              <w:left w:val="nil"/>
              <w:bottom w:val="nil"/>
              <w:right w:val="single" w:sz="4" w:space="0" w:color="auto"/>
            </w:tcBorders>
            <w:shd w:val="clear" w:color="auto" w:fill="auto"/>
            <w:noWrap/>
            <w:vAlign w:val="bottom"/>
            <w:hideMark/>
          </w:tcPr>
          <w:p w14:paraId="3D490F82" w14:textId="28F7AB7B"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0.9%</w:t>
            </w:r>
          </w:p>
        </w:tc>
      </w:tr>
      <w:tr w:rsidR="002D70A4" w:rsidRPr="008D79C5" w14:paraId="1EA9DE14" w14:textId="77777777" w:rsidTr="002D70A4">
        <w:trPr>
          <w:trHeight w:val="300"/>
        </w:trPr>
        <w:tc>
          <w:tcPr>
            <w:tcW w:w="1413" w:type="dxa"/>
            <w:tcBorders>
              <w:top w:val="nil"/>
              <w:left w:val="single" w:sz="4" w:space="0" w:color="auto"/>
              <w:bottom w:val="nil"/>
              <w:right w:val="single" w:sz="4" w:space="0" w:color="auto"/>
            </w:tcBorders>
            <w:shd w:val="clear" w:color="auto" w:fill="auto"/>
            <w:noWrap/>
            <w:vAlign w:val="bottom"/>
            <w:hideMark/>
          </w:tcPr>
          <w:p w14:paraId="7F1BC587" w14:textId="77777777" w:rsidR="002D70A4" w:rsidRPr="008D79C5" w:rsidRDefault="002D70A4" w:rsidP="002D70A4">
            <w:pPr>
              <w:spacing w:after="0" w:line="240" w:lineRule="auto"/>
              <w:jc w:val="lef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Option 4A</w:t>
            </w:r>
          </w:p>
        </w:tc>
        <w:tc>
          <w:tcPr>
            <w:tcW w:w="942" w:type="dxa"/>
            <w:tcBorders>
              <w:top w:val="nil"/>
              <w:left w:val="nil"/>
              <w:bottom w:val="nil"/>
              <w:right w:val="nil"/>
            </w:tcBorders>
            <w:shd w:val="clear" w:color="auto" w:fill="auto"/>
            <w:noWrap/>
            <w:vAlign w:val="bottom"/>
            <w:hideMark/>
          </w:tcPr>
          <w:p w14:paraId="6775D802" w14:textId="30BA6A2F"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$3.0</w:t>
            </w:r>
          </w:p>
        </w:tc>
        <w:tc>
          <w:tcPr>
            <w:tcW w:w="1042" w:type="dxa"/>
            <w:tcBorders>
              <w:top w:val="nil"/>
              <w:left w:val="nil"/>
              <w:bottom w:val="nil"/>
              <w:right w:val="nil"/>
            </w:tcBorders>
            <w:shd w:val="clear" w:color="auto" w:fill="auto"/>
            <w:noWrap/>
            <w:vAlign w:val="bottom"/>
            <w:hideMark/>
          </w:tcPr>
          <w:p w14:paraId="2EECAA41" w14:textId="5BA7CA49"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$1.6</w:t>
            </w:r>
          </w:p>
        </w:tc>
        <w:tc>
          <w:tcPr>
            <w:tcW w:w="844" w:type="dxa"/>
            <w:tcBorders>
              <w:top w:val="nil"/>
              <w:left w:val="nil"/>
              <w:bottom w:val="nil"/>
              <w:right w:val="single" w:sz="4" w:space="0" w:color="auto"/>
            </w:tcBorders>
            <w:shd w:val="clear" w:color="auto" w:fill="auto"/>
            <w:noWrap/>
            <w:vAlign w:val="bottom"/>
            <w:hideMark/>
          </w:tcPr>
          <w:p w14:paraId="484C5E2C" w14:textId="09160607"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$4.6</w:t>
            </w:r>
          </w:p>
        </w:tc>
        <w:tc>
          <w:tcPr>
            <w:tcW w:w="943" w:type="dxa"/>
            <w:tcBorders>
              <w:top w:val="nil"/>
              <w:left w:val="single" w:sz="4" w:space="0" w:color="auto"/>
              <w:bottom w:val="nil"/>
              <w:right w:val="nil"/>
            </w:tcBorders>
            <w:shd w:val="clear" w:color="auto" w:fill="auto"/>
            <w:noWrap/>
            <w:vAlign w:val="bottom"/>
            <w:hideMark/>
          </w:tcPr>
          <w:p w14:paraId="34C5A0AA" w14:textId="572B5429"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$12.5</w:t>
            </w:r>
          </w:p>
        </w:tc>
        <w:tc>
          <w:tcPr>
            <w:tcW w:w="943" w:type="dxa"/>
            <w:tcBorders>
              <w:top w:val="nil"/>
              <w:left w:val="nil"/>
              <w:bottom w:val="nil"/>
              <w:right w:val="nil"/>
            </w:tcBorders>
            <w:shd w:val="clear" w:color="auto" w:fill="auto"/>
            <w:noWrap/>
            <w:vAlign w:val="bottom"/>
            <w:hideMark/>
          </w:tcPr>
          <w:p w14:paraId="1CB17C11" w14:textId="5FC315D3"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$1.7</w:t>
            </w:r>
          </w:p>
        </w:tc>
        <w:tc>
          <w:tcPr>
            <w:tcW w:w="943" w:type="dxa"/>
            <w:tcBorders>
              <w:top w:val="nil"/>
              <w:left w:val="nil"/>
              <w:bottom w:val="nil"/>
              <w:right w:val="single" w:sz="4" w:space="0" w:color="auto"/>
            </w:tcBorders>
            <w:shd w:val="clear" w:color="auto" w:fill="auto"/>
            <w:noWrap/>
            <w:vAlign w:val="bottom"/>
            <w:hideMark/>
          </w:tcPr>
          <w:p w14:paraId="5FF157A3" w14:textId="79615ECD"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$14.2</w:t>
            </w:r>
          </w:p>
        </w:tc>
        <w:tc>
          <w:tcPr>
            <w:tcW w:w="943" w:type="dxa"/>
            <w:tcBorders>
              <w:top w:val="nil"/>
              <w:left w:val="single" w:sz="4" w:space="0" w:color="auto"/>
              <w:bottom w:val="nil"/>
              <w:right w:val="nil"/>
            </w:tcBorders>
            <w:shd w:val="clear" w:color="auto" w:fill="D9D9D9" w:themeFill="background2" w:themeFillShade="D9"/>
            <w:noWrap/>
            <w:vAlign w:val="bottom"/>
            <w:hideMark/>
          </w:tcPr>
          <w:p w14:paraId="48BC02A6" w14:textId="45BC0C6D"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$9.6</w:t>
            </w:r>
          </w:p>
        </w:tc>
        <w:tc>
          <w:tcPr>
            <w:tcW w:w="943" w:type="dxa"/>
            <w:tcBorders>
              <w:top w:val="nil"/>
              <w:left w:val="nil"/>
              <w:bottom w:val="nil"/>
              <w:right w:val="nil"/>
            </w:tcBorders>
            <w:shd w:val="clear" w:color="auto" w:fill="D9D9D9" w:themeFill="background2" w:themeFillShade="D9"/>
            <w:noWrap/>
            <w:vAlign w:val="bottom"/>
            <w:hideMark/>
          </w:tcPr>
          <w:p w14:paraId="6FBE6C80" w14:textId="54ABA86B"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3.1</w:t>
            </w:r>
          </w:p>
        </w:tc>
        <w:tc>
          <w:tcPr>
            <w:tcW w:w="962" w:type="dxa"/>
            <w:tcBorders>
              <w:top w:val="nil"/>
              <w:left w:val="nil"/>
              <w:bottom w:val="nil"/>
              <w:right w:val="single" w:sz="4" w:space="0" w:color="auto"/>
            </w:tcBorders>
            <w:shd w:val="clear" w:color="auto" w:fill="auto"/>
            <w:noWrap/>
            <w:vAlign w:val="bottom"/>
            <w:hideMark/>
          </w:tcPr>
          <w:p w14:paraId="77554E4D" w14:textId="4B857F5A"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3.1%</w:t>
            </w:r>
          </w:p>
        </w:tc>
      </w:tr>
      <w:tr w:rsidR="002D70A4" w:rsidRPr="008D79C5" w14:paraId="68A40092" w14:textId="77777777" w:rsidTr="002D70A4">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5B973B6" w14:textId="77777777" w:rsidR="002D70A4" w:rsidRPr="008D79C5" w:rsidRDefault="002D70A4" w:rsidP="002D70A4">
            <w:pPr>
              <w:spacing w:after="0" w:line="240" w:lineRule="auto"/>
              <w:jc w:val="lef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Option 4B</w:t>
            </w:r>
          </w:p>
        </w:tc>
        <w:tc>
          <w:tcPr>
            <w:tcW w:w="942" w:type="dxa"/>
            <w:tcBorders>
              <w:top w:val="nil"/>
              <w:left w:val="nil"/>
              <w:bottom w:val="single" w:sz="4" w:space="0" w:color="auto"/>
              <w:right w:val="nil"/>
            </w:tcBorders>
            <w:shd w:val="clear" w:color="auto" w:fill="auto"/>
            <w:noWrap/>
            <w:vAlign w:val="bottom"/>
            <w:hideMark/>
          </w:tcPr>
          <w:p w14:paraId="66991423" w14:textId="75C8886F"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$2.6</w:t>
            </w:r>
          </w:p>
        </w:tc>
        <w:tc>
          <w:tcPr>
            <w:tcW w:w="1042" w:type="dxa"/>
            <w:tcBorders>
              <w:top w:val="nil"/>
              <w:left w:val="nil"/>
              <w:bottom w:val="single" w:sz="4" w:space="0" w:color="auto"/>
              <w:right w:val="nil"/>
            </w:tcBorders>
            <w:shd w:val="clear" w:color="auto" w:fill="auto"/>
            <w:noWrap/>
            <w:vAlign w:val="bottom"/>
            <w:hideMark/>
          </w:tcPr>
          <w:p w14:paraId="19A668D8" w14:textId="5761AA85"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$1.7</w:t>
            </w:r>
          </w:p>
        </w:tc>
        <w:tc>
          <w:tcPr>
            <w:tcW w:w="844" w:type="dxa"/>
            <w:tcBorders>
              <w:top w:val="nil"/>
              <w:left w:val="nil"/>
              <w:bottom w:val="single" w:sz="4" w:space="0" w:color="auto"/>
              <w:right w:val="single" w:sz="4" w:space="0" w:color="auto"/>
            </w:tcBorders>
            <w:shd w:val="clear" w:color="auto" w:fill="auto"/>
            <w:noWrap/>
            <w:vAlign w:val="bottom"/>
            <w:hideMark/>
          </w:tcPr>
          <w:p w14:paraId="2010F00D" w14:textId="60578CA4"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$4.3</w:t>
            </w:r>
          </w:p>
        </w:tc>
        <w:tc>
          <w:tcPr>
            <w:tcW w:w="943" w:type="dxa"/>
            <w:tcBorders>
              <w:top w:val="nil"/>
              <w:left w:val="single" w:sz="4" w:space="0" w:color="auto"/>
              <w:bottom w:val="single" w:sz="4" w:space="0" w:color="auto"/>
              <w:right w:val="nil"/>
            </w:tcBorders>
            <w:shd w:val="clear" w:color="auto" w:fill="auto"/>
            <w:noWrap/>
            <w:vAlign w:val="bottom"/>
            <w:hideMark/>
          </w:tcPr>
          <w:p w14:paraId="44D5E46F" w14:textId="431BA71A"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$12.1</w:t>
            </w:r>
          </w:p>
        </w:tc>
        <w:tc>
          <w:tcPr>
            <w:tcW w:w="943" w:type="dxa"/>
            <w:tcBorders>
              <w:top w:val="nil"/>
              <w:left w:val="nil"/>
              <w:bottom w:val="single" w:sz="4" w:space="0" w:color="auto"/>
              <w:right w:val="nil"/>
            </w:tcBorders>
            <w:shd w:val="clear" w:color="auto" w:fill="auto"/>
            <w:noWrap/>
            <w:vAlign w:val="bottom"/>
            <w:hideMark/>
          </w:tcPr>
          <w:p w14:paraId="5CA95BA0" w14:textId="1EB97904"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$1.1</w:t>
            </w:r>
          </w:p>
        </w:tc>
        <w:tc>
          <w:tcPr>
            <w:tcW w:w="943" w:type="dxa"/>
            <w:tcBorders>
              <w:top w:val="nil"/>
              <w:left w:val="nil"/>
              <w:bottom w:val="single" w:sz="4" w:space="0" w:color="auto"/>
              <w:right w:val="single" w:sz="4" w:space="0" w:color="auto"/>
            </w:tcBorders>
            <w:shd w:val="clear" w:color="auto" w:fill="auto"/>
            <w:noWrap/>
            <w:vAlign w:val="bottom"/>
            <w:hideMark/>
          </w:tcPr>
          <w:p w14:paraId="682CF924" w14:textId="3EE2E662"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$13.3</w:t>
            </w:r>
          </w:p>
        </w:tc>
        <w:tc>
          <w:tcPr>
            <w:tcW w:w="943" w:type="dxa"/>
            <w:tcBorders>
              <w:top w:val="nil"/>
              <w:left w:val="single" w:sz="4" w:space="0" w:color="auto"/>
              <w:bottom w:val="single" w:sz="4" w:space="0" w:color="auto"/>
              <w:right w:val="nil"/>
            </w:tcBorders>
            <w:shd w:val="clear" w:color="auto" w:fill="D9D9D9" w:themeFill="background2" w:themeFillShade="D9"/>
            <w:noWrap/>
            <w:vAlign w:val="bottom"/>
            <w:hideMark/>
          </w:tcPr>
          <w:p w14:paraId="205EC920" w14:textId="0507E2A7"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$9.0</w:t>
            </w:r>
          </w:p>
        </w:tc>
        <w:tc>
          <w:tcPr>
            <w:tcW w:w="943" w:type="dxa"/>
            <w:tcBorders>
              <w:top w:val="nil"/>
              <w:left w:val="nil"/>
              <w:bottom w:val="single" w:sz="4" w:space="0" w:color="auto"/>
              <w:right w:val="nil"/>
            </w:tcBorders>
            <w:shd w:val="clear" w:color="auto" w:fill="D9D9D9" w:themeFill="background2" w:themeFillShade="D9"/>
            <w:noWrap/>
            <w:vAlign w:val="bottom"/>
            <w:hideMark/>
          </w:tcPr>
          <w:p w14:paraId="6F568B71" w14:textId="7647ABC6"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3.1</w:t>
            </w:r>
          </w:p>
        </w:tc>
        <w:tc>
          <w:tcPr>
            <w:tcW w:w="962" w:type="dxa"/>
            <w:tcBorders>
              <w:top w:val="nil"/>
              <w:left w:val="nil"/>
              <w:bottom w:val="single" w:sz="4" w:space="0" w:color="auto"/>
              <w:right w:val="single" w:sz="4" w:space="0" w:color="auto"/>
            </w:tcBorders>
            <w:shd w:val="clear" w:color="auto" w:fill="auto"/>
            <w:noWrap/>
            <w:vAlign w:val="bottom"/>
            <w:hideMark/>
          </w:tcPr>
          <w:p w14:paraId="66305E71" w14:textId="2762F9EE" w:rsidR="002D70A4" w:rsidRPr="008D79C5" w:rsidRDefault="002D70A4" w:rsidP="002D70A4">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2.6%</w:t>
            </w:r>
          </w:p>
        </w:tc>
      </w:tr>
    </w:tbl>
    <w:p w14:paraId="76B6D3FA" w14:textId="77777777" w:rsidR="00DD08A9" w:rsidRDefault="00DD08A9" w:rsidP="00DD08A9"/>
    <w:p w14:paraId="6854D546" w14:textId="2E47D246" w:rsidR="00DD08A9" w:rsidRDefault="00DD08A9" w:rsidP="00DD08A9">
      <w:pPr>
        <w:pStyle w:val="Caption"/>
        <w:jc w:val="center"/>
      </w:pPr>
      <w:bookmarkStart w:id="190" w:name="_Ref191636762"/>
      <w:bookmarkStart w:id="191" w:name="_Toc196745496"/>
      <w:r>
        <w:t xml:space="preserve">Figure </w:t>
      </w:r>
      <w:r w:rsidR="0042496D">
        <w:fldChar w:fldCharType="begin"/>
      </w:r>
      <w:r w:rsidR="0042496D">
        <w:instrText xml:space="preserve"> SEQ Figure \* ARABIC </w:instrText>
      </w:r>
      <w:r w:rsidR="0042496D">
        <w:fldChar w:fldCharType="separate"/>
      </w:r>
      <w:r w:rsidR="002271EC">
        <w:rPr>
          <w:noProof/>
        </w:rPr>
        <w:t>34</w:t>
      </w:r>
      <w:r w:rsidR="0042496D">
        <w:rPr>
          <w:noProof/>
        </w:rPr>
        <w:fldChar w:fldCharType="end"/>
      </w:r>
      <w:bookmarkEnd w:id="190"/>
      <w:r>
        <w:t xml:space="preserve"> </w:t>
      </w:r>
      <w:r w:rsidRPr="00DC3CDA">
        <w:t xml:space="preserve">NPV of </w:t>
      </w:r>
      <w:r w:rsidR="0041186E">
        <w:t>costs and benefits</w:t>
      </w:r>
      <w:r w:rsidRPr="00DC3CDA">
        <w:t xml:space="preserve">, 2025-2040, </w:t>
      </w:r>
      <w:r>
        <w:t>New Zealand</w:t>
      </w:r>
      <w:bookmarkEnd w:id="191"/>
    </w:p>
    <w:p w14:paraId="7B2332B3" w14:textId="1920763F" w:rsidR="00DD08A9" w:rsidRDefault="002D70A4" w:rsidP="0041186E">
      <w:pPr>
        <w:jc w:val="center"/>
      </w:pPr>
      <w:r>
        <w:rPr>
          <w:noProof/>
        </w:rPr>
        <w:drawing>
          <wp:inline distT="0" distB="0" distL="0" distR="0" wp14:anchorId="47844ED1" wp14:editId="40850B2A">
            <wp:extent cx="3952875" cy="2871712"/>
            <wp:effectExtent l="19050" t="19050" r="9525" b="24130"/>
            <wp:docPr id="6" name="Picture 6" descr="Bar chart of the net present value of the costs, benefits and benefit divided by cost ratios for each WELS option for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71714" cy="2885398"/>
                    </a:xfrm>
                    <a:prstGeom prst="rect">
                      <a:avLst/>
                    </a:prstGeom>
                    <a:noFill/>
                    <a:ln>
                      <a:solidFill>
                        <a:schemeClr val="accent1"/>
                      </a:solidFill>
                    </a:ln>
                  </pic:spPr>
                </pic:pic>
              </a:graphicData>
            </a:graphic>
          </wp:inline>
        </w:drawing>
      </w:r>
    </w:p>
    <w:p w14:paraId="7FF4531B" w14:textId="70D1CB5F" w:rsidR="00815FAF" w:rsidRDefault="00815FAF">
      <w:pPr>
        <w:spacing w:after="200" w:line="288" w:lineRule="auto"/>
        <w:jc w:val="left"/>
      </w:pPr>
      <w:r>
        <w:br w:type="page"/>
      </w:r>
    </w:p>
    <w:p w14:paraId="3C8A54A4" w14:textId="154289A3" w:rsidR="00DD08A9" w:rsidRDefault="00DD08A9" w:rsidP="0041186E">
      <w:pPr>
        <w:pStyle w:val="Caption"/>
        <w:jc w:val="center"/>
      </w:pPr>
      <w:bookmarkStart w:id="192" w:name="_Toc196745497"/>
      <w:r>
        <w:lastRenderedPageBreak/>
        <w:t xml:space="preserve">Figure </w:t>
      </w:r>
      <w:r w:rsidR="0042496D">
        <w:fldChar w:fldCharType="begin"/>
      </w:r>
      <w:r w:rsidR="0042496D">
        <w:instrText xml:space="preserve"> SEQ Figure \* ARABIC </w:instrText>
      </w:r>
      <w:r w:rsidR="0042496D">
        <w:fldChar w:fldCharType="separate"/>
      </w:r>
      <w:r w:rsidR="002271EC">
        <w:rPr>
          <w:noProof/>
        </w:rPr>
        <w:t>35</w:t>
      </w:r>
      <w:r w:rsidR="0042496D">
        <w:rPr>
          <w:noProof/>
        </w:rPr>
        <w:fldChar w:fldCharType="end"/>
      </w:r>
      <w:r>
        <w:t xml:space="preserve"> </w:t>
      </w:r>
      <w:r w:rsidRPr="00DC3CDA">
        <w:t xml:space="preserve">NPV of program costs, 2025-2040, </w:t>
      </w:r>
      <w:r>
        <w:t>New Zealand</w:t>
      </w:r>
      <w:bookmarkEnd w:id="192"/>
    </w:p>
    <w:p w14:paraId="55C1C970" w14:textId="1247E6B3" w:rsidR="00DD08A9" w:rsidRDefault="0041186E" w:rsidP="0041186E">
      <w:pPr>
        <w:jc w:val="center"/>
      </w:pPr>
      <w:r>
        <w:rPr>
          <w:noProof/>
        </w:rPr>
        <w:drawing>
          <wp:inline distT="0" distB="0" distL="0" distR="0" wp14:anchorId="58E05A59" wp14:editId="48ADB8CA">
            <wp:extent cx="3905250" cy="2837112"/>
            <wp:effectExtent l="19050" t="19050" r="19050" b="20955"/>
            <wp:docPr id="43" name="Picture 43" descr="Bar chart of the net present value of the costs for each WELS option, divided into industry costs and regulator costs for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61555" cy="2878017"/>
                    </a:xfrm>
                    <a:prstGeom prst="rect">
                      <a:avLst/>
                    </a:prstGeom>
                    <a:noFill/>
                    <a:ln>
                      <a:solidFill>
                        <a:schemeClr val="accent1"/>
                      </a:solidFill>
                    </a:ln>
                  </pic:spPr>
                </pic:pic>
              </a:graphicData>
            </a:graphic>
          </wp:inline>
        </w:drawing>
      </w:r>
    </w:p>
    <w:p w14:paraId="6612E156" w14:textId="77777777" w:rsidR="000F2521" w:rsidRDefault="000F2521" w:rsidP="0041186E">
      <w:pPr>
        <w:jc w:val="center"/>
      </w:pPr>
    </w:p>
    <w:p w14:paraId="57E9918D" w14:textId="3A70ED86" w:rsidR="001A51D1" w:rsidRDefault="001A51D1" w:rsidP="001A51D1">
      <w:r>
        <w:fldChar w:fldCharType="begin"/>
      </w:r>
      <w:r>
        <w:instrText xml:space="preserve"> REF _Ref192520483 \h </w:instrText>
      </w:r>
      <w:r>
        <w:fldChar w:fldCharType="separate"/>
      </w:r>
      <w:r w:rsidR="002271EC">
        <w:t xml:space="preserve">Table </w:t>
      </w:r>
      <w:r w:rsidR="002271EC">
        <w:rPr>
          <w:noProof/>
        </w:rPr>
        <w:t>20</w:t>
      </w:r>
      <w:r>
        <w:fldChar w:fldCharType="end"/>
      </w:r>
      <w:r>
        <w:t xml:space="preserve"> indicates the sensitivity of outcomes to discount rates higher than lower than the central 5% discount rate used by New Zealand Treasury. All options are highly cost-effective under all </w:t>
      </w:r>
      <w:r w:rsidR="00C914E5">
        <w:t>discount rates.</w:t>
      </w:r>
    </w:p>
    <w:p w14:paraId="78CA3519" w14:textId="77777777" w:rsidR="000F2521" w:rsidRDefault="000F2521" w:rsidP="001A51D1"/>
    <w:p w14:paraId="2CAA5765" w14:textId="725DD35C" w:rsidR="001A51D1" w:rsidRDefault="001A51D1" w:rsidP="001A51D1">
      <w:pPr>
        <w:pStyle w:val="Caption"/>
        <w:jc w:val="center"/>
      </w:pPr>
      <w:bookmarkStart w:id="193" w:name="_Ref192520483"/>
      <w:bookmarkStart w:id="194" w:name="_Toc196745462"/>
      <w:r>
        <w:t xml:space="preserve">Table </w:t>
      </w:r>
      <w:r w:rsidR="0042496D">
        <w:fldChar w:fldCharType="begin"/>
      </w:r>
      <w:r w:rsidR="0042496D">
        <w:instrText xml:space="preserve"> SEQ Table \* ARABIC </w:instrText>
      </w:r>
      <w:r w:rsidR="0042496D">
        <w:fldChar w:fldCharType="separate"/>
      </w:r>
      <w:r w:rsidR="002271EC">
        <w:rPr>
          <w:noProof/>
        </w:rPr>
        <w:t>20</w:t>
      </w:r>
      <w:r w:rsidR="0042496D">
        <w:rPr>
          <w:noProof/>
        </w:rPr>
        <w:fldChar w:fldCharType="end"/>
      </w:r>
      <w:bookmarkEnd w:id="193"/>
      <w:r>
        <w:t xml:space="preserve"> Sensitivity to discount rate assumptions, New Zealand</w:t>
      </w:r>
      <w:bookmarkEnd w:id="194"/>
    </w:p>
    <w:tbl>
      <w:tblPr>
        <w:tblW w:w="7199" w:type="dxa"/>
        <w:jc w:val="center"/>
        <w:tblLook w:val="04A0" w:firstRow="1" w:lastRow="0" w:firstColumn="1" w:lastColumn="0" w:noHBand="0" w:noVBand="1"/>
      </w:tblPr>
      <w:tblGrid>
        <w:gridCol w:w="1391"/>
        <w:gridCol w:w="969"/>
        <w:gridCol w:w="959"/>
        <w:gridCol w:w="968"/>
        <w:gridCol w:w="968"/>
        <w:gridCol w:w="976"/>
        <w:gridCol w:w="968"/>
      </w:tblGrid>
      <w:tr w:rsidR="001A51D1" w:rsidRPr="008D79C5" w14:paraId="3643A2AD" w14:textId="77777777" w:rsidTr="00145E59">
        <w:trPr>
          <w:trHeight w:val="300"/>
          <w:jc w:val="center"/>
        </w:trPr>
        <w:tc>
          <w:tcPr>
            <w:tcW w:w="1391" w:type="dxa"/>
            <w:tcBorders>
              <w:top w:val="single" w:sz="4" w:space="0" w:color="auto"/>
              <w:left w:val="single" w:sz="4" w:space="0" w:color="auto"/>
              <w:bottom w:val="nil"/>
              <w:right w:val="nil"/>
            </w:tcBorders>
            <w:shd w:val="clear" w:color="auto" w:fill="auto"/>
            <w:noWrap/>
            <w:vAlign w:val="bottom"/>
            <w:hideMark/>
          </w:tcPr>
          <w:p w14:paraId="1DE7980F" w14:textId="77777777" w:rsidR="001A51D1" w:rsidRPr="008D79C5" w:rsidRDefault="001A51D1" w:rsidP="00145E59">
            <w:pPr>
              <w:spacing w:after="0" w:line="240" w:lineRule="auto"/>
              <w:jc w:val="center"/>
              <w:rPr>
                <w:rFonts w:ascii="Calibri" w:eastAsia="Times New Roman" w:hAnsi="Calibri" w:cs="Calibri"/>
                <w:color w:val="000000"/>
                <w:sz w:val="20"/>
                <w:szCs w:val="20"/>
                <w:lang w:eastAsia="en-AU"/>
              </w:rPr>
            </w:pPr>
          </w:p>
        </w:tc>
        <w:tc>
          <w:tcPr>
            <w:tcW w:w="2896" w:type="dxa"/>
            <w:gridSpan w:val="3"/>
            <w:tcBorders>
              <w:top w:val="single" w:sz="4" w:space="0" w:color="auto"/>
              <w:left w:val="single" w:sz="4" w:space="0" w:color="auto"/>
              <w:bottom w:val="nil"/>
              <w:right w:val="single" w:sz="4" w:space="0" w:color="auto"/>
            </w:tcBorders>
            <w:shd w:val="clear" w:color="auto" w:fill="auto"/>
            <w:noWrap/>
            <w:vAlign w:val="bottom"/>
            <w:hideMark/>
          </w:tcPr>
          <w:p w14:paraId="58C12D2C" w14:textId="77777777" w:rsidR="001A51D1" w:rsidRPr="008D79C5" w:rsidRDefault="001A51D1" w:rsidP="00145E59">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$M NPV at discount rates</w:t>
            </w:r>
          </w:p>
        </w:tc>
        <w:tc>
          <w:tcPr>
            <w:tcW w:w="2912" w:type="dxa"/>
            <w:gridSpan w:val="3"/>
            <w:tcBorders>
              <w:top w:val="single" w:sz="4" w:space="0" w:color="auto"/>
              <w:left w:val="nil"/>
              <w:bottom w:val="nil"/>
              <w:right w:val="single" w:sz="4" w:space="0" w:color="auto"/>
            </w:tcBorders>
            <w:shd w:val="clear" w:color="auto" w:fill="auto"/>
            <w:noWrap/>
            <w:vAlign w:val="bottom"/>
            <w:hideMark/>
          </w:tcPr>
          <w:p w14:paraId="05EED3E5" w14:textId="77777777" w:rsidR="001A51D1" w:rsidRPr="008D79C5" w:rsidRDefault="001A51D1" w:rsidP="00145E59">
            <w:pPr>
              <w:spacing w:after="0" w:line="240" w:lineRule="auto"/>
              <w:jc w:val="center"/>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B/C ratio at discount rates</w:t>
            </w:r>
          </w:p>
        </w:tc>
      </w:tr>
      <w:tr w:rsidR="001A51D1" w:rsidRPr="008D79C5" w14:paraId="1F5C2B1A" w14:textId="77777777" w:rsidTr="001A51D1">
        <w:trPr>
          <w:trHeight w:val="300"/>
          <w:jc w:val="center"/>
        </w:trPr>
        <w:tc>
          <w:tcPr>
            <w:tcW w:w="1391" w:type="dxa"/>
            <w:tcBorders>
              <w:top w:val="single" w:sz="4" w:space="0" w:color="auto"/>
              <w:left w:val="single" w:sz="4" w:space="0" w:color="auto"/>
              <w:bottom w:val="single" w:sz="4" w:space="0" w:color="auto"/>
              <w:right w:val="nil"/>
            </w:tcBorders>
            <w:shd w:val="clear" w:color="auto" w:fill="auto"/>
            <w:noWrap/>
            <w:vAlign w:val="bottom"/>
            <w:hideMark/>
          </w:tcPr>
          <w:p w14:paraId="5BC4A050" w14:textId="77777777" w:rsidR="001A51D1" w:rsidRPr="008D79C5" w:rsidRDefault="001A51D1" w:rsidP="00145E59">
            <w:pPr>
              <w:spacing w:after="0" w:line="240" w:lineRule="auto"/>
              <w:jc w:val="lef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 </w:t>
            </w:r>
          </w:p>
        </w:tc>
        <w:tc>
          <w:tcPr>
            <w:tcW w:w="969" w:type="dxa"/>
            <w:tcBorders>
              <w:top w:val="single" w:sz="4" w:space="0" w:color="auto"/>
              <w:left w:val="single" w:sz="4" w:space="0" w:color="auto"/>
              <w:bottom w:val="single" w:sz="4" w:space="0" w:color="auto"/>
              <w:right w:val="nil"/>
            </w:tcBorders>
            <w:shd w:val="clear" w:color="auto" w:fill="auto"/>
            <w:noWrap/>
            <w:vAlign w:val="bottom"/>
            <w:hideMark/>
          </w:tcPr>
          <w:p w14:paraId="2146F242" w14:textId="27C5B7BA" w:rsidR="001A51D1" w:rsidRPr="008D79C5" w:rsidRDefault="001A51D1" w:rsidP="00145E59">
            <w:pPr>
              <w:spacing w:after="0" w:line="240" w:lineRule="auto"/>
              <w:jc w:val="righ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2%</w:t>
            </w:r>
          </w:p>
        </w:tc>
        <w:tc>
          <w:tcPr>
            <w:tcW w:w="959" w:type="dxa"/>
            <w:tcBorders>
              <w:top w:val="single" w:sz="4" w:space="0" w:color="auto"/>
              <w:left w:val="nil"/>
              <w:bottom w:val="single" w:sz="4" w:space="0" w:color="auto"/>
              <w:right w:val="nil"/>
            </w:tcBorders>
            <w:shd w:val="clear" w:color="auto" w:fill="D9D9D9" w:themeFill="background2" w:themeFillShade="D9"/>
            <w:noWrap/>
            <w:vAlign w:val="bottom"/>
            <w:hideMark/>
          </w:tcPr>
          <w:p w14:paraId="39C8959C" w14:textId="3D14D014" w:rsidR="001A51D1" w:rsidRPr="008D79C5" w:rsidRDefault="001A51D1" w:rsidP="00145E59">
            <w:pPr>
              <w:spacing w:after="0" w:line="240" w:lineRule="auto"/>
              <w:jc w:val="righ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5%</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5F204E06" w14:textId="4DA7FA34" w:rsidR="001A51D1" w:rsidRPr="008D79C5" w:rsidRDefault="001A51D1" w:rsidP="00145E59">
            <w:pPr>
              <w:spacing w:after="0" w:line="240" w:lineRule="auto"/>
              <w:jc w:val="righ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8%</w:t>
            </w:r>
          </w:p>
        </w:tc>
        <w:tc>
          <w:tcPr>
            <w:tcW w:w="968" w:type="dxa"/>
            <w:tcBorders>
              <w:top w:val="single" w:sz="4" w:space="0" w:color="auto"/>
              <w:left w:val="nil"/>
              <w:bottom w:val="single" w:sz="4" w:space="0" w:color="auto"/>
              <w:right w:val="nil"/>
            </w:tcBorders>
            <w:shd w:val="clear" w:color="auto" w:fill="auto"/>
            <w:noWrap/>
            <w:vAlign w:val="bottom"/>
            <w:hideMark/>
          </w:tcPr>
          <w:p w14:paraId="755E198A" w14:textId="051C6E1C" w:rsidR="001A51D1" w:rsidRPr="008D79C5" w:rsidRDefault="001A51D1" w:rsidP="00145E59">
            <w:pPr>
              <w:spacing w:after="0" w:line="240" w:lineRule="auto"/>
              <w:jc w:val="righ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2%</w:t>
            </w:r>
          </w:p>
        </w:tc>
        <w:tc>
          <w:tcPr>
            <w:tcW w:w="976" w:type="dxa"/>
            <w:tcBorders>
              <w:top w:val="single" w:sz="4" w:space="0" w:color="auto"/>
              <w:left w:val="nil"/>
              <w:bottom w:val="single" w:sz="4" w:space="0" w:color="auto"/>
              <w:right w:val="single" w:sz="4" w:space="0" w:color="auto"/>
            </w:tcBorders>
            <w:shd w:val="clear" w:color="auto" w:fill="D9D9D9" w:themeFill="background2" w:themeFillShade="D9"/>
            <w:noWrap/>
            <w:vAlign w:val="bottom"/>
            <w:hideMark/>
          </w:tcPr>
          <w:p w14:paraId="3606A969" w14:textId="036AD104" w:rsidR="001A51D1" w:rsidRPr="008D79C5" w:rsidRDefault="001A51D1" w:rsidP="00145E59">
            <w:pPr>
              <w:spacing w:after="0" w:line="240" w:lineRule="auto"/>
              <w:jc w:val="righ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5%</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DF8BD" w14:textId="643E5CB3" w:rsidR="001A51D1" w:rsidRPr="008D79C5" w:rsidRDefault="001A51D1" w:rsidP="00145E59">
            <w:pPr>
              <w:spacing w:after="0" w:line="240" w:lineRule="auto"/>
              <w:jc w:val="righ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8%</w:t>
            </w:r>
          </w:p>
        </w:tc>
      </w:tr>
      <w:tr w:rsidR="001A51D1" w:rsidRPr="008D79C5" w14:paraId="0E598B77" w14:textId="77777777" w:rsidTr="001A51D1">
        <w:trPr>
          <w:trHeight w:val="300"/>
          <w:jc w:val="center"/>
        </w:trPr>
        <w:tc>
          <w:tcPr>
            <w:tcW w:w="1391" w:type="dxa"/>
            <w:tcBorders>
              <w:top w:val="nil"/>
              <w:left w:val="single" w:sz="4" w:space="0" w:color="auto"/>
              <w:bottom w:val="nil"/>
              <w:right w:val="single" w:sz="4" w:space="0" w:color="auto"/>
            </w:tcBorders>
            <w:shd w:val="clear" w:color="auto" w:fill="auto"/>
            <w:noWrap/>
            <w:vAlign w:val="bottom"/>
            <w:hideMark/>
          </w:tcPr>
          <w:p w14:paraId="2DEE4004" w14:textId="77777777" w:rsidR="001A51D1" w:rsidRPr="008D79C5" w:rsidRDefault="001A51D1" w:rsidP="001A51D1">
            <w:pPr>
              <w:spacing w:after="0" w:line="240" w:lineRule="auto"/>
              <w:jc w:val="lef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Option 2</w:t>
            </w:r>
          </w:p>
        </w:tc>
        <w:tc>
          <w:tcPr>
            <w:tcW w:w="969" w:type="dxa"/>
            <w:tcBorders>
              <w:top w:val="single" w:sz="4" w:space="0" w:color="auto"/>
              <w:left w:val="single" w:sz="4" w:space="0" w:color="auto"/>
              <w:bottom w:val="nil"/>
              <w:right w:val="nil"/>
            </w:tcBorders>
            <w:shd w:val="clear" w:color="auto" w:fill="auto"/>
            <w:noWrap/>
            <w:vAlign w:val="bottom"/>
            <w:hideMark/>
          </w:tcPr>
          <w:p w14:paraId="281A9C71" w14:textId="639C3F86"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$10.6</w:t>
            </w:r>
          </w:p>
        </w:tc>
        <w:tc>
          <w:tcPr>
            <w:tcW w:w="959" w:type="dxa"/>
            <w:tcBorders>
              <w:top w:val="single" w:sz="4" w:space="0" w:color="auto"/>
              <w:left w:val="nil"/>
              <w:bottom w:val="nil"/>
              <w:right w:val="nil"/>
            </w:tcBorders>
            <w:shd w:val="clear" w:color="auto" w:fill="D9D9D9" w:themeFill="background2" w:themeFillShade="D9"/>
            <w:noWrap/>
            <w:vAlign w:val="bottom"/>
            <w:hideMark/>
          </w:tcPr>
          <w:p w14:paraId="1FF05D5D" w14:textId="6EF9DAAE"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$7.3</w:t>
            </w:r>
          </w:p>
        </w:tc>
        <w:tc>
          <w:tcPr>
            <w:tcW w:w="968" w:type="dxa"/>
            <w:tcBorders>
              <w:top w:val="single" w:sz="4" w:space="0" w:color="auto"/>
              <w:left w:val="nil"/>
              <w:bottom w:val="nil"/>
              <w:right w:val="single" w:sz="4" w:space="0" w:color="auto"/>
            </w:tcBorders>
            <w:shd w:val="clear" w:color="auto" w:fill="auto"/>
            <w:noWrap/>
            <w:vAlign w:val="bottom"/>
            <w:hideMark/>
          </w:tcPr>
          <w:p w14:paraId="633A891B" w14:textId="7EA9FA04"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$5.2</w:t>
            </w:r>
          </w:p>
        </w:tc>
        <w:tc>
          <w:tcPr>
            <w:tcW w:w="968" w:type="dxa"/>
            <w:tcBorders>
              <w:top w:val="single" w:sz="4" w:space="0" w:color="auto"/>
              <w:left w:val="single" w:sz="4" w:space="0" w:color="auto"/>
              <w:bottom w:val="nil"/>
              <w:right w:val="nil"/>
            </w:tcBorders>
            <w:shd w:val="clear" w:color="auto" w:fill="auto"/>
            <w:noWrap/>
            <w:vAlign w:val="bottom"/>
            <w:hideMark/>
          </w:tcPr>
          <w:p w14:paraId="57AAC638" w14:textId="6AD114E8"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8.4</w:t>
            </w:r>
          </w:p>
        </w:tc>
        <w:tc>
          <w:tcPr>
            <w:tcW w:w="976" w:type="dxa"/>
            <w:tcBorders>
              <w:top w:val="single" w:sz="4" w:space="0" w:color="auto"/>
              <w:left w:val="nil"/>
              <w:bottom w:val="nil"/>
              <w:right w:val="nil"/>
            </w:tcBorders>
            <w:shd w:val="clear" w:color="auto" w:fill="D9D9D9" w:themeFill="background2" w:themeFillShade="D9"/>
            <w:noWrap/>
            <w:vAlign w:val="bottom"/>
            <w:hideMark/>
          </w:tcPr>
          <w:p w14:paraId="4D834462" w14:textId="38BAAC01"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7.6</w:t>
            </w:r>
          </w:p>
        </w:tc>
        <w:tc>
          <w:tcPr>
            <w:tcW w:w="968" w:type="dxa"/>
            <w:tcBorders>
              <w:top w:val="single" w:sz="4" w:space="0" w:color="auto"/>
              <w:left w:val="nil"/>
              <w:bottom w:val="nil"/>
              <w:right w:val="single" w:sz="4" w:space="0" w:color="auto"/>
            </w:tcBorders>
            <w:shd w:val="clear" w:color="auto" w:fill="auto"/>
            <w:noWrap/>
            <w:vAlign w:val="bottom"/>
            <w:hideMark/>
          </w:tcPr>
          <w:p w14:paraId="3FE34EF9" w14:textId="0AD3BA28"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7.0</w:t>
            </w:r>
          </w:p>
        </w:tc>
      </w:tr>
      <w:tr w:rsidR="001A51D1" w:rsidRPr="008D79C5" w14:paraId="75125418" w14:textId="77777777" w:rsidTr="001A51D1">
        <w:trPr>
          <w:trHeight w:val="300"/>
          <w:jc w:val="center"/>
        </w:trPr>
        <w:tc>
          <w:tcPr>
            <w:tcW w:w="1391" w:type="dxa"/>
            <w:tcBorders>
              <w:top w:val="nil"/>
              <w:left w:val="single" w:sz="4" w:space="0" w:color="auto"/>
              <w:bottom w:val="nil"/>
              <w:right w:val="single" w:sz="4" w:space="0" w:color="auto"/>
            </w:tcBorders>
            <w:shd w:val="clear" w:color="auto" w:fill="auto"/>
            <w:noWrap/>
            <w:vAlign w:val="bottom"/>
            <w:hideMark/>
          </w:tcPr>
          <w:p w14:paraId="1C480204" w14:textId="77777777" w:rsidR="001A51D1" w:rsidRPr="008D79C5" w:rsidRDefault="001A51D1" w:rsidP="001A51D1">
            <w:pPr>
              <w:spacing w:after="0" w:line="240" w:lineRule="auto"/>
              <w:jc w:val="lef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Option 3A</w:t>
            </w:r>
          </w:p>
        </w:tc>
        <w:tc>
          <w:tcPr>
            <w:tcW w:w="969" w:type="dxa"/>
            <w:tcBorders>
              <w:top w:val="nil"/>
              <w:left w:val="single" w:sz="4" w:space="0" w:color="auto"/>
              <w:bottom w:val="nil"/>
              <w:right w:val="nil"/>
            </w:tcBorders>
            <w:shd w:val="clear" w:color="auto" w:fill="auto"/>
            <w:noWrap/>
            <w:vAlign w:val="bottom"/>
            <w:hideMark/>
          </w:tcPr>
          <w:p w14:paraId="11820642" w14:textId="4B886CC8"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$9.6</w:t>
            </w:r>
          </w:p>
        </w:tc>
        <w:tc>
          <w:tcPr>
            <w:tcW w:w="959" w:type="dxa"/>
            <w:tcBorders>
              <w:top w:val="nil"/>
              <w:left w:val="nil"/>
              <w:bottom w:val="nil"/>
              <w:right w:val="nil"/>
            </w:tcBorders>
            <w:shd w:val="clear" w:color="auto" w:fill="D9D9D9" w:themeFill="background2" w:themeFillShade="D9"/>
            <w:noWrap/>
            <w:vAlign w:val="bottom"/>
            <w:hideMark/>
          </w:tcPr>
          <w:p w14:paraId="4436CB4C" w14:textId="6E28F604"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$6.4</w:t>
            </w:r>
          </w:p>
        </w:tc>
        <w:tc>
          <w:tcPr>
            <w:tcW w:w="968" w:type="dxa"/>
            <w:tcBorders>
              <w:top w:val="nil"/>
              <w:left w:val="nil"/>
              <w:bottom w:val="nil"/>
              <w:right w:val="single" w:sz="4" w:space="0" w:color="auto"/>
            </w:tcBorders>
            <w:shd w:val="clear" w:color="auto" w:fill="auto"/>
            <w:noWrap/>
            <w:vAlign w:val="bottom"/>
            <w:hideMark/>
          </w:tcPr>
          <w:p w14:paraId="0521FABB" w14:textId="34A8B26C"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$4.5</w:t>
            </w:r>
          </w:p>
        </w:tc>
        <w:tc>
          <w:tcPr>
            <w:tcW w:w="968" w:type="dxa"/>
            <w:tcBorders>
              <w:top w:val="nil"/>
              <w:left w:val="single" w:sz="4" w:space="0" w:color="auto"/>
              <w:bottom w:val="nil"/>
              <w:right w:val="nil"/>
            </w:tcBorders>
            <w:shd w:val="clear" w:color="auto" w:fill="auto"/>
            <w:noWrap/>
            <w:vAlign w:val="bottom"/>
            <w:hideMark/>
          </w:tcPr>
          <w:p w14:paraId="039C7C6D" w14:textId="771482F5"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4.1</w:t>
            </w:r>
          </w:p>
        </w:tc>
        <w:tc>
          <w:tcPr>
            <w:tcW w:w="976" w:type="dxa"/>
            <w:tcBorders>
              <w:top w:val="nil"/>
              <w:left w:val="nil"/>
              <w:bottom w:val="nil"/>
              <w:right w:val="nil"/>
            </w:tcBorders>
            <w:shd w:val="clear" w:color="auto" w:fill="D9D9D9" w:themeFill="background2" w:themeFillShade="D9"/>
            <w:noWrap/>
            <w:vAlign w:val="bottom"/>
            <w:hideMark/>
          </w:tcPr>
          <w:p w14:paraId="255E26AF" w14:textId="7D84FA08"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3.7</w:t>
            </w:r>
          </w:p>
        </w:tc>
        <w:tc>
          <w:tcPr>
            <w:tcW w:w="968" w:type="dxa"/>
            <w:tcBorders>
              <w:top w:val="nil"/>
              <w:left w:val="nil"/>
              <w:bottom w:val="nil"/>
              <w:right w:val="single" w:sz="4" w:space="0" w:color="auto"/>
            </w:tcBorders>
            <w:shd w:val="clear" w:color="auto" w:fill="auto"/>
            <w:noWrap/>
            <w:vAlign w:val="bottom"/>
            <w:hideMark/>
          </w:tcPr>
          <w:p w14:paraId="27FECD2F" w14:textId="489B0DF4"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3.4</w:t>
            </w:r>
          </w:p>
        </w:tc>
      </w:tr>
      <w:tr w:rsidR="001A51D1" w:rsidRPr="008D79C5" w14:paraId="0DBD4D1A" w14:textId="77777777" w:rsidTr="001A51D1">
        <w:trPr>
          <w:trHeight w:val="300"/>
          <w:jc w:val="center"/>
        </w:trPr>
        <w:tc>
          <w:tcPr>
            <w:tcW w:w="1391" w:type="dxa"/>
            <w:tcBorders>
              <w:top w:val="nil"/>
              <w:left w:val="single" w:sz="4" w:space="0" w:color="auto"/>
              <w:bottom w:val="nil"/>
              <w:right w:val="single" w:sz="4" w:space="0" w:color="auto"/>
            </w:tcBorders>
            <w:shd w:val="clear" w:color="auto" w:fill="auto"/>
            <w:noWrap/>
            <w:vAlign w:val="bottom"/>
            <w:hideMark/>
          </w:tcPr>
          <w:p w14:paraId="5B311C9F" w14:textId="77777777" w:rsidR="001A51D1" w:rsidRPr="008D79C5" w:rsidRDefault="001A51D1" w:rsidP="001A51D1">
            <w:pPr>
              <w:spacing w:after="0" w:line="240" w:lineRule="auto"/>
              <w:jc w:val="lef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Option 3B</w:t>
            </w:r>
          </w:p>
        </w:tc>
        <w:tc>
          <w:tcPr>
            <w:tcW w:w="969" w:type="dxa"/>
            <w:tcBorders>
              <w:top w:val="nil"/>
              <w:left w:val="single" w:sz="4" w:space="0" w:color="auto"/>
              <w:bottom w:val="nil"/>
              <w:right w:val="nil"/>
            </w:tcBorders>
            <w:shd w:val="clear" w:color="auto" w:fill="auto"/>
            <w:noWrap/>
            <w:vAlign w:val="bottom"/>
            <w:hideMark/>
          </w:tcPr>
          <w:p w14:paraId="0623DC01" w14:textId="7FA371A9"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$9.8</w:t>
            </w:r>
          </w:p>
        </w:tc>
        <w:tc>
          <w:tcPr>
            <w:tcW w:w="959" w:type="dxa"/>
            <w:tcBorders>
              <w:top w:val="nil"/>
              <w:left w:val="nil"/>
              <w:bottom w:val="nil"/>
              <w:right w:val="nil"/>
            </w:tcBorders>
            <w:shd w:val="clear" w:color="auto" w:fill="D9D9D9" w:themeFill="background2" w:themeFillShade="D9"/>
            <w:noWrap/>
            <w:vAlign w:val="bottom"/>
            <w:hideMark/>
          </w:tcPr>
          <w:p w14:paraId="28BBB67B" w14:textId="5AA98DBD"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$6.6</w:t>
            </w:r>
          </w:p>
        </w:tc>
        <w:tc>
          <w:tcPr>
            <w:tcW w:w="968" w:type="dxa"/>
            <w:tcBorders>
              <w:top w:val="nil"/>
              <w:left w:val="nil"/>
              <w:bottom w:val="nil"/>
              <w:right w:val="single" w:sz="4" w:space="0" w:color="auto"/>
            </w:tcBorders>
            <w:shd w:val="clear" w:color="auto" w:fill="auto"/>
            <w:noWrap/>
            <w:vAlign w:val="bottom"/>
            <w:hideMark/>
          </w:tcPr>
          <w:p w14:paraId="4454554A" w14:textId="280EAC0F"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$4.5</w:t>
            </w:r>
          </w:p>
        </w:tc>
        <w:tc>
          <w:tcPr>
            <w:tcW w:w="968" w:type="dxa"/>
            <w:tcBorders>
              <w:top w:val="nil"/>
              <w:left w:val="single" w:sz="4" w:space="0" w:color="auto"/>
              <w:bottom w:val="nil"/>
              <w:right w:val="nil"/>
            </w:tcBorders>
            <w:shd w:val="clear" w:color="auto" w:fill="auto"/>
            <w:noWrap/>
            <w:vAlign w:val="bottom"/>
            <w:hideMark/>
          </w:tcPr>
          <w:p w14:paraId="7258D218" w14:textId="44F4214B"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3.9</w:t>
            </w:r>
          </w:p>
        </w:tc>
        <w:tc>
          <w:tcPr>
            <w:tcW w:w="976" w:type="dxa"/>
            <w:tcBorders>
              <w:top w:val="nil"/>
              <w:left w:val="nil"/>
              <w:bottom w:val="nil"/>
              <w:right w:val="nil"/>
            </w:tcBorders>
            <w:shd w:val="clear" w:color="auto" w:fill="D9D9D9" w:themeFill="background2" w:themeFillShade="D9"/>
            <w:noWrap/>
            <w:vAlign w:val="bottom"/>
            <w:hideMark/>
          </w:tcPr>
          <w:p w14:paraId="5480D73B" w14:textId="06EBEEA8"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3.5</w:t>
            </w:r>
          </w:p>
        </w:tc>
        <w:tc>
          <w:tcPr>
            <w:tcW w:w="968" w:type="dxa"/>
            <w:tcBorders>
              <w:top w:val="nil"/>
              <w:left w:val="nil"/>
              <w:bottom w:val="nil"/>
              <w:right w:val="single" w:sz="4" w:space="0" w:color="auto"/>
            </w:tcBorders>
            <w:shd w:val="clear" w:color="auto" w:fill="auto"/>
            <w:noWrap/>
            <w:vAlign w:val="bottom"/>
            <w:hideMark/>
          </w:tcPr>
          <w:p w14:paraId="6DCDDDA7" w14:textId="4838DDD6"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3.2</w:t>
            </w:r>
          </w:p>
        </w:tc>
      </w:tr>
      <w:tr w:rsidR="001A51D1" w:rsidRPr="008D79C5" w14:paraId="23B74B00" w14:textId="77777777" w:rsidTr="001A51D1">
        <w:trPr>
          <w:trHeight w:val="300"/>
          <w:jc w:val="center"/>
        </w:trPr>
        <w:tc>
          <w:tcPr>
            <w:tcW w:w="1391" w:type="dxa"/>
            <w:tcBorders>
              <w:top w:val="nil"/>
              <w:left w:val="single" w:sz="4" w:space="0" w:color="auto"/>
              <w:bottom w:val="nil"/>
              <w:right w:val="single" w:sz="4" w:space="0" w:color="auto"/>
            </w:tcBorders>
            <w:shd w:val="clear" w:color="auto" w:fill="auto"/>
            <w:noWrap/>
            <w:vAlign w:val="bottom"/>
            <w:hideMark/>
          </w:tcPr>
          <w:p w14:paraId="3243949F" w14:textId="77777777" w:rsidR="001A51D1" w:rsidRPr="008D79C5" w:rsidRDefault="001A51D1" w:rsidP="001A51D1">
            <w:pPr>
              <w:spacing w:after="0" w:line="240" w:lineRule="auto"/>
              <w:jc w:val="lef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Option 4A</w:t>
            </w:r>
          </w:p>
        </w:tc>
        <w:tc>
          <w:tcPr>
            <w:tcW w:w="969" w:type="dxa"/>
            <w:tcBorders>
              <w:top w:val="nil"/>
              <w:left w:val="single" w:sz="4" w:space="0" w:color="auto"/>
              <w:bottom w:val="nil"/>
              <w:right w:val="nil"/>
            </w:tcBorders>
            <w:shd w:val="clear" w:color="auto" w:fill="auto"/>
            <w:noWrap/>
            <w:vAlign w:val="bottom"/>
            <w:hideMark/>
          </w:tcPr>
          <w:p w14:paraId="65A957C0" w14:textId="38F1209F"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$14.5</w:t>
            </w:r>
          </w:p>
        </w:tc>
        <w:tc>
          <w:tcPr>
            <w:tcW w:w="959" w:type="dxa"/>
            <w:tcBorders>
              <w:top w:val="nil"/>
              <w:left w:val="nil"/>
              <w:bottom w:val="nil"/>
              <w:right w:val="nil"/>
            </w:tcBorders>
            <w:shd w:val="clear" w:color="auto" w:fill="D9D9D9" w:themeFill="background2" w:themeFillShade="D9"/>
            <w:noWrap/>
            <w:vAlign w:val="bottom"/>
            <w:hideMark/>
          </w:tcPr>
          <w:p w14:paraId="2C983F3C" w14:textId="7F6AE8E7"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$9.6</w:t>
            </w:r>
          </w:p>
        </w:tc>
        <w:tc>
          <w:tcPr>
            <w:tcW w:w="968" w:type="dxa"/>
            <w:tcBorders>
              <w:top w:val="nil"/>
              <w:left w:val="nil"/>
              <w:bottom w:val="nil"/>
              <w:right w:val="single" w:sz="4" w:space="0" w:color="auto"/>
            </w:tcBorders>
            <w:shd w:val="clear" w:color="auto" w:fill="auto"/>
            <w:noWrap/>
            <w:vAlign w:val="bottom"/>
            <w:hideMark/>
          </w:tcPr>
          <w:p w14:paraId="67BEBC82" w14:textId="1DB39D75"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$6.5</w:t>
            </w:r>
          </w:p>
        </w:tc>
        <w:tc>
          <w:tcPr>
            <w:tcW w:w="968" w:type="dxa"/>
            <w:tcBorders>
              <w:top w:val="nil"/>
              <w:left w:val="single" w:sz="4" w:space="0" w:color="auto"/>
              <w:bottom w:val="nil"/>
              <w:right w:val="nil"/>
            </w:tcBorders>
            <w:shd w:val="clear" w:color="auto" w:fill="auto"/>
            <w:noWrap/>
            <w:vAlign w:val="bottom"/>
            <w:hideMark/>
          </w:tcPr>
          <w:p w14:paraId="1B52ADA8" w14:textId="01F341F4"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3.3</w:t>
            </w:r>
          </w:p>
        </w:tc>
        <w:tc>
          <w:tcPr>
            <w:tcW w:w="976" w:type="dxa"/>
            <w:tcBorders>
              <w:top w:val="nil"/>
              <w:left w:val="nil"/>
              <w:bottom w:val="nil"/>
              <w:right w:val="nil"/>
            </w:tcBorders>
            <w:shd w:val="clear" w:color="auto" w:fill="D9D9D9" w:themeFill="background2" w:themeFillShade="D9"/>
            <w:noWrap/>
            <w:vAlign w:val="bottom"/>
            <w:hideMark/>
          </w:tcPr>
          <w:p w14:paraId="4DDCC51F" w14:textId="6B65DDEC"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3.1</w:t>
            </w:r>
          </w:p>
        </w:tc>
        <w:tc>
          <w:tcPr>
            <w:tcW w:w="968" w:type="dxa"/>
            <w:tcBorders>
              <w:top w:val="nil"/>
              <w:left w:val="nil"/>
              <w:bottom w:val="nil"/>
              <w:right w:val="single" w:sz="4" w:space="0" w:color="auto"/>
            </w:tcBorders>
            <w:shd w:val="clear" w:color="auto" w:fill="auto"/>
            <w:noWrap/>
            <w:vAlign w:val="bottom"/>
            <w:hideMark/>
          </w:tcPr>
          <w:p w14:paraId="29830DDB" w14:textId="11587219"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2.9</w:t>
            </w:r>
          </w:p>
        </w:tc>
      </w:tr>
      <w:tr w:rsidR="001A51D1" w:rsidRPr="008D79C5" w14:paraId="1F88AB1C" w14:textId="77777777" w:rsidTr="001A51D1">
        <w:trPr>
          <w:trHeight w:val="300"/>
          <w:jc w:val="center"/>
        </w:trPr>
        <w:tc>
          <w:tcPr>
            <w:tcW w:w="1391" w:type="dxa"/>
            <w:tcBorders>
              <w:top w:val="nil"/>
              <w:left w:val="single" w:sz="4" w:space="0" w:color="auto"/>
              <w:bottom w:val="single" w:sz="4" w:space="0" w:color="auto"/>
              <w:right w:val="single" w:sz="4" w:space="0" w:color="auto"/>
            </w:tcBorders>
            <w:shd w:val="clear" w:color="auto" w:fill="auto"/>
            <w:noWrap/>
            <w:vAlign w:val="bottom"/>
            <w:hideMark/>
          </w:tcPr>
          <w:p w14:paraId="49C4FA91" w14:textId="77777777" w:rsidR="001A51D1" w:rsidRPr="008D79C5" w:rsidRDefault="001A51D1" w:rsidP="001A51D1">
            <w:pPr>
              <w:spacing w:after="0" w:line="240" w:lineRule="auto"/>
              <w:jc w:val="left"/>
              <w:rPr>
                <w:rFonts w:ascii="Calibri" w:eastAsia="Times New Roman" w:hAnsi="Calibri" w:cs="Calibri"/>
                <w:color w:val="000000"/>
                <w:sz w:val="20"/>
                <w:szCs w:val="20"/>
                <w:lang w:eastAsia="en-AU"/>
              </w:rPr>
            </w:pPr>
            <w:r w:rsidRPr="008D79C5">
              <w:rPr>
                <w:rFonts w:ascii="Calibri" w:eastAsia="Times New Roman" w:hAnsi="Calibri" w:cs="Calibri"/>
                <w:color w:val="000000"/>
                <w:sz w:val="20"/>
                <w:szCs w:val="20"/>
                <w:lang w:eastAsia="en-AU"/>
              </w:rPr>
              <w:t>Option 4B</w:t>
            </w:r>
          </w:p>
        </w:tc>
        <w:tc>
          <w:tcPr>
            <w:tcW w:w="969" w:type="dxa"/>
            <w:tcBorders>
              <w:top w:val="nil"/>
              <w:left w:val="single" w:sz="4" w:space="0" w:color="auto"/>
              <w:bottom w:val="single" w:sz="4" w:space="0" w:color="auto"/>
              <w:right w:val="nil"/>
            </w:tcBorders>
            <w:shd w:val="clear" w:color="auto" w:fill="auto"/>
            <w:noWrap/>
            <w:vAlign w:val="bottom"/>
            <w:hideMark/>
          </w:tcPr>
          <w:p w14:paraId="24CD7607" w14:textId="58139D99"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$13.5</w:t>
            </w:r>
          </w:p>
        </w:tc>
        <w:tc>
          <w:tcPr>
            <w:tcW w:w="959" w:type="dxa"/>
            <w:tcBorders>
              <w:top w:val="nil"/>
              <w:left w:val="nil"/>
              <w:bottom w:val="single" w:sz="4" w:space="0" w:color="auto"/>
              <w:right w:val="nil"/>
            </w:tcBorders>
            <w:shd w:val="clear" w:color="auto" w:fill="D9D9D9" w:themeFill="background2" w:themeFillShade="D9"/>
            <w:noWrap/>
            <w:vAlign w:val="bottom"/>
            <w:hideMark/>
          </w:tcPr>
          <w:p w14:paraId="7935ACDA" w14:textId="0B7FB636"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$9.0</w:t>
            </w:r>
          </w:p>
        </w:tc>
        <w:tc>
          <w:tcPr>
            <w:tcW w:w="968" w:type="dxa"/>
            <w:tcBorders>
              <w:top w:val="nil"/>
              <w:left w:val="nil"/>
              <w:bottom w:val="single" w:sz="4" w:space="0" w:color="auto"/>
              <w:right w:val="single" w:sz="4" w:space="0" w:color="auto"/>
            </w:tcBorders>
            <w:shd w:val="clear" w:color="auto" w:fill="auto"/>
            <w:noWrap/>
            <w:vAlign w:val="bottom"/>
            <w:hideMark/>
          </w:tcPr>
          <w:p w14:paraId="1B351DE2" w14:textId="24A5D566"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$6.2</w:t>
            </w:r>
          </w:p>
        </w:tc>
        <w:tc>
          <w:tcPr>
            <w:tcW w:w="968" w:type="dxa"/>
            <w:tcBorders>
              <w:top w:val="nil"/>
              <w:left w:val="single" w:sz="4" w:space="0" w:color="auto"/>
              <w:bottom w:val="single" w:sz="4" w:space="0" w:color="auto"/>
              <w:right w:val="nil"/>
            </w:tcBorders>
            <w:shd w:val="clear" w:color="auto" w:fill="auto"/>
            <w:noWrap/>
            <w:vAlign w:val="bottom"/>
            <w:hideMark/>
          </w:tcPr>
          <w:p w14:paraId="5FC83626" w14:textId="3D7081D3"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3.4</w:t>
            </w:r>
          </w:p>
        </w:tc>
        <w:tc>
          <w:tcPr>
            <w:tcW w:w="976" w:type="dxa"/>
            <w:tcBorders>
              <w:top w:val="nil"/>
              <w:left w:val="nil"/>
              <w:bottom w:val="single" w:sz="4" w:space="0" w:color="auto"/>
              <w:right w:val="nil"/>
            </w:tcBorders>
            <w:shd w:val="clear" w:color="auto" w:fill="D9D9D9" w:themeFill="background2" w:themeFillShade="D9"/>
            <w:noWrap/>
            <w:vAlign w:val="bottom"/>
            <w:hideMark/>
          </w:tcPr>
          <w:p w14:paraId="1ED241D9" w14:textId="20B4E86C"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3.1</w:t>
            </w:r>
          </w:p>
        </w:tc>
        <w:tc>
          <w:tcPr>
            <w:tcW w:w="968" w:type="dxa"/>
            <w:tcBorders>
              <w:top w:val="nil"/>
              <w:left w:val="nil"/>
              <w:bottom w:val="single" w:sz="4" w:space="0" w:color="auto"/>
              <w:right w:val="single" w:sz="4" w:space="0" w:color="auto"/>
            </w:tcBorders>
            <w:shd w:val="clear" w:color="auto" w:fill="auto"/>
            <w:noWrap/>
            <w:vAlign w:val="bottom"/>
            <w:hideMark/>
          </w:tcPr>
          <w:p w14:paraId="0334E6D8" w14:textId="138179EC" w:rsidR="001A51D1" w:rsidRPr="008D79C5" w:rsidRDefault="001A51D1" w:rsidP="001A51D1">
            <w:pPr>
              <w:spacing w:after="0" w:line="240" w:lineRule="auto"/>
              <w:jc w:val="right"/>
              <w:rPr>
                <w:rFonts w:ascii="Calibri" w:eastAsia="Times New Roman" w:hAnsi="Calibri" w:cs="Calibri"/>
                <w:color w:val="000000"/>
                <w:sz w:val="20"/>
                <w:szCs w:val="20"/>
                <w:lang w:eastAsia="en-AU"/>
              </w:rPr>
            </w:pPr>
            <w:r w:rsidRPr="008D79C5">
              <w:rPr>
                <w:rFonts w:ascii="Calibri" w:hAnsi="Calibri" w:cs="Calibri"/>
                <w:color w:val="000000"/>
                <w:sz w:val="20"/>
                <w:szCs w:val="20"/>
              </w:rPr>
              <w:t>2.9</w:t>
            </w:r>
          </w:p>
        </w:tc>
      </w:tr>
    </w:tbl>
    <w:p w14:paraId="0F1CDB56" w14:textId="13950BC7" w:rsidR="008F0901" w:rsidRPr="00DD08A9" w:rsidRDefault="008F0901" w:rsidP="00D03647"/>
    <w:sectPr w:rsidR="008F0901" w:rsidRPr="00DD08A9" w:rsidSect="00D228AE">
      <w:pgSz w:w="11906" w:h="16838"/>
      <w:pgMar w:top="1701" w:right="1134" w:bottom="1843" w:left="1134" w:header="99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64D21" w14:textId="77777777" w:rsidR="000578AC" w:rsidRDefault="000578AC" w:rsidP="00F957C6">
      <w:pPr>
        <w:spacing w:after="0" w:line="240" w:lineRule="auto"/>
      </w:pPr>
      <w:r>
        <w:separator/>
      </w:r>
    </w:p>
  </w:endnote>
  <w:endnote w:type="continuationSeparator" w:id="0">
    <w:p w14:paraId="4020631D" w14:textId="77777777" w:rsidR="000578AC" w:rsidRDefault="000578AC" w:rsidP="00F95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8DFF" w14:textId="582D01EA" w:rsidR="00F51137" w:rsidRDefault="00F51137">
    <w:pPr>
      <w:pStyle w:val="Footer"/>
    </w:pPr>
    <w:r>
      <w:rPr>
        <w:noProof/>
      </w:rPr>
      <mc:AlternateContent>
        <mc:Choice Requires="wps">
          <w:drawing>
            <wp:anchor distT="0" distB="0" distL="0" distR="0" simplePos="0" relativeHeight="251657728" behindDoc="0" locked="0" layoutInCell="1" allowOverlap="1" wp14:anchorId="51AF59AE" wp14:editId="7B9BCD80">
              <wp:simplePos x="635" y="635"/>
              <wp:positionH relativeFrom="page">
                <wp:align>center</wp:align>
              </wp:positionH>
              <wp:positionV relativeFrom="page">
                <wp:align>bottom</wp:align>
              </wp:positionV>
              <wp:extent cx="551815" cy="394970"/>
              <wp:effectExtent l="0" t="0" r="635" b="0"/>
              <wp:wrapNone/>
              <wp:docPr id="148746462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388BB19" w14:textId="3F7E7FAE" w:rsidR="00F51137" w:rsidRPr="00831660" w:rsidRDefault="00F51137" w:rsidP="00831660">
                          <w:pPr>
                            <w:spacing w:after="0"/>
                            <w:rPr>
                              <w:rFonts w:ascii="Calibri" w:eastAsia="Calibri" w:hAnsi="Calibri" w:cs="Calibri"/>
                              <w:noProof/>
                              <w:color w:val="FF0000"/>
                              <w:sz w:val="24"/>
                              <w:szCs w:val="24"/>
                            </w:rPr>
                          </w:pPr>
                          <w:r w:rsidRPr="0083166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AF59AE"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1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5388BB19" w14:textId="3F7E7FAE" w:rsidR="00F51137" w:rsidRPr="00831660" w:rsidRDefault="00F51137" w:rsidP="00831660">
                    <w:pPr>
                      <w:spacing w:after="0"/>
                      <w:rPr>
                        <w:rFonts w:ascii="Calibri" w:eastAsia="Calibri" w:hAnsi="Calibri" w:cs="Calibri"/>
                        <w:noProof/>
                        <w:color w:val="FF0000"/>
                        <w:sz w:val="24"/>
                        <w:szCs w:val="24"/>
                      </w:rPr>
                    </w:pPr>
                    <w:r w:rsidRPr="0083166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0A75" w14:textId="36E2F460" w:rsidR="00F51137" w:rsidRPr="00852F35" w:rsidRDefault="00F51137" w:rsidP="00CA4641">
    <w:pPr>
      <w:pStyle w:val="CLASSIFICATION"/>
      <w:jc w:val="both"/>
      <w:rPr>
        <w:rFonts w:cs="Segoe UI"/>
        <w:color w:val="6E6E6E"/>
      </w:rPr>
    </w:pPr>
    <w:r>
      <w:rPr>
        <w:caps w:val="0"/>
        <w:color w:val="6E6E6E"/>
        <w:szCs w:val="18"/>
      </w:rPr>
      <w:t>Improving water efficiency for commercial ice makers – Impact Analysis</w:t>
    </w:r>
    <w:r w:rsidRPr="00852F35">
      <w:rPr>
        <w:color w:val="6E6E6E"/>
      </w:rPr>
      <w:ptab w:relativeTo="margin" w:alignment="right" w:leader="none"/>
    </w:r>
    <w:r w:rsidRPr="00852F35">
      <w:rPr>
        <w:rFonts w:cs="Segoe UI"/>
        <w:color w:val="6E6E6E"/>
      </w:rPr>
      <w:fldChar w:fldCharType="begin"/>
    </w:r>
    <w:r w:rsidRPr="00852F35">
      <w:rPr>
        <w:rFonts w:cs="Segoe UI"/>
        <w:color w:val="6E6E6E"/>
      </w:rPr>
      <w:instrText xml:space="preserve"> PAGE   \* MERGEFORMAT </w:instrText>
    </w:r>
    <w:r w:rsidRPr="00852F35">
      <w:rPr>
        <w:rFonts w:cs="Segoe UI"/>
        <w:color w:val="6E6E6E"/>
      </w:rPr>
      <w:fldChar w:fldCharType="separate"/>
    </w:r>
    <w:r>
      <w:rPr>
        <w:rFonts w:cs="Segoe UI"/>
        <w:noProof/>
        <w:color w:val="6E6E6E"/>
      </w:rPr>
      <w:t>2</w:t>
    </w:r>
    <w:r w:rsidRPr="00852F35">
      <w:rPr>
        <w:rFonts w:cs="Segoe UI"/>
        <w:noProof/>
        <w:color w:val="6E6E6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68CE0" w14:textId="77777777" w:rsidR="000578AC" w:rsidRDefault="000578AC" w:rsidP="00F957C6">
      <w:pPr>
        <w:spacing w:after="0" w:line="240" w:lineRule="auto"/>
      </w:pPr>
      <w:r>
        <w:separator/>
      </w:r>
    </w:p>
  </w:footnote>
  <w:footnote w:type="continuationSeparator" w:id="0">
    <w:p w14:paraId="6B320A3E" w14:textId="77777777" w:rsidR="000578AC" w:rsidRDefault="000578AC" w:rsidP="00F957C6">
      <w:pPr>
        <w:spacing w:after="0" w:line="240" w:lineRule="auto"/>
      </w:pPr>
      <w:r>
        <w:continuationSeparator/>
      </w:r>
    </w:p>
  </w:footnote>
  <w:footnote w:id="1">
    <w:p w14:paraId="5C3B8409" w14:textId="3D092AD6" w:rsidR="00F51137" w:rsidRDefault="00F51137" w:rsidP="00D525F1">
      <w:pPr>
        <w:pStyle w:val="FootnoteText"/>
      </w:pPr>
      <w:r>
        <w:rPr>
          <w:rStyle w:val="FootnoteReference"/>
        </w:rPr>
        <w:footnoteRef/>
      </w:r>
      <w:r>
        <w:t xml:space="preserve"> Ice may also be used as a thermal storage medium, e.g. to reduce air conditioner peak loads by making ice at off-peak times and melting it to assist cooling at peak times. In those cases, the water/ice is usually contained in a closed circuit. The present report deals with equipment where the ice is consumed and lost.</w:t>
      </w:r>
    </w:p>
  </w:footnote>
  <w:footnote w:id="2">
    <w:p w14:paraId="724531AC" w14:textId="6BB7186B" w:rsidR="00F51137" w:rsidRDefault="00F51137" w:rsidP="00D525F1">
      <w:pPr>
        <w:pStyle w:val="FootnoteText"/>
      </w:pPr>
      <w:r>
        <w:rPr>
          <w:rStyle w:val="FootnoteReference"/>
        </w:rPr>
        <w:footnoteRef/>
      </w:r>
      <w:r>
        <w:t xml:space="preserve"> Most </w:t>
      </w:r>
      <w:r w:rsidR="00FD11D5">
        <w:t xml:space="preserve">CIM </w:t>
      </w:r>
      <w:r>
        <w:t>advertising claims production capacities at rating points (combinations of air and water temperature) that are more favourable than the rating point in AS/NZS 4865. This means that models commonly advertised with production capacities up to 1,400 kg/24hrs could be within scope.</w:t>
      </w:r>
    </w:p>
  </w:footnote>
  <w:footnote w:id="3">
    <w:p w14:paraId="6082C11C" w14:textId="19EA3117" w:rsidR="00F51137" w:rsidRDefault="00F51137" w:rsidP="00943E31">
      <w:pPr>
        <w:pStyle w:val="FootnoteText"/>
      </w:pPr>
      <w:r>
        <w:rPr>
          <w:rStyle w:val="FootnoteReference"/>
        </w:rPr>
        <w:footnoteRef/>
      </w:r>
      <w:r>
        <w:t xml:space="preserve"> One major design variant relates to the electricity supply in the target market. Europe, China, Australasia and eastern Japan are 230V/50Hz regions. North America is a 115V/60Hz region. Western Japan </w:t>
      </w:r>
      <w:r w:rsidR="00FC2904">
        <w:t>is a</w:t>
      </w:r>
      <w:r>
        <w:t xml:space="preserve"> 230V/60Hz </w:t>
      </w:r>
      <w:r w:rsidR="00FC2904">
        <w:t>region</w:t>
      </w:r>
      <w:r>
        <w:t>.</w:t>
      </w:r>
    </w:p>
  </w:footnote>
  <w:footnote w:id="4">
    <w:p w14:paraId="065BB821" w14:textId="0377832B" w:rsidR="00F51137" w:rsidRDefault="00F51137">
      <w:pPr>
        <w:pStyle w:val="FootnoteText"/>
      </w:pPr>
      <w:r>
        <w:rPr>
          <w:rStyle w:val="FootnoteReference"/>
        </w:rPr>
        <w:footnoteRef/>
      </w:r>
      <w:r>
        <w:t xml:space="preserve"> </w:t>
      </w:r>
      <w:r w:rsidRPr="00F91C32">
        <w:t xml:space="preserve">GEMS allows </w:t>
      </w:r>
      <w:r>
        <w:t xml:space="preserve">multiple CIM </w:t>
      </w:r>
      <w:r w:rsidRPr="00F91C32">
        <w:t xml:space="preserve">models to be registered as a single family if they share a test report, are of the same class and have the same tested capacity and energy consumption rate. The </w:t>
      </w:r>
      <w:r>
        <w:t xml:space="preserve">GEMS </w:t>
      </w:r>
      <w:r w:rsidRPr="00F91C32">
        <w:t>Determination does not specify same water consumption rate</w:t>
      </w:r>
      <w:r>
        <w:t xml:space="preserve">, but potable water use rates are </w:t>
      </w:r>
      <w:r w:rsidRPr="00F91C32">
        <w:t>unlikely to vary within the one model family</w:t>
      </w:r>
      <w:r>
        <w:t>.</w:t>
      </w:r>
      <w:r w:rsidRPr="00F91C32">
        <w:t xml:space="preserve"> If WELS</w:t>
      </w:r>
      <w:r>
        <w:t xml:space="preserve"> registration were to be also required, GEMS </w:t>
      </w:r>
      <w:r w:rsidRPr="00F91C32">
        <w:t xml:space="preserve">family members </w:t>
      </w:r>
      <w:r>
        <w:t xml:space="preserve">would </w:t>
      </w:r>
      <w:r w:rsidRPr="00F91C32">
        <w:t xml:space="preserve">be treated as distinct models for </w:t>
      </w:r>
      <w:r>
        <w:t>calculating WELS fee tiers under current rules.</w:t>
      </w:r>
    </w:p>
  </w:footnote>
  <w:footnote w:id="5">
    <w:p w14:paraId="20E18702" w14:textId="3E479644" w:rsidR="00F51137" w:rsidRDefault="00F51137">
      <w:pPr>
        <w:pStyle w:val="FootnoteText"/>
      </w:pPr>
      <w:r>
        <w:rPr>
          <w:rStyle w:val="FootnoteReference"/>
        </w:rPr>
        <w:footnoteRef/>
      </w:r>
      <w:r>
        <w:t xml:space="preserve"> </w:t>
      </w:r>
      <w:r w:rsidRPr="006E6D39">
        <w:t xml:space="preserve">The product lists </w:t>
      </w:r>
      <w:r>
        <w:t xml:space="preserve">on </w:t>
      </w:r>
      <w:hyperlink r:id="rId1" w:history="1">
        <w:r w:rsidRPr="002675AD">
          <w:rPr>
            <w:rStyle w:val="Hyperlink"/>
          </w:rPr>
          <w:t>www.energyrating.gov.au</w:t>
        </w:r>
      </w:hyperlink>
      <w:r>
        <w:t xml:space="preserve"> </w:t>
      </w:r>
      <w:r w:rsidRPr="006E6D39">
        <w:t xml:space="preserve">allow users to manipulate the data by (a) limiting searches </w:t>
      </w:r>
      <w:r>
        <w:t xml:space="preserve">by </w:t>
      </w:r>
      <w:r w:rsidRPr="006E6D39">
        <w:t xml:space="preserve">selected brand, product class or capacity and (b) </w:t>
      </w:r>
      <w:r>
        <w:t xml:space="preserve">re-sorting entries </w:t>
      </w:r>
      <w:r w:rsidRPr="006E6D39">
        <w:t xml:space="preserve">by </w:t>
      </w:r>
      <w:r>
        <w:t xml:space="preserve">values </w:t>
      </w:r>
      <w:r w:rsidRPr="006E6D39">
        <w:t>(highest to lowest or vice versa)</w:t>
      </w:r>
      <w:r>
        <w:t>.</w:t>
      </w:r>
      <w:r w:rsidRPr="006E6D39">
        <w:t xml:space="preserve"> There is also an energy cost calculator so users can input their $/kW</w:t>
      </w:r>
      <w:r>
        <w:t>h</w:t>
      </w:r>
      <w:r w:rsidRPr="006E6D39">
        <w:t xml:space="preserve"> tariff to get annual energy costs. </w:t>
      </w:r>
      <w:r>
        <w:t xml:space="preserve">The GEMS energy rating database could be </w:t>
      </w:r>
      <w:r w:rsidRPr="006E6D39">
        <w:t xml:space="preserve">set up so that the </w:t>
      </w:r>
      <w:r>
        <w:t xml:space="preserve">L/kg </w:t>
      </w:r>
      <w:r w:rsidRPr="006E6D39">
        <w:t>values c</w:t>
      </w:r>
      <w:r>
        <w:t>ould</w:t>
      </w:r>
      <w:r w:rsidRPr="006E6D39">
        <w:t xml:space="preserve"> be sorted in order and $/k</w:t>
      </w:r>
      <w:r>
        <w:t>L</w:t>
      </w:r>
      <w:r w:rsidRPr="006E6D39">
        <w:t xml:space="preserve"> values input (or default</w:t>
      </w:r>
      <w:r>
        <w:t>s</w:t>
      </w:r>
      <w:r w:rsidRPr="006E6D39">
        <w:t xml:space="preserve"> used) to calculate </w:t>
      </w:r>
      <w:r>
        <w:t xml:space="preserve">annual </w:t>
      </w:r>
      <w:r w:rsidRPr="006E6D39">
        <w:t xml:space="preserve">water costs. </w:t>
      </w:r>
      <w:r>
        <w:t>For water-cooled products, users c</w:t>
      </w:r>
      <w:r w:rsidRPr="006E6D39">
        <w:t xml:space="preserve">ould </w:t>
      </w:r>
      <w:r>
        <w:t>also be asked to indicate a single pass or recirculation installation.</w:t>
      </w:r>
    </w:p>
  </w:footnote>
  <w:footnote w:id="6">
    <w:p w14:paraId="128303D4" w14:textId="28E46E41" w:rsidR="00C1424F" w:rsidRDefault="00C1424F" w:rsidP="00C1424F">
      <w:pPr>
        <w:pStyle w:val="FootnoteText"/>
      </w:pPr>
      <w:r>
        <w:rPr>
          <w:rStyle w:val="FootnoteReference"/>
        </w:rPr>
        <w:footnoteRef/>
      </w:r>
      <w:r>
        <w:t xml:space="preserve"> T</w:t>
      </w:r>
      <w:r w:rsidRPr="00B56442">
        <w:t>he Australian Government Guide to Regulatory Impact Analysis (</w:t>
      </w:r>
      <w:r>
        <w:t>OIA</w:t>
      </w:r>
      <w:r w:rsidRPr="00B56442">
        <w:t xml:space="preserve"> 202</w:t>
      </w:r>
      <w:r>
        <w:t>3</w:t>
      </w:r>
      <w:r w:rsidRPr="00B56442">
        <w:t>)</w:t>
      </w:r>
      <w:r>
        <w:t xml:space="preserve"> notes that</w:t>
      </w:r>
      <w:r w:rsidR="00091E59">
        <w:t>:</w:t>
      </w:r>
      <w:r w:rsidRPr="00D44A72">
        <w:t xml:space="preserve"> </w:t>
      </w:r>
      <w:r w:rsidRPr="00091E59">
        <w:rPr>
          <w:i/>
          <w:iCs/>
        </w:rPr>
        <w:t>Experience with behavioural insights tells us that people do not always make rational, considered decisions even in an otherwise efficiently functioning market.</w:t>
      </w:r>
      <w:r>
        <w:t xml:space="preserve"> (p19)</w:t>
      </w:r>
    </w:p>
  </w:footnote>
  <w:footnote w:id="7">
    <w:p w14:paraId="5B3070CF" w14:textId="77777777" w:rsidR="00F51137" w:rsidRDefault="00F51137" w:rsidP="00FC4FD3">
      <w:pPr>
        <w:pStyle w:val="FootnoteText"/>
      </w:pPr>
      <w:r>
        <w:rPr>
          <w:rStyle w:val="FootnoteReference"/>
        </w:rPr>
        <w:footnoteRef/>
      </w:r>
      <w:r>
        <w:t xml:space="preserve"> Average Australian household water use in 2021/22 was 175,300 litres - see </w:t>
      </w:r>
      <w:hyperlink r:id="rId2" w:history="1">
        <w:r>
          <w:rPr>
            <w:rStyle w:val="Hyperlink"/>
          </w:rPr>
          <w:t>ABS Water Accounts</w:t>
        </w:r>
      </w:hyperlink>
      <w:r>
        <w:t>.</w:t>
      </w:r>
    </w:p>
  </w:footnote>
  <w:footnote w:id="8">
    <w:p w14:paraId="7A835D24" w14:textId="1927F027" w:rsidR="00F51137" w:rsidRDefault="00F51137">
      <w:pPr>
        <w:pStyle w:val="FootnoteText"/>
      </w:pPr>
      <w:r>
        <w:rPr>
          <w:rStyle w:val="FootnoteReference"/>
        </w:rPr>
        <w:footnoteRef/>
      </w:r>
      <w:r>
        <w:t xml:space="preserve"> See </w:t>
      </w:r>
      <w:hyperlink r:id="rId3" w:anchor="third-report" w:history="1">
        <w:r>
          <w:rPr>
            <w:rStyle w:val="Hyperlink"/>
          </w:rPr>
          <w:t>Independent Review of the WELS Scheme 2020</w:t>
        </w:r>
      </w:hyperlink>
      <w:r>
        <w:t xml:space="preserve"> and </w:t>
      </w:r>
      <w:hyperlink r:id="rId4" w:history="1">
        <w:r>
          <w:rPr>
            <w:rStyle w:val="Hyperlink"/>
          </w:rPr>
          <w:t xml:space="preserve">Independent Review of the GEMS Act 2019 </w:t>
        </w:r>
      </w:hyperlink>
    </w:p>
  </w:footnote>
  <w:footnote w:id="9">
    <w:p w14:paraId="2DA50A96" w14:textId="68D20A62" w:rsidR="00F51137" w:rsidRDefault="00F51137">
      <w:pPr>
        <w:pStyle w:val="FootnoteText"/>
      </w:pPr>
      <w:r>
        <w:rPr>
          <w:rStyle w:val="FootnoteReference"/>
        </w:rPr>
        <w:footnoteRef/>
      </w:r>
      <w:r>
        <w:t xml:space="preserve"> </w:t>
      </w:r>
      <w:r w:rsidRPr="00BF6596">
        <w:rPr>
          <w:i/>
          <w:iCs/>
        </w:rPr>
        <w:t>AS5102.2-2009 Performance of Household Electrical Appliances – Swimming Pool Pump-Units Part 2: Energy labelling and minimum energy performance standard requirements.</w:t>
      </w:r>
    </w:p>
  </w:footnote>
  <w:footnote w:id="10">
    <w:p w14:paraId="15347A24" w14:textId="390D584F" w:rsidR="00F51137" w:rsidRDefault="00F51137">
      <w:pPr>
        <w:pStyle w:val="FootnoteText"/>
      </w:pPr>
      <w:r>
        <w:rPr>
          <w:rStyle w:val="FootnoteReference"/>
        </w:rPr>
        <w:footnoteRef/>
      </w:r>
      <w:r>
        <w:t xml:space="preserve"> </w:t>
      </w:r>
      <w:r w:rsidRPr="00F7086B">
        <w:t>https://energy.gov/sites/default/files/2023-04/acim-ecs-nopr.pdf</w:t>
      </w:r>
    </w:p>
  </w:footnote>
  <w:footnote w:id="11">
    <w:p w14:paraId="233D4378" w14:textId="528637F7" w:rsidR="00F51137" w:rsidRDefault="00F51137" w:rsidP="00E63FAE">
      <w:pPr>
        <w:pStyle w:val="FootnoteText"/>
      </w:pPr>
      <w:r>
        <w:footnoteRef/>
      </w:r>
      <w:r>
        <w:t xml:space="preserve"> At the time of writing, a modified WELS charging structure was being considered. This structure involves the application of a fee-for-service (per model) at time of registration application; and a levy (per model) at time of annual product registration renewal.</w:t>
      </w:r>
    </w:p>
  </w:footnote>
  <w:footnote w:id="12">
    <w:p w14:paraId="4986AEEE" w14:textId="644D7D7C" w:rsidR="00F51137" w:rsidRDefault="00F51137">
      <w:pPr>
        <w:pStyle w:val="FootnoteText"/>
      </w:pPr>
      <w:r>
        <w:rPr>
          <w:rStyle w:val="FootnoteReference"/>
        </w:rPr>
        <w:footnoteRef/>
      </w:r>
      <w:r>
        <w:t xml:space="preserve"> </w:t>
      </w:r>
      <w:r w:rsidRPr="00C073A7">
        <w:t xml:space="preserve">The rate that converts future values into present values is known as the discount rate. If the discount rate were constant at </w:t>
      </w:r>
      <w:r w:rsidRPr="00C073A7">
        <w:rPr>
          <w:i/>
        </w:rPr>
        <w:t>r</w:t>
      </w:r>
      <w:r w:rsidRPr="00C073A7">
        <w:t xml:space="preserve"> per cent per year, a benefit of </w:t>
      </w:r>
      <w:r w:rsidRPr="00C073A7">
        <w:rPr>
          <w:i/>
        </w:rPr>
        <w:t>B</w:t>
      </w:r>
      <w:r w:rsidRPr="00C073A7">
        <w:rPr>
          <w:i/>
          <w:vertAlign w:val="subscript"/>
        </w:rPr>
        <w:t>t</w:t>
      </w:r>
      <w:r w:rsidRPr="00C073A7">
        <w:t xml:space="preserve"> dollars received in </w:t>
      </w:r>
      <w:r w:rsidRPr="00C073A7">
        <w:rPr>
          <w:i/>
        </w:rPr>
        <w:t>t</w:t>
      </w:r>
      <w:r w:rsidRPr="00C073A7">
        <w:t xml:space="preserve"> years is worth </w:t>
      </w:r>
      <w:r w:rsidRPr="00C073A7">
        <w:rPr>
          <w:i/>
        </w:rPr>
        <w:t>B</w:t>
      </w:r>
      <w:r w:rsidRPr="00C073A7">
        <w:rPr>
          <w:i/>
          <w:vertAlign w:val="subscript"/>
        </w:rPr>
        <w:t>t</w:t>
      </w:r>
      <w:r w:rsidRPr="00C073A7">
        <w:t>/(1+</w:t>
      </w:r>
      <w:r w:rsidRPr="00C073A7">
        <w:rPr>
          <w:i/>
        </w:rPr>
        <w:t>r</w:t>
      </w:r>
      <w:r w:rsidRPr="00C073A7">
        <w:t>)</w:t>
      </w:r>
      <w:r w:rsidRPr="00C073A7">
        <w:rPr>
          <w:vertAlign w:val="superscript"/>
        </w:rPr>
        <w:t xml:space="preserve"> </w:t>
      </w:r>
      <w:r w:rsidRPr="00C073A7">
        <w:rPr>
          <w:i/>
          <w:vertAlign w:val="superscript"/>
        </w:rPr>
        <w:t>t</w:t>
      </w:r>
      <w:r w:rsidRPr="00C073A7">
        <w:t xml:space="preserve"> now. </w:t>
      </w:r>
      <w:hyperlink r:id="rId5" w:history="1">
        <w:r>
          <w:rPr>
            <w:rStyle w:val="Hyperlink"/>
          </w:rPr>
          <w:t>OIA</w:t>
        </w:r>
      </w:hyperlink>
      <w:r w:rsidRPr="006336CC">
        <w:t xml:space="preserve"> requires the calculation of net present values at a </w:t>
      </w:r>
      <w:r>
        <w:t xml:space="preserve">‘central’ </w:t>
      </w:r>
      <w:r w:rsidRPr="006336CC">
        <w:t>discount rate of 7</w:t>
      </w:r>
      <w:r>
        <w:t xml:space="preserve">%, with additional calculations at 3% and 10%. </w:t>
      </w:r>
    </w:p>
  </w:footnote>
  <w:footnote w:id="13">
    <w:p w14:paraId="6A3E6263" w14:textId="700AE5AC" w:rsidR="00F51137" w:rsidRDefault="00F51137">
      <w:pPr>
        <w:pStyle w:val="FootnoteText"/>
      </w:pPr>
      <w:r>
        <w:rPr>
          <w:rStyle w:val="FootnoteReference"/>
        </w:rPr>
        <w:footnoteRef/>
      </w:r>
      <w:r>
        <w:t xml:space="preserve"> In March 2025 the manufacturer, Stuart Ice Makers, was acquired by Heatlie Pty Ltd and moved its operations from Sydney to Adelaide. </w:t>
      </w:r>
      <w:r w:rsidRPr="00F67360">
        <w:t>https://www.icemachines.com.au/</w:t>
      </w:r>
      <w:r>
        <w:t xml:space="preserve"> </w:t>
      </w:r>
    </w:p>
  </w:footnote>
  <w:footnote w:id="14">
    <w:p w14:paraId="7DCFF079" w14:textId="18EA402D" w:rsidR="00F51137" w:rsidRDefault="00F51137">
      <w:pPr>
        <w:pStyle w:val="FootnoteText"/>
      </w:pPr>
      <w:r>
        <w:rPr>
          <w:rStyle w:val="FootnoteReference"/>
        </w:rPr>
        <w:footnoteRef/>
      </w:r>
      <w:r>
        <w:t xml:space="preserve"> </w:t>
      </w:r>
      <w:hyperlink r:id="rId6" w:anchor="data-downloads" w:history="1">
        <w:r w:rsidRPr="003079F1">
          <w:rPr>
            <w:rStyle w:val="Hyperlink"/>
          </w:rPr>
          <w:t>https://www.abs.gov.au/statistics/environment/environmental-management/water-account-australia/latest-release#data-downloads</w:t>
        </w:r>
      </w:hyperlink>
      <w:r w:rsidR="008E654F">
        <w:t>.</w:t>
      </w:r>
    </w:p>
    <w:p w14:paraId="582C5801" w14:textId="77777777" w:rsidR="00F51137" w:rsidRDefault="00F51137">
      <w:pPr>
        <w:pStyle w:val="FootnoteText"/>
      </w:pPr>
    </w:p>
  </w:footnote>
  <w:footnote w:id="15">
    <w:p w14:paraId="493A23C0" w14:textId="77777777" w:rsidR="00F51137" w:rsidRDefault="00F51137" w:rsidP="000F10E7">
      <w:pPr>
        <w:pStyle w:val="FootnoteText"/>
      </w:pPr>
      <w:r>
        <w:rPr>
          <w:rStyle w:val="FootnoteReference"/>
        </w:rPr>
        <w:footnoteRef/>
      </w:r>
      <w:r>
        <w:t xml:space="preserve"> All values in this section are in 2025 New Zealand dollars.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15F5" w14:textId="314B683B" w:rsidR="00F51137" w:rsidRDefault="00F51137">
    <w:pPr>
      <w:pStyle w:val="Header"/>
    </w:pPr>
    <w:r>
      <w:rPr>
        <w:noProof/>
      </w:rPr>
      <mc:AlternateContent>
        <mc:Choice Requires="wps">
          <w:drawing>
            <wp:anchor distT="0" distB="0" distL="0" distR="0" simplePos="0" relativeHeight="251656704" behindDoc="0" locked="0" layoutInCell="1" allowOverlap="1" wp14:anchorId="34EA7E25" wp14:editId="218613F3">
              <wp:simplePos x="635" y="635"/>
              <wp:positionH relativeFrom="page">
                <wp:align>center</wp:align>
              </wp:positionH>
              <wp:positionV relativeFrom="page">
                <wp:align>top</wp:align>
              </wp:positionV>
              <wp:extent cx="551815" cy="394970"/>
              <wp:effectExtent l="0" t="0" r="635" b="5080"/>
              <wp:wrapNone/>
              <wp:docPr id="8987346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2092A726" w14:textId="352329D5" w:rsidR="00F51137" w:rsidRPr="00831660" w:rsidRDefault="00F51137" w:rsidP="00831660">
                          <w:pPr>
                            <w:spacing w:after="0"/>
                            <w:rPr>
                              <w:rFonts w:ascii="Calibri" w:eastAsia="Calibri" w:hAnsi="Calibri" w:cs="Calibri"/>
                              <w:noProof/>
                              <w:color w:val="FF0000"/>
                              <w:sz w:val="24"/>
                              <w:szCs w:val="24"/>
                            </w:rPr>
                          </w:pPr>
                          <w:r w:rsidRPr="0083166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EA7E25"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1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2092A726" w14:textId="352329D5" w:rsidR="00F51137" w:rsidRPr="00831660" w:rsidRDefault="00F51137" w:rsidP="00831660">
                    <w:pPr>
                      <w:spacing w:after="0"/>
                      <w:rPr>
                        <w:rFonts w:ascii="Calibri" w:eastAsia="Calibri" w:hAnsi="Calibri" w:cs="Calibri"/>
                        <w:noProof/>
                        <w:color w:val="FF0000"/>
                        <w:sz w:val="24"/>
                        <w:szCs w:val="24"/>
                      </w:rPr>
                    </w:pPr>
                    <w:r w:rsidRPr="0083166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27D5" w14:textId="53939EE9" w:rsidR="00F51137" w:rsidRPr="00D10635" w:rsidRDefault="002271EC" w:rsidP="00464D89">
    <w:pPr>
      <w:pStyle w:val="Header"/>
      <w:jc w:val="center"/>
    </w:pPr>
    <w:sdt>
      <w:sdtPr>
        <w:id w:val="-958103359"/>
        <w:docPartObj>
          <w:docPartGallery w:val="Watermarks"/>
          <w:docPartUnique/>
        </w:docPartObj>
      </w:sdtPr>
      <w:sdtEndPr/>
      <w:sdtContent>
        <w:r>
          <w:rPr>
            <w:noProof/>
          </w:rPr>
          <w:pict w14:anchorId="65A39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B486" w14:textId="5FE9108C" w:rsidR="00F51137" w:rsidRDefault="00F51137">
    <w:pPr>
      <w:pStyle w:val="Header"/>
    </w:pPr>
    <w:r w:rsidRPr="00180BF8">
      <w:rPr>
        <w:noProof/>
        <w:lang w:eastAsia="en-AU"/>
      </w:rPr>
      <w:drawing>
        <wp:inline distT="0" distB="0" distL="0" distR="0" wp14:anchorId="34891B71" wp14:editId="0AEE95A5">
          <wp:extent cx="3019480" cy="627399"/>
          <wp:effectExtent l="0" t="0" r="0" b="1270"/>
          <wp:docPr id="1716269634" name="Picture 1716269634" title="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096846" cy="6434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5487F08"/>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450D9C0"/>
    <w:lvl w:ilvl="0">
      <w:start w:val="1"/>
      <w:numFmt w:val="decimal"/>
      <w:lvlText w:val="%1."/>
      <w:lvlJc w:val="left"/>
      <w:pPr>
        <w:tabs>
          <w:tab w:val="num" w:pos="926"/>
        </w:tabs>
        <w:ind w:left="926" w:hanging="360"/>
      </w:pPr>
    </w:lvl>
  </w:abstractNum>
  <w:abstractNum w:abstractNumId="2" w15:restartNumberingAfterBreak="0">
    <w:nsid w:val="FFFFFF82"/>
    <w:multiLevelType w:val="singleLevel"/>
    <w:tmpl w:val="15FE081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4D7031B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026B5F"/>
    <w:multiLevelType w:val="hybridMultilevel"/>
    <w:tmpl w:val="CB7CE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09291F"/>
    <w:multiLevelType w:val="hybridMultilevel"/>
    <w:tmpl w:val="95CC1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CF5003"/>
    <w:multiLevelType w:val="hybridMultilevel"/>
    <w:tmpl w:val="B1E06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CC3654"/>
    <w:multiLevelType w:val="hybridMultilevel"/>
    <w:tmpl w:val="E7CC0D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104AF6"/>
    <w:multiLevelType w:val="hybridMultilevel"/>
    <w:tmpl w:val="060A05D0"/>
    <w:lvl w:ilvl="0" w:tplc="572CA29E">
      <w:start w:val="1"/>
      <w:numFmt w:val="decimal"/>
      <w:lvlText w:val="%1."/>
      <w:lvlJc w:val="left"/>
      <w:pPr>
        <w:ind w:left="1020" w:hanging="360"/>
      </w:pPr>
    </w:lvl>
    <w:lvl w:ilvl="1" w:tplc="1A208684">
      <w:start w:val="1"/>
      <w:numFmt w:val="decimal"/>
      <w:lvlText w:val="%2."/>
      <w:lvlJc w:val="left"/>
      <w:pPr>
        <w:ind w:left="1020" w:hanging="360"/>
      </w:pPr>
    </w:lvl>
    <w:lvl w:ilvl="2" w:tplc="E8A006A6">
      <w:start w:val="1"/>
      <w:numFmt w:val="decimal"/>
      <w:lvlText w:val="%3."/>
      <w:lvlJc w:val="left"/>
      <w:pPr>
        <w:ind w:left="1020" w:hanging="360"/>
      </w:pPr>
    </w:lvl>
    <w:lvl w:ilvl="3" w:tplc="6C161A32">
      <w:start w:val="1"/>
      <w:numFmt w:val="decimal"/>
      <w:lvlText w:val="%4."/>
      <w:lvlJc w:val="left"/>
      <w:pPr>
        <w:ind w:left="1020" w:hanging="360"/>
      </w:pPr>
    </w:lvl>
    <w:lvl w:ilvl="4" w:tplc="5CCA281C">
      <w:start w:val="1"/>
      <w:numFmt w:val="decimal"/>
      <w:lvlText w:val="%5."/>
      <w:lvlJc w:val="left"/>
      <w:pPr>
        <w:ind w:left="1020" w:hanging="360"/>
      </w:pPr>
    </w:lvl>
    <w:lvl w:ilvl="5" w:tplc="08447FE4">
      <w:start w:val="1"/>
      <w:numFmt w:val="decimal"/>
      <w:lvlText w:val="%6."/>
      <w:lvlJc w:val="left"/>
      <w:pPr>
        <w:ind w:left="1020" w:hanging="360"/>
      </w:pPr>
    </w:lvl>
    <w:lvl w:ilvl="6" w:tplc="B21C56F6">
      <w:start w:val="1"/>
      <w:numFmt w:val="decimal"/>
      <w:lvlText w:val="%7."/>
      <w:lvlJc w:val="left"/>
      <w:pPr>
        <w:ind w:left="1020" w:hanging="360"/>
      </w:pPr>
    </w:lvl>
    <w:lvl w:ilvl="7" w:tplc="A4A60D6E">
      <w:start w:val="1"/>
      <w:numFmt w:val="decimal"/>
      <w:lvlText w:val="%8."/>
      <w:lvlJc w:val="left"/>
      <w:pPr>
        <w:ind w:left="1020" w:hanging="360"/>
      </w:pPr>
    </w:lvl>
    <w:lvl w:ilvl="8" w:tplc="AB5A3F30">
      <w:start w:val="1"/>
      <w:numFmt w:val="decimal"/>
      <w:lvlText w:val="%9."/>
      <w:lvlJc w:val="left"/>
      <w:pPr>
        <w:ind w:left="1020" w:hanging="360"/>
      </w:pPr>
    </w:lvl>
  </w:abstractNum>
  <w:abstractNum w:abstractNumId="9"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027C11"/>
    <w:multiLevelType w:val="hybridMultilevel"/>
    <w:tmpl w:val="B520331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39FCC0"/>
    <w:multiLevelType w:val="hybridMultilevel"/>
    <w:tmpl w:val="5BAE9B5A"/>
    <w:lvl w:ilvl="0" w:tplc="5D5636C0">
      <w:start w:val="1"/>
      <w:numFmt w:val="bullet"/>
      <w:lvlText w:val=""/>
      <w:lvlJc w:val="left"/>
      <w:pPr>
        <w:ind w:left="720" w:hanging="360"/>
      </w:pPr>
      <w:rPr>
        <w:rFonts w:ascii="Symbol" w:hAnsi="Symbol" w:hint="default"/>
      </w:rPr>
    </w:lvl>
    <w:lvl w:ilvl="1" w:tplc="DFFC703C">
      <w:start w:val="1"/>
      <w:numFmt w:val="bullet"/>
      <w:lvlText w:val="o"/>
      <w:lvlJc w:val="left"/>
      <w:pPr>
        <w:ind w:left="1440" w:hanging="360"/>
      </w:pPr>
      <w:rPr>
        <w:rFonts w:ascii="Courier New" w:hAnsi="Courier New" w:hint="default"/>
      </w:rPr>
    </w:lvl>
    <w:lvl w:ilvl="2" w:tplc="30D250C6">
      <w:start w:val="1"/>
      <w:numFmt w:val="bullet"/>
      <w:lvlText w:val=""/>
      <w:lvlJc w:val="left"/>
      <w:pPr>
        <w:ind w:left="2160" w:hanging="360"/>
      </w:pPr>
      <w:rPr>
        <w:rFonts w:ascii="Wingdings" w:hAnsi="Wingdings" w:hint="default"/>
      </w:rPr>
    </w:lvl>
    <w:lvl w:ilvl="3" w:tplc="0B5069CE">
      <w:start w:val="1"/>
      <w:numFmt w:val="bullet"/>
      <w:lvlText w:val=""/>
      <w:lvlJc w:val="left"/>
      <w:pPr>
        <w:ind w:left="2880" w:hanging="360"/>
      </w:pPr>
      <w:rPr>
        <w:rFonts w:ascii="Symbol" w:hAnsi="Symbol" w:hint="default"/>
      </w:rPr>
    </w:lvl>
    <w:lvl w:ilvl="4" w:tplc="7690FBAC">
      <w:start w:val="1"/>
      <w:numFmt w:val="bullet"/>
      <w:lvlText w:val="o"/>
      <w:lvlJc w:val="left"/>
      <w:pPr>
        <w:ind w:left="3600" w:hanging="360"/>
      </w:pPr>
      <w:rPr>
        <w:rFonts w:ascii="Courier New" w:hAnsi="Courier New" w:hint="default"/>
      </w:rPr>
    </w:lvl>
    <w:lvl w:ilvl="5" w:tplc="9FE6CBE2">
      <w:start w:val="1"/>
      <w:numFmt w:val="bullet"/>
      <w:lvlText w:val=""/>
      <w:lvlJc w:val="left"/>
      <w:pPr>
        <w:ind w:left="4320" w:hanging="360"/>
      </w:pPr>
      <w:rPr>
        <w:rFonts w:ascii="Wingdings" w:hAnsi="Wingdings" w:hint="default"/>
      </w:rPr>
    </w:lvl>
    <w:lvl w:ilvl="6" w:tplc="2EB2DA88">
      <w:start w:val="1"/>
      <w:numFmt w:val="bullet"/>
      <w:lvlText w:val=""/>
      <w:lvlJc w:val="left"/>
      <w:pPr>
        <w:ind w:left="5040" w:hanging="360"/>
      </w:pPr>
      <w:rPr>
        <w:rFonts w:ascii="Symbol" w:hAnsi="Symbol" w:hint="default"/>
      </w:rPr>
    </w:lvl>
    <w:lvl w:ilvl="7" w:tplc="332A1FF2">
      <w:start w:val="1"/>
      <w:numFmt w:val="bullet"/>
      <w:lvlText w:val="o"/>
      <w:lvlJc w:val="left"/>
      <w:pPr>
        <w:ind w:left="5760" w:hanging="360"/>
      </w:pPr>
      <w:rPr>
        <w:rFonts w:ascii="Courier New" w:hAnsi="Courier New" w:hint="default"/>
      </w:rPr>
    </w:lvl>
    <w:lvl w:ilvl="8" w:tplc="FE00E548">
      <w:start w:val="1"/>
      <w:numFmt w:val="bullet"/>
      <w:lvlText w:val=""/>
      <w:lvlJc w:val="left"/>
      <w:pPr>
        <w:ind w:left="6480" w:hanging="360"/>
      </w:pPr>
      <w:rPr>
        <w:rFonts w:ascii="Wingdings" w:hAnsi="Wingdings" w:hint="default"/>
      </w:rPr>
    </w:lvl>
  </w:abstractNum>
  <w:abstractNum w:abstractNumId="13" w15:restartNumberingAfterBreak="0">
    <w:nsid w:val="0D540E51"/>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087357"/>
    <w:multiLevelType w:val="hybridMultilevel"/>
    <w:tmpl w:val="5D1EAE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10647CBF"/>
    <w:multiLevelType w:val="hybridMultilevel"/>
    <w:tmpl w:val="13C49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8" w15:restartNumberingAfterBreak="0">
    <w:nsid w:val="18313A70"/>
    <w:multiLevelType w:val="hybridMultilevel"/>
    <w:tmpl w:val="1ACC5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F33BBA"/>
    <w:multiLevelType w:val="hybridMultilevel"/>
    <w:tmpl w:val="0812E2DE"/>
    <w:lvl w:ilvl="0" w:tplc="E1AE5D66">
      <w:start w:val="1"/>
      <w:numFmt w:val="decimal"/>
      <w:pStyle w:val="Figure"/>
      <w:suff w:val="space"/>
      <w:lvlText w:val="Figure %1."/>
      <w:lvlJc w:val="left"/>
      <w:pPr>
        <w:ind w:left="2836" w:hanging="567"/>
      </w:pPr>
      <w:rPr>
        <w:rFonts w:hint="default"/>
      </w:rPr>
    </w:lvl>
    <w:lvl w:ilvl="1" w:tplc="0C090019" w:tentative="1">
      <w:start w:val="1"/>
      <w:numFmt w:val="lowerLetter"/>
      <w:lvlText w:val="%2."/>
      <w:lvlJc w:val="left"/>
      <w:pPr>
        <w:ind w:left="3709" w:hanging="360"/>
      </w:pPr>
    </w:lvl>
    <w:lvl w:ilvl="2" w:tplc="0C09001B" w:tentative="1">
      <w:start w:val="1"/>
      <w:numFmt w:val="lowerRoman"/>
      <w:lvlText w:val="%3."/>
      <w:lvlJc w:val="right"/>
      <w:pPr>
        <w:ind w:left="4429" w:hanging="180"/>
      </w:pPr>
    </w:lvl>
    <w:lvl w:ilvl="3" w:tplc="0C09000F" w:tentative="1">
      <w:start w:val="1"/>
      <w:numFmt w:val="decimal"/>
      <w:lvlText w:val="%4."/>
      <w:lvlJc w:val="left"/>
      <w:pPr>
        <w:ind w:left="5149" w:hanging="360"/>
      </w:pPr>
    </w:lvl>
    <w:lvl w:ilvl="4" w:tplc="0C090019" w:tentative="1">
      <w:start w:val="1"/>
      <w:numFmt w:val="lowerLetter"/>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20" w15:restartNumberingAfterBreak="0">
    <w:nsid w:val="1BD91318"/>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DFE4589"/>
    <w:multiLevelType w:val="hybridMultilevel"/>
    <w:tmpl w:val="2F1EF5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2296160A"/>
    <w:multiLevelType w:val="hybridMultilevel"/>
    <w:tmpl w:val="7CDE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373DC7"/>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F47E25"/>
    <w:multiLevelType w:val="hybridMultilevel"/>
    <w:tmpl w:val="9452B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7" w15:restartNumberingAfterBreak="0">
    <w:nsid w:val="2840583A"/>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B0C15E9"/>
    <w:multiLevelType w:val="hybridMultilevel"/>
    <w:tmpl w:val="87C2A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E8F615E"/>
    <w:multiLevelType w:val="hybridMultilevel"/>
    <w:tmpl w:val="2D022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B62F6E"/>
    <w:multiLevelType w:val="hybridMultilevel"/>
    <w:tmpl w:val="4642E4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239015A"/>
    <w:multiLevelType w:val="hybridMultilevel"/>
    <w:tmpl w:val="1DAC9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895680"/>
    <w:multiLevelType w:val="hybridMultilevel"/>
    <w:tmpl w:val="5DB2CB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1C2B39" w:themeColor="text1"/>
      </w:rPr>
    </w:lvl>
    <w:lvl w:ilvl="2">
      <w:start w:val="1"/>
      <w:numFmt w:val="bullet"/>
      <w:lvlText w:val="⁚"/>
      <w:lvlJc w:val="left"/>
      <w:pPr>
        <w:ind w:left="1191" w:hanging="397"/>
      </w:pPr>
      <w:rPr>
        <w:rFonts w:ascii="Times New Roman" w:hAnsi="Times New Roman" w:cs="Times New Roman" w:hint="default"/>
        <w:color w:val="1C2B39"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4" w15:restartNumberingAfterBreak="0">
    <w:nsid w:val="37575356"/>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9385E2F"/>
    <w:multiLevelType w:val="hybridMultilevel"/>
    <w:tmpl w:val="16A2C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F550EF"/>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EC12F6F"/>
    <w:multiLevelType w:val="hybridMultilevel"/>
    <w:tmpl w:val="8F3EC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4FD4F7B"/>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70E2663"/>
    <w:multiLevelType w:val="hybridMultilevel"/>
    <w:tmpl w:val="6B9A809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41" w15:restartNumberingAfterBreak="0">
    <w:nsid w:val="4C3D77BF"/>
    <w:multiLevelType w:val="hybridMultilevel"/>
    <w:tmpl w:val="97CE50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4DAF044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0244A7A"/>
    <w:multiLevelType w:val="hybridMultilevel"/>
    <w:tmpl w:val="D20A64C2"/>
    <w:lvl w:ilvl="0" w:tplc="EBBE6CFC">
      <w:start w:val="1"/>
      <w:numFmt w:val="decimal"/>
      <w:lvlText w:val="%1."/>
      <w:lvlJc w:val="left"/>
      <w:pPr>
        <w:ind w:left="720" w:hanging="360"/>
      </w:pPr>
    </w:lvl>
    <w:lvl w:ilvl="1" w:tplc="76589A30">
      <w:start w:val="1"/>
      <w:numFmt w:val="decimal"/>
      <w:lvlText w:val="%2."/>
      <w:lvlJc w:val="left"/>
      <w:pPr>
        <w:ind w:left="720" w:hanging="360"/>
      </w:pPr>
    </w:lvl>
    <w:lvl w:ilvl="2" w:tplc="B63C9F16">
      <w:start w:val="1"/>
      <w:numFmt w:val="decimal"/>
      <w:lvlText w:val="%3."/>
      <w:lvlJc w:val="left"/>
      <w:pPr>
        <w:ind w:left="720" w:hanging="360"/>
      </w:pPr>
    </w:lvl>
    <w:lvl w:ilvl="3" w:tplc="A0883208">
      <w:start w:val="1"/>
      <w:numFmt w:val="decimal"/>
      <w:lvlText w:val="%4."/>
      <w:lvlJc w:val="left"/>
      <w:pPr>
        <w:ind w:left="720" w:hanging="360"/>
      </w:pPr>
    </w:lvl>
    <w:lvl w:ilvl="4" w:tplc="D0F25B54">
      <w:start w:val="1"/>
      <w:numFmt w:val="decimal"/>
      <w:lvlText w:val="%5."/>
      <w:lvlJc w:val="left"/>
      <w:pPr>
        <w:ind w:left="720" w:hanging="360"/>
      </w:pPr>
    </w:lvl>
    <w:lvl w:ilvl="5" w:tplc="1C46FC3A">
      <w:start w:val="1"/>
      <w:numFmt w:val="decimal"/>
      <w:lvlText w:val="%6."/>
      <w:lvlJc w:val="left"/>
      <w:pPr>
        <w:ind w:left="720" w:hanging="360"/>
      </w:pPr>
    </w:lvl>
    <w:lvl w:ilvl="6" w:tplc="C9DC8F9C">
      <w:start w:val="1"/>
      <w:numFmt w:val="decimal"/>
      <w:lvlText w:val="%7."/>
      <w:lvlJc w:val="left"/>
      <w:pPr>
        <w:ind w:left="720" w:hanging="360"/>
      </w:pPr>
    </w:lvl>
    <w:lvl w:ilvl="7" w:tplc="E0F00A74">
      <w:start w:val="1"/>
      <w:numFmt w:val="decimal"/>
      <w:lvlText w:val="%8."/>
      <w:lvlJc w:val="left"/>
      <w:pPr>
        <w:ind w:left="720" w:hanging="360"/>
      </w:pPr>
    </w:lvl>
    <w:lvl w:ilvl="8" w:tplc="4CD858BE">
      <w:start w:val="1"/>
      <w:numFmt w:val="decimal"/>
      <w:lvlText w:val="%9."/>
      <w:lvlJc w:val="left"/>
      <w:pPr>
        <w:ind w:left="720" w:hanging="360"/>
      </w:pPr>
    </w:lvl>
  </w:abstractNum>
  <w:abstractNum w:abstractNumId="44" w15:restartNumberingAfterBreak="0">
    <w:nsid w:val="50AB693D"/>
    <w:multiLevelType w:val="hybridMultilevel"/>
    <w:tmpl w:val="2220A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10627A7"/>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36D4852"/>
    <w:multiLevelType w:val="hybridMultilevel"/>
    <w:tmpl w:val="8F0AFAE6"/>
    <w:lvl w:ilvl="0" w:tplc="F1CA7BC0">
      <w:start w:val="1"/>
      <w:numFmt w:val="decimal"/>
      <w:lvlText w:val="%1."/>
      <w:lvlJc w:val="left"/>
      <w:pPr>
        <w:ind w:left="1020" w:hanging="360"/>
      </w:pPr>
    </w:lvl>
    <w:lvl w:ilvl="1" w:tplc="10D4F042">
      <w:start w:val="1"/>
      <w:numFmt w:val="decimal"/>
      <w:lvlText w:val="%2."/>
      <w:lvlJc w:val="left"/>
      <w:pPr>
        <w:ind w:left="1020" w:hanging="360"/>
      </w:pPr>
    </w:lvl>
    <w:lvl w:ilvl="2" w:tplc="B2701C82">
      <w:start w:val="1"/>
      <w:numFmt w:val="decimal"/>
      <w:lvlText w:val="%3."/>
      <w:lvlJc w:val="left"/>
      <w:pPr>
        <w:ind w:left="1020" w:hanging="360"/>
      </w:pPr>
    </w:lvl>
    <w:lvl w:ilvl="3" w:tplc="237CC2BC">
      <w:start w:val="1"/>
      <w:numFmt w:val="decimal"/>
      <w:lvlText w:val="%4."/>
      <w:lvlJc w:val="left"/>
      <w:pPr>
        <w:ind w:left="1020" w:hanging="360"/>
      </w:pPr>
    </w:lvl>
    <w:lvl w:ilvl="4" w:tplc="56E88936">
      <w:start w:val="1"/>
      <w:numFmt w:val="decimal"/>
      <w:lvlText w:val="%5."/>
      <w:lvlJc w:val="left"/>
      <w:pPr>
        <w:ind w:left="1020" w:hanging="360"/>
      </w:pPr>
    </w:lvl>
    <w:lvl w:ilvl="5" w:tplc="661A904E">
      <w:start w:val="1"/>
      <w:numFmt w:val="decimal"/>
      <w:lvlText w:val="%6."/>
      <w:lvlJc w:val="left"/>
      <w:pPr>
        <w:ind w:left="1020" w:hanging="360"/>
      </w:pPr>
    </w:lvl>
    <w:lvl w:ilvl="6" w:tplc="8CFC2DD4">
      <w:start w:val="1"/>
      <w:numFmt w:val="decimal"/>
      <w:lvlText w:val="%7."/>
      <w:lvlJc w:val="left"/>
      <w:pPr>
        <w:ind w:left="1020" w:hanging="360"/>
      </w:pPr>
    </w:lvl>
    <w:lvl w:ilvl="7" w:tplc="AE7C75D0">
      <w:start w:val="1"/>
      <w:numFmt w:val="decimal"/>
      <w:lvlText w:val="%8."/>
      <w:lvlJc w:val="left"/>
      <w:pPr>
        <w:ind w:left="1020" w:hanging="360"/>
      </w:pPr>
    </w:lvl>
    <w:lvl w:ilvl="8" w:tplc="44840840">
      <w:start w:val="1"/>
      <w:numFmt w:val="decimal"/>
      <w:lvlText w:val="%9."/>
      <w:lvlJc w:val="left"/>
      <w:pPr>
        <w:ind w:left="1020" w:hanging="360"/>
      </w:pPr>
    </w:lvl>
  </w:abstractNum>
  <w:abstractNum w:abstractNumId="47" w15:restartNumberingAfterBreak="0">
    <w:nsid w:val="57273A9F"/>
    <w:multiLevelType w:val="hybridMultilevel"/>
    <w:tmpl w:val="588A1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89C1246"/>
    <w:multiLevelType w:val="hybridMultilevel"/>
    <w:tmpl w:val="85FE0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D392CA0"/>
    <w:multiLevelType w:val="hybridMultilevel"/>
    <w:tmpl w:val="59545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EBD4AF1"/>
    <w:multiLevelType w:val="hybridMultilevel"/>
    <w:tmpl w:val="F6886292"/>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2CF5E67"/>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2EE0E0F"/>
    <w:multiLevelType w:val="hybridMultilevel"/>
    <w:tmpl w:val="01E02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36732C0"/>
    <w:multiLevelType w:val="hybridMultilevel"/>
    <w:tmpl w:val="4C224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4BC57A9"/>
    <w:multiLevelType w:val="hybridMultilevel"/>
    <w:tmpl w:val="7CDC67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64F852B5"/>
    <w:multiLevelType w:val="hybridMultilevel"/>
    <w:tmpl w:val="DA5458F8"/>
    <w:lvl w:ilvl="0" w:tplc="0C090017">
      <w:start w:val="1"/>
      <w:numFmt w:val="lowerLetter"/>
      <w:lvlText w:val="%1)"/>
      <w:lvlJc w:val="left"/>
      <w:pPr>
        <w:ind w:left="1440" w:hanging="360"/>
      </w:pPr>
    </w:lvl>
    <w:lvl w:ilvl="1" w:tplc="A97438AA">
      <w:start w:val="10"/>
      <w:numFmt w:val="bullet"/>
      <w:lvlText w:val="•"/>
      <w:lvlJc w:val="left"/>
      <w:pPr>
        <w:ind w:left="2520" w:hanging="720"/>
      </w:pPr>
      <w:rPr>
        <w:rFonts w:ascii="Aptos" w:eastAsiaTheme="minorHAnsi" w:hAnsi="Aptos" w:cstheme="minorBidi"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6" w15:restartNumberingAfterBreak="0">
    <w:nsid w:val="682A72D8"/>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9326B7C"/>
    <w:multiLevelType w:val="hybridMultilevel"/>
    <w:tmpl w:val="B5203310"/>
    <w:lvl w:ilvl="0" w:tplc="04DCE00E">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AD00989"/>
    <w:multiLevelType w:val="hybridMultilevel"/>
    <w:tmpl w:val="137A8F3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9" w15:restartNumberingAfterBreak="0">
    <w:nsid w:val="6B2D69F9"/>
    <w:multiLevelType w:val="hybridMultilevel"/>
    <w:tmpl w:val="94842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B956F90"/>
    <w:multiLevelType w:val="hybridMultilevel"/>
    <w:tmpl w:val="56FC6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E5E5E56"/>
    <w:multiLevelType w:val="hybridMultilevel"/>
    <w:tmpl w:val="A3A8FB3C"/>
    <w:lvl w:ilvl="0" w:tplc="FA34304A">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0B93C28"/>
    <w:multiLevelType w:val="hybridMultilevel"/>
    <w:tmpl w:val="2CFAC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0EE21E8"/>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29342DC"/>
    <w:multiLevelType w:val="hybridMultilevel"/>
    <w:tmpl w:val="48DA4D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72C3666A"/>
    <w:multiLevelType w:val="hybridMultilevel"/>
    <w:tmpl w:val="902084C8"/>
    <w:lvl w:ilvl="0" w:tplc="2ECCA4E2">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68" w15:restartNumberingAfterBreak="0">
    <w:nsid w:val="750C2E8C"/>
    <w:multiLevelType w:val="hybridMultilevel"/>
    <w:tmpl w:val="BFD04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6D75DCB"/>
    <w:multiLevelType w:val="multilevel"/>
    <w:tmpl w:val="3A3EEEF8"/>
    <w:lvl w:ilvl="0">
      <w:start w:val="1"/>
      <w:numFmt w:val="decimal"/>
      <w:suff w:val="space"/>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77497D58"/>
    <w:multiLevelType w:val="hybridMultilevel"/>
    <w:tmpl w:val="D390FA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97E16F9"/>
    <w:multiLevelType w:val="hybridMultilevel"/>
    <w:tmpl w:val="1B88A1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7B5672AD"/>
    <w:multiLevelType w:val="hybridMultilevel"/>
    <w:tmpl w:val="45A429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DDA553E"/>
    <w:multiLevelType w:val="hybridMultilevel"/>
    <w:tmpl w:val="CFEE5EB8"/>
    <w:lvl w:ilvl="0" w:tplc="1E10B02A">
      <w:start w:val="1"/>
      <w:numFmt w:val="decimal"/>
      <w:lvlText w:val="%1."/>
      <w:lvlJc w:val="left"/>
      <w:pPr>
        <w:ind w:left="1020" w:hanging="360"/>
      </w:pPr>
    </w:lvl>
    <w:lvl w:ilvl="1" w:tplc="D8828B26">
      <w:start w:val="1"/>
      <w:numFmt w:val="decimal"/>
      <w:lvlText w:val="%2."/>
      <w:lvlJc w:val="left"/>
      <w:pPr>
        <w:ind w:left="1020" w:hanging="360"/>
      </w:pPr>
    </w:lvl>
    <w:lvl w:ilvl="2" w:tplc="BAFE3154">
      <w:start w:val="1"/>
      <w:numFmt w:val="decimal"/>
      <w:lvlText w:val="%3."/>
      <w:lvlJc w:val="left"/>
      <w:pPr>
        <w:ind w:left="1020" w:hanging="360"/>
      </w:pPr>
    </w:lvl>
    <w:lvl w:ilvl="3" w:tplc="AAD07D4A">
      <w:start w:val="1"/>
      <w:numFmt w:val="decimal"/>
      <w:lvlText w:val="%4."/>
      <w:lvlJc w:val="left"/>
      <w:pPr>
        <w:ind w:left="1020" w:hanging="360"/>
      </w:pPr>
    </w:lvl>
    <w:lvl w:ilvl="4" w:tplc="FD66C90C">
      <w:start w:val="1"/>
      <w:numFmt w:val="decimal"/>
      <w:lvlText w:val="%5."/>
      <w:lvlJc w:val="left"/>
      <w:pPr>
        <w:ind w:left="1020" w:hanging="360"/>
      </w:pPr>
    </w:lvl>
    <w:lvl w:ilvl="5" w:tplc="5C9E7812">
      <w:start w:val="1"/>
      <w:numFmt w:val="decimal"/>
      <w:lvlText w:val="%6."/>
      <w:lvlJc w:val="left"/>
      <w:pPr>
        <w:ind w:left="1020" w:hanging="360"/>
      </w:pPr>
    </w:lvl>
    <w:lvl w:ilvl="6" w:tplc="C1F0A472">
      <w:start w:val="1"/>
      <w:numFmt w:val="decimal"/>
      <w:lvlText w:val="%7."/>
      <w:lvlJc w:val="left"/>
      <w:pPr>
        <w:ind w:left="1020" w:hanging="360"/>
      </w:pPr>
    </w:lvl>
    <w:lvl w:ilvl="7" w:tplc="299CBBD6">
      <w:start w:val="1"/>
      <w:numFmt w:val="decimal"/>
      <w:lvlText w:val="%8."/>
      <w:lvlJc w:val="left"/>
      <w:pPr>
        <w:ind w:left="1020" w:hanging="360"/>
      </w:pPr>
    </w:lvl>
    <w:lvl w:ilvl="8" w:tplc="76AE586C">
      <w:start w:val="1"/>
      <w:numFmt w:val="decimal"/>
      <w:lvlText w:val="%9."/>
      <w:lvlJc w:val="left"/>
      <w:pPr>
        <w:ind w:left="1020" w:hanging="360"/>
      </w:pPr>
    </w:lvl>
  </w:abstractNum>
  <w:abstractNum w:abstractNumId="75" w15:restartNumberingAfterBreak="0">
    <w:nsid w:val="7F510A51"/>
    <w:multiLevelType w:val="hybridMultilevel"/>
    <w:tmpl w:val="053AC8B2"/>
    <w:lvl w:ilvl="0" w:tplc="0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FB04C2E"/>
    <w:multiLevelType w:val="hybridMultilevel"/>
    <w:tmpl w:val="84D8F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1968593">
    <w:abstractNumId w:val="10"/>
  </w:num>
  <w:num w:numId="2" w16cid:durableId="1839345176">
    <w:abstractNumId w:val="9"/>
  </w:num>
  <w:num w:numId="3" w16cid:durableId="954873459">
    <w:abstractNumId w:val="62"/>
  </w:num>
  <w:num w:numId="4" w16cid:durableId="329794713">
    <w:abstractNumId w:val="26"/>
  </w:num>
  <w:num w:numId="5" w16cid:durableId="1227835763">
    <w:abstractNumId w:val="71"/>
  </w:num>
  <w:num w:numId="6" w16cid:durableId="99498076">
    <w:abstractNumId w:val="19"/>
  </w:num>
  <w:num w:numId="7" w16cid:durableId="845905463">
    <w:abstractNumId w:val="40"/>
  </w:num>
  <w:num w:numId="8" w16cid:durableId="288898152">
    <w:abstractNumId w:val="17"/>
  </w:num>
  <w:num w:numId="9" w16cid:durableId="235405707">
    <w:abstractNumId w:val="22"/>
  </w:num>
  <w:num w:numId="10" w16cid:durableId="626620930">
    <w:abstractNumId w:val="15"/>
  </w:num>
  <w:num w:numId="11" w16cid:durableId="1361123562">
    <w:abstractNumId w:val="67"/>
  </w:num>
  <w:num w:numId="12" w16cid:durableId="643048106">
    <w:abstractNumId w:val="69"/>
  </w:num>
  <w:num w:numId="13" w16cid:durableId="651101613">
    <w:abstractNumId w:val="33"/>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4" w16cid:durableId="1545754818">
    <w:abstractNumId w:val="40"/>
    <w:lvlOverride w:ilvl="0">
      <w:startOverride w:val="1"/>
    </w:lvlOverride>
  </w:num>
  <w:num w:numId="15" w16cid:durableId="1486050151">
    <w:abstractNumId w:val="40"/>
    <w:lvlOverride w:ilvl="0">
      <w:startOverride w:val="1"/>
    </w:lvlOverride>
  </w:num>
  <w:num w:numId="16" w16cid:durableId="578447948">
    <w:abstractNumId w:val="3"/>
  </w:num>
  <w:num w:numId="17" w16cid:durableId="151407664">
    <w:abstractNumId w:val="18"/>
  </w:num>
  <w:num w:numId="18" w16cid:durableId="562300102">
    <w:abstractNumId w:val="73"/>
  </w:num>
  <w:num w:numId="19" w16cid:durableId="1234779415">
    <w:abstractNumId w:val="35"/>
  </w:num>
  <w:num w:numId="20" w16cid:durableId="831919627">
    <w:abstractNumId w:val="53"/>
  </w:num>
  <w:num w:numId="21" w16cid:durableId="1484467153">
    <w:abstractNumId w:val="23"/>
  </w:num>
  <w:num w:numId="22" w16cid:durableId="390692051">
    <w:abstractNumId w:val="48"/>
  </w:num>
  <w:num w:numId="23" w16cid:durableId="1868903247">
    <w:abstractNumId w:val="32"/>
  </w:num>
  <w:num w:numId="24" w16cid:durableId="239145792">
    <w:abstractNumId w:val="72"/>
  </w:num>
  <w:num w:numId="25" w16cid:durableId="369719615">
    <w:abstractNumId w:val="60"/>
  </w:num>
  <w:num w:numId="26" w16cid:durableId="2057465172">
    <w:abstractNumId w:val="63"/>
  </w:num>
  <w:num w:numId="27" w16cid:durableId="795678321">
    <w:abstractNumId w:val="70"/>
  </w:num>
  <w:num w:numId="28" w16cid:durableId="1822649250">
    <w:abstractNumId w:val="14"/>
  </w:num>
  <w:num w:numId="29" w16cid:durableId="1331712110">
    <w:abstractNumId w:val="28"/>
  </w:num>
  <w:num w:numId="30" w16cid:durableId="1373536179">
    <w:abstractNumId w:val="49"/>
  </w:num>
  <w:num w:numId="31" w16cid:durableId="800153798">
    <w:abstractNumId w:val="16"/>
  </w:num>
  <w:num w:numId="32" w16cid:durableId="423844249">
    <w:abstractNumId w:val="5"/>
  </w:num>
  <w:num w:numId="33" w16cid:durableId="1803765824">
    <w:abstractNumId w:val="21"/>
  </w:num>
  <w:num w:numId="34" w16cid:durableId="1994674302">
    <w:abstractNumId w:val="30"/>
  </w:num>
  <w:num w:numId="35" w16cid:durableId="828909611">
    <w:abstractNumId w:val="55"/>
  </w:num>
  <w:num w:numId="36" w16cid:durableId="500393972">
    <w:abstractNumId w:val="58"/>
  </w:num>
  <w:num w:numId="37" w16cid:durableId="1943219882">
    <w:abstractNumId w:val="41"/>
  </w:num>
  <w:num w:numId="38" w16cid:durableId="2073960068">
    <w:abstractNumId w:val="39"/>
  </w:num>
  <w:num w:numId="39" w16cid:durableId="1811820778">
    <w:abstractNumId w:val="61"/>
  </w:num>
  <w:num w:numId="40" w16cid:durableId="1303921475">
    <w:abstractNumId w:val="37"/>
  </w:num>
  <w:num w:numId="41" w16cid:durableId="1629361148">
    <w:abstractNumId w:val="66"/>
  </w:num>
  <w:num w:numId="42" w16cid:durableId="701783452">
    <w:abstractNumId w:val="47"/>
  </w:num>
  <w:num w:numId="43" w16cid:durableId="365524578">
    <w:abstractNumId w:val="7"/>
  </w:num>
  <w:num w:numId="44" w16cid:durableId="1338270644">
    <w:abstractNumId w:val="44"/>
  </w:num>
  <w:num w:numId="45" w16cid:durableId="565460625">
    <w:abstractNumId w:val="76"/>
  </w:num>
  <w:num w:numId="46" w16cid:durableId="567691970">
    <w:abstractNumId w:val="4"/>
  </w:num>
  <w:num w:numId="47" w16cid:durableId="838080481">
    <w:abstractNumId w:val="68"/>
  </w:num>
  <w:num w:numId="48" w16cid:durableId="334192152">
    <w:abstractNumId w:val="12"/>
  </w:num>
  <w:num w:numId="49" w16cid:durableId="519659939">
    <w:abstractNumId w:val="65"/>
  </w:num>
  <w:num w:numId="50" w16cid:durableId="2011175344">
    <w:abstractNumId w:val="29"/>
  </w:num>
  <w:num w:numId="51" w16cid:durableId="1195460366">
    <w:abstractNumId w:val="31"/>
  </w:num>
  <w:num w:numId="52" w16cid:durableId="651981387">
    <w:abstractNumId w:val="52"/>
  </w:num>
  <w:num w:numId="53" w16cid:durableId="503276748">
    <w:abstractNumId w:val="25"/>
  </w:num>
  <w:num w:numId="54" w16cid:durableId="1747725483">
    <w:abstractNumId w:val="6"/>
  </w:num>
  <w:num w:numId="55" w16cid:durableId="1141263829">
    <w:abstractNumId w:val="2"/>
  </w:num>
  <w:num w:numId="56" w16cid:durableId="2095086156">
    <w:abstractNumId w:val="1"/>
  </w:num>
  <w:num w:numId="57" w16cid:durableId="1600749493">
    <w:abstractNumId w:val="0"/>
  </w:num>
  <w:num w:numId="58" w16cid:durableId="70084246">
    <w:abstractNumId w:val="42"/>
  </w:num>
  <w:num w:numId="59" w16cid:durableId="1397506081">
    <w:abstractNumId w:val="75"/>
  </w:num>
  <w:num w:numId="60" w16cid:durableId="1865554844">
    <w:abstractNumId w:val="51"/>
  </w:num>
  <w:num w:numId="61" w16cid:durableId="840464186">
    <w:abstractNumId w:val="57"/>
  </w:num>
  <w:num w:numId="62" w16cid:durableId="1790588604">
    <w:abstractNumId w:val="13"/>
  </w:num>
  <w:num w:numId="63" w16cid:durableId="1117943256">
    <w:abstractNumId w:val="38"/>
  </w:num>
  <w:num w:numId="64" w16cid:durableId="1424259634">
    <w:abstractNumId w:val="27"/>
  </w:num>
  <w:num w:numId="65" w16cid:durableId="835924907">
    <w:abstractNumId w:val="11"/>
  </w:num>
  <w:num w:numId="66" w16cid:durableId="1898390338">
    <w:abstractNumId w:val="56"/>
  </w:num>
  <w:num w:numId="67" w16cid:durableId="1762677616">
    <w:abstractNumId w:val="36"/>
  </w:num>
  <w:num w:numId="68" w16cid:durableId="626159193">
    <w:abstractNumId w:val="34"/>
  </w:num>
  <w:num w:numId="69" w16cid:durableId="1428113555">
    <w:abstractNumId w:val="24"/>
  </w:num>
  <w:num w:numId="70" w16cid:durableId="1941646493">
    <w:abstractNumId w:val="64"/>
  </w:num>
  <w:num w:numId="71" w16cid:durableId="1085423373">
    <w:abstractNumId w:val="20"/>
  </w:num>
  <w:num w:numId="72" w16cid:durableId="855273002">
    <w:abstractNumId w:val="45"/>
  </w:num>
  <w:num w:numId="73" w16cid:durableId="114254147">
    <w:abstractNumId w:val="54"/>
  </w:num>
  <w:num w:numId="74" w16cid:durableId="2047292711">
    <w:abstractNumId w:val="74"/>
  </w:num>
  <w:num w:numId="75" w16cid:durableId="63920905">
    <w:abstractNumId w:val="46"/>
  </w:num>
  <w:num w:numId="76" w16cid:durableId="1073242368">
    <w:abstractNumId w:val="8"/>
  </w:num>
  <w:num w:numId="77" w16cid:durableId="120812035">
    <w:abstractNumId w:val="43"/>
  </w:num>
  <w:num w:numId="78" w16cid:durableId="28770926">
    <w:abstractNumId w:val="59"/>
  </w:num>
  <w:num w:numId="79" w16cid:durableId="1445080643">
    <w:abstractNumId w:val="5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B32"/>
    <w:rsid w:val="00000F79"/>
    <w:rsid w:val="00001BA1"/>
    <w:rsid w:val="00003EC6"/>
    <w:rsid w:val="00006BCB"/>
    <w:rsid w:val="000114E3"/>
    <w:rsid w:val="0001274A"/>
    <w:rsid w:val="00016C70"/>
    <w:rsid w:val="0002030F"/>
    <w:rsid w:val="00027038"/>
    <w:rsid w:val="000302D8"/>
    <w:rsid w:val="000310AB"/>
    <w:rsid w:val="0003154E"/>
    <w:rsid w:val="00036EE6"/>
    <w:rsid w:val="00036EE9"/>
    <w:rsid w:val="00037513"/>
    <w:rsid w:val="00037A40"/>
    <w:rsid w:val="000449C7"/>
    <w:rsid w:val="00050454"/>
    <w:rsid w:val="00050E86"/>
    <w:rsid w:val="00050F71"/>
    <w:rsid w:val="0005248D"/>
    <w:rsid w:val="00054774"/>
    <w:rsid w:val="00057852"/>
    <w:rsid w:val="000578AC"/>
    <w:rsid w:val="0006627F"/>
    <w:rsid w:val="000701CC"/>
    <w:rsid w:val="00075B6C"/>
    <w:rsid w:val="0008602F"/>
    <w:rsid w:val="00091E59"/>
    <w:rsid w:val="000947BC"/>
    <w:rsid w:val="000A2337"/>
    <w:rsid w:val="000A598E"/>
    <w:rsid w:val="000B3417"/>
    <w:rsid w:val="000B5A41"/>
    <w:rsid w:val="000B6067"/>
    <w:rsid w:val="000B6A28"/>
    <w:rsid w:val="000C12AE"/>
    <w:rsid w:val="000C56F0"/>
    <w:rsid w:val="000C7D7B"/>
    <w:rsid w:val="000D2A0C"/>
    <w:rsid w:val="000D47BA"/>
    <w:rsid w:val="000D749D"/>
    <w:rsid w:val="000E071E"/>
    <w:rsid w:val="000F0AE0"/>
    <w:rsid w:val="000F10E7"/>
    <w:rsid w:val="000F2521"/>
    <w:rsid w:val="000F5F7A"/>
    <w:rsid w:val="00102F78"/>
    <w:rsid w:val="00106ECC"/>
    <w:rsid w:val="0010708D"/>
    <w:rsid w:val="00111EDF"/>
    <w:rsid w:val="00115248"/>
    <w:rsid w:val="00115264"/>
    <w:rsid w:val="00116E01"/>
    <w:rsid w:val="00117A77"/>
    <w:rsid w:val="00126473"/>
    <w:rsid w:val="00127CCF"/>
    <w:rsid w:val="0014151F"/>
    <w:rsid w:val="00144C1A"/>
    <w:rsid w:val="00145E59"/>
    <w:rsid w:val="00147F51"/>
    <w:rsid w:val="0015072C"/>
    <w:rsid w:val="00155DFD"/>
    <w:rsid w:val="001560AB"/>
    <w:rsid w:val="001574D2"/>
    <w:rsid w:val="001611BF"/>
    <w:rsid w:val="0016139C"/>
    <w:rsid w:val="00163416"/>
    <w:rsid w:val="00163D21"/>
    <w:rsid w:val="00167C26"/>
    <w:rsid w:val="0017228E"/>
    <w:rsid w:val="0017436A"/>
    <w:rsid w:val="0017515F"/>
    <w:rsid w:val="0018715C"/>
    <w:rsid w:val="0019042E"/>
    <w:rsid w:val="00190508"/>
    <w:rsid w:val="001917DF"/>
    <w:rsid w:val="001954B4"/>
    <w:rsid w:val="001A38E7"/>
    <w:rsid w:val="001A44BD"/>
    <w:rsid w:val="001A4BF2"/>
    <w:rsid w:val="001A4DA3"/>
    <w:rsid w:val="001A51D1"/>
    <w:rsid w:val="001B2D56"/>
    <w:rsid w:val="001B33DD"/>
    <w:rsid w:val="001C11FD"/>
    <w:rsid w:val="001C2837"/>
    <w:rsid w:val="001C4729"/>
    <w:rsid w:val="001C6B59"/>
    <w:rsid w:val="001D2CB7"/>
    <w:rsid w:val="001D3A18"/>
    <w:rsid w:val="001D411D"/>
    <w:rsid w:val="001D5FF3"/>
    <w:rsid w:val="001E2925"/>
    <w:rsid w:val="001E2E58"/>
    <w:rsid w:val="001E6E29"/>
    <w:rsid w:val="001F0847"/>
    <w:rsid w:val="001F1E9F"/>
    <w:rsid w:val="001F4392"/>
    <w:rsid w:val="001F5DA4"/>
    <w:rsid w:val="00201ABB"/>
    <w:rsid w:val="00203B61"/>
    <w:rsid w:val="0020484F"/>
    <w:rsid w:val="00212443"/>
    <w:rsid w:val="00215A44"/>
    <w:rsid w:val="00217994"/>
    <w:rsid w:val="00220DDA"/>
    <w:rsid w:val="002271EC"/>
    <w:rsid w:val="00227DB5"/>
    <w:rsid w:val="00231660"/>
    <w:rsid w:val="00235C0C"/>
    <w:rsid w:val="00235E64"/>
    <w:rsid w:val="00236A26"/>
    <w:rsid w:val="0024085A"/>
    <w:rsid w:val="002424A6"/>
    <w:rsid w:val="002429E6"/>
    <w:rsid w:val="002515CF"/>
    <w:rsid w:val="002522C7"/>
    <w:rsid w:val="002523D4"/>
    <w:rsid w:val="00261632"/>
    <w:rsid w:val="002623D3"/>
    <w:rsid w:val="00266CCC"/>
    <w:rsid w:val="00274D42"/>
    <w:rsid w:val="002771EC"/>
    <w:rsid w:val="00277C61"/>
    <w:rsid w:val="002816C0"/>
    <w:rsid w:val="00282CAE"/>
    <w:rsid w:val="00285CAF"/>
    <w:rsid w:val="00286960"/>
    <w:rsid w:val="00286A26"/>
    <w:rsid w:val="00292BFC"/>
    <w:rsid w:val="002942BC"/>
    <w:rsid w:val="002A57D5"/>
    <w:rsid w:val="002B11D1"/>
    <w:rsid w:val="002B1C9D"/>
    <w:rsid w:val="002B661A"/>
    <w:rsid w:val="002B78BA"/>
    <w:rsid w:val="002C6C63"/>
    <w:rsid w:val="002C7A05"/>
    <w:rsid w:val="002D4393"/>
    <w:rsid w:val="002D6B3D"/>
    <w:rsid w:val="002D70A4"/>
    <w:rsid w:val="002E0CA3"/>
    <w:rsid w:val="002E303D"/>
    <w:rsid w:val="002E5916"/>
    <w:rsid w:val="002E6C37"/>
    <w:rsid w:val="002E7CBE"/>
    <w:rsid w:val="002F1D15"/>
    <w:rsid w:val="002F4C85"/>
    <w:rsid w:val="00300A7A"/>
    <w:rsid w:val="0030216C"/>
    <w:rsid w:val="00303C55"/>
    <w:rsid w:val="00311C2D"/>
    <w:rsid w:val="00313052"/>
    <w:rsid w:val="00317030"/>
    <w:rsid w:val="00321EE0"/>
    <w:rsid w:val="003235F9"/>
    <w:rsid w:val="0032650A"/>
    <w:rsid w:val="00332CD1"/>
    <w:rsid w:val="00333C8F"/>
    <w:rsid w:val="00347ED6"/>
    <w:rsid w:val="003507C5"/>
    <w:rsid w:val="00353E5E"/>
    <w:rsid w:val="00355E36"/>
    <w:rsid w:val="00361020"/>
    <w:rsid w:val="0037054E"/>
    <w:rsid w:val="00370B8B"/>
    <w:rsid w:val="00371A63"/>
    <w:rsid w:val="003728E6"/>
    <w:rsid w:val="00373D74"/>
    <w:rsid w:val="00373F6B"/>
    <w:rsid w:val="00374D2A"/>
    <w:rsid w:val="00376FE6"/>
    <w:rsid w:val="0038019A"/>
    <w:rsid w:val="00381262"/>
    <w:rsid w:val="0038462A"/>
    <w:rsid w:val="00385BD5"/>
    <w:rsid w:val="0038735E"/>
    <w:rsid w:val="00390F98"/>
    <w:rsid w:val="003939BA"/>
    <w:rsid w:val="00394A95"/>
    <w:rsid w:val="00394E57"/>
    <w:rsid w:val="00396F33"/>
    <w:rsid w:val="00397B2B"/>
    <w:rsid w:val="003A0B07"/>
    <w:rsid w:val="003A7A60"/>
    <w:rsid w:val="003B15C3"/>
    <w:rsid w:val="003B45BB"/>
    <w:rsid w:val="003B4B50"/>
    <w:rsid w:val="003B5902"/>
    <w:rsid w:val="003C181D"/>
    <w:rsid w:val="003C5ECF"/>
    <w:rsid w:val="003D676D"/>
    <w:rsid w:val="003E6D30"/>
    <w:rsid w:val="003F03A9"/>
    <w:rsid w:val="003F23E9"/>
    <w:rsid w:val="003F45D6"/>
    <w:rsid w:val="0040278E"/>
    <w:rsid w:val="0040412C"/>
    <w:rsid w:val="00405232"/>
    <w:rsid w:val="00405895"/>
    <w:rsid w:val="00407710"/>
    <w:rsid w:val="00410466"/>
    <w:rsid w:val="0041186E"/>
    <w:rsid w:val="00411D13"/>
    <w:rsid w:val="004122ED"/>
    <w:rsid w:val="00421E07"/>
    <w:rsid w:val="00421FF4"/>
    <w:rsid w:val="0042496D"/>
    <w:rsid w:val="00426EF1"/>
    <w:rsid w:val="004316F8"/>
    <w:rsid w:val="00432C68"/>
    <w:rsid w:val="004415A3"/>
    <w:rsid w:val="00441E00"/>
    <w:rsid w:val="0044311B"/>
    <w:rsid w:val="00443F97"/>
    <w:rsid w:val="00444406"/>
    <w:rsid w:val="004452C1"/>
    <w:rsid w:val="00446B02"/>
    <w:rsid w:val="00447B19"/>
    <w:rsid w:val="00451AD2"/>
    <w:rsid w:val="00457AEB"/>
    <w:rsid w:val="0046197D"/>
    <w:rsid w:val="00464110"/>
    <w:rsid w:val="00464D89"/>
    <w:rsid w:val="00484490"/>
    <w:rsid w:val="0049076F"/>
    <w:rsid w:val="00490B90"/>
    <w:rsid w:val="004913F0"/>
    <w:rsid w:val="004923E4"/>
    <w:rsid w:val="00493CB9"/>
    <w:rsid w:val="004940DD"/>
    <w:rsid w:val="00495228"/>
    <w:rsid w:val="00495336"/>
    <w:rsid w:val="004A0C3E"/>
    <w:rsid w:val="004A265F"/>
    <w:rsid w:val="004A523A"/>
    <w:rsid w:val="004A57B8"/>
    <w:rsid w:val="004A6852"/>
    <w:rsid w:val="004A7007"/>
    <w:rsid w:val="004B138F"/>
    <w:rsid w:val="004B2C90"/>
    <w:rsid w:val="004B3D00"/>
    <w:rsid w:val="004B61D2"/>
    <w:rsid w:val="004C17DE"/>
    <w:rsid w:val="004C300A"/>
    <w:rsid w:val="004C3F06"/>
    <w:rsid w:val="004C48AD"/>
    <w:rsid w:val="004D237B"/>
    <w:rsid w:val="004D6A3C"/>
    <w:rsid w:val="004E0B51"/>
    <w:rsid w:val="004E26AE"/>
    <w:rsid w:val="004E5759"/>
    <w:rsid w:val="004F4C4F"/>
    <w:rsid w:val="004F69D5"/>
    <w:rsid w:val="00501055"/>
    <w:rsid w:val="005019EE"/>
    <w:rsid w:val="00504CF1"/>
    <w:rsid w:val="0050509C"/>
    <w:rsid w:val="00506B8C"/>
    <w:rsid w:val="00507F8A"/>
    <w:rsid w:val="00513C65"/>
    <w:rsid w:val="00514C9D"/>
    <w:rsid w:val="00515F5A"/>
    <w:rsid w:val="00521212"/>
    <w:rsid w:val="005226B9"/>
    <w:rsid w:val="00523D41"/>
    <w:rsid w:val="0053017C"/>
    <w:rsid w:val="00534803"/>
    <w:rsid w:val="00542452"/>
    <w:rsid w:val="005505B4"/>
    <w:rsid w:val="00550F4F"/>
    <w:rsid w:val="00552D93"/>
    <w:rsid w:val="00553647"/>
    <w:rsid w:val="005562A9"/>
    <w:rsid w:val="005575FF"/>
    <w:rsid w:val="00561FB9"/>
    <w:rsid w:val="005658EA"/>
    <w:rsid w:val="00566B2A"/>
    <w:rsid w:val="005673BA"/>
    <w:rsid w:val="005724E0"/>
    <w:rsid w:val="00577645"/>
    <w:rsid w:val="00591288"/>
    <w:rsid w:val="005917FD"/>
    <w:rsid w:val="00593906"/>
    <w:rsid w:val="00594944"/>
    <w:rsid w:val="005A2112"/>
    <w:rsid w:val="005A2237"/>
    <w:rsid w:val="005A4739"/>
    <w:rsid w:val="005A4AA1"/>
    <w:rsid w:val="005A4F51"/>
    <w:rsid w:val="005A5E03"/>
    <w:rsid w:val="005B0A50"/>
    <w:rsid w:val="005B3358"/>
    <w:rsid w:val="005B683F"/>
    <w:rsid w:val="005C0F15"/>
    <w:rsid w:val="005C3C13"/>
    <w:rsid w:val="005D4706"/>
    <w:rsid w:val="005D5E85"/>
    <w:rsid w:val="005D60BB"/>
    <w:rsid w:val="005E1311"/>
    <w:rsid w:val="005E1CB7"/>
    <w:rsid w:val="005E29A4"/>
    <w:rsid w:val="005E33A7"/>
    <w:rsid w:val="005E573B"/>
    <w:rsid w:val="005E6630"/>
    <w:rsid w:val="005F6A54"/>
    <w:rsid w:val="0060011C"/>
    <w:rsid w:val="006026D1"/>
    <w:rsid w:val="00605BBF"/>
    <w:rsid w:val="0061014C"/>
    <w:rsid w:val="00611AF5"/>
    <w:rsid w:val="006147EB"/>
    <w:rsid w:val="006164BB"/>
    <w:rsid w:val="006200EB"/>
    <w:rsid w:val="00621EA3"/>
    <w:rsid w:val="00626830"/>
    <w:rsid w:val="006336CC"/>
    <w:rsid w:val="00633F20"/>
    <w:rsid w:val="0063411D"/>
    <w:rsid w:val="006342D7"/>
    <w:rsid w:val="00635E84"/>
    <w:rsid w:val="00640234"/>
    <w:rsid w:val="0064080A"/>
    <w:rsid w:val="00641861"/>
    <w:rsid w:val="0064343A"/>
    <w:rsid w:val="00645ACD"/>
    <w:rsid w:val="00647A25"/>
    <w:rsid w:val="006518D4"/>
    <w:rsid w:val="006519A2"/>
    <w:rsid w:val="00661592"/>
    <w:rsid w:val="00665FB6"/>
    <w:rsid w:val="0066641F"/>
    <w:rsid w:val="00666EC5"/>
    <w:rsid w:val="00670684"/>
    <w:rsid w:val="0067781F"/>
    <w:rsid w:val="00680AC2"/>
    <w:rsid w:val="00680EA8"/>
    <w:rsid w:val="006811EB"/>
    <w:rsid w:val="0068498D"/>
    <w:rsid w:val="006863FB"/>
    <w:rsid w:val="00687C06"/>
    <w:rsid w:val="0069108B"/>
    <w:rsid w:val="0069796D"/>
    <w:rsid w:val="006A008F"/>
    <w:rsid w:val="006A253C"/>
    <w:rsid w:val="006A5AA6"/>
    <w:rsid w:val="006A78A4"/>
    <w:rsid w:val="006B16EF"/>
    <w:rsid w:val="006B1B36"/>
    <w:rsid w:val="006B4DFE"/>
    <w:rsid w:val="006C3741"/>
    <w:rsid w:val="006C443E"/>
    <w:rsid w:val="006C5C9F"/>
    <w:rsid w:val="006C5F8B"/>
    <w:rsid w:val="006D224E"/>
    <w:rsid w:val="006D2D50"/>
    <w:rsid w:val="006E170D"/>
    <w:rsid w:val="006E266C"/>
    <w:rsid w:val="006E3CAD"/>
    <w:rsid w:val="006E586F"/>
    <w:rsid w:val="006E698B"/>
    <w:rsid w:val="006E6D39"/>
    <w:rsid w:val="006F6551"/>
    <w:rsid w:val="006F703E"/>
    <w:rsid w:val="0070001E"/>
    <w:rsid w:val="0070081F"/>
    <w:rsid w:val="0070646E"/>
    <w:rsid w:val="007116A3"/>
    <w:rsid w:val="0071185A"/>
    <w:rsid w:val="00711BAF"/>
    <w:rsid w:val="0071548B"/>
    <w:rsid w:val="007203E4"/>
    <w:rsid w:val="007203F9"/>
    <w:rsid w:val="007204A9"/>
    <w:rsid w:val="00723DEE"/>
    <w:rsid w:val="0073619E"/>
    <w:rsid w:val="0073765A"/>
    <w:rsid w:val="007509FB"/>
    <w:rsid w:val="007550AB"/>
    <w:rsid w:val="00755515"/>
    <w:rsid w:val="007566C0"/>
    <w:rsid w:val="00756929"/>
    <w:rsid w:val="00756E7C"/>
    <w:rsid w:val="00763C0D"/>
    <w:rsid w:val="007658BC"/>
    <w:rsid w:val="00766DCA"/>
    <w:rsid w:val="00767DBB"/>
    <w:rsid w:val="00767E78"/>
    <w:rsid w:val="007709E1"/>
    <w:rsid w:val="00771181"/>
    <w:rsid w:val="00773833"/>
    <w:rsid w:val="00774646"/>
    <w:rsid w:val="00777891"/>
    <w:rsid w:val="00777C60"/>
    <w:rsid w:val="00780FB7"/>
    <w:rsid w:val="00781695"/>
    <w:rsid w:val="00781B50"/>
    <w:rsid w:val="00781CF0"/>
    <w:rsid w:val="007844A4"/>
    <w:rsid w:val="00786DF3"/>
    <w:rsid w:val="00794A3E"/>
    <w:rsid w:val="007A02A7"/>
    <w:rsid w:val="007A22C4"/>
    <w:rsid w:val="007A2A12"/>
    <w:rsid w:val="007A5432"/>
    <w:rsid w:val="007B1ED3"/>
    <w:rsid w:val="007B4B61"/>
    <w:rsid w:val="007B7ECD"/>
    <w:rsid w:val="007C0935"/>
    <w:rsid w:val="007C3184"/>
    <w:rsid w:val="007C73D7"/>
    <w:rsid w:val="007D350D"/>
    <w:rsid w:val="007D3CD9"/>
    <w:rsid w:val="007D4F64"/>
    <w:rsid w:val="007E511E"/>
    <w:rsid w:val="007E6917"/>
    <w:rsid w:val="007E6A17"/>
    <w:rsid w:val="007F4E93"/>
    <w:rsid w:val="007F755E"/>
    <w:rsid w:val="0080067B"/>
    <w:rsid w:val="008046D4"/>
    <w:rsid w:val="00815583"/>
    <w:rsid w:val="00815A1A"/>
    <w:rsid w:val="00815FAF"/>
    <w:rsid w:val="0082365C"/>
    <w:rsid w:val="008262B8"/>
    <w:rsid w:val="00826C51"/>
    <w:rsid w:val="00830C07"/>
    <w:rsid w:val="00831660"/>
    <w:rsid w:val="00831E3D"/>
    <w:rsid w:val="00831E87"/>
    <w:rsid w:val="0083278F"/>
    <w:rsid w:val="00833792"/>
    <w:rsid w:val="00836DAC"/>
    <w:rsid w:val="00841DFB"/>
    <w:rsid w:val="0084351D"/>
    <w:rsid w:val="008447F5"/>
    <w:rsid w:val="00846C24"/>
    <w:rsid w:val="00852F35"/>
    <w:rsid w:val="00853C03"/>
    <w:rsid w:val="00854AFC"/>
    <w:rsid w:val="00857363"/>
    <w:rsid w:val="00865757"/>
    <w:rsid w:val="00865BD0"/>
    <w:rsid w:val="00870F44"/>
    <w:rsid w:val="00872E31"/>
    <w:rsid w:val="0087772D"/>
    <w:rsid w:val="008779BF"/>
    <w:rsid w:val="00880485"/>
    <w:rsid w:val="00881214"/>
    <w:rsid w:val="008820A3"/>
    <w:rsid w:val="00883248"/>
    <w:rsid w:val="008841E3"/>
    <w:rsid w:val="00885D64"/>
    <w:rsid w:val="00887BAC"/>
    <w:rsid w:val="008950AB"/>
    <w:rsid w:val="008A0614"/>
    <w:rsid w:val="008A2310"/>
    <w:rsid w:val="008A2A6D"/>
    <w:rsid w:val="008B44F5"/>
    <w:rsid w:val="008C13FF"/>
    <w:rsid w:val="008C30B9"/>
    <w:rsid w:val="008C47A1"/>
    <w:rsid w:val="008C4D0D"/>
    <w:rsid w:val="008C5865"/>
    <w:rsid w:val="008C5F1B"/>
    <w:rsid w:val="008C738F"/>
    <w:rsid w:val="008D0E68"/>
    <w:rsid w:val="008D4256"/>
    <w:rsid w:val="008D46BF"/>
    <w:rsid w:val="008D4AA2"/>
    <w:rsid w:val="008D5F5B"/>
    <w:rsid w:val="008D6B9E"/>
    <w:rsid w:val="008D71C3"/>
    <w:rsid w:val="008D79C5"/>
    <w:rsid w:val="008E1024"/>
    <w:rsid w:val="008E13D1"/>
    <w:rsid w:val="008E654F"/>
    <w:rsid w:val="008E6FCA"/>
    <w:rsid w:val="008F0901"/>
    <w:rsid w:val="008F2D20"/>
    <w:rsid w:val="008F77BF"/>
    <w:rsid w:val="00900F11"/>
    <w:rsid w:val="00903C32"/>
    <w:rsid w:val="00912C03"/>
    <w:rsid w:val="00913ED0"/>
    <w:rsid w:val="009174E3"/>
    <w:rsid w:val="00921ACF"/>
    <w:rsid w:val="00927650"/>
    <w:rsid w:val="00927A34"/>
    <w:rsid w:val="0093374E"/>
    <w:rsid w:val="00935A1E"/>
    <w:rsid w:val="009373BD"/>
    <w:rsid w:val="00942CB6"/>
    <w:rsid w:val="00942CE9"/>
    <w:rsid w:val="00942DAD"/>
    <w:rsid w:val="00943E31"/>
    <w:rsid w:val="009454AF"/>
    <w:rsid w:val="00946373"/>
    <w:rsid w:val="00954FF2"/>
    <w:rsid w:val="00961418"/>
    <w:rsid w:val="009615D2"/>
    <w:rsid w:val="00962EE8"/>
    <w:rsid w:val="0096451C"/>
    <w:rsid w:val="00970D1A"/>
    <w:rsid w:val="00971524"/>
    <w:rsid w:val="00971A16"/>
    <w:rsid w:val="00971FED"/>
    <w:rsid w:val="0097262B"/>
    <w:rsid w:val="009727D9"/>
    <w:rsid w:val="009761A8"/>
    <w:rsid w:val="00976EE9"/>
    <w:rsid w:val="009779D6"/>
    <w:rsid w:val="00981613"/>
    <w:rsid w:val="00982D25"/>
    <w:rsid w:val="00984376"/>
    <w:rsid w:val="009852D5"/>
    <w:rsid w:val="00986B24"/>
    <w:rsid w:val="00993F5B"/>
    <w:rsid w:val="009940E5"/>
    <w:rsid w:val="00995541"/>
    <w:rsid w:val="00996223"/>
    <w:rsid w:val="009A2343"/>
    <w:rsid w:val="009A3CB6"/>
    <w:rsid w:val="009A6D9C"/>
    <w:rsid w:val="009B0A38"/>
    <w:rsid w:val="009B14F8"/>
    <w:rsid w:val="009B4045"/>
    <w:rsid w:val="009B7536"/>
    <w:rsid w:val="009B7D18"/>
    <w:rsid w:val="009C2ADB"/>
    <w:rsid w:val="009C31BD"/>
    <w:rsid w:val="009C60F6"/>
    <w:rsid w:val="009D2DBC"/>
    <w:rsid w:val="009D314B"/>
    <w:rsid w:val="009D3710"/>
    <w:rsid w:val="009D3F18"/>
    <w:rsid w:val="009D4A58"/>
    <w:rsid w:val="009D674C"/>
    <w:rsid w:val="009E3239"/>
    <w:rsid w:val="009F0889"/>
    <w:rsid w:val="009F53B7"/>
    <w:rsid w:val="009F656F"/>
    <w:rsid w:val="009F6A0F"/>
    <w:rsid w:val="00A008E6"/>
    <w:rsid w:val="00A07D2F"/>
    <w:rsid w:val="00A12C83"/>
    <w:rsid w:val="00A17AE2"/>
    <w:rsid w:val="00A21BCD"/>
    <w:rsid w:val="00A24C27"/>
    <w:rsid w:val="00A251D0"/>
    <w:rsid w:val="00A27733"/>
    <w:rsid w:val="00A34BE0"/>
    <w:rsid w:val="00A45279"/>
    <w:rsid w:val="00A4576E"/>
    <w:rsid w:val="00A536E8"/>
    <w:rsid w:val="00A5543F"/>
    <w:rsid w:val="00A5712C"/>
    <w:rsid w:val="00A6086A"/>
    <w:rsid w:val="00A62EF3"/>
    <w:rsid w:val="00A63104"/>
    <w:rsid w:val="00A6403D"/>
    <w:rsid w:val="00A643E5"/>
    <w:rsid w:val="00A650D8"/>
    <w:rsid w:val="00A6762A"/>
    <w:rsid w:val="00A71AA2"/>
    <w:rsid w:val="00A76F79"/>
    <w:rsid w:val="00A774F0"/>
    <w:rsid w:val="00A77DEA"/>
    <w:rsid w:val="00A77F7A"/>
    <w:rsid w:val="00A84A9A"/>
    <w:rsid w:val="00A85CC0"/>
    <w:rsid w:val="00A866BA"/>
    <w:rsid w:val="00A86B62"/>
    <w:rsid w:val="00A87D16"/>
    <w:rsid w:val="00A918A7"/>
    <w:rsid w:val="00A919DE"/>
    <w:rsid w:val="00A93FC6"/>
    <w:rsid w:val="00A9523A"/>
    <w:rsid w:val="00A963FA"/>
    <w:rsid w:val="00AA0217"/>
    <w:rsid w:val="00AA12EC"/>
    <w:rsid w:val="00AA20D0"/>
    <w:rsid w:val="00AA3292"/>
    <w:rsid w:val="00AA705F"/>
    <w:rsid w:val="00AB0931"/>
    <w:rsid w:val="00AB0AFD"/>
    <w:rsid w:val="00AB18FA"/>
    <w:rsid w:val="00AB273D"/>
    <w:rsid w:val="00AB2CF6"/>
    <w:rsid w:val="00AC0FC8"/>
    <w:rsid w:val="00AC2CDC"/>
    <w:rsid w:val="00AC2F63"/>
    <w:rsid w:val="00AC7CFF"/>
    <w:rsid w:val="00AC7F5F"/>
    <w:rsid w:val="00AD011D"/>
    <w:rsid w:val="00AD533C"/>
    <w:rsid w:val="00AD71F4"/>
    <w:rsid w:val="00AD7805"/>
    <w:rsid w:val="00AE0BE2"/>
    <w:rsid w:val="00AE1959"/>
    <w:rsid w:val="00AE43D3"/>
    <w:rsid w:val="00AE4A14"/>
    <w:rsid w:val="00AE58B2"/>
    <w:rsid w:val="00AE58FB"/>
    <w:rsid w:val="00AF0211"/>
    <w:rsid w:val="00AF1F2E"/>
    <w:rsid w:val="00AF3F03"/>
    <w:rsid w:val="00AF46A3"/>
    <w:rsid w:val="00AF63EB"/>
    <w:rsid w:val="00AF7953"/>
    <w:rsid w:val="00B00DCD"/>
    <w:rsid w:val="00B0274A"/>
    <w:rsid w:val="00B06A11"/>
    <w:rsid w:val="00B13304"/>
    <w:rsid w:val="00B21139"/>
    <w:rsid w:val="00B21660"/>
    <w:rsid w:val="00B23042"/>
    <w:rsid w:val="00B2338D"/>
    <w:rsid w:val="00B23FC6"/>
    <w:rsid w:val="00B33D46"/>
    <w:rsid w:val="00B34560"/>
    <w:rsid w:val="00B40AE4"/>
    <w:rsid w:val="00B4202C"/>
    <w:rsid w:val="00B4422D"/>
    <w:rsid w:val="00B51FC2"/>
    <w:rsid w:val="00B55EA8"/>
    <w:rsid w:val="00B56736"/>
    <w:rsid w:val="00B62351"/>
    <w:rsid w:val="00B6596F"/>
    <w:rsid w:val="00B662D1"/>
    <w:rsid w:val="00B70FF4"/>
    <w:rsid w:val="00B766FE"/>
    <w:rsid w:val="00B80846"/>
    <w:rsid w:val="00B8177F"/>
    <w:rsid w:val="00B90575"/>
    <w:rsid w:val="00B91912"/>
    <w:rsid w:val="00B95454"/>
    <w:rsid w:val="00BA2044"/>
    <w:rsid w:val="00BA4CDE"/>
    <w:rsid w:val="00BB1526"/>
    <w:rsid w:val="00BB2049"/>
    <w:rsid w:val="00BB4B8C"/>
    <w:rsid w:val="00BB6BB0"/>
    <w:rsid w:val="00BB6EFE"/>
    <w:rsid w:val="00BC3F30"/>
    <w:rsid w:val="00BC6536"/>
    <w:rsid w:val="00BC7806"/>
    <w:rsid w:val="00BD171D"/>
    <w:rsid w:val="00BD2B78"/>
    <w:rsid w:val="00BD57F5"/>
    <w:rsid w:val="00BD76D2"/>
    <w:rsid w:val="00BE17D3"/>
    <w:rsid w:val="00BE3D43"/>
    <w:rsid w:val="00BE45FD"/>
    <w:rsid w:val="00BE48A4"/>
    <w:rsid w:val="00BE56F0"/>
    <w:rsid w:val="00BE5C92"/>
    <w:rsid w:val="00BE64DE"/>
    <w:rsid w:val="00BF6596"/>
    <w:rsid w:val="00C00FC9"/>
    <w:rsid w:val="00C044A3"/>
    <w:rsid w:val="00C058A2"/>
    <w:rsid w:val="00C073A7"/>
    <w:rsid w:val="00C125DB"/>
    <w:rsid w:val="00C12D35"/>
    <w:rsid w:val="00C1424F"/>
    <w:rsid w:val="00C15B8A"/>
    <w:rsid w:val="00C243DF"/>
    <w:rsid w:val="00C322DE"/>
    <w:rsid w:val="00C335C4"/>
    <w:rsid w:val="00C36E44"/>
    <w:rsid w:val="00C45A67"/>
    <w:rsid w:val="00C47126"/>
    <w:rsid w:val="00C47620"/>
    <w:rsid w:val="00C50D50"/>
    <w:rsid w:val="00C52ECA"/>
    <w:rsid w:val="00C54E7F"/>
    <w:rsid w:val="00C55ECF"/>
    <w:rsid w:val="00C56CB1"/>
    <w:rsid w:val="00C61D53"/>
    <w:rsid w:val="00C62C9C"/>
    <w:rsid w:val="00C62CC3"/>
    <w:rsid w:val="00C657C8"/>
    <w:rsid w:val="00C70947"/>
    <w:rsid w:val="00C71FF2"/>
    <w:rsid w:val="00C76B32"/>
    <w:rsid w:val="00C77765"/>
    <w:rsid w:val="00C77883"/>
    <w:rsid w:val="00C812A4"/>
    <w:rsid w:val="00C83076"/>
    <w:rsid w:val="00C909EF"/>
    <w:rsid w:val="00C90AEC"/>
    <w:rsid w:val="00C914E5"/>
    <w:rsid w:val="00C9658D"/>
    <w:rsid w:val="00C96986"/>
    <w:rsid w:val="00CA04CC"/>
    <w:rsid w:val="00CA2FC4"/>
    <w:rsid w:val="00CA3411"/>
    <w:rsid w:val="00CA4641"/>
    <w:rsid w:val="00CA490F"/>
    <w:rsid w:val="00CA5CA7"/>
    <w:rsid w:val="00CA6F7F"/>
    <w:rsid w:val="00CA7D4F"/>
    <w:rsid w:val="00CB0298"/>
    <w:rsid w:val="00CB56CA"/>
    <w:rsid w:val="00CB6A54"/>
    <w:rsid w:val="00CC4462"/>
    <w:rsid w:val="00CC6110"/>
    <w:rsid w:val="00CC6529"/>
    <w:rsid w:val="00CC6943"/>
    <w:rsid w:val="00CC76F2"/>
    <w:rsid w:val="00CC785E"/>
    <w:rsid w:val="00CD064F"/>
    <w:rsid w:val="00CD0E38"/>
    <w:rsid w:val="00CD141A"/>
    <w:rsid w:val="00CD2896"/>
    <w:rsid w:val="00CE0D38"/>
    <w:rsid w:val="00CE44AE"/>
    <w:rsid w:val="00CE59EF"/>
    <w:rsid w:val="00CF134B"/>
    <w:rsid w:val="00CF2C52"/>
    <w:rsid w:val="00CF2E41"/>
    <w:rsid w:val="00D02919"/>
    <w:rsid w:val="00D03647"/>
    <w:rsid w:val="00D03799"/>
    <w:rsid w:val="00D04E61"/>
    <w:rsid w:val="00D10318"/>
    <w:rsid w:val="00D104B0"/>
    <w:rsid w:val="00D10635"/>
    <w:rsid w:val="00D12AFB"/>
    <w:rsid w:val="00D1356E"/>
    <w:rsid w:val="00D14E21"/>
    <w:rsid w:val="00D151E4"/>
    <w:rsid w:val="00D1605E"/>
    <w:rsid w:val="00D17AF3"/>
    <w:rsid w:val="00D228AE"/>
    <w:rsid w:val="00D25702"/>
    <w:rsid w:val="00D260B9"/>
    <w:rsid w:val="00D30A58"/>
    <w:rsid w:val="00D328F7"/>
    <w:rsid w:val="00D367A9"/>
    <w:rsid w:val="00D419E0"/>
    <w:rsid w:val="00D42135"/>
    <w:rsid w:val="00D434ED"/>
    <w:rsid w:val="00D457FD"/>
    <w:rsid w:val="00D45E38"/>
    <w:rsid w:val="00D460D4"/>
    <w:rsid w:val="00D500C1"/>
    <w:rsid w:val="00D51058"/>
    <w:rsid w:val="00D525B8"/>
    <w:rsid w:val="00D525F1"/>
    <w:rsid w:val="00D54596"/>
    <w:rsid w:val="00D55354"/>
    <w:rsid w:val="00D57878"/>
    <w:rsid w:val="00D61596"/>
    <w:rsid w:val="00D62E21"/>
    <w:rsid w:val="00D71592"/>
    <w:rsid w:val="00D810BB"/>
    <w:rsid w:val="00D83264"/>
    <w:rsid w:val="00D83ECB"/>
    <w:rsid w:val="00D94CAD"/>
    <w:rsid w:val="00D96196"/>
    <w:rsid w:val="00D97DFC"/>
    <w:rsid w:val="00DA085C"/>
    <w:rsid w:val="00DA18A2"/>
    <w:rsid w:val="00DA262D"/>
    <w:rsid w:val="00DA31FB"/>
    <w:rsid w:val="00DA3834"/>
    <w:rsid w:val="00DA3BDF"/>
    <w:rsid w:val="00DA698B"/>
    <w:rsid w:val="00DA6AD0"/>
    <w:rsid w:val="00DB6164"/>
    <w:rsid w:val="00DC3CDA"/>
    <w:rsid w:val="00DC5884"/>
    <w:rsid w:val="00DC7ECE"/>
    <w:rsid w:val="00DD05D1"/>
    <w:rsid w:val="00DD08A9"/>
    <w:rsid w:val="00DD25B4"/>
    <w:rsid w:val="00DD6351"/>
    <w:rsid w:val="00DE28F5"/>
    <w:rsid w:val="00DE79F3"/>
    <w:rsid w:val="00DF0A7B"/>
    <w:rsid w:val="00DF0BAC"/>
    <w:rsid w:val="00DF1D65"/>
    <w:rsid w:val="00DF2F8D"/>
    <w:rsid w:val="00DF55C6"/>
    <w:rsid w:val="00DF6044"/>
    <w:rsid w:val="00E00E6D"/>
    <w:rsid w:val="00E01F5E"/>
    <w:rsid w:val="00E023DA"/>
    <w:rsid w:val="00E05FA4"/>
    <w:rsid w:val="00E20F4B"/>
    <w:rsid w:val="00E224F4"/>
    <w:rsid w:val="00E25C47"/>
    <w:rsid w:val="00E26F18"/>
    <w:rsid w:val="00E272B8"/>
    <w:rsid w:val="00E2753F"/>
    <w:rsid w:val="00E2762C"/>
    <w:rsid w:val="00E364FB"/>
    <w:rsid w:val="00E372F3"/>
    <w:rsid w:val="00E57452"/>
    <w:rsid w:val="00E61D0C"/>
    <w:rsid w:val="00E63FAE"/>
    <w:rsid w:val="00E65350"/>
    <w:rsid w:val="00E70D3C"/>
    <w:rsid w:val="00E75A89"/>
    <w:rsid w:val="00E75CE3"/>
    <w:rsid w:val="00E77384"/>
    <w:rsid w:val="00E80B63"/>
    <w:rsid w:val="00E84F06"/>
    <w:rsid w:val="00E91B0B"/>
    <w:rsid w:val="00E92551"/>
    <w:rsid w:val="00E92E3C"/>
    <w:rsid w:val="00E94359"/>
    <w:rsid w:val="00E9516C"/>
    <w:rsid w:val="00EA0336"/>
    <w:rsid w:val="00EA2DBA"/>
    <w:rsid w:val="00EA4542"/>
    <w:rsid w:val="00EA558C"/>
    <w:rsid w:val="00EA6421"/>
    <w:rsid w:val="00EB2242"/>
    <w:rsid w:val="00EB37B9"/>
    <w:rsid w:val="00EB4B55"/>
    <w:rsid w:val="00EB5E18"/>
    <w:rsid w:val="00EB6B2D"/>
    <w:rsid w:val="00ED014C"/>
    <w:rsid w:val="00ED0697"/>
    <w:rsid w:val="00ED38C7"/>
    <w:rsid w:val="00ED3A22"/>
    <w:rsid w:val="00EE0CAD"/>
    <w:rsid w:val="00EE475E"/>
    <w:rsid w:val="00EE4B4D"/>
    <w:rsid w:val="00EE5E8A"/>
    <w:rsid w:val="00EF62F3"/>
    <w:rsid w:val="00EF6DC7"/>
    <w:rsid w:val="00F0041F"/>
    <w:rsid w:val="00F03073"/>
    <w:rsid w:val="00F0453C"/>
    <w:rsid w:val="00F04C9F"/>
    <w:rsid w:val="00F05263"/>
    <w:rsid w:val="00F13875"/>
    <w:rsid w:val="00F16823"/>
    <w:rsid w:val="00F26109"/>
    <w:rsid w:val="00F26969"/>
    <w:rsid w:val="00F26A43"/>
    <w:rsid w:val="00F30DA3"/>
    <w:rsid w:val="00F31E65"/>
    <w:rsid w:val="00F34B51"/>
    <w:rsid w:val="00F34D1E"/>
    <w:rsid w:val="00F409C0"/>
    <w:rsid w:val="00F40CFA"/>
    <w:rsid w:val="00F42AFD"/>
    <w:rsid w:val="00F4464D"/>
    <w:rsid w:val="00F51137"/>
    <w:rsid w:val="00F52250"/>
    <w:rsid w:val="00F61895"/>
    <w:rsid w:val="00F630E3"/>
    <w:rsid w:val="00F66078"/>
    <w:rsid w:val="00F66558"/>
    <w:rsid w:val="00F67360"/>
    <w:rsid w:val="00F67EA6"/>
    <w:rsid w:val="00F70769"/>
    <w:rsid w:val="00F7086B"/>
    <w:rsid w:val="00F7120A"/>
    <w:rsid w:val="00F71625"/>
    <w:rsid w:val="00F720E7"/>
    <w:rsid w:val="00F72C0A"/>
    <w:rsid w:val="00F75427"/>
    <w:rsid w:val="00F76EE2"/>
    <w:rsid w:val="00F8025E"/>
    <w:rsid w:val="00F82B2B"/>
    <w:rsid w:val="00F86700"/>
    <w:rsid w:val="00F87586"/>
    <w:rsid w:val="00F905A5"/>
    <w:rsid w:val="00F91C32"/>
    <w:rsid w:val="00F957C6"/>
    <w:rsid w:val="00F974AA"/>
    <w:rsid w:val="00FA0889"/>
    <w:rsid w:val="00FA3CEF"/>
    <w:rsid w:val="00FA3E04"/>
    <w:rsid w:val="00FB29BC"/>
    <w:rsid w:val="00FC08CF"/>
    <w:rsid w:val="00FC249D"/>
    <w:rsid w:val="00FC2904"/>
    <w:rsid w:val="00FC4FD3"/>
    <w:rsid w:val="00FC7220"/>
    <w:rsid w:val="00FD0674"/>
    <w:rsid w:val="00FD07A4"/>
    <w:rsid w:val="00FD0A13"/>
    <w:rsid w:val="00FD11D5"/>
    <w:rsid w:val="00FD12F2"/>
    <w:rsid w:val="00FD20A5"/>
    <w:rsid w:val="00FD2C22"/>
    <w:rsid w:val="00FD4DFF"/>
    <w:rsid w:val="00FD51A0"/>
    <w:rsid w:val="00FD6915"/>
    <w:rsid w:val="00FE2C7F"/>
    <w:rsid w:val="00FE4518"/>
    <w:rsid w:val="00FE769F"/>
    <w:rsid w:val="00FF0359"/>
    <w:rsid w:val="00FF3BFB"/>
    <w:rsid w:val="00FF5210"/>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4A98AF2"/>
  <w14:discardImageEditingData/>
  <w15:chartTrackingRefBased/>
  <w15:docId w15:val="{C9520E82-6128-45A4-BB32-C834914C2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B2B"/>
    <w:pPr>
      <w:spacing w:after="160" w:line="264" w:lineRule="auto"/>
      <w:jc w:val="both"/>
    </w:pPr>
    <w:rPr>
      <w:sz w:val="22"/>
    </w:rPr>
  </w:style>
  <w:style w:type="paragraph" w:styleId="Heading1">
    <w:name w:val="heading 1"/>
    <w:basedOn w:val="Normal"/>
    <w:next w:val="Normal"/>
    <w:link w:val="Heading1Char"/>
    <w:uiPriority w:val="2"/>
    <w:qFormat/>
    <w:rsid w:val="00292BFC"/>
    <w:pPr>
      <w:keepNext/>
      <w:keepLines/>
      <w:spacing w:before="360" w:line="240" w:lineRule="auto"/>
      <w:outlineLvl w:val="0"/>
    </w:pPr>
    <w:rPr>
      <w:rFonts w:asciiTheme="majorHAnsi" w:eastAsiaTheme="majorEastAsia" w:hAnsiTheme="majorHAnsi" w:cstheme="majorBidi"/>
      <w:color w:val="1C2B39" w:themeColor="accent1"/>
      <w:sz w:val="48"/>
      <w:szCs w:val="40"/>
    </w:rPr>
  </w:style>
  <w:style w:type="paragraph" w:styleId="Heading2">
    <w:name w:val="heading 2"/>
    <w:basedOn w:val="Normal"/>
    <w:next w:val="Normal"/>
    <w:link w:val="Heading2Char"/>
    <w:uiPriority w:val="2"/>
    <w:qFormat/>
    <w:rsid w:val="006147EB"/>
    <w:pPr>
      <w:keepNext/>
      <w:keepLines/>
      <w:spacing w:before="240" w:line="240" w:lineRule="auto"/>
      <w:outlineLvl w:val="1"/>
    </w:pPr>
    <w:rPr>
      <w:rFonts w:asciiTheme="majorHAnsi" w:eastAsiaTheme="majorEastAsia" w:hAnsiTheme="majorHAnsi" w:cstheme="majorBidi"/>
      <w:color w:val="1C2B39" w:themeColor="accent1"/>
      <w:sz w:val="36"/>
      <w:szCs w:val="28"/>
    </w:rPr>
  </w:style>
  <w:style w:type="paragraph" w:styleId="Heading3">
    <w:name w:val="heading 3"/>
    <w:basedOn w:val="Heading4"/>
    <w:next w:val="Normal"/>
    <w:link w:val="Heading3Char"/>
    <w:uiPriority w:val="2"/>
    <w:qFormat/>
    <w:rsid w:val="006147EB"/>
    <w:pPr>
      <w:outlineLvl w:val="2"/>
    </w:pPr>
    <w:rPr>
      <w:color w:val="1C2B39" w:themeColor="accent1"/>
      <w:sz w:val="24"/>
      <w:szCs w:val="24"/>
    </w:rPr>
  </w:style>
  <w:style w:type="paragraph" w:styleId="Heading4">
    <w:name w:val="heading 4"/>
    <w:basedOn w:val="Normal"/>
    <w:next w:val="Normal"/>
    <w:link w:val="Heading4Char"/>
    <w:uiPriority w:val="2"/>
    <w:qFormat/>
    <w:rsid w:val="00F8025E"/>
    <w:pPr>
      <w:keepNext/>
      <w:keepLines/>
      <w:spacing w:before="240"/>
      <w:outlineLvl w:val="3"/>
    </w:pPr>
    <w:rPr>
      <w:rFonts w:asciiTheme="majorHAnsi" w:eastAsiaTheme="majorEastAsia" w:hAnsiTheme="majorHAnsi" w:cstheme="minorHAnsi"/>
      <w:color w:val="004261" w:themeColor="text2"/>
      <w:szCs w:val="22"/>
    </w:rPr>
  </w:style>
  <w:style w:type="paragraph" w:styleId="Heading5">
    <w:name w:val="heading 5"/>
    <w:basedOn w:val="Normal"/>
    <w:next w:val="Normal"/>
    <w:link w:val="Heading5Char"/>
    <w:uiPriority w:val="2"/>
    <w:unhideWhenUsed/>
    <w:rsid w:val="00F8025E"/>
    <w:pPr>
      <w:keepNext/>
      <w:keepLines/>
      <w:spacing w:before="240"/>
      <w:outlineLvl w:val="4"/>
    </w:pPr>
    <w:rPr>
      <w:rFonts w:asciiTheme="majorHAnsi" w:eastAsiaTheme="majorEastAsia" w:hAnsiTheme="majorHAnsi" w:cstheme="majorBidi"/>
      <w:iCs/>
      <w:color w:val="8D2625" w:themeColor="accent6" w:themeShade="BF"/>
      <w:szCs w:val="22"/>
    </w:rPr>
  </w:style>
  <w:style w:type="paragraph" w:styleId="Heading6">
    <w:name w:val="heading 6"/>
    <w:basedOn w:val="Normal"/>
    <w:next w:val="Normal"/>
    <w:link w:val="Heading6Char"/>
    <w:uiPriority w:val="2"/>
    <w:unhideWhenUsed/>
    <w:rsid w:val="00F8025E"/>
    <w:pPr>
      <w:keepNext/>
      <w:keepLines/>
      <w:spacing w:before="240"/>
      <w:outlineLvl w:val="5"/>
    </w:pPr>
    <w:rPr>
      <w:rFonts w:asciiTheme="majorHAnsi" w:eastAsiaTheme="majorEastAsia" w:hAnsiTheme="majorHAnsi" w:cstheme="majorBidi"/>
      <w:color w:val="A65815" w:themeColor="accent4" w:themeShade="BF"/>
    </w:rPr>
  </w:style>
  <w:style w:type="paragraph" w:styleId="Heading7">
    <w:name w:val="heading 7"/>
    <w:basedOn w:val="Normal"/>
    <w:next w:val="Normal"/>
    <w:link w:val="Heading7Char"/>
    <w:uiPriority w:val="2"/>
    <w:unhideWhenUsed/>
    <w:rsid w:val="00292BFC"/>
    <w:pPr>
      <w:keepNext/>
      <w:keepLines/>
      <w:spacing w:before="240"/>
      <w:outlineLvl w:val="6"/>
    </w:pPr>
    <w:rPr>
      <w:rFonts w:asciiTheme="majorHAnsi" w:eastAsiaTheme="majorEastAsia" w:hAnsiTheme="majorHAnsi" w:cstheme="majorBidi"/>
      <w:b/>
      <w:bCs/>
      <w:color w:val="004261" w:themeColor="text2"/>
    </w:rPr>
  </w:style>
  <w:style w:type="paragraph" w:styleId="Heading8">
    <w:name w:val="heading 8"/>
    <w:basedOn w:val="Normal"/>
    <w:next w:val="Normal"/>
    <w:link w:val="Heading8Char"/>
    <w:uiPriority w:val="2"/>
    <w:unhideWhenUsed/>
    <w:rsid w:val="00292BFC"/>
    <w:pPr>
      <w:keepNext/>
      <w:keepLines/>
      <w:spacing w:before="240"/>
      <w:outlineLvl w:val="7"/>
    </w:pPr>
    <w:rPr>
      <w:rFonts w:asciiTheme="majorHAnsi" w:eastAsiaTheme="majorEastAsia" w:hAnsiTheme="majorHAnsi" w:cstheme="majorBidi"/>
      <w:b/>
      <w:bCs/>
      <w:i/>
      <w:iCs/>
      <w:color w:val="004261" w:themeColor="text2"/>
      <w:sz w:val="20"/>
      <w:szCs w:val="20"/>
    </w:rPr>
  </w:style>
  <w:style w:type="paragraph" w:styleId="Heading9">
    <w:name w:val="heading 9"/>
    <w:basedOn w:val="Normal"/>
    <w:next w:val="Normal"/>
    <w:link w:val="Heading9Char"/>
    <w:uiPriority w:val="2"/>
    <w:unhideWhenUsed/>
    <w:rsid w:val="00292BFC"/>
    <w:pPr>
      <w:keepNext/>
      <w:keepLines/>
      <w:spacing w:before="240"/>
      <w:outlineLvl w:val="8"/>
    </w:pPr>
    <w:rPr>
      <w:rFonts w:asciiTheme="majorHAnsi" w:eastAsiaTheme="majorEastAsia" w:hAnsiTheme="majorHAnsi" w:cstheme="majorBidi"/>
      <w:i/>
      <w:iCs/>
      <w:color w:val="004261"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92BFC"/>
    <w:rPr>
      <w:rFonts w:asciiTheme="majorHAnsi" w:eastAsiaTheme="majorEastAsia" w:hAnsiTheme="majorHAnsi" w:cstheme="majorBidi"/>
      <w:color w:val="1C2B39" w:themeColor="accent1"/>
      <w:sz w:val="48"/>
      <w:szCs w:val="4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character" w:customStyle="1" w:styleId="Heading2Char">
    <w:name w:val="Heading 2 Char"/>
    <w:basedOn w:val="DefaultParagraphFont"/>
    <w:link w:val="Heading2"/>
    <w:uiPriority w:val="2"/>
    <w:rsid w:val="006147EB"/>
    <w:rPr>
      <w:rFonts w:asciiTheme="majorHAnsi" w:eastAsiaTheme="majorEastAsia" w:hAnsiTheme="majorHAnsi" w:cstheme="majorBidi"/>
      <w:color w:val="1C2B39" w:themeColor="accent1"/>
      <w:sz w:val="36"/>
      <w:szCs w:val="28"/>
    </w:rPr>
  </w:style>
  <w:style w:type="character" w:customStyle="1" w:styleId="Heading3Char">
    <w:name w:val="Heading 3 Char"/>
    <w:basedOn w:val="DefaultParagraphFont"/>
    <w:link w:val="Heading3"/>
    <w:uiPriority w:val="2"/>
    <w:rsid w:val="006147EB"/>
    <w:rPr>
      <w:rFonts w:eastAsiaTheme="majorEastAsia" w:cstheme="minorHAnsi"/>
      <w:b/>
      <w:color w:val="1C2B39" w:themeColor="accent1"/>
      <w:sz w:val="24"/>
      <w:szCs w:val="24"/>
    </w:rPr>
  </w:style>
  <w:style w:type="character" w:customStyle="1" w:styleId="Heading4Char">
    <w:name w:val="Heading 4 Char"/>
    <w:basedOn w:val="DefaultParagraphFont"/>
    <w:link w:val="Heading4"/>
    <w:uiPriority w:val="2"/>
    <w:rsid w:val="00F8025E"/>
    <w:rPr>
      <w:rFonts w:asciiTheme="majorHAnsi" w:eastAsiaTheme="majorEastAsia" w:hAnsiTheme="majorHAnsi" w:cstheme="minorHAnsi"/>
      <w:color w:val="004261" w:themeColor="text2"/>
      <w:sz w:val="22"/>
      <w:szCs w:val="22"/>
    </w:rPr>
  </w:style>
  <w:style w:type="character" w:customStyle="1" w:styleId="Heading5Char">
    <w:name w:val="Heading 5 Char"/>
    <w:basedOn w:val="DefaultParagraphFont"/>
    <w:link w:val="Heading5"/>
    <w:uiPriority w:val="2"/>
    <w:rsid w:val="00F8025E"/>
    <w:rPr>
      <w:rFonts w:asciiTheme="majorHAnsi" w:eastAsiaTheme="majorEastAsia" w:hAnsiTheme="majorHAnsi" w:cstheme="majorBidi"/>
      <w:iCs/>
      <w:color w:val="8D2625" w:themeColor="accent6" w:themeShade="BF"/>
      <w:sz w:val="22"/>
      <w:szCs w:val="22"/>
    </w:rPr>
  </w:style>
  <w:style w:type="character" w:customStyle="1" w:styleId="Heading6Char">
    <w:name w:val="Heading 6 Char"/>
    <w:basedOn w:val="DefaultParagraphFont"/>
    <w:link w:val="Heading6"/>
    <w:uiPriority w:val="2"/>
    <w:rsid w:val="00F8025E"/>
    <w:rPr>
      <w:rFonts w:asciiTheme="majorHAnsi" w:eastAsiaTheme="majorEastAsia" w:hAnsiTheme="majorHAnsi" w:cstheme="majorBidi"/>
      <w:color w:val="A65815" w:themeColor="accent4" w:themeShade="BF"/>
      <w:sz w:val="22"/>
    </w:rPr>
  </w:style>
  <w:style w:type="character" w:customStyle="1" w:styleId="Heading7Char">
    <w:name w:val="Heading 7 Char"/>
    <w:basedOn w:val="DefaultParagraphFont"/>
    <w:link w:val="Heading7"/>
    <w:uiPriority w:val="2"/>
    <w:rsid w:val="00292BFC"/>
    <w:rPr>
      <w:rFonts w:asciiTheme="majorHAnsi" w:eastAsiaTheme="majorEastAsia" w:hAnsiTheme="majorHAnsi" w:cstheme="majorBidi"/>
      <w:b/>
      <w:bCs/>
      <w:color w:val="004261" w:themeColor="text2"/>
      <w:sz w:val="22"/>
    </w:rPr>
  </w:style>
  <w:style w:type="character" w:customStyle="1" w:styleId="Heading8Char">
    <w:name w:val="Heading 8 Char"/>
    <w:basedOn w:val="DefaultParagraphFont"/>
    <w:link w:val="Heading8"/>
    <w:uiPriority w:val="2"/>
    <w:rsid w:val="00292BFC"/>
    <w:rPr>
      <w:rFonts w:asciiTheme="majorHAnsi" w:eastAsiaTheme="majorEastAsia" w:hAnsiTheme="majorHAnsi" w:cstheme="majorBidi"/>
      <w:b/>
      <w:bCs/>
      <w:i/>
      <w:iCs/>
      <w:color w:val="004261" w:themeColor="text2"/>
      <w:sz w:val="20"/>
      <w:szCs w:val="20"/>
    </w:rPr>
  </w:style>
  <w:style w:type="character" w:customStyle="1" w:styleId="Heading9Char">
    <w:name w:val="Heading 9 Char"/>
    <w:basedOn w:val="DefaultParagraphFont"/>
    <w:link w:val="Heading9"/>
    <w:uiPriority w:val="2"/>
    <w:rsid w:val="00292BFC"/>
    <w:rPr>
      <w:rFonts w:asciiTheme="majorHAnsi" w:eastAsiaTheme="majorEastAsia" w:hAnsiTheme="majorHAnsi" w:cstheme="majorBidi"/>
      <w:i/>
      <w:iCs/>
      <w:color w:val="004261" w:themeColor="text2"/>
      <w:sz w:val="20"/>
      <w:szCs w:val="20"/>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unhideWhenUsed/>
    <w:qFormat/>
    <w:rsid w:val="00D525B8"/>
    <w:pPr>
      <w:spacing w:line="240" w:lineRule="auto"/>
    </w:pPr>
    <w:rPr>
      <w:b/>
      <w:bCs/>
      <w:smallCaps/>
      <w:color w:val="4D759C" w:themeColor="text1" w:themeTint="A6"/>
    </w:rPr>
  </w:style>
  <w:style w:type="character" w:styleId="Strong">
    <w:name w:val="Strong"/>
    <w:basedOn w:val="DefaultParagraphFont"/>
    <w:uiPriority w:val="22"/>
    <w:unhideWhenUsed/>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292BFC"/>
    <w:pPr>
      <w:spacing w:before="240"/>
      <w:ind w:left="720" w:right="720"/>
    </w:pPr>
    <w:rPr>
      <w:i/>
      <w:iCs/>
      <w:color w:val="004261" w:themeColor="text2"/>
    </w:rPr>
  </w:style>
  <w:style w:type="character" w:customStyle="1" w:styleId="QuoteChar">
    <w:name w:val="Quote Char"/>
    <w:basedOn w:val="DefaultParagraphFont"/>
    <w:link w:val="Quote"/>
    <w:uiPriority w:val="16"/>
    <w:rsid w:val="00292BFC"/>
    <w:rPr>
      <w:i/>
      <w:iCs/>
      <w:color w:val="004261" w:themeColor="text2"/>
      <w:sz w:val="22"/>
    </w:rPr>
  </w:style>
  <w:style w:type="paragraph" w:styleId="IntenseQuote">
    <w:name w:val="Intense Quote"/>
    <w:basedOn w:val="Normal"/>
    <w:next w:val="Normal"/>
    <w:link w:val="IntenseQuoteChar"/>
    <w:uiPriority w:val="17"/>
    <w:qFormat/>
    <w:rsid w:val="00292BFC"/>
    <w:pPr>
      <w:spacing w:before="120"/>
      <w:ind w:left="720" w:right="720"/>
    </w:pPr>
    <w:rPr>
      <w:rFonts w:asciiTheme="majorHAnsi" w:eastAsiaTheme="majorEastAsia" w:hAnsiTheme="majorHAnsi" w:cstheme="majorBidi"/>
      <w:i/>
      <w:iCs/>
      <w:color w:val="004261" w:themeColor="text2"/>
      <w:sz w:val="32"/>
      <w:szCs w:val="32"/>
    </w:rPr>
  </w:style>
  <w:style w:type="character" w:customStyle="1" w:styleId="IntenseQuoteChar">
    <w:name w:val="Intense Quote Char"/>
    <w:basedOn w:val="DefaultParagraphFont"/>
    <w:link w:val="IntenseQuote"/>
    <w:uiPriority w:val="17"/>
    <w:rsid w:val="00292BFC"/>
    <w:rPr>
      <w:rFonts w:asciiTheme="majorHAnsi" w:eastAsiaTheme="majorEastAsia" w:hAnsiTheme="majorHAnsi" w:cstheme="majorBidi"/>
      <w:i/>
      <w:iCs/>
      <w:color w:val="004261" w:themeColor="text2"/>
      <w:sz w:val="32"/>
      <w:szCs w:val="32"/>
    </w:rPr>
  </w:style>
  <w:style w:type="character" w:styleId="SubtleEmphasis">
    <w:name w:val="Subtle Emphasis"/>
    <w:basedOn w:val="DefaultParagraphFont"/>
    <w:uiPriority w:val="19"/>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F05263"/>
    <w:rPr>
      <w:rFonts w:asciiTheme="minorHAnsi" w:hAnsiTheme="minorHAnsi"/>
      <w:caps w:val="0"/>
      <w:smallCaps w:val="0"/>
      <w:color w:val="004261" w:themeColor="text2"/>
    </w:rPr>
  </w:style>
  <w:style w:type="character" w:styleId="IntenseReference">
    <w:name w:val="Intense Reference"/>
    <w:basedOn w:val="DefaultParagraphFont"/>
    <w:uiPriority w:val="32"/>
    <w:unhideWhenUsed/>
    <w:rsid w:val="00F05263"/>
    <w:rPr>
      <w:rFonts w:asciiTheme="majorHAnsi" w:hAnsiTheme="majorHAnsi"/>
      <w:b/>
      <w:bCs/>
      <w:caps w:val="0"/>
      <w:smallCaps w:val="0"/>
      <w:color w:val="004261" w:themeColor="text2"/>
    </w:rPr>
  </w:style>
  <w:style w:type="paragraph" w:styleId="TOCHeading">
    <w:name w:val="TOC Heading"/>
    <w:basedOn w:val="Heading1"/>
    <w:next w:val="Normal"/>
    <w:uiPriority w:val="39"/>
    <w:unhideWhenUsed/>
    <w:qFormat/>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92BFC"/>
    <w:pPr>
      <w:jc w:val="center"/>
    </w:pPr>
    <w:rPr>
      <w:rFonts w:ascii="Segoe UI" w:hAnsi="Segoe UI"/>
      <w:caps/>
      <w:color w:val="BD3432" w:themeColor="accent6"/>
      <w:sz w:val="18"/>
    </w:rPr>
  </w:style>
  <w:style w:type="paragraph" w:customStyle="1" w:styleId="BOXHeading2">
    <w:name w:val="BOX Heading 2"/>
    <w:basedOn w:val="Heading2"/>
    <w:next w:val="BOXText"/>
    <w:uiPriority w:val="6"/>
    <w:qFormat/>
    <w:rsid w:val="00857363"/>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character" w:customStyle="1" w:styleId="CLASSIFICATIONChar">
    <w:name w:val="CLASSIFICATION Char"/>
    <w:basedOn w:val="DefaultParagraphFont"/>
    <w:link w:val="CLASSIFICATION"/>
    <w:uiPriority w:val="99"/>
    <w:rsid w:val="00292BFC"/>
    <w:rPr>
      <w:rFonts w:ascii="Segoe UI" w:hAnsi="Segoe UI"/>
      <w:caps/>
      <w:color w:val="BD3432" w:themeColor="accent6"/>
      <w:sz w:val="18"/>
    </w:rPr>
  </w:style>
  <w:style w:type="paragraph" w:customStyle="1" w:styleId="BOXText">
    <w:name w:val="BOX Text"/>
    <w:basedOn w:val="Normal"/>
    <w:uiPriority w:val="4"/>
    <w:qFormat/>
    <w:rsid w:val="00292BFC"/>
    <w:pPr>
      <w:pBdr>
        <w:top w:val="single" w:sz="48" w:space="1" w:color="E1E9F0" w:themeColor="text1" w:themeTint="1A"/>
        <w:left w:val="single" w:sz="48" w:space="4" w:color="E1E9F0" w:themeColor="text1" w:themeTint="1A"/>
        <w:bottom w:val="single" w:sz="48" w:space="1" w:color="E1E9F0" w:themeColor="text1" w:themeTint="1A"/>
        <w:right w:val="single" w:sz="48" w:space="4" w:color="E1E9F0" w:themeColor="text1" w:themeTint="1A"/>
      </w:pBdr>
      <w:shd w:val="clear" w:color="auto" w:fill="E0E8F2"/>
      <w:tabs>
        <w:tab w:val="left" w:pos="3300"/>
      </w:tabs>
      <w:ind w:left="227" w:right="227"/>
    </w:pPr>
    <w:rPr>
      <w:color w:val="1C2B39" w:themeColor="text1"/>
    </w:rPr>
  </w:style>
  <w:style w:type="paragraph" w:customStyle="1" w:styleId="BOXBulletedList">
    <w:name w:val="BOX Bulleted List"/>
    <w:basedOn w:val="BOXText"/>
    <w:uiPriority w:val="5"/>
    <w:qFormat/>
    <w:rsid w:val="00BD171D"/>
    <w:pPr>
      <w:numPr>
        <w:numId w:val="1"/>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5480AB" w:themeColor="accent1" w:themeTint="99"/>
        <w:left w:val="single" w:sz="4" w:space="0" w:color="5480AB" w:themeColor="accent1" w:themeTint="99"/>
        <w:bottom w:val="single" w:sz="4" w:space="0" w:color="5480AB" w:themeColor="accent1" w:themeTint="99"/>
        <w:right w:val="single" w:sz="4" w:space="0" w:color="5480AB" w:themeColor="accent1" w:themeTint="99"/>
        <w:insideH w:val="single" w:sz="4" w:space="0" w:color="5480AB" w:themeColor="accent1" w:themeTint="99"/>
      </w:tblBorders>
    </w:tblPr>
    <w:tblStylePr w:type="firstRow">
      <w:rPr>
        <w:b/>
        <w:bCs/>
        <w:color w:val="FFFFFF" w:themeColor="background1"/>
      </w:rPr>
      <w:tblPr/>
      <w:tcPr>
        <w:tcBorders>
          <w:top w:val="single" w:sz="4" w:space="0" w:color="1C2B39" w:themeColor="accent1"/>
          <w:left w:val="single" w:sz="4" w:space="0" w:color="1C2B39" w:themeColor="accent1"/>
          <w:bottom w:val="single" w:sz="4" w:space="0" w:color="1C2B39" w:themeColor="accent1"/>
          <w:right w:val="single" w:sz="4" w:space="0" w:color="1C2B39" w:themeColor="accent1"/>
          <w:insideH w:val="nil"/>
        </w:tcBorders>
        <w:shd w:val="clear" w:color="auto" w:fill="1C2B39" w:themeFill="accent1"/>
      </w:tcPr>
    </w:tblStylePr>
    <w:tblStylePr w:type="lastRow">
      <w:rPr>
        <w:b/>
        <w:bCs/>
      </w:rPr>
      <w:tblPr/>
      <w:tcPr>
        <w:tcBorders>
          <w:top w:val="double" w:sz="4" w:space="0" w:color="5480AB" w:themeColor="accent1" w:themeTint="99"/>
        </w:tcBorders>
      </w:tcPr>
    </w:tblStylePr>
    <w:tblStylePr w:type="firstCol">
      <w:rPr>
        <w:b/>
        <w:bCs/>
      </w:rPr>
    </w:tblStylePr>
    <w:tblStylePr w:type="lastCol">
      <w:rPr>
        <w:b/>
        <w:bCs/>
      </w:rPr>
    </w:tblStylePr>
    <w:tblStylePr w:type="band1Vert">
      <w:tblPr/>
      <w:tcPr>
        <w:shd w:val="clear" w:color="auto" w:fill="C6D4E3" w:themeFill="accent1" w:themeFillTint="33"/>
      </w:tcPr>
    </w:tblStylePr>
    <w:tblStylePr w:type="band1Horz">
      <w:tblPr/>
      <w:tcPr>
        <w:shd w:val="clear" w:color="auto" w:fill="C6D4E3" w:themeFill="accent1" w:themeFillTint="33"/>
      </w:tcPr>
    </w:tblStylePr>
  </w:style>
  <w:style w:type="paragraph" w:customStyle="1" w:styleId="Figure">
    <w:name w:val="Figure"/>
    <w:basedOn w:val="Normal"/>
    <w:uiPriority w:val="2"/>
    <w:qFormat/>
    <w:rsid w:val="00F8025E"/>
    <w:pPr>
      <w:numPr>
        <w:numId w:val="6"/>
      </w:numPr>
      <w:spacing w:before="240"/>
    </w:pPr>
    <w:rPr>
      <w:rFonts w:asciiTheme="majorHAnsi" w:hAnsiTheme="majorHAnsi" w:cs="Segoe UI"/>
      <w:color w:val="004261" w:themeColor="text2"/>
    </w:rPr>
  </w:style>
  <w:style w:type="paragraph" w:customStyle="1" w:styleId="TBLHeading">
    <w:name w:val="TBL Heading"/>
    <w:basedOn w:val="Normal"/>
    <w:autoRedefine/>
    <w:uiPriority w:val="11"/>
    <w:qFormat/>
    <w:rsid w:val="00995541"/>
    <w:pPr>
      <w:spacing w:after="0" w:line="240" w:lineRule="auto"/>
    </w:pPr>
    <w:rPr>
      <w:rFonts w:ascii="Segoe UI" w:hAnsi="Segoe UI" w:cs="Segoe UI"/>
      <w:color w:val="FFFFFF" w:themeColor="background1"/>
    </w:rPr>
  </w:style>
  <w:style w:type="paragraph" w:customStyle="1" w:styleId="TBLText">
    <w:name w:val="TBL Text"/>
    <w:basedOn w:val="Normal"/>
    <w:uiPriority w:val="9"/>
    <w:qFormat/>
    <w:rsid w:val="009615D2"/>
    <w:pPr>
      <w:spacing w:after="0" w:line="240" w:lineRule="auto"/>
    </w:pPr>
    <w:rPr>
      <w:sz w:val="18"/>
      <w:szCs w:val="18"/>
    </w:rPr>
  </w:style>
  <w:style w:type="paragraph" w:customStyle="1" w:styleId="TBLBulletedList">
    <w:name w:val="TBL Bulleted List"/>
    <w:basedOn w:val="TBLText"/>
    <w:uiPriority w:val="10"/>
    <w:qFormat/>
    <w:rsid w:val="001B2D56"/>
    <w:pPr>
      <w:numPr>
        <w:numId w:val="2"/>
      </w:numPr>
      <w:ind w:left="206" w:hanging="206"/>
    </w:pPr>
  </w:style>
  <w:style w:type="paragraph" w:customStyle="1" w:styleId="TBLNumberedList">
    <w:name w:val="TBL Numbered List"/>
    <w:basedOn w:val="TBLText"/>
    <w:uiPriority w:val="10"/>
    <w:qFormat/>
    <w:rsid w:val="00E05FA4"/>
    <w:pPr>
      <w:numPr>
        <w:numId w:val="3"/>
      </w:numPr>
      <w:ind w:left="270" w:hanging="270"/>
    </w:pPr>
  </w:style>
  <w:style w:type="paragraph" w:customStyle="1" w:styleId="BOXHeading3">
    <w:name w:val="BOX Heading 3"/>
    <w:basedOn w:val="BOXHeading2"/>
    <w:next w:val="BOXText"/>
    <w:uiPriority w:val="6"/>
    <w:qFormat/>
    <w:rsid w:val="00F8025E"/>
    <w:pPr>
      <w:outlineLvl w:val="2"/>
    </w:pPr>
    <w:rPr>
      <w:rFonts w:cstheme="minorHAnsi"/>
      <w:sz w:val="24"/>
      <w:szCs w:val="26"/>
    </w:rPr>
  </w:style>
  <w:style w:type="paragraph" w:styleId="ListParagraph">
    <w:name w:val="List Paragraph"/>
    <w:aliases w:val="List Paragraph1,Recommendation,List Paragraph11,L,bullet point list,1 heading,Bullet point,Dot point 1.5 line spacing,List Paragraph - bullets,NFP GP Bulleted List,Bullets,Content descriptions,DDM Gen Text,List Paragraph Number,NAST Quote"/>
    <w:basedOn w:val="Normal"/>
    <w:link w:val="ListParagraphChar"/>
    <w:uiPriority w:val="34"/>
    <w:unhideWhenUsed/>
    <w:qFormat/>
    <w:rsid w:val="005917FD"/>
    <w:pPr>
      <w:ind w:left="720"/>
      <w:contextualSpacing/>
    </w:pPr>
  </w:style>
  <w:style w:type="paragraph" w:customStyle="1" w:styleId="BulletedList-Level1">
    <w:name w:val="Bulleted List - Level 1"/>
    <w:basedOn w:val="ListParagraph"/>
    <w:uiPriority w:val="1"/>
    <w:qFormat/>
    <w:rsid w:val="00BD171D"/>
    <w:pPr>
      <w:numPr>
        <w:numId w:val="4"/>
      </w:numPr>
      <w:ind w:left="568" w:hanging="284"/>
    </w:pPr>
  </w:style>
  <w:style w:type="paragraph" w:customStyle="1" w:styleId="BulletedList-Level2">
    <w:name w:val="Bulleted List - Level 2"/>
    <w:basedOn w:val="BulletedList-Level1"/>
    <w:uiPriority w:val="1"/>
    <w:qFormat/>
    <w:rsid w:val="00BD171D"/>
    <w:pPr>
      <w:numPr>
        <w:numId w:val="9"/>
      </w:numPr>
    </w:pPr>
  </w:style>
  <w:style w:type="paragraph" w:customStyle="1" w:styleId="BulletedList-Level3">
    <w:name w:val="Bulleted List - Level 3"/>
    <w:basedOn w:val="ListParagraph"/>
    <w:uiPriority w:val="1"/>
    <w:qFormat/>
    <w:rsid w:val="00BD171D"/>
    <w:pPr>
      <w:numPr>
        <w:numId w:val="10"/>
      </w:numPr>
      <w:ind w:left="1135" w:hanging="284"/>
    </w:pPr>
  </w:style>
  <w:style w:type="paragraph" w:customStyle="1" w:styleId="NumberedList-Level1">
    <w:name w:val="Numbered List - Level 1"/>
    <w:basedOn w:val="ListParagraph"/>
    <w:uiPriority w:val="1"/>
    <w:qFormat/>
    <w:rsid w:val="00BD171D"/>
    <w:pPr>
      <w:numPr>
        <w:numId w:val="5"/>
      </w:numPr>
      <w:ind w:left="568" w:hanging="284"/>
    </w:pPr>
  </w:style>
  <w:style w:type="paragraph" w:customStyle="1" w:styleId="NumberedList-level2">
    <w:name w:val="Numbered List - level 2"/>
    <w:basedOn w:val="ListParagraph"/>
    <w:uiPriority w:val="1"/>
    <w:qFormat/>
    <w:rsid w:val="00BD171D"/>
    <w:pPr>
      <w:numPr>
        <w:ilvl w:val="1"/>
        <w:numId w:val="5"/>
      </w:numPr>
    </w:pPr>
  </w:style>
  <w:style w:type="paragraph" w:customStyle="1" w:styleId="NumberedList-Level3">
    <w:name w:val="Numbered List - Level 3"/>
    <w:basedOn w:val="ListParagraph"/>
    <w:uiPriority w:val="1"/>
    <w:qFormat/>
    <w:rsid w:val="00BD171D"/>
    <w:pPr>
      <w:numPr>
        <w:ilvl w:val="2"/>
        <w:numId w:val="5"/>
      </w:numPr>
    </w:pPr>
  </w:style>
  <w:style w:type="paragraph" w:customStyle="1" w:styleId="BoxDark-HeadingLevel1">
    <w:name w:val="Box Dark - Heading Level 1"/>
    <w:basedOn w:val="BOXHeading2"/>
    <w:uiPriority w:val="9"/>
    <w:rsid w:val="00311C2D"/>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color w:val="FFFFFF" w:themeColor="background1"/>
    </w:r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AB0931"/>
    <w:rPr>
      <w:color w:val="5E1919" w:themeColor="accent6" w:themeShade="80"/>
      <w:u w:val="single"/>
    </w:rPr>
  </w:style>
  <w:style w:type="paragraph" w:customStyle="1" w:styleId="BoxDark-HeadingLevel3">
    <w:name w:val="Box Dark - Heading Level 3"/>
    <w:basedOn w:val="BOXHeading3"/>
    <w:uiPriority w:val="9"/>
    <w:rsid w:val="00311C2D"/>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color w:val="FFFFFF" w:themeColor="background1"/>
    </w:rPr>
  </w:style>
  <w:style w:type="paragraph" w:customStyle="1" w:styleId="BoxDark-Text">
    <w:name w:val="Box Dark - Text"/>
    <w:basedOn w:val="BOXText"/>
    <w:uiPriority w:val="7"/>
    <w:rsid w:val="00FE2C7F"/>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rFonts w:ascii="Segoe UI Semilight" w:hAnsi="Segoe UI Semilight"/>
    </w:rPr>
  </w:style>
  <w:style w:type="paragraph" w:customStyle="1" w:styleId="BOXNumberedList">
    <w:name w:val="BOX Numbered List"/>
    <w:basedOn w:val="BOXText"/>
    <w:uiPriority w:val="5"/>
    <w:qFormat/>
    <w:rsid w:val="00BD171D"/>
    <w:pPr>
      <w:numPr>
        <w:numId w:val="7"/>
      </w:numPr>
      <w:ind w:left="584" w:hanging="357"/>
    </w:pPr>
  </w:style>
  <w:style w:type="paragraph" w:customStyle="1" w:styleId="BoxDark-NumberedList">
    <w:name w:val="Box Dark - Numbered List"/>
    <w:basedOn w:val="BOXNumberedList"/>
    <w:uiPriority w:val="8"/>
    <w:rsid w:val="00FE2C7F"/>
    <w:pPr>
      <w:numPr>
        <w:numId w:val="8"/>
      </w:num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ind w:left="584" w:hanging="357"/>
    </w:pPr>
  </w:style>
  <w:style w:type="table" w:customStyle="1" w:styleId="Custom1">
    <w:name w:val="Custom 1"/>
    <w:basedOn w:val="TableNormal"/>
    <w:uiPriority w:val="99"/>
    <w:rsid w:val="00665FB6"/>
    <w:pPr>
      <w:spacing w:after="0" w:line="240" w:lineRule="auto"/>
    </w:pPr>
    <w:rPr>
      <w:sz w:val="18"/>
    </w:rPr>
    <w:tblPr>
      <w:tblStyleRowBandSize w:val="1"/>
      <w:tblBorders>
        <w:top w:val="single" w:sz="4" w:space="0" w:color="1C2B39" w:themeColor="accent1"/>
        <w:bottom w:val="single" w:sz="12" w:space="0" w:color="1C2B39" w:themeColor="accent1"/>
        <w:insideH w:val="single" w:sz="4" w:space="0" w:color="1C2B39" w:themeColor="accent1"/>
      </w:tblBorders>
      <w:tblCellMar>
        <w:top w:w="57" w:type="dxa"/>
        <w:bottom w:w="57" w:type="dxa"/>
      </w:tblCellMar>
    </w:tblPr>
    <w:tblStylePr w:type="firstRow">
      <w:rPr>
        <w:rFonts w:asciiTheme="minorHAnsi" w:hAnsiTheme="minorHAnsi"/>
        <w:b/>
        <w:sz w:val="18"/>
      </w:rPr>
      <w:tblPr/>
      <w:tcPr>
        <w:shd w:val="clear" w:color="auto" w:fill="1C2B39" w:themeFill="accent1"/>
      </w:tcPr>
    </w:tblStylePr>
    <w:tblStylePr w:type="band1Horz">
      <w:tblPr/>
      <w:tcPr>
        <w:shd w:val="clear" w:color="auto" w:fill="FFFFFF" w:themeFill="background2"/>
      </w:tcPr>
    </w:tblStylePr>
  </w:style>
  <w:style w:type="table" w:customStyle="1" w:styleId="Style1">
    <w:name w:val="Style1"/>
    <w:basedOn w:val="Custom1"/>
    <w:uiPriority w:val="99"/>
    <w:rsid w:val="00815583"/>
    <w:tblPr>
      <w:tblBorders>
        <w:top w:val="none" w:sz="0" w:space="0" w:color="auto"/>
        <w:left w:val="single" w:sz="4" w:space="0" w:color="1C2B39" w:themeColor="accent1"/>
        <w:bottom w:val="single" w:sz="4" w:space="0" w:color="1C2B39" w:themeColor="accent1"/>
        <w:right w:val="single" w:sz="4" w:space="0" w:color="1C2B39" w:themeColor="accent1"/>
        <w:insideH w:val="none" w:sz="0" w:space="0" w:color="auto"/>
        <w:insideV w:val="single" w:sz="4" w:space="0" w:color="1C2B39" w:themeColor="accent1"/>
      </w:tblBorders>
    </w:tblPr>
    <w:tblStylePr w:type="firstRow">
      <w:rPr>
        <w:rFonts w:asciiTheme="minorHAnsi" w:hAnsiTheme="minorHAnsi"/>
        <w:b/>
        <w:sz w:val="18"/>
      </w:rPr>
      <w:tblPr/>
      <w:tcPr>
        <w:shd w:val="clear" w:color="auto" w:fill="1C2B39" w:themeFill="accent1"/>
      </w:tcPr>
    </w:tblStylePr>
    <w:tblStylePr w:type="firstCol">
      <w:rPr>
        <w:b/>
      </w:rPr>
      <w:tblPr/>
      <w:tcPr>
        <w:shd w:val="clear" w:color="auto" w:fill="1C2B39" w:themeFill="accent1"/>
      </w:tcPr>
    </w:tblStylePr>
    <w:tblStylePr w:type="band1Horz">
      <w:tblPr/>
      <w:tcPr>
        <w:shd w:val="clear" w:color="auto" w:fill="FFFFFF" w:themeFill="background2"/>
      </w:tcPr>
    </w:tblStylePr>
  </w:style>
  <w:style w:type="paragraph" w:customStyle="1" w:styleId="EmphasisPanelBullet">
    <w:name w:val="Emphasis Panel Bullet"/>
    <w:uiPriority w:val="11"/>
    <w:qFormat/>
    <w:rsid w:val="0014151F"/>
    <w:pPr>
      <w:keepLines/>
      <w:numPr>
        <w:numId w:val="11"/>
      </w:numPr>
      <w:pBdr>
        <w:top w:val="single" w:sz="4" w:space="8" w:color="FFFFFF" w:themeColor="background2"/>
        <w:left w:val="single" w:sz="4" w:space="8" w:color="FFFFFF" w:themeColor="background2"/>
        <w:bottom w:val="single" w:sz="4" w:space="8" w:color="FFFFFF" w:themeColor="background2"/>
        <w:right w:val="single" w:sz="4" w:space="8" w:color="FFFFFF" w:themeColor="background2"/>
      </w:pBdr>
      <w:shd w:val="clear" w:color="auto" w:fill="FFFFFF" w:themeFill="background2"/>
      <w:spacing w:before="120" w:after="120" w:line="264" w:lineRule="auto"/>
      <w:ind w:right="215"/>
    </w:pPr>
    <w:rPr>
      <w:rFonts w:eastAsia="Times New Roman" w:cstheme="minorHAnsi"/>
      <w:color w:val="314A63" w:themeColor="text1" w:themeTint="D9"/>
      <w:sz w:val="20"/>
      <w:szCs w:val="22"/>
      <w:lang w:val="en-US"/>
    </w:rPr>
  </w:style>
  <w:style w:type="paragraph" w:customStyle="1" w:styleId="TableNumbering">
    <w:name w:val="Table Numbering"/>
    <w:uiPriority w:val="11"/>
    <w:qFormat/>
    <w:rsid w:val="002771EC"/>
    <w:pPr>
      <w:numPr>
        <w:numId w:val="13"/>
      </w:numPr>
      <w:spacing w:before="40" w:after="40" w:line="264" w:lineRule="auto"/>
    </w:pPr>
    <w:rPr>
      <w:rFonts w:eastAsiaTheme="minorHAnsi"/>
      <w:color w:val="1C2B39" w:themeColor="text1"/>
      <w:sz w:val="18"/>
      <w:szCs w:val="20"/>
    </w:rPr>
  </w:style>
  <w:style w:type="character" w:styleId="FollowedHyperlink">
    <w:name w:val="FollowedHyperlink"/>
    <w:basedOn w:val="DefaultParagraphFont"/>
    <w:uiPriority w:val="99"/>
    <w:semiHidden/>
    <w:unhideWhenUsed/>
    <w:rsid w:val="007E6917"/>
    <w:rPr>
      <w:color w:val="DE761C" w:themeColor="followedHyperlink"/>
      <w:u w:val="single"/>
    </w:rPr>
  </w:style>
  <w:style w:type="paragraph" w:styleId="ListBullet">
    <w:name w:val="List Bullet"/>
    <w:basedOn w:val="Normal"/>
    <w:uiPriority w:val="99"/>
    <w:unhideWhenUsed/>
    <w:rsid w:val="00A45279"/>
    <w:pPr>
      <w:numPr>
        <w:numId w:val="16"/>
      </w:numPr>
      <w:contextualSpacing/>
    </w:pPr>
  </w:style>
  <w:style w:type="paragraph" w:styleId="FootnoteText">
    <w:name w:val="footnote text"/>
    <w:basedOn w:val="Normal"/>
    <w:link w:val="FootnoteTextChar"/>
    <w:uiPriority w:val="99"/>
    <w:unhideWhenUsed/>
    <w:rsid w:val="00D525F1"/>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rsid w:val="00D525F1"/>
    <w:rPr>
      <w:rFonts w:ascii="Calibri" w:eastAsiaTheme="minorHAnsi" w:hAnsi="Calibri" w:cs="Times New Roman"/>
      <w:sz w:val="20"/>
      <w:szCs w:val="20"/>
    </w:rPr>
  </w:style>
  <w:style w:type="character" w:styleId="FootnoteReference">
    <w:name w:val="footnote reference"/>
    <w:aliases w:val="(NECG) Footnote Reference,EN Footnote Reference,SUPERS,number"/>
    <w:basedOn w:val="DefaultParagraphFont"/>
    <w:uiPriority w:val="99"/>
    <w:unhideWhenUsed/>
    <w:rsid w:val="00D525F1"/>
    <w:rPr>
      <w:vertAlign w:val="superscript"/>
    </w:rPr>
  </w:style>
  <w:style w:type="paragraph" w:customStyle="1" w:styleId="E3Heading2">
    <w:name w:val="E3 Heading 2"/>
    <w:basedOn w:val="Heading3"/>
    <w:next w:val="Normal"/>
    <w:qFormat/>
    <w:rsid w:val="00D525F1"/>
    <w:pPr>
      <w:keepNext w:val="0"/>
      <w:keepLines w:val="0"/>
      <w:spacing w:before="300" w:after="114" w:line="278" w:lineRule="auto"/>
    </w:pPr>
    <w:rPr>
      <w:rFonts w:ascii="Helvetica" w:eastAsia="Times New Roman" w:hAnsi="Helvetica" w:cs="Times New Roman"/>
      <w:b/>
      <w:bCs/>
      <w:color w:val="1C2B39" w:themeColor="text1"/>
      <w:sz w:val="26"/>
    </w:rPr>
  </w:style>
  <w:style w:type="paragraph" w:styleId="CommentText">
    <w:name w:val="annotation text"/>
    <w:basedOn w:val="Normal"/>
    <w:link w:val="CommentTextChar"/>
    <w:uiPriority w:val="99"/>
    <w:unhideWhenUsed/>
    <w:rsid w:val="008841E3"/>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8841E3"/>
    <w:rPr>
      <w:rFonts w:eastAsiaTheme="minorHAnsi"/>
      <w:sz w:val="20"/>
      <w:szCs w:val="20"/>
    </w:rPr>
  </w:style>
  <w:style w:type="character" w:styleId="CommentReference">
    <w:name w:val="annotation reference"/>
    <w:basedOn w:val="DefaultParagraphFont"/>
    <w:uiPriority w:val="99"/>
    <w:semiHidden/>
    <w:unhideWhenUsed/>
    <w:rsid w:val="008841E3"/>
    <w:rPr>
      <w:sz w:val="16"/>
      <w:szCs w:val="16"/>
    </w:rPr>
  </w:style>
  <w:style w:type="character" w:styleId="UnresolvedMention">
    <w:name w:val="Unresolved Mention"/>
    <w:basedOn w:val="DefaultParagraphFont"/>
    <w:uiPriority w:val="99"/>
    <w:semiHidden/>
    <w:unhideWhenUsed/>
    <w:rsid w:val="008D71C3"/>
    <w:rPr>
      <w:color w:val="605E5C"/>
      <w:shd w:val="clear" w:color="auto" w:fill="E1DFDD"/>
    </w:rPr>
  </w:style>
  <w:style w:type="paragraph" w:styleId="NormalWeb">
    <w:name w:val="Normal (Web)"/>
    <w:basedOn w:val="Normal"/>
    <w:uiPriority w:val="99"/>
    <w:semiHidden/>
    <w:unhideWhenUsed/>
    <w:rsid w:val="002E6C37"/>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4B3D00"/>
    <w:pPr>
      <w:spacing w:after="0"/>
    </w:pPr>
  </w:style>
  <w:style w:type="paragraph" w:styleId="CommentSubject">
    <w:name w:val="annotation subject"/>
    <w:basedOn w:val="CommentText"/>
    <w:next w:val="CommentText"/>
    <w:link w:val="CommentSubjectChar"/>
    <w:uiPriority w:val="99"/>
    <w:semiHidden/>
    <w:unhideWhenUsed/>
    <w:rsid w:val="00484490"/>
    <w:rPr>
      <w:rFonts w:eastAsiaTheme="minorEastAsia"/>
      <w:b/>
      <w:bCs/>
    </w:rPr>
  </w:style>
  <w:style w:type="character" w:customStyle="1" w:styleId="CommentSubjectChar">
    <w:name w:val="Comment Subject Char"/>
    <w:basedOn w:val="CommentTextChar"/>
    <w:link w:val="CommentSubject"/>
    <w:uiPriority w:val="99"/>
    <w:semiHidden/>
    <w:rsid w:val="00484490"/>
    <w:rPr>
      <w:rFonts w:eastAsiaTheme="minorHAnsi"/>
      <w:b/>
      <w:bCs/>
      <w:sz w:val="20"/>
      <w:szCs w:val="20"/>
    </w:rPr>
  </w:style>
  <w:style w:type="paragraph" w:styleId="Revision">
    <w:name w:val="Revision"/>
    <w:hidden/>
    <w:uiPriority w:val="99"/>
    <w:semiHidden/>
    <w:rsid w:val="00DD25B4"/>
    <w:pPr>
      <w:spacing w:after="0" w:line="240" w:lineRule="auto"/>
    </w:pPr>
    <w:rPr>
      <w:sz w:val="22"/>
    </w:rPr>
  </w:style>
  <w:style w:type="character" w:customStyle="1" w:styleId="ListParagraphChar">
    <w:name w:val="List Paragraph Char"/>
    <w:aliases w:val="List Paragraph1 Char,Recommendation Char,List Paragraph11 Char,L Char,bullet point list Char,1 heading Char,Bullet point Char,Dot point 1.5 line spacing Char,List Paragraph - bullets Char,NFP GP Bulleted List Char,Bullets Char"/>
    <w:basedOn w:val="DefaultParagraphFont"/>
    <w:link w:val="ListParagraph"/>
    <w:uiPriority w:val="34"/>
    <w:locked/>
    <w:rsid w:val="00BC3F30"/>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7715">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3652712">
      <w:bodyDiv w:val="1"/>
      <w:marLeft w:val="0"/>
      <w:marRight w:val="0"/>
      <w:marTop w:val="0"/>
      <w:marBottom w:val="0"/>
      <w:divBdr>
        <w:top w:val="none" w:sz="0" w:space="0" w:color="auto"/>
        <w:left w:val="none" w:sz="0" w:space="0" w:color="auto"/>
        <w:bottom w:val="none" w:sz="0" w:space="0" w:color="auto"/>
        <w:right w:val="none" w:sz="0" w:space="0" w:color="auto"/>
      </w:divBdr>
    </w:div>
    <w:div w:id="16469137">
      <w:bodyDiv w:val="1"/>
      <w:marLeft w:val="0"/>
      <w:marRight w:val="0"/>
      <w:marTop w:val="0"/>
      <w:marBottom w:val="0"/>
      <w:divBdr>
        <w:top w:val="none" w:sz="0" w:space="0" w:color="auto"/>
        <w:left w:val="none" w:sz="0" w:space="0" w:color="auto"/>
        <w:bottom w:val="none" w:sz="0" w:space="0" w:color="auto"/>
        <w:right w:val="none" w:sz="0" w:space="0" w:color="auto"/>
      </w:divBdr>
    </w:div>
    <w:div w:id="89014228">
      <w:bodyDiv w:val="1"/>
      <w:marLeft w:val="0"/>
      <w:marRight w:val="0"/>
      <w:marTop w:val="0"/>
      <w:marBottom w:val="0"/>
      <w:divBdr>
        <w:top w:val="none" w:sz="0" w:space="0" w:color="auto"/>
        <w:left w:val="none" w:sz="0" w:space="0" w:color="auto"/>
        <w:bottom w:val="none" w:sz="0" w:space="0" w:color="auto"/>
        <w:right w:val="none" w:sz="0" w:space="0" w:color="auto"/>
      </w:divBdr>
    </w:div>
    <w:div w:id="147063228">
      <w:bodyDiv w:val="1"/>
      <w:marLeft w:val="0"/>
      <w:marRight w:val="0"/>
      <w:marTop w:val="0"/>
      <w:marBottom w:val="0"/>
      <w:divBdr>
        <w:top w:val="none" w:sz="0" w:space="0" w:color="auto"/>
        <w:left w:val="none" w:sz="0" w:space="0" w:color="auto"/>
        <w:bottom w:val="none" w:sz="0" w:space="0" w:color="auto"/>
        <w:right w:val="none" w:sz="0" w:space="0" w:color="auto"/>
      </w:divBdr>
    </w:div>
    <w:div w:id="213008285">
      <w:bodyDiv w:val="1"/>
      <w:marLeft w:val="0"/>
      <w:marRight w:val="0"/>
      <w:marTop w:val="0"/>
      <w:marBottom w:val="0"/>
      <w:divBdr>
        <w:top w:val="none" w:sz="0" w:space="0" w:color="auto"/>
        <w:left w:val="none" w:sz="0" w:space="0" w:color="auto"/>
        <w:bottom w:val="none" w:sz="0" w:space="0" w:color="auto"/>
        <w:right w:val="none" w:sz="0" w:space="0" w:color="auto"/>
      </w:divBdr>
    </w:div>
    <w:div w:id="221798155">
      <w:bodyDiv w:val="1"/>
      <w:marLeft w:val="0"/>
      <w:marRight w:val="0"/>
      <w:marTop w:val="0"/>
      <w:marBottom w:val="0"/>
      <w:divBdr>
        <w:top w:val="none" w:sz="0" w:space="0" w:color="auto"/>
        <w:left w:val="none" w:sz="0" w:space="0" w:color="auto"/>
        <w:bottom w:val="none" w:sz="0" w:space="0" w:color="auto"/>
        <w:right w:val="none" w:sz="0" w:space="0" w:color="auto"/>
      </w:divBdr>
      <w:divsChild>
        <w:div w:id="1358656675">
          <w:marLeft w:val="0"/>
          <w:marRight w:val="0"/>
          <w:marTop w:val="0"/>
          <w:marBottom w:val="0"/>
          <w:divBdr>
            <w:top w:val="none" w:sz="0" w:space="0" w:color="auto"/>
            <w:left w:val="none" w:sz="0" w:space="0" w:color="auto"/>
            <w:bottom w:val="none" w:sz="0" w:space="0" w:color="auto"/>
            <w:right w:val="none" w:sz="0" w:space="0" w:color="auto"/>
          </w:divBdr>
          <w:divsChild>
            <w:div w:id="546262157">
              <w:marLeft w:val="0"/>
              <w:marRight w:val="0"/>
              <w:marTop w:val="0"/>
              <w:marBottom w:val="0"/>
              <w:divBdr>
                <w:top w:val="none" w:sz="0" w:space="0" w:color="auto"/>
                <w:left w:val="none" w:sz="0" w:space="0" w:color="auto"/>
                <w:bottom w:val="none" w:sz="0" w:space="0" w:color="auto"/>
                <w:right w:val="none" w:sz="0" w:space="0" w:color="auto"/>
              </w:divBdr>
              <w:divsChild>
                <w:div w:id="141519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70007">
          <w:marLeft w:val="0"/>
          <w:marRight w:val="0"/>
          <w:marTop w:val="0"/>
          <w:marBottom w:val="0"/>
          <w:divBdr>
            <w:top w:val="none" w:sz="0" w:space="0" w:color="auto"/>
            <w:left w:val="none" w:sz="0" w:space="0" w:color="auto"/>
            <w:bottom w:val="none" w:sz="0" w:space="0" w:color="auto"/>
            <w:right w:val="none" w:sz="0" w:space="0" w:color="auto"/>
          </w:divBdr>
          <w:divsChild>
            <w:div w:id="1553686100">
              <w:marLeft w:val="0"/>
              <w:marRight w:val="0"/>
              <w:marTop w:val="0"/>
              <w:marBottom w:val="0"/>
              <w:divBdr>
                <w:top w:val="none" w:sz="0" w:space="0" w:color="auto"/>
                <w:left w:val="none" w:sz="0" w:space="0" w:color="auto"/>
                <w:bottom w:val="none" w:sz="0" w:space="0" w:color="auto"/>
                <w:right w:val="none" w:sz="0" w:space="0" w:color="auto"/>
              </w:divBdr>
              <w:divsChild>
                <w:div w:id="854197025">
                  <w:marLeft w:val="0"/>
                  <w:marRight w:val="0"/>
                  <w:marTop w:val="0"/>
                  <w:marBottom w:val="0"/>
                  <w:divBdr>
                    <w:top w:val="none" w:sz="0" w:space="0" w:color="auto"/>
                    <w:left w:val="none" w:sz="0" w:space="0" w:color="auto"/>
                    <w:bottom w:val="none" w:sz="0" w:space="0" w:color="auto"/>
                    <w:right w:val="none" w:sz="0" w:space="0" w:color="auto"/>
                  </w:divBdr>
                </w:div>
                <w:div w:id="486283725">
                  <w:marLeft w:val="0"/>
                  <w:marRight w:val="0"/>
                  <w:marTop w:val="0"/>
                  <w:marBottom w:val="0"/>
                  <w:divBdr>
                    <w:top w:val="none" w:sz="0" w:space="0" w:color="auto"/>
                    <w:left w:val="none" w:sz="0" w:space="0" w:color="auto"/>
                    <w:bottom w:val="none" w:sz="0" w:space="0" w:color="auto"/>
                    <w:right w:val="none" w:sz="0" w:space="0" w:color="auto"/>
                  </w:divBdr>
                </w:div>
                <w:div w:id="1561404855">
                  <w:marLeft w:val="0"/>
                  <w:marRight w:val="0"/>
                  <w:marTop w:val="0"/>
                  <w:marBottom w:val="0"/>
                  <w:divBdr>
                    <w:top w:val="none" w:sz="0" w:space="0" w:color="auto"/>
                    <w:left w:val="none" w:sz="0" w:space="0" w:color="auto"/>
                    <w:bottom w:val="none" w:sz="0" w:space="0" w:color="auto"/>
                    <w:right w:val="none" w:sz="0" w:space="0" w:color="auto"/>
                  </w:divBdr>
                </w:div>
                <w:div w:id="17329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20315">
          <w:marLeft w:val="0"/>
          <w:marRight w:val="0"/>
          <w:marTop w:val="0"/>
          <w:marBottom w:val="0"/>
          <w:divBdr>
            <w:top w:val="none" w:sz="0" w:space="0" w:color="auto"/>
            <w:left w:val="none" w:sz="0" w:space="0" w:color="auto"/>
            <w:bottom w:val="none" w:sz="0" w:space="0" w:color="auto"/>
            <w:right w:val="none" w:sz="0" w:space="0" w:color="auto"/>
          </w:divBdr>
          <w:divsChild>
            <w:div w:id="477307462">
              <w:marLeft w:val="0"/>
              <w:marRight w:val="0"/>
              <w:marTop w:val="0"/>
              <w:marBottom w:val="0"/>
              <w:divBdr>
                <w:top w:val="none" w:sz="0" w:space="0" w:color="auto"/>
                <w:left w:val="none" w:sz="0" w:space="0" w:color="auto"/>
                <w:bottom w:val="none" w:sz="0" w:space="0" w:color="auto"/>
                <w:right w:val="none" w:sz="0" w:space="0" w:color="auto"/>
              </w:divBdr>
              <w:divsChild>
                <w:div w:id="765808029">
                  <w:marLeft w:val="0"/>
                  <w:marRight w:val="0"/>
                  <w:marTop w:val="0"/>
                  <w:marBottom w:val="0"/>
                  <w:divBdr>
                    <w:top w:val="none" w:sz="0" w:space="0" w:color="auto"/>
                    <w:left w:val="none" w:sz="0" w:space="0" w:color="auto"/>
                    <w:bottom w:val="none" w:sz="0" w:space="0" w:color="auto"/>
                    <w:right w:val="none" w:sz="0" w:space="0" w:color="auto"/>
                  </w:divBdr>
                </w:div>
                <w:div w:id="2183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69259">
      <w:bodyDiv w:val="1"/>
      <w:marLeft w:val="0"/>
      <w:marRight w:val="0"/>
      <w:marTop w:val="0"/>
      <w:marBottom w:val="0"/>
      <w:divBdr>
        <w:top w:val="none" w:sz="0" w:space="0" w:color="auto"/>
        <w:left w:val="none" w:sz="0" w:space="0" w:color="auto"/>
        <w:bottom w:val="none" w:sz="0" w:space="0" w:color="auto"/>
        <w:right w:val="none" w:sz="0" w:space="0" w:color="auto"/>
      </w:divBdr>
    </w:div>
    <w:div w:id="241717336">
      <w:bodyDiv w:val="1"/>
      <w:marLeft w:val="0"/>
      <w:marRight w:val="0"/>
      <w:marTop w:val="0"/>
      <w:marBottom w:val="0"/>
      <w:divBdr>
        <w:top w:val="none" w:sz="0" w:space="0" w:color="auto"/>
        <w:left w:val="none" w:sz="0" w:space="0" w:color="auto"/>
        <w:bottom w:val="none" w:sz="0" w:space="0" w:color="auto"/>
        <w:right w:val="none" w:sz="0" w:space="0" w:color="auto"/>
      </w:divBdr>
    </w:div>
    <w:div w:id="256593981">
      <w:bodyDiv w:val="1"/>
      <w:marLeft w:val="0"/>
      <w:marRight w:val="0"/>
      <w:marTop w:val="0"/>
      <w:marBottom w:val="0"/>
      <w:divBdr>
        <w:top w:val="none" w:sz="0" w:space="0" w:color="auto"/>
        <w:left w:val="none" w:sz="0" w:space="0" w:color="auto"/>
        <w:bottom w:val="none" w:sz="0" w:space="0" w:color="auto"/>
        <w:right w:val="none" w:sz="0" w:space="0" w:color="auto"/>
      </w:divBdr>
    </w:div>
    <w:div w:id="305354202">
      <w:bodyDiv w:val="1"/>
      <w:marLeft w:val="0"/>
      <w:marRight w:val="0"/>
      <w:marTop w:val="0"/>
      <w:marBottom w:val="0"/>
      <w:divBdr>
        <w:top w:val="none" w:sz="0" w:space="0" w:color="auto"/>
        <w:left w:val="none" w:sz="0" w:space="0" w:color="auto"/>
        <w:bottom w:val="none" w:sz="0" w:space="0" w:color="auto"/>
        <w:right w:val="none" w:sz="0" w:space="0" w:color="auto"/>
      </w:divBdr>
    </w:div>
    <w:div w:id="319966752">
      <w:bodyDiv w:val="1"/>
      <w:marLeft w:val="0"/>
      <w:marRight w:val="0"/>
      <w:marTop w:val="0"/>
      <w:marBottom w:val="0"/>
      <w:divBdr>
        <w:top w:val="none" w:sz="0" w:space="0" w:color="auto"/>
        <w:left w:val="none" w:sz="0" w:space="0" w:color="auto"/>
        <w:bottom w:val="none" w:sz="0" w:space="0" w:color="auto"/>
        <w:right w:val="none" w:sz="0" w:space="0" w:color="auto"/>
      </w:divBdr>
    </w:div>
    <w:div w:id="369499013">
      <w:bodyDiv w:val="1"/>
      <w:marLeft w:val="0"/>
      <w:marRight w:val="0"/>
      <w:marTop w:val="0"/>
      <w:marBottom w:val="0"/>
      <w:divBdr>
        <w:top w:val="none" w:sz="0" w:space="0" w:color="auto"/>
        <w:left w:val="none" w:sz="0" w:space="0" w:color="auto"/>
        <w:bottom w:val="none" w:sz="0" w:space="0" w:color="auto"/>
        <w:right w:val="none" w:sz="0" w:space="0" w:color="auto"/>
      </w:divBdr>
    </w:div>
    <w:div w:id="447360916">
      <w:bodyDiv w:val="1"/>
      <w:marLeft w:val="0"/>
      <w:marRight w:val="0"/>
      <w:marTop w:val="0"/>
      <w:marBottom w:val="0"/>
      <w:divBdr>
        <w:top w:val="none" w:sz="0" w:space="0" w:color="auto"/>
        <w:left w:val="none" w:sz="0" w:space="0" w:color="auto"/>
        <w:bottom w:val="none" w:sz="0" w:space="0" w:color="auto"/>
        <w:right w:val="none" w:sz="0" w:space="0" w:color="auto"/>
      </w:divBdr>
    </w:div>
    <w:div w:id="613823678">
      <w:bodyDiv w:val="1"/>
      <w:marLeft w:val="0"/>
      <w:marRight w:val="0"/>
      <w:marTop w:val="0"/>
      <w:marBottom w:val="0"/>
      <w:divBdr>
        <w:top w:val="none" w:sz="0" w:space="0" w:color="auto"/>
        <w:left w:val="none" w:sz="0" w:space="0" w:color="auto"/>
        <w:bottom w:val="none" w:sz="0" w:space="0" w:color="auto"/>
        <w:right w:val="none" w:sz="0" w:space="0" w:color="auto"/>
      </w:divBdr>
    </w:div>
    <w:div w:id="631591331">
      <w:bodyDiv w:val="1"/>
      <w:marLeft w:val="0"/>
      <w:marRight w:val="0"/>
      <w:marTop w:val="0"/>
      <w:marBottom w:val="0"/>
      <w:divBdr>
        <w:top w:val="none" w:sz="0" w:space="0" w:color="auto"/>
        <w:left w:val="none" w:sz="0" w:space="0" w:color="auto"/>
        <w:bottom w:val="none" w:sz="0" w:space="0" w:color="auto"/>
        <w:right w:val="none" w:sz="0" w:space="0" w:color="auto"/>
      </w:divBdr>
    </w:div>
    <w:div w:id="693045482">
      <w:bodyDiv w:val="1"/>
      <w:marLeft w:val="0"/>
      <w:marRight w:val="0"/>
      <w:marTop w:val="0"/>
      <w:marBottom w:val="0"/>
      <w:divBdr>
        <w:top w:val="none" w:sz="0" w:space="0" w:color="auto"/>
        <w:left w:val="none" w:sz="0" w:space="0" w:color="auto"/>
        <w:bottom w:val="none" w:sz="0" w:space="0" w:color="auto"/>
        <w:right w:val="none" w:sz="0" w:space="0" w:color="auto"/>
      </w:divBdr>
    </w:div>
    <w:div w:id="718867075">
      <w:bodyDiv w:val="1"/>
      <w:marLeft w:val="0"/>
      <w:marRight w:val="0"/>
      <w:marTop w:val="0"/>
      <w:marBottom w:val="0"/>
      <w:divBdr>
        <w:top w:val="none" w:sz="0" w:space="0" w:color="auto"/>
        <w:left w:val="none" w:sz="0" w:space="0" w:color="auto"/>
        <w:bottom w:val="none" w:sz="0" w:space="0" w:color="auto"/>
        <w:right w:val="none" w:sz="0" w:space="0" w:color="auto"/>
      </w:divBdr>
    </w:div>
    <w:div w:id="762262849">
      <w:bodyDiv w:val="1"/>
      <w:marLeft w:val="0"/>
      <w:marRight w:val="0"/>
      <w:marTop w:val="0"/>
      <w:marBottom w:val="0"/>
      <w:divBdr>
        <w:top w:val="none" w:sz="0" w:space="0" w:color="auto"/>
        <w:left w:val="none" w:sz="0" w:space="0" w:color="auto"/>
        <w:bottom w:val="none" w:sz="0" w:space="0" w:color="auto"/>
        <w:right w:val="none" w:sz="0" w:space="0" w:color="auto"/>
      </w:divBdr>
    </w:div>
    <w:div w:id="805395784">
      <w:bodyDiv w:val="1"/>
      <w:marLeft w:val="0"/>
      <w:marRight w:val="0"/>
      <w:marTop w:val="0"/>
      <w:marBottom w:val="0"/>
      <w:divBdr>
        <w:top w:val="none" w:sz="0" w:space="0" w:color="auto"/>
        <w:left w:val="none" w:sz="0" w:space="0" w:color="auto"/>
        <w:bottom w:val="none" w:sz="0" w:space="0" w:color="auto"/>
        <w:right w:val="none" w:sz="0" w:space="0" w:color="auto"/>
      </w:divBdr>
    </w:div>
    <w:div w:id="841549202">
      <w:bodyDiv w:val="1"/>
      <w:marLeft w:val="0"/>
      <w:marRight w:val="0"/>
      <w:marTop w:val="0"/>
      <w:marBottom w:val="0"/>
      <w:divBdr>
        <w:top w:val="none" w:sz="0" w:space="0" w:color="auto"/>
        <w:left w:val="none" w:sz="0" w:space="0" w:color="auto"/>
        <w:bottom w:val="none" w:sz="0" w:space="0" w:color="auto"/>
        <w:right w:val="none" w:sz="0" w:space="0" w:color="auto"/>
      </w:divBdr>
    </w:div>
    <w:div w:id="888878554">
      <w:bodyDiv w:val="1"/>
      <w:marLeft w:val="0"/>
      <w:marRight w:val="0"/>
      <w:marTop w:val="0"/>
      <w:marBottom w:val="0"/>
      <w:divBdr>
        <w:top w:val="none" w:sz="0" w:space="0" w:color="auto"/>
        <w:left w:val="none" w:sz="0" w:space="0" w:color="auto"/>
        <w:bottom w:val="none" w:sz="0" w:space="0" w:color="auto"/>
        <w:right w:val="none" w:sz="0" w:space="0" w:color="auto"/>
      </w:divBdr>
    </w:div>
    <w:div w:id="950625950">
      <w:bodyDiv w:val="1"/>
      <w:marLeft w:val="0"/>
      <w:marRight w:val="0"/>
      <w:marTop w:val="0"/>
      <w:marBottom w:val="0"/>
      <w:divBdr>
        <w:top w:val="none" w:sz="0" w:space="0" w:color="auto"/>
        <w:left w:val="none" w:sz="0" w:space="0" w:color="auto"/>
        <w:bottom w:val="none" w:sz="0" w:space="0" w:color="auto"/>
        <w:right w:val="none" w:sz="0" w:space="0" w:color="auto"/>
      </w:divBdr>
    </w:div>
    <w:div w:id="1128745371">
      <w:bodyDiv w:val="1"/>
      <w:marLeft w:val="0"/>
      <w:marRight w:val="0"/>
      <w:marTop w:val="0"/>
      <w:marBottom w:val="0"/>
      <w:divBdr>
        <w:top w:val="none" w:sz="0" w:space="0" w:color="auto"/>
        <w:left w:val="none" w:sz="0" w:space="0" w:color="auto"/>
        <w:bottom w:val="none" w:sz="0" w:space="0" w:color="auto"/>
        <w:right w:val="none" w:sz="0" w:space="0" w:color="auto"/>
      </w:divBdr>
    </w:div>
    <w:div w:id="1131746149">
      <w:bodyDiv w:val="1"/>
      <w:marLeft w:val="0"/>
      <w:marRight w:val="0"/>
      <w:marTop w:val="0"/>
      <w:marBottom w:val="0"/>
      <w:divBdr>
        <w:top w:val="none" w:sz="0" w:space="0" w:color="auto"/>
        <w:left w:val="none" w:sz="0" w:space="0" w:color="auto"/>
        <w:bottom w:val="none" w:sz="0" w:space="0" w:color="auto"/>
        <w:right w:val="none" w:sz="0" w:space="0" w:color="auto"/>
      </w:divBdr>
    </w:div>
    <w:div w:id="1139417627">
      <w:bodyDiv w:val="1"/>
      <w:marLeft w:val="0"/>
      <w:marRight w:val="0"/>
      <w:marTop w:val="0"/>
      <w:marBottom w:val="0"/>
      <w:divBdr>
        <w:top w:val="none" w:sz="0" w:space="0" w:color="auto"/>
        <w:left w:val="none" w:sz="0" w:space="0" w:color="auto"/>
        <w:bottom w:val="none" w:sz="0" w:space="0" w:color="auto"/>
        <w:right w:val="none" w:sz="0" w:space="0" w:color="auto"/>
      </w:divBdr>
    </w:div>
    <w:div w:id="1253512162">
      <w:bodyDiv w:val="1"/>
      <w:marLeft w:val="0"/>
      <w:marRight w:val="0"/>
      <w:marTop w:val="0"/>
      <w:marBottom w:val="0"/>
      <w:divBdr>
        <w:top w:val="none" w:sz="0" w:space="0" w:color="auto"/>
        <w:left w:val="none" w:sz="0" w:space="0" w:color="auto"/>
        <w:bottom w:val="none" w:sz="0" w:space="0" w:color="auto"/>
        <w:right w:val="none" w:sz="0" w:space="0" w:color="auto"/>
      </w:divBdr>
    </w:div>
    <w:div w:id="1340742395">
      <w:bodyDiv w:val="1"/>
      <w:marLeft w:val="0"/>
      <w:marRight w:val="0"/>
      <w:marTop w:val="0"/>
      <w:marBottom w:val="0"/>
      <w:divBdr>
        <w:top w:val="none" w:sz="0" w:space="0" w:color="auto"/>
        <w:left w:val="none" w:sz="0" w:space="0" w:color="auto"/>
        <w:bottom w:val="none" w:sz="0" w:space="0" w:color="auto"/>
        <w:right w:val="none" w:sz="0" w:space="0" w:color="auto"/>
      </w:divBdr>
    </w:div>
    <w:div w:id="1486970865">
      <w:bodyDiv w:val="1"/>
      <w:marLeft w:val="0"/>
      <w:marRight w:val="0"/>
      <w:marTop w:val="0"/>
      <w:marBottom w:val="0"/>
      <w:divBdr>
        <w:top w:val="none" w:sz="0" w:space="0" w:color="auto"/>
        <w:left w:val="none" w:sz="0" w:space="0" w:color="auto"/>
        <w:bottom w:val="none" w:sz="0" w:space="0" w:color="auto"/>
        <w:right w:val="none" w:sz="0" w:space="0" w:color="auto"/>
      </w:divBdr>
    </w:div>
    <w:div w:id="1508473995">
      <w:bodyDiv w:val="1"/>
      <w:marLeft w:val="0"/>
      <w:marRight w:val="0"/>
      <w:marTop w:val="0"/>
      <w:marBottom w:val="0"/>
      <w:divBdr>
        <w:top w:val="none" w:sz="0" w:space="0" w:color="auto"/>
        <w:left w:val="none" w:sz="0" w:space="0" w:color="auto"/>
        <w:bottom w:val="none" w:sz="0" w:space="0" w:color="auto"/>
        <w:right w:val="none" w:sz="0" w:space="0" w:color="auto"/>
      </w:divBdr>
    </w:div>
    <w:div w:id="1512060602">
      <w:bodyDiv w:val="1"/>
      <w:marLeft w:val="0"/>
      <w:marRight w:val="0"/>
      <w:marTop w:val="0"/>
      <w:marBottom w:val="0"/>
      <w:divBdr>
        <w:top w:val="none" w:sz="0" w:space="0" w:color="auto"/>
        <w:left w:val="none" w:sz="0" w:space="0" w:color="auto"/>
        <w:bottom w:val="none" w:sz="0" w:space="0" w:color="auto"/>
        <w:right w:val="none" w:sz="0" w:space="0" w:color="auto"/>
      </w:divBdr>
    </w:div>
    <w:div w:id="1526090085">
      <w:bodyDiv w:val="1"/>
      <w:marLeft w:val="0"/>
      <w:marRight w:val="0"/>
      <w:marTop w:val="0"/>
      <w:marBottom w:val="0"/>
      <w:divBdr>
        <w:top w:val="none" w:sz="0" w:space="0" w:color="auto"/>
        <w:left w:val="none" w:sz="0" w:space="0" w:color="auto"/>
        <w:bottom w:val="none" w:sz="0" w:space="0" w:color="auto"/>
        <w:right w:val="none" w:sz="0" w:space="0" w:color="auto"/>
      </w:divBdr>
    </w:div>
    <w:div w:id="1527214748">
      <w:bodyDiv w:val="1"/>
      <w:marLeft w:val="0"/>
      <w:marRight w:val="0"/>
      <w:marTop w:val="0"/>
      <w:marBottom w:val="0"/>
      <w:divBdr>
        <w:top w:val="none" w:sz="0" w:space="0" w:color="auto"/>
        <w:left w:val="none" w:sz="0" w:space="0" w:color="auto"/>
        <w:bottom w:val="none" w:sz="0" w:space="0" w:color="auto"/>
        <w:right w:val="none" w:sz="0" w:space="0" w:color="auto"/>
      </w:divBdr>
    </w:div>
    <w:div w:id="1565333705">
      <w:bodyDiv w:val="1"/>
      <w:marLeft w:val="0"/>
      <w:marRight w:val="0"/>
      <w:marTop w:val="0"/>
      <w:marBottom w:val="0"/>
      <w:divBdr>
        <w:top w:val="none" w:sz="0" w:space="0" w:color="auto"/>
        <w:left w:val="none" w:sz="0" w:space="0" w:color="auto"/>
        <w:bottom w:val="none" w:sz="0" w:space="0" w:color="auto"/>
        <w:right w:val="none" w:sz="0" w:space="0" w:color="auto"/>
      </w:divBdr>
    </w:div>
    <w:div w:id="1601524635">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719628324">
      <w:bodyDiv w:val="1"/>
      <w:marLeft w:val="0"/>
      <w:marRight w:val="0"/>
      <w:marTop w:val="0"/>
      <w:marBottom w:val="0"/>
      <w:divBdr>
        <w:top w:val="none" w:sz="0" w:space="0" w:color="auto"/>
        <w:left w:val="none" w:sz="0" w:space="0" w:color="auto"/>
        <w:bottom w:val="none" w:sz="0" w:space="0" w:color="auto"/>
        <w:right w:val="none" w:sz="0" w:space="0" w:color="auto"/>
      </w:divBdr>
    </w:div>
    <w:div w:id="1742171869">
      <w:bodyDiv w:val="1"/>
      <w:marLeft w:val="0"/>
      <w:marRight w:val="0"/>
      <w:marTop w:val="0"/>
      <w:marBottom w:val="0"/>
      <w:divBdr>
        <w:top w:val="none" w:sz="0" w:space="0" w:color="auto"/>
        <w:left w:val="none" w:sz="0" w:space="0" w:color="auto"/>
        <w:bottom w:val="none" w:sz="0" w:space="0" w:color="auto"/>
        <w:right w:val="none" w:sz="0" w:space="0" w:color="auto"/>
      </w:divBdr>
    </w:div>
    <w:div w:id="1777140226">
      <w:bodyDiv w:val="1"/>
      <w:marLeft w:val="0"/>
      <w:marRight w:val="0"/>
      <w:marTop w:val="0"/>
      <w:marBottom w:val="0"/>
      <w:divBdr>
        <w:top w:val="none" w:sz="0" w:space="0" w:color="auto"/>
        <w:left w:val="none" w:sz="0" w:space="0" w:color="auto"/>
        <w:bottom w:val="none" w:sz="0" w:space="0" w:color="auto"/>
        <w:right w:val="none" w:sz="0" w:space="0" w:color="auto"/>
      </w:divBdr>
    </w:div>
    <w:div w:id="1788771064">
      <w:bodyDiv w:val="1"/>
      <w:marLeft w:val="0"/>
      <w:marRight w:val="0"/>
      <w:marTop w:val="0"/>
      <w:marBottom w:val="0"/>
      <w:divBdr>
        <w:top w:val="none" w:sz="0" w:space="0" w:color="auto"/>
        <w:left w:val="none" w:sz="0" w:space="0" w:color="auto"/>
        <w:bottom w:val="none" w:sz="0" w:space="0" w:color="auto"/>
        <w:right w:val="none" w:sz="0" w:space="0" w:color="auto"/>
      </w:divBdr>
    </w:div>
    <w:div w:id="1836216685">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946884194">
      <w:bodyDiv w:val="1"/>
      <w:marLeft w:val="0"/>
      <w:marRight w:val="0"/>
      <w:marTop w:val="0"/>
      <w:marBottom w:val="0"/>
      <w:divBdr>
        <w:top w:val="none" w:sz="0" w:space="0" w:color="auto"/>
        <w:left w:val="none" w:sz="0" w:space="0" w:color="auto"/>
        <w:bottom w:val="none" w:sz="0" w:space="0" w:color="auto"/>
        <w:right w:val="none" w:sz="0" w:space="0" w:color="auto"/>
      </w:divBdr>
    </w:div>
    <w:div w:id="1989094046">
      <w:bodyDiv w:val="1"/>
      <w:marLeft w:val="0"/>
      <w:marRight w:val="0"/>
      <w:marTop w:val="0"/>
      <w:marBottom w:val="0"/>
      <w:divBdr>
        <w:top w:val="none" w:sz="0" w:space="0" w:color="auto"/>
        <w:left w:val="none" w:sz="0" w:space="0" w:color="auto"/>
        <w:bottom w:val="none" w:sz="0" w:space="0" w:color="auto"/>
        <w:right w:val="none" w:sz="0" w:space="0" w:color="auto"/>
      </w:divBdr>
    </w:div>
    <w:div w:id="1998803019">
      <w:bodyDiv w:val="1"/>
      <w:marLeft w:val="0"/>
      <w:marRight w:val="0"/>
      <w:marTop w:val="0"/>
      <w:marBottom w:val="0"/>
      <w:divBdr>
        <w:top w:val="none" w:sz="0" w:space="0" w:color="auto"/>
        <w:left w:val="none" w:sz="0" w:space="0" w:color="auto"/>
        <w:bottom w:val="none" w:sz="0" w:space="0" w:color="auto"/>
        <w:right w:val="none" w:sz="0" w:space="0" w:color="auto"/>
      </w:divBdr>
    </w:div>
    <w:div w:id="2071733788">
      <w:bodyDiv w:val="1"/>
      <w:marLeft w:val="0"/>
      <w:marRight w:val="0"/>
      <w:marTop w:val="0"/>
      <w:marBottom w:val="0"/>
      <w:divBdr>
        <w:top w:val="none" w:sz="0" w:space="0" w:color="auto"/>
        <w:left w:val="none" w:sz="0" w:space="0" w:color="auto"/>
        <w:bottom w:val="none" w:sz="0" w:space="0" w:color="auto"/>
        <w:right w:val="none" w:sz="0" w:space="0" w:color="auto"/>
      </w:divBdr>
    </w:div>
    <w:div w:id="213328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https://consult.dcceew.gov.au/gems-commercial-ice-makers-consultation-paper"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au/F2025L00262/latest/text" TargetMode="External"/><Relationship Id="rId29" Type="http://schemas.openxmlformats.org/officeDocument/2006/relationships/image" Target="media/image10.png"/><Relationship Id="rId11" Type="http://schemas.openxmlformats.org/officeDocument/2006/relationships/hyperlink" Target="https://creativecommons.org/licenses/by/4.0/legalcode" TargetMode="External"/><Relationship Id="rId24" Type="http://schemas.openxmlformats.org/officeDocument/2006/relationships/hyperlink" Target="https://oia.pmc.gov.au/published-impact-analyses-and-reports/commercial-ice-maker-energy-efficiency" TargetMode="External"/><Relationship Id="rId32" Type="http://schemas.openxmlformats.org/officeDocument/2006/relationships/hyperlink" Target="https://oia.pmc.gov.au/resources/guidance-assessing-impacts/regulatory-burden-measurement-framework"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energy-rating.gov.au" TargetMode="External"/><Relationship Id="rId19" Type="http://schemas.openxmlformats.org/officeDocument/2006/relationships/image" Target="media/image5.png"/><Relationship Id="rId14" Type="http://schemas.openxmlformats.org/officeDocument/2006/relationships/image" Target="cid:image001.png@01DBBE9E.69B484F0" TargetMode="External"/><Relationship Id="rId22" Type="http://schemas.openxmlformats.org/officeDocument/2006/relationships/hyperlink" Target="https://www.legislation.gov.au/F2025L00262/latest/text"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consult.dcceew.gov.au/gems-commercial-ice-makers-consultation-paper" TargetMode="External"/><Relationship Id="rId56" Type="http://schemas.openxmlformats.org/officeDocument/2006/relationships/image" Target="media/image31.png"/><Relationship Id="rId64"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yperlink" Target="https://www.dcceew.gov.au/about/contact" TargetMode="External"/><Relationship Id="rId17" Type="http://schemas.openxmlformats.org/officeDocument/2006/relationships/image" Target="media/image3.jpeg"/><Relationship Id="rId25" Type="http://schemas.openxmlformats.org/officeDocument/2006/relationships/hyperlink" Target="http://www.energyrating.gov.au" TargetMode="External"/><Relationship Id="rId33" Type="http://schemas.openxmlformats.org/officeDocument/2006/relationships/image" Target="media/image13.png"/><Relationship Id="rId38" Type="http://schemas.openxmlformats.org/officeDocument/2006/relationships/header" Target="header2.xml"/><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eader" Target="header3.xml"/><Relationship Id="rId54" Type="http://schemas.openxmlformats.org/officeDocument/2006/relationships/image" Target="media/image29.png"/><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energyrating.gov.au"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jpeg"/><Relationship Id="rId3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waterrating.gov.au/about/review-evaluation/2020-review" TargetMode="External"/><Relationship Id="rId2" Type="http://schemas.openxmlformats.org/officeDocument/2006/relationships/hyperlink" Target="https://www.abs.gov.au/statistics/environment/environmental-management/water-account-australia/latest-release" TargetMode="External"/><Relationship Id="rId1" Type="http://schemas.openxmlformats.org/officeDocument/2006/relationships/hyperlink" Target="http://www.energyrating.gov.au" TargetMode="External"/><Relationship Id="rId6" Type="http://schemas.openxmlformats.org/officeDocument/2006/relationships/hyperlink" Target="https://www.abs.gov.au/statistics/environment/environmental-management/water-account-australia/latest-release" TargetMode="External"/><Relationship Id="rId5" Type="http://schemas.openxmlformats.org/officeDocument/2006/relationships/hyperlink" Target="https://oia.pmc.gov.au/resources/guidance-assessing-impacts/cost-benefit-analysis" TargetMode="External"/><Relationship Id="rId4" Type="http://schemas.openxmlformats.org/officeDocument/2006/relationships/hyperlink" Target="https://www.energyrating.gov.au/industry-information/publications/gems-act-2017-review"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IA Colours">
      <a:dk1>
        <a:srgbClr val="1C2B39"/>
      </a:dk1>
      <a:lt1>
        <a:srgbClr val="FFFFFF"/>
      </a:lt1>
      <a:dk2>
        <a:srgbClr val="004261"/>
      </a:dk2>
      <a:lt2>
        <a:srgbClr val="FFFFFF"/>
      </a:lt2>
      <a:accent1>
        <a:srgbClr val="1C2B39"/>
      </a:accent1>
      <a:accent2>
        <a:srgbClr val="004261"/>
      </a:accent2>
      <a:accent3>
        <a:srgbClr val="007279"/>
      </a:accent3>
      <a:accent4>
        <a:srgbClr val="DE761C"/>
      </a:accent4>
      <a:accent5>
        <a:srgbClr val="C85C1A"/>
      </a:accent5>
      <a:accent6>
        <a:srgbClr val="BD3432"/>
      </a:accent6>
      <a:hlink>
        <a:srgbClr val="DE761C"/>
      </a:hlink>
      <a:folHlink>
        <a:srgbClr val="DE761C"/>
      </a:folHlink>
    </a:clrScheme>
    <a:fontScheme name="OIA">
      <a:majorFont>
        <a:latin typeface="Segoe UI Semibold"/>
        <a:ea typeface=""/>
        <a:cs typeface=""/>
      </a:majorFont>
      <a:minorFont>
        <a:latin typeface="Segoe UI Symbo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PMCNotes xmlns="166541c0-0594-4e6a-9105-c24d4b6de6f7" xsi:nil="true"/>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ShareHubID xmlns="166541c0-0594-4e6a-9105-c24d4b6de6f7">DOC23-384974</ShareHubID>
    <TaxCatchAll xmlns="166541c0-0594-4e6a-9105-c24d4b6de6f7">
      <Value>18</Value>
      <Value>57</Value>
    </TaxCatchAll>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8E54B1-1794-4CCF-88E5-F782B4C1F504}">
  <ds:schemaRefs>
    <ds:schemaRef ds:uri="http://schemas.openxmlformats.org/officeDocument/2006/bibliography"/>
  </ds:schemaRefs>
</ds:datastoreItem>
</file>

<file path=customXml/itemProps2.xml><?xml version="1.0" encoding="utf-8"?>
<ds:datastoreItem xmlns:ds="http://schemas.openxmlformats.org/officeDocument/2006/customXml" ds:itemID="{39BC659C-C64A-463F-B0A2-B87BEA990118}">
  <ds:schemaRefs>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685f9fda-bd71-4433-b331-92feb9553089"/>
    <ds:schemaRef ds:uri="166541c0-0594-4e6a-9105-c24d4b6de6f7"/>
    <ds:schemaRef ds:uri="http://www.w3.org/XML/1998/namespace"/>
    <ds:schemaRef ds:uri="http://purl.org/dc/terms/"/>
  </ds:schemaRefs>
</ds:datastoreItem>
</file>

<file path=customXml/itemProps3.xml><?xml version="1.0" encoding="utf-8"?>
<ds:datastoreItem xmlns:ds="http://schemas.openxmlformats.org/officeDocument/2006/customXml" ds:itemID="{D299C457-4A83-437D-8B2C-A4AC61953A26}">
  <ds:schemaRefs>
    <ds:schemaRef ds:uri="http://schemas.microsoft.com/sharepoint/v3/contenttype/forms"/>
  </ds:schemaRefs>
</ds:datastoreItem>
</file>

<file path=customXml/itemProps4.xml><?xml version="1.0" encoding="utf-8"?>
<ds:datastoreItem xmlns:ds="http://schemas.openxmlformats.org/officeDocument/2006/customXml" ds:itemID="{6F3614DC-B636-4AEC-AE61-7ED237CA3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e6ba7ff-9897-4e65-9803-3be34fd9cf5a}"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2</TotalTime>
  <Pages>88</Pages>
  <Words>24959</Words>
  <Characters>142272</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Impact analysis template</vt:lpstr>
    </vt:vector>
  </TitlesOfParts>
  <Manager/>
  <Company/>
  <LinksUpToDate>false</LinksUpToDate>
  <CharactersWithSpaces>166898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analysis template</dc:title>
  <dc:subject/>
  <dc:creator>George Wilkenfeld</dc:creator>
  <cp:keywords/>
  <dc:description/>
  <cp:lastModifiedBy>Mark DEVASAGAYAM</cp:lastModifiedBy>
  <cp:revision>3</cp:revision>
  <cp:lastPrinted>2025-05-08T22:02:00Z</cp:lastPrinted>
  <dcterms:created xsi:type="dcterms:W3CDTF">2025-05-08T22:02:00Z</dcterms:created>
  <dcterms:modified xsi:type="dcterms:W3CDTF">2025-05-08T22:03:00Z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earchTags">
    <vt:lpwstr>18;#Cabinet|84cba657-17c1-4642-9e59-a0df180c2be5</vt:lpwstr>
  </property>
  <property fmtid="{D5CDD505-2E9C-101B-9397-08002B2CF9AE}" pid="3" name="PMC.ESearch.TagGeneratedTime">
    <vt:lpwstr>2023-08-01T16:55:34</vt:lpwstr>
  </property>
  <property fmtid="{D5CDD505-2E9C-101B-9397-08002B2CF9AE}" pid="4" name="ContentTypeId">
    <vt:lpwstr>0x0101002825A64A6E1845A99A9D8EE8A5686ECB009B58D7D72C3ED54C851955501673F8AC</vt:lpwstr>
  </property>
  <property fmtid="{D5CDD505-2E9C-101B-9397-08002B2CF9AE}" pid="5" name="HPRMSecurityLevel">
    <vt:lpwstr>57;#OFFICIAL|11463c70-78df-4e3b-b0ff-f66cd3cb26ec</vt:lpwstr>
  </property>
  <property fmtid="{D5CDD505-2E9C-101B-9397-08002B2CF9AE}" pid="6" name="HPRMSecurityCaveat">
    <vt:lpwstr/>
  </property>
  <property fmtid="{D5CDD505-2E9C-101B-9397-08002B2CF9AE}" pid="7" name="h6abd8cff2fe46138e55bb3dfb66b0d8">
    <vt:lpwstr>Cabinet|84cba657-17c1-4642-9e59-a0df180c2be5</vt:lpwstr>
  </property>
  <property fmtid="{D5CDD505-2E9C-101B-9397-08002B2CF9AE}" pid="8" name="ClassificationContentMarkingHeaderShapeIds">
    <vt:lpwstr>4df31787,35919a67,1784bc3e</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5cdb0d2c,58a8e8b3,335d72d7</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ies>
</file>