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073"/>
        <w:gridCol w:w="2294"/>
        <w:gridCol w:w="2481"/>
        <w:gridCol w:w="2408"/>
        <w:gridCol w:w="3231"/>
      </w:tblGrid>
      <w:tr w:rsidR="00E97BE6" w:rsidRPr="00BF50EE" w14:paraId="40E6C47E" w14:textId="77777777" w:rsidTr="00E97BE6">
        <w:trPr>
          <w:trHeight w:val="12"/>
        </w:trPr>
        <w:tc>
          <w:tcPr>
            <w:tcW w:w="2269" w:type="dxa"/>
            <w:vMerge w:val="restart"/>
            <w:shd w:val="clear" w:color="auto" w:fill="DEF4F9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4AE076A" w14:textId="77777777" w:rsidR="00E97BE6" w:rsidRPr="00BF50EE" w:rsidRDefault="00E97BE6" w:rsidP="00E257BF">
            <w:pPr>
              <w:spacing w:before="120" w:after="12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  <w:p w14:paraId="235F32F8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b/>
                <w:bCs/>
                <w:lang w:eastAsia="en-AU"/>
              </w:rPr>
              <w:t> Condition</w:t>
            </w:r>
          </w:p>
        </w:tc>
        <w:tc>
          <w:tcPr>
            <w:tcW w:w="12487" w:type="dxa"/>
            <w:gridSpan w:val="5"/>
            <w:shd w:val="clear" w:color="auto" w:fill="9EDFE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633162F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AU"/>
              </w:rPr>
              <w:t>Project Type</w:t>
            </w:r>
          </w:p>
        </w:tc>
      </w:tr>
      <w:tr w:rsidR="00E97BE6" w:rsidRPr="00BF50EE" w14:paraId="454AFF51" w14:textId="77777777" w:rsidTr="00E97BE6">
        <w:trPr>
          <w:trHeight w:val="843"/>
        </w:trPr>
        <w:tc>
          <w:tcPr>
            <w:tcW w:w="2269" w:type="dxa"/>
            <w:vMerge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700CF12F" w14:textId="77777777" w:rsidR="00E97BE6" w:rsidRPr="00BF50EE" w:rsidRDefault="00E97BE6" w:rsidP="00E257BF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3B8D88FE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AU"/>
              </w:rPr>
              <w:t>Flaring only at small and regional landfills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3FCD47EC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65788"/>
                <w:sz w:val="24"/>
                <w:szCs w:val="24"/>
                <w:u w:val="single"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AU"/>
              </w:rPr>
              <w:t>Flaring only</w:t>
            </w:r>
          </w:p>
          <w:p w14:paraId="414D05CC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b/>
                <w:bCs/>
                <w:lang w:eastAsia="en-AU"/>
              </w:rPr>
              <w:t>(new, existing and upgraded)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2E42D83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AU"/>
              </w:rPr>
              <w:t>Electricity generation and flaring</w:t>
            </w:r>
          </w:p>
          <w:p w14:paraId="46B2E297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Pr="00BF50EE">
              <w:rPr>
                <w:rFonts w:ascii="Calibri" w:eastAsia="Times New Roman" w:hAnsi="Calibri" w:cs="Calibri"/>
                <w:b/>
                <w:bCs/>
                <w:lang w:eastAsia="en-AU"/>
              </w:rPr>
              <w:t>(new and upgraded)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7AB9930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AU"/>
              </w:rPr>
              <w:t>Electricity generation and flaring</w:t>
            </w:r>
          </w:p>
          <w:p w14:paraId="6D20BA93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(existing)</w:t>
            </w:r>
          </w:p>
        </w:tc>
        <w:tc>
          <w:tcPr>
            <w:tcW w:w="3231" w:type="dxa"/>
            <w:vAlign w:val="center"/>
          </w:tcPr>
          <w:p w14:paraId="1BA28813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AU"/>
              </w:rPr>
              <w:t xml:space="preserve">Existing upgrade project </w:t>
            </w:r>
          </w:p>
        </w:tc>
      </w:tr>
      <w:tr w:rsidR="00E97BE6" w:rsidRPr="00BF50EE" w14:paraId="31A16E12" w14:textId="77777777" w:rsidTr="00E97BE6">
        <w:trPr>
          <w:trHeight w:val="12"/>
        </w:trPr>
        <w:tc>
          <w:tcPr>
            <w:tcW w:w="14756" w:type="dxa"/>
            <w:gridSpan w:val="6"/>
            <w:shd w:val="clear" w:color="auto" w:fill="FFFFFF" w:themeFill="background1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6931AC07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AU"/>
              </w:rPr>
            </w:pPr>
            <w:r w:rsidRPr="608F3A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AU"/>
              </w:rPr>
              <w:t>The prevailing baseline factor is equal to whichever is highest of: (1) default factor (2) regulatory factor, and (3) upgrade factor</w:t>
            </w:r>
          </w:p>
        </w:tc>
      </w:tr>
      <w:tr w:rsidR="00E97BE6" w:rsidRPr="00BF50EE" w14:paraId="3A3A5C85" w14:textId="77777777" w:rsidTr="00E97BE6">
        <w:trPr>
          <w:trHeight w:val="736"/>
        </w:trPr>
        <w:tc>
          <w:tcPr>
            <w:tcW w:w="2269" w:type="dxa"/>
            <w:shd w:val="clear" w:color="auto" w:fill="DEF4F9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1908871A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b/>
                <w:bCs/>
                <w:lang w:eastAsia="en-AU"/>
              </w:rPr>
              <w:t>Default factor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7733ACC2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BF50EE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0%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4779726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BF50EE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30%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AEE4C45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kern w:val="0"/>
                <w:highlight w:val="yellow"/>
                <w14:ligatures w14:val="none"/>
              </w:rPr>
            </w:pPr>
            <w:r w:rsidRPr="00BF50EE">
              <w:rPr>
                <w:rFonts w:ascii="Calibri" w:eastAsia="Calibri" w:hAnsi="Calibri" w:cs="Arial"/>
                <w:kern w:val="0"/>
                <w14:ligatures w14:val="none"/>
              </w:rPr>
              <w:t>37%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2F0C723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AU"/>
              </w:rPr>
            </w:pPr>
            <w:r w:rsidRPr="00BF50EE">
              <w:rPr>
                <w:rFonts w:ascii="Calibri" w:eastAsia="Calibri" w:hAnsi="Calibri" w:cs="Arial"/>
                <w:kern w:val="0"/>
                <w14:ligatures w14:val="none"/>
              </w:rPr>
              <w:t>39</w:t>
            </w:r>
            <w:r w:rsidRPr="00BF50EE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%</w:t>
            </w:r>
          </w:p>
        </w:tc>
        <w:tc>
          <w:tcPr>
            <w:tcW w:w="3231" w:type="dxa"/>
            <w:vAlign w:val="center"/>
          </w:tcPr>
          <w:p w14:paraId="5A145BE9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lang w:eastAsia="en-AU"/>
              </w:rPr>
              <w:t>30% (flaring only)</w:t>
            </w:r>
          </w:p>
          <w:p w14:paraId="5A16DD73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lang w:eastAsia="en-AU"/>
              </w:rPr>
              <w:t>39% (Electricity generation and flaring)</w:t>
            </w:r>
          </w:p>
        </w:tc>
      </w:tr>
      <w:tr w:rsidR="00E97BE6" w:rsidRPr="00BF50EE" w14:paraId="1B1DBF16" w14:textId="77777777" w:rsidTr="00E97BE6">
        <w:trPr>
          <w:trHeight w:val="12"/>
        </w:trPr>
        <w:tc>
          <w:tcPr>
            <w:tcW w:w="2269" w:type="dxa"/>
            <w:shd w:val="clear" w:color="auto" w:fill="DEF4F9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6BFC28B0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b/>
                <w:bCs/>
                <w:lang w:eastAsia="en-AU"/>
              </w:rPr>
              <w:t>Regulatory factor</w:t>
            </w:r>
            <w:r w:rsidRPr="00BF50EE">
              <w:rPr>
                <w:rFonts w:ascii="Calibri" w:eastAsia="Times New Roman" w:hAnsi="Calibri" w:cs="Calibri"/>
                <w:b/>
                <w:bCs/>
                <w:vertAlign w:val="superscript"/>
                <w:lang w:eastAsia="en-AU"/>
              </w:rPr>
              <w:t>1</w:t>
            </w:r>
          </w:p>
        </w:tc>
        <w:tc>
          <w:tcPr>
            <w:tcW w:w="12487" w:type="dxa"/>
            <w:gridSpan w:val="5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43B1E7FD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AU"/>
              </w:rPr>
              <w:t xml:space="preserve">Calculated as per Schedule 1 of the Exposure Draft Determination </w:t>
            </w:r>
          </w:p>
        </w:tc>
      </w:tr>
      <w:tr w:rsidR="00E97BE6" w:rsidRPr="00BF50EE" w14:paraId="11D69FE4" w14:textId="77777777" w:rsidTr="00E97BE6">
        <w:trPr>
          <w:trHeight w:val="12"/>
        </w:trPr>
        <w:tc>
          <w:tcPr>
            <w:tcW w:w="2269" w:type="dxa"/>
            <w:shd w:val="clear" w:color="auto" w:fill="DEF4F9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5F38713A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b/>
                <w:bCs/>
                <w:lang w:eastAsia="en-AU"/>
              </w:rPr>
              <w:t>Upgrade factor</w:t>
            </w:r>
          </w:p>
        </w:tc>
        <w:tc>
          <w:tcPr>
            <w:tcW w:w="9256" w:type="dxa"/>
            <w:gridSpan w:val="4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135CADCB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AU"/>
              </w:rPr>
              <w:t>N</w:t>
            </w:r>
            <w:r w:rsidRPr="00BF50EE">
              <w:rPr>
                <w:rFonts w:ascii="Calibri" w:eastAsia="Times New Roman" w:hAnsi="Calibri" w:cs="Calibri"/>
                <w:b/>
                <w:bCs/>
                <w:lang w:eastAsia="en-AU"/>
              </w:rPr>
              <w:t>/A</w:t>
            </w:r>
          </w:p>
        </w:tc>
        <w:tc>
          <w:tcPr>
            <w:tcW w:w="3231" w:type="dxa"/>
            <w:vAlign w:val="center"/>
          </w:tcPr>
          <w:p w14:paraId="6583F18D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lang w:eastAsia="en-AU"/>
              </w:rPr>
              <w:t xml:space="preserve">Baseline factor under previous determinations </w:t>
            </w:r>
          </w:p>
        </w:tc>
      </w:tr>
      <w:tr w:rsidR="00E97BE6" w:rsidRPr="00BF50EE" w14:paraId="551131F4" w14:textId="77777777" w:rsidTr="00E97BE6">
        <w:trPr>
          <w:trHeight w:val="900"/>
        </w:trPr>
        <w:tc>
          <w:tcPr>
            <w:tcW w:w="2269" w:type="dxa"/>
            <w:shd w:val="clear" w:color="auto" w:fill="DEF4F9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1C0B65B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b/>
                <w:bCs/>
                <w:lang w:eastAsia="en-AU"/>
              </w:rPr>
              <w:t>Slope</w:t>
            </w:r>
          </w:p>
        </w:tc>
        <w:tc>
          <w:tcPr>
            <w:tcW w:w="9256" w:type="dxa"/>
            <w:gridSpan w:val="4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920BAAC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lang w:eastAsia="en-AU"/>
              </w:rPr>
              <w:t>0.5% unit value per year after registration to the new method</w:t>
            </w:r>
          </w:p>
        </w:tc>
        <w:tc>
          <w:tcPr>
            <w:tcW w:w="3231" w:type="dxa"/>
          </w:tcPr>
          <w:p w14:paraId="47A60478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BF50EE">
              <w:rPr>
                <w:rFonts w:ascii="Calibri" w:eastAsia="Calibri" w:hAnsi="Calibri" w:cs="Arial"/>
                <w:kern w:val="0"/>
                <w14:ligatures w14:val="none"/>
              </w:rPr>
              <w:t>0%: if actual factor&gt;default factor</w:t>
            </w:r>
          </w:p>
          <w:p w14:paraId="47063AF9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BF50EE">
              <w:rPr>
                <w:rFonts w:ascii="Calibri" w:eastAsia="Calibri" w:hAnsi="Calibri" w:cs="Arial"/>
                <w:kern w:val="0"/>
                <w14:ligatures w14:val="none"/>
              </w:rPr>
              <w:t xml:space="preserve">0.5%: if actual factor = default factor </w:t>
            </w:r>
          </w:p>
        </w:tc>
      </w:tr>
      <w:tr w:rsidR="00E97BE6" w:rsidRPr="00BF50EE" w14:paraId="0720865B" w14:textId="77777777" w:rsidTr="00E97BE6">
        <w:trPr>
          <w:trHeight w:val="918"/>
        </w:trPr>
        <w:tc>
          <w:tcPr>
            <w:tcW w:w="2269" w:type="dxa"/>
            <w:shd w:val="clear" w:color="auto" w:fill="DEF4F9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FB65322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b/>
                <w:bCs/>
                <w:lang w:eastAsia="en-AU"/>
              </w:rPr>
              <w:t>Crediting Period</w:t>
            </w:r>
          </w:p>
        </w:tc>
        <w:tc>
          <w:tcPr>
            <w:tcW w:w="12487" w:type="dxa"/>
            <w:gridSpan w:val="5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09FEBA2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lang w:val="en-US" w:eastAsia="en-AU"/>
              </w:rPr>
              <w:t xml:space="preserve">For existing projects transitioning to the new method: </w:t>
            </w:r>
            <w:r w:rsidRPr="00BF50EE">
              <w:rPr>
                <w:rFonts w:ascii="Calibri" w:eastAsia="Times New Roman" w:hAnsi="Calibri" w:cs="Calibri"/>
                <w:color w:val="165788"/>
                <w:u w:val="single"/>
                <w:lang w:val="en-US" w:eastAsia="en-AU"/>
              </w:rPr>
              <w:t>(12-N) years</w:t>
            </w:r>
          </w:p>
          <w:p w14:paraId="721F8D1A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lang w:val="en-US" w:eastAsia="en-AU"/>
              </w:rPr>
              <w:t xml:space="preserve">For new projects: </w:t>
            </w:r>
            <w:r w:rsidRPr="00BF50EE">
              <w:rPr>
                <w:rFonts w:ascii="Calibri" w:eastAsia="Times New Roman" w:hAnsi="Calibri" w:cs="Calibri"/>
                <w:color w:val="165788"/>
                <w:u w:val="single"/>
                <w:lang w:val="en-US" w:eastAsia="en-AU"/>
              </w:rPr>
              <w:t>12 years</w:t>
            </w:r>
          </w:p>
          <w:p w14:paraId="3F7503D3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n-US" w:eastAsia="en-AU"/>
              </w:rPr>
            </w:pPr>
            <w:r w:rsidRPr="00BF50EE">
              <w:rPr>
                <w:rFonts w:ascii="Calibri" w:eastAsia="Times New Roman" w:hAnsi="Calibri" w:cs="Calibri"/>
                <w:lang w:val="en-US" w:eastAsia="en-AU"/>
              </w:rPr>
              <w:t xml:space="preserve">Where N = number of calendar years since this proposed new method is made. </w:t>
            </w:r>
            <w:r w:rsidRPr="00BF50EE"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  <w:t xml:space="preserve">This ensures projects that delay their transition to the reformed method do not obtain an additional benefit from doing so.  </w:t>
            </w:r>
          </w:p>
        </w:tc>
      </w:tr>
      <w:tr w:rsidR="00E97BE6" w:rsidRPr="00BF50EE" w14:paraId="04664054" w14:textId="77777777" w:rsidTr="00E97BE6">
        <w:trPr>
          <w:trHeight w:val="493"/>
        </w:trPr>
        <w:tc>
          <w:tcPr>
            <w:tcW w:w="2269" w:type="dxa"/>
            <w:shd w:val="clear" w:color="auto" w:fill="DEF4F9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05CEF63A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b/>
                <w:bCs/>
                <w:lang w:eastAsia="en-AU"/>
              </w:rPr>
              <w:t>Transitional Arrangements</w:t>
            </w:r>
          </w:p>
        </w:tc>
        <w:tc>
          <w:tcPr>
            <w:tcW w:w="12487" w:type="dxa"/>
            <w:gridSpan w:val="5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6FC8C624" w14:textId="77777777" w:rsidR="00E97BE6" w:rsidRPr="00BF50EE" w:rsidRDefault="00E97BE6" w:rsidP="00E257B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eastAsia="en-AU"/>
              </w:rPr>
            </w:pPr>
            <w:r w:rsidRPr="00BF50EE">
              <w:rPr>
                <w:rFonts w:ascii="Calibri" w:eastAsia="Times New Roman" w:hAnsi="Calibri" w:cs="Calibri"/>
                <w:lang w:eastAsia="en-AU"/>
              </w:rPr>
              <w:t xml:space="preserve">Projects would be able </w:t>
            </w:r>
            <w:r w:rsidRPr="00BF50EE" w:rsidDel="006B6C5F">
              <w:rPr>
                <w:rFonts w:ascii="Calibri" w:eastAsia="Times New Roman" w:hAnsi="Calibri" w:cs="Calibri"/>
                <w:lang w:eastAsia="en-AU"/>
              </w:rPr>
              <w:t>to</w:t>
            </w:r>
            <w:r w:rsidRPr="00BF50EE">
              <w:rPr>
                <w:rFonts w:ascii="Calibri" w:eastAsia="Times New Roman" w:hAnsi="Calibri" w:cs="Calibri"/>
                <w:lang w:eastAsia="en-AU"/>
              </w:rPr>
              <w:t xml:space="preserve"> choose to transition to the new method. </w:t>
            </w:r>
          </w:p>
        </w:tc>
      </w:tr>
    </w:tbl>
    <w:p w14:paraId="367D26D3" w14:textId="7183473C" w:rsidR="00E7789A" w:rsidRDefault="00E97BE6">
      <w:r w:rsidRPr="00BF50EE">
        <w:rPr>
          <w:rFonts w:ascii="Calibri" w:eastAsia="Times New Roman" w:hAnsi="Calibri" w:cs="Calibri"/>
          <w:b/>
          <w:bCs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450CA0C" wp14:editId="3A6414F0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9029700" cy="438150"/>
                <wp:effectExtent l="0" t="0" r="0" b="0"/>
                <wp:wrapNone/>
                <wp:docPr id="5364978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AA78C" w14:textId="77777777" w:rsidR="00E97BE6" w:rsidRPr="008C61B6" w:rsidRDefault="00E97BE6" w:rsidP="00E97BE6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8C61B6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 xml:space="preserve">1 </w:t>
                            </w:r>
                            <w:r w:rsidRPr="008C61B6">
                              <w:rPr>
                                <w:sz w:val="20"/>
                                <w:szCs w:val="20"/>
                              </w:rPr>
                              <w:t xml:space="preserve">The regulatory baseline factor is the proportion of project abatement that would occur in baseline conditions to meet state and territory guidelines for methane management at landfills.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0CA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6pt;width:711pt;height:34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i9DAIAAPY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" stroked="f">
                <v:textbox>
                  <w:txbxContent>
                    <w:p w14:paraId="632AA78C" w14:textId="77777777" w:rsidR="00E97BE6" w:rsidRPr="008C61B6" w:rsidRDefault="00E97BE6" w:rsidP="00E97BE6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 w:rsidRPr="008C61B6">
                        <w:rPr>
                          <w:sz w:val="20"/>
                          <w:szCs w:val="20"/>
                          <w:vertAlign w:val="superscript"/>
                        </w:rPr>
                        <w:t xml:space="preserve">1 </w:t>
                      </w:r>
                      <w:r w:rsidRPr="008C61B6">
                        <w:rPr>
                          <w:sz w:val="20"/>
                          <w:szCs w:val="20"/>
                        </w:rPr>
                        <w:t xml:space="preserve">The regulatory baseline factor is the proportion of project abatement that would occur in baseline conditions to meet state and territory guidelines for methane management at landfills.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7789A" w:rsidSect="00E97B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3B464" w14:textId="77777777" w:rsidR="00E97BE6" w:rsidRDefault="00E97BE6" w:rsidP="00E97BE6">
      <w:pPr>
        <w:spacing w:after="0" w:line="240" w:lineRule="auto"/>
      </w:pPr>
      <w:r>
        <w:separator/>
      </w:r>
    </w:p>
  </w:endnote>
  <w:endnote w:type="continuationSeparator" w:id="0">
    <w:p w14:paraId="277EA06F" w14:textId="77777777" w:rsidR="00E97BE6" w:rsidRDefault="00E97BE6" w:rsidP="00E9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AACC" w14:textId="1046C08C" w:rsidR="00E97BE6" w:rsidRDefault="00E97B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5570BD" wp14:editId="0B309E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93967300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799C6" w14:textId="3452E8B8" w:rsidR="00E97BE6" w:rsidRPr="00E97BE6" w:rsidRDefault="00E97BE6" w:rsidP="00E97B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97B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570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17799C6" w14:textId="3452E8B8" w:rsidR="00E97BE6" w:rsidRPr="00E97BE6" w:rsidRDefault="00E97BE6" w:rsidP="00E97B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97BE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74B6" w14:textId="54607446" w:rsidR="00E97BE6" w:rsidRDefault="00E97B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3599173" wp14:editId="655890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96109313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6480B" w14:textId="1A169A20" w:rsidR="00E97BE6" w:rsidRPr="00E97BE6" w:rsidRDefault="00E97BE6" w:rsidP="00E97B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97B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991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556480B" w14:textId="1A169A20" w:rsidR="00E97BE6" w:rsidRPr="00E97BE6" w:rsidRDefault="00E97BE6" w:rsidP="00E97B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97BE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EE71" w14:textId="20CD8562" w:rsidR="00E97BE6" w:rsidRDefault="00E97B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782D62C" wp14:editId="64B265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36357436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8EC40" w14:textId="0CDC27FF" w:rsidR="00E97BE6" w:rsidRPr="00E97BE6" w:rsidRDefault="00E97BE6" w:rsidP="00E97B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97B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2D6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188EC40" w14:textId="0CDC27FF" w:rsidR="00E97BE6" w:rsidRPr="00E97BE6" w:rsidRDefault="00E97BE6" w:rsidP="00E97B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97BE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8E09" w14:textId="77777777" w:rsidR="00E97BE6" w:rsidRDefault="00E97BE6" w:rsidP="00E97BE6">
      <w:pPr>
        <w:spacing w:after="0" w:line="240" w:lineRule="auto"/>
      </w:pPr>
      <w:r>
        <w:separator/>
      </w:r>
    </w:p>
  </w:footnote>
  <w:footnote w:type="continuationSeparator" w:id="0">
    <w:p w14:paraId="2499656D" w14:textId="77777777" w:rsidR="00E97BE6" w:rsidRDefault="00E97BE6" w:rsidP="00E97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4905" w14:textId="7C2B40FE" w:rsidR="00E97BE6" w:rsidRDefault="00E97B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952DE" wp14:editId="794EFB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000804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59CA1" w14:textId="59469B50" w:rsidR="00E97BE6" w:rsidRPr="00E97BE6" w:rsidRDefault="00E97BE6" w:rsidP="00E97B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97B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952D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3B59CA1" w14:textId="59469B50" w:rsidR="00E97BE6" w:rsidRPr="00E97BE6" w:rsidRDefault="00E97BE6" w:rsidP="00E97B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97BE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16B0" w14:textId="2A483A25" w:rsidR="00E97BE6" w:rsidRDefault="00E97BE6">
    <w:pPr>
      <w:pStyle w:val="Header"/>
    </w:pPr>
    <w:r>
      <w:rPr>
        <w:rFonts w:ascii="Calibri" w:eastAsia="Calibri" w:hAnsi="Calibri" w:cs="Arial"/>
        <w:b/>
        <w:noProof/>
        <w:kern w:val="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EB7901" wp14:editId="153E8A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25898461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A04AC" w14:textId="620201F7" w:rsidR="00E97BE6" w:rsidRPr="00E97BE6" w:rsidRDefault="00E97BE6" w:rsidP="00E97B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97B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B79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72A04AC" w14:textId="620201F7" w:rsidR="00E97BE6" w:rsidRPr="00E97BE6" w:rsidRDefault="00E97BE6" w:rsidP="00E97B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97BE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F50EE">
      <w:rPr>
        <w:rFonts w:ascii="Calibri" w:eastAsia="Calibri" w:hAnsi="Calibri" w:cs="Arial"/>
        <w:b/>
        <w:kern w:val="0"/>
        <w14:ligatures w14:val="none"/>
      </w:rPr>
      <w:t>Summary of Exposure Draft – This provides a summary only and should not be a substitute for reading the exposure draft and explanatory statement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8D69" w14:textId="5F1CFBB4" w:rsidR="00E97BE6" w:rsidRDefault="00E97B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F115B5" wp14:editId="028367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31790393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89336" w14:textId="66C46D95" w:rsidR="00E97BE6" w:rsidRPr="00E97BE6" w:rsidRDefault="00E97BE6" w:rsidP="00E97B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97B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115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61C89336" w14:textId="66C46D95" w:rsidR="00E97BE6" w:rsidRPr="00E97BE6" w:rsidRDefault="00E97BE6" w:rsidP="00E97B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97BE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E6"/>
    <w:rsid w:val="00034A5E"/>
    <w:rsid w:val="002E553C"/>
    <w:rsid w:val="0054001C"/>
    <w:rsid w:val="005A30FC"/>
    <w:rsid w:val="0076393B"/>
    <w:rsid w:val="00E7789A"/>
    <w:rsid w:val="00E97BE6"/>
    <w:rsid w:val="00F1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9DFA"/>
  <w15:chartTrackingRefBased/>
  <w15:docId w15:val="{47C67563-841B-4B2A-9F8E-75D805F5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BE6"/>
  </w:style>
  <w:style w:type="paragraph" w:styleId="Heading1">
    <w:name w:val="heading 1"/>
    <w:basedOn w:val="Normal"/>
    <w:next w:val="Normal"/>
    <w:link w:val="Heading1Char"/>
    <w:uiPriority w:val="9"/>
    <w:qFormat/>
    <w:rsid w:val="00E97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B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7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BE6"/>
  </w:style>
  <w:style w:type="paragraph" w:styleId="Footer">
    <w:name w:val="footer"/>
    <w:basedOn w:val="Normal"/>
    <w:link w:val="FooterChar"/>
    <w:uiPriority w:val="99"/>
    <w:unhideWhenUsed/>
    <w:rsid w:val="00E97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2ED076A921E4F89A4C2A43698F34E" ma:contentTypeVersion="3" ma:contentTypeDescription="Create a new document." ma:contentTypeScope="" ma:versionID="9ca3251d6c88d4b4bb3981de80c90b42">
  <xsd:schema xmlns:xsd="http://www.w3.org/2001/XMLSchema" xmlns:xs="http://www.w3.org/2001/XMLSchema" xmlns:p="http://schemas.microsoft.com/office/2006/metadata/properties" xmlns:ns1="http://schemas.microsoft.com/sharepoint/v3" xmlns:ns2="b62487c0-be7d-4b43-bb3a-f0a524bd3aaf" xmlns:ns3="0802d0eb-7bad-4cd2-a72b-adb0d3226537" targetNamespace="http://schemas.microsoft.com/office/2006/metadata/properties" ma:root="true" ma:fieldsID="41d31838a17d621a2bb70d18ccd240f9" ns1:_="" ns2:_="" ns3:_="">
    <xsd:import namespace="http://schemas.microsoft.com/sharepoint/v3"/>
    <xsd:import namespace="b62487c0-be7d-4b43-bb3a-f0a524bd3aaf"/>
    <xsd:import namespace="0802d0eb-7bad-4cd2-a72b-adb0d3226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487c0-be7d-4b43-bb3a-f0a524bd3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d0eb-7bad-4cd2-a72b-adb0d32265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FE0B6C-C8C0-4500-A08F-844942C94C5B}"/>
</file>

<file path=customXml/itemProps2.xml><?xml version="1.0" encoding="utf-8"?>
<ds:datastoreItem xmlns:ds="http://schemas.openxmlformats.org/officeDocument/2006/customXml" ds:itemID="{FF6835D7-1938-429E-BE4E-D12D01B0FA46}"/>
</file>

<file path=customXml/itemProps3.xml><?xml version="1.0" encoding="utf-8"?>
<ds:datastoreItem xmlns:ds="http://schemas.openxmlformats.org/officeDocument/2006/customXml" ds:itemID="{EC712333-7F87-4715-8B10-1C6BE3E93F63}"/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KONINX</dc:creator>
  <cp:keywords/>
  <dc:description/>
  <cp:lastModifiedBy>Felix KONINX</cp:lastModifiedBy>
  <cp:revision>1</cp:revision>
  <dcterms:created xsi:type="dcterms:W3CDTF">2025-05-15T05:53:00Z</dcterms:created>
  <dcterms:modified xsi:type="dcterms:W3CDTF">2025-05-15T05:55:00Z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4e8d9e3f,6b4b0c4e,f6fcaa5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15abb461,739d0fae,74e3e80c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0x0101007C92ED076A921E4F89A4C2A43698F34E</vt:lpwstr>
  </property>
</Properties>
</file>