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FD82" w14:textId="77777777" w:rsidR="008A3C89" w:rsidRDefault="008A3C89" w:rsidP="00693E51">
      <w:bookmarkStart w:id="0" w:name="_Toc127801067"/>
    </w:p>
    <w:p w14:paraId="74EE0506" w14:textId="58E0A384" w:rsidR="006712B7" w:rsidRDefault="0035683E" w:rsidP="006C52AA">
      <w:pPr>
        <w:pStyle w:val="Heading1"/>
        <w:spacing w:line="276" w:lineRule="auto"/>
      </w:pPr>
      <w:r w:rsidRPr="00BD2FA2">
        <w:t xml:space="preserve">2025 </w:t>
      </w:r>
      <w:r w:rsidR="009625D2">
        <w:t>Reforms</w:t>
      </w:r>
      <w:r w:rsidR="0014308A" w:rsidRPr="00BD2FA2">
        <w:t xml:space="preserve"> </w:t>
      </w:r>
      <w:r w:rsidR="009625D2">
        <w:t>to</w:t>
      </w:r>
      <w:r w:rsidR="00624FE9" w:rsidRPr="00BD2FA2">
        <w:t xml:space="preserve"> </w:t>
      </w:r>
      <w:r w:rsidR="0014308A" w:rsidRPr="00BD2FA2">
        <w:t>the Default Market Offer</w:t>
      </w:r>
    </w:p>
    <w:p w14:paraId="46027587" w14:textId="77777777" w:rsidR="00520026" w:rsidRPr="00520026" w:rsidRDefault="00520026" w:rsidP="006C52AA"/>
    <w:p w14:paraId="122B51A3" w14:textId="77777777" w:rsidR="006712B7" w:rsidRPr="00520026" w:rsidRDefault="006712B7" w:rsidP="006C52AA"/>
    <w:p w14:paraId="69B63839" w14:textId="51FC3096" w:rsidR="006712B7" w:rsidRDefault="00BD4730" w:rsidP="0072350C">
      <w:pPr>
        <w:pStyle w:val="Subtitle"/>
        <w:spacing w:line="276" w:lineRule="auto"/>
      </w:pPr>
      <w:r>
        <w:t>Consultation</w:t>
      </w:r>
      <w:r w:rsidR="00466CA4">
        <w:t xml:space="preserve"> Paper</w:t>
      </w:r>
      <w:bookmarkEnd w:id="0"/>
    </w:p>
    <w:p w14:paraId="21FB34AC" w14:textId="40227160" w:rsidR="00764D6A" w:rsidRPr="005D3790" w:rsidRDefault="00764D6A" w:rsidP="0072350C">
      <w:pPr>
        <w:tabs>
          <w:tab w:val="left" w:pos="8370"/>
        </w:tabs>
      </w:pPr>
    </w:p>
    <w:p w14:paraId="3249D936" w14:textId="73DAA5F2" w:rsidR="00030F3E" w:rsidRPr="007C357A" w:rsidRDefault="00E91D72" w:rsidP="00030F3E">
      <w:pPr>
        <w:pStyle w:val="Copyright"/>
      </w:pPr>
      <w:r>
        <w:br w:type="page"/>
      </w:r>
      <w:r w:rsidR="00030F3E" w:rsidRPr="007C357A">
        <w:t>© Commonwealth of Austra</w:t>
      </w:r>
      <w:r w:rsidR="00030F3E" w:rsidRPr="00D43DC5">
        <w:t>lia 20</w:t>
      </w:r>
      <w:r w:rsidR="00D43DC5" w:rsidRPr="00D43DC5">
        <w:t>25</w:t>
      </w:r>
    </w:p>
    <w:p w14:paraId="561EBE83" w14:textId="77777777" w:rsidR="00030F3E" w:rsidRPr="00CA5F92" w:rsidRDefault="00030F3E" w:rsidP="00030F3E">
      <w:pPr>
        <w:pStyle w:val="Copyright"/>
        <w:rPr>
          <w:b/>
          <w:bCs/>
        </w:rPr>
      </w:pPr>
      <w:r w:rsidRPr="00CA5F92">
        <w:rPr>
          <w:b/>
          <w:bCs/>
        </w:rPr>
        <w:t>Ownership of intellectual property rights</w:t>
      </w:r>
    </w:p>
    <w:p w14:paraId="747F95E2" w14:textId="77777777" w:rsidR="00030F3E" w:rsidRPr="007C357A" w:rsidRDefault="00030F3E" w:rsidP="00030F3E">
      <w:pPr>
        <w:pStyle w:val="Copyright"/>
      </w:pPr>
      <w:r w:rsidRPr="007C357A">
        <w:t>Unless otherwise noted, copyright (and any other intellectual property rights) in this publication is owned by the Commonwealth of Australia (referred to as the Commonwealth).</w:t>
      </w:r>
    </w:p>
    <w:p w14:paraId="5DA5E753" w14:textId="77777777" w:rsidR="00030F3E" w:rsidRPr="00CA5F92" w:rsidRDefault="00030F3E" w:rsidP="00030F3E">
      <w:pPr>
        <w:pStyle w:val="Copyright"/>
        <w:rPr>
          <w:b/>
          <w:bCs/>
        </w:rPr>
      </w:pPr>
      <w:r w:rsidRPr="00CA5F92">
        <w:rPr>
          <w:b/>
          <w:bCs/>
        </w:rPr>
        <w:t>Creative Commons licence</w:t>
      </w:r>
    </w:p>
    <w:p w14:paraId="40A84E78" w14:textId="77777777" w:rsidR="00030F3E" w:rsidRPr="007C357A" w:rsidRDefault="00030F3E" w:rsidP="00030F3E">
      <w:pPr>
        <w:pStyle w:val="Copyright"/>
      </w:pPr>
      <w:r w:rsidRPr="007C357A">
        <w:t xml:space="preserve">All material in this publication is licensed under a </w:t>
      </w:r>
      <w:hyperlink r:id="rId11" w:history="1">
        <w:r w:rsidRPr="007C357A">
          <w:rPr>
            <w:rStyle w:val="Hyperlink"/>
          </w:rPr>
          <w:t>Creative Commons Attribution 4.0 International Licence</w:t>
        </w:r>
      </w:hyperlink>
      <w:r w:rsidRPr="007C357A">
        <w:t xml:space="preserve"> except content supplied by third parties, logos and the Commonwealth Coat of Arms.</w:t>
      </w:r>
    </w:p>
    <w:p w14:paraId="13D719FA" w14:textId="77777777" w:rsidR="00030F3E" w:rsidRDefault="00030F3E" w:rsidP="00030F3E">
      <w:pPr>
        <w:pStyle w:val="Copyright"/>
      </w:pPr>
      <w:r w:rsidRPr="007C357A">
        <w:t xml:space="preserve">Inquiries about the licence and any use of this document should </w:t>
      </w:r>
      <w:r w:rsidRPr="00446294">
        <w:t xml:space="preserve">be submitted via our online contact </w:t>
      </w:r>
      <w:hyperlink r:id="rId12" w:history="1">
        <w:r w:rsidRPr="0040453A">
          <w:rPr>
            <w:rStyle w:val="Hyperlink"/>
          </w:rPr>
          <w:t>form</w:t>
        </w:r>
      </w:hyperlink>
      <w:r w:rsidRPr="007C357A">
        <w:t>.</w:t>
      </w:r>
    </w:p>
    <w:p w14:paraId="3E0C5121" w14:textId="77777777" w:rsidR="00030F3E" w:rsidRPr="007C357A" w:rsidRDefault="00030F3E" w:rsidP="00030F3E">
      <w:pPr>
        <w:pStyle w:val="Copyright"/>
      </w:pPr>
      <w:r>
        <w:rPr>
          <w:noProof/>
        </w:rPr>
        <w:drawing>
          <wp:inline distT="0" distB="0" distL="0" distR="0" wp14:anchorId="1901FFC1" wp14:editId="7CBD3E2A">
            <wp:extent cx="725170" cy="255905"/>
            <wp:effectExtent l="0" t="0" r="0" b="0"/>
            <wp:docPr id="18024084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08478"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5170" cy="255905"/>
                    </a:xfrm>
                    <a:prstGeom prst="rect">
                      <a:avLst/>
                    </a:prstGeom>
                    <a:noFill/>
                  </pic:spPr>
                </pic:pic>
              </a:graphicData>
            </a:graphic>
          </wp:inline>
        </w:drawing>
      </w:r>
    </w:p>
    <w:p w14:paraId="79913980" w14:textId="77777777" w:rsidR="00030F3E" w:rsidRPr="00CA5F92" w:rsidRDefault="00030F3E" w:rsidP="00030F3E">
      <w:pPr>
        <w:pStyle w:val="Copyright"/>
        <w:rPr>
          <w:b/>
          <w:bCs/>
        </w:rPr>
      </w:pPr>
      <w:r w:rsidRPr="00CA5F92">
        <w:rPr>
          <w:b/>
          <w:bCs/>
        </w:rPr>
        <w:t>Cataloguing data</w:t>
      </w:r>
    </w:p>
    <w:p w14:paraId="5357CD86" w14:textId="71F6F0B9" w:rsidR="00030F3E" w:rsidRPr="007C357A" w:rsidRDefault="00030F3E" w:rsidP="00030F3E">
      <w:pPr>
        <w:pStyle w:val="Copyright"/>
      </w:pPr>
      <w:r w:rsidRPr="007C357A">
        <w:t>This publication (and any material sourced from it) should be attributed as</w:t>
      </w:r>
      <w:r w:rsidRPr="00AC3E30">
        <w:t>: DCCEEW 202</w:t>
      </w:r>
      <w:r w:rsidR="00D43DC5" w:rsidRPr="00AC3E30">
        <w:t>5</w:t>
      </w:r>
      <w:r w:rsidRPr="00AC3E30">
        <w:t xml:space="preserve">, </w:t>
      </w:r>
      <w:r w:rsidR="00D43DC5" w:rsidRPr="00AD5E81">
        <w:rPr>
          <w:i/>
          <w:iCs/>
        </w:rPr>
        <w:t>Reforms to the Default Market Offer</w:t>
      </w:r>
      <w:r w:rsidR="00AC3E30" w:rsidRPr="00AD5E81">
        <w:rPr>
          <w:i/>
          <w:iCs/>
        </w:rPr>
        <w:t xml:space="preserve"> – Consultation Paper</w:t>
      </w:r>
      <w:r w:rsidRPr="007C357A">
        <w:t xml:space="preserve">, Department of Climate Change, Energy, the Environment and Water, Canberra, </w:t>
      </w:r>
      <w:r w:rsidR="00AC3E30">
        <w:t>June</w:t>
      </w:r>
      <w:r w:rsidRPr="007C357A">
        <w:t>. CC BY 4.0.</w:t>
      </w:r>
    </w:p>
    <w:p w14:paraId="6A74686A" w14:textId="41C6C525" w:rsidR="00030F3E" w:rsidRPr="007C357A" w:rsidRDefault="00030F3E" w:rsidP="00030F3E">
      <w:pPr>
        <w:pStyle w:val="Copyright"/>
      </w:pPr>
      <w:r w:rsidRPr="007C357A">
        <w:t xml:space="preserve">This publication is available at </w:t>
      </w:r>
      <w:hyperlink r:id="rId14" w:history="1">
        <w:r w:rsidRPr="00AC3E30">
          <w:rPr>
            <w:rStyle w:val="Hyperlink"/>
          </w:rPr>
          <w:t>dcceew.gov.au/publications</w:t>
        </w:r>
      </w:hyperlink>
      <w:r w:rsidRPr="007C357A">
        <w:t>.</w:t>
      </w:r>
    </w:p>
    <w:p w14:paraId="0ED6A971" w14:textId="77777777" w:rsidR="00030F3E" w:rsidRPr="007C357A" w:rsidRDefault="00030F3E" w:rsidP="00030F3E">
      <w:pPr>
        <w:pStyle w:val="Copyright"/>
      </w:pPr>
      <w:r w:rsidRPr="007C357A">
        <w:t>Department of Climate Change, Energy, the Environment and Water</w:t>
      </w:r>
    </w:p>
    <w:p w14:paraId="5C2EFBFC" w14:textId="77777777" w:rsidR="00030F3E" w:rsidRPr="007C357A" w:rsidRDefault="00030F3E" w:rsidP="00030F3E">
      <w:pPr>
        <w:pStyle w:val="Copyright"/>
      </w:pPr>
      <w:r w:rsidRPr="007C357A">
        <w:t>GPO Box 3090 Canberra ACT 2601</w:t>
      </w:r>
    </w:p>
    <w:p w14:paraId="1185EBA2" w14:textId="77777777" w:rsidR="00030F3E" w:rsidRPr="007C357A" w:rsidRDefault="00030F3E" w:rsidP="00030F3E">
      <w:pPr>
        <w:pStyle w:val="Copyright"/>
      </w:pPr>
      <w:r w:rsidRPr="007C357A">
        <w:t>Telephone 1800 920 528</w:t>
      </w:r>
    </w:p>
    <w:p w14:paraId="59AD6DB5" w14:textId="2C3C3790" w:rsidR="00030F3E" w:rsidRPr="007C357A" w:rsidRDefault="00030F3E" w:rsidP="00030F3E">
      <w:pPr>
        <w:pStyle w:val="Copyright"/>
      </w:pPr>
      <w:r w:rsidRPr="007C357A">
        <w:t xml:space="preserve">Web </w:t>
      </w:r>
      <w:hyperlink r:id="rId15" w:history="1">
        <w:r w:rsidRPr="00AD5E81">
          <w:rPr>
            <w:rStyle w:val="Hyperlink"/>
          </w:rPr>
          <w:t>dcceew.gov.au</w:t>
        </w:r>
      </w:hyperlink>
    </w:p>
    <w:p w14:paraId="6D569A02" w14:textId="77777777" w:rsidR="00030F3E" w:rsidRPr="00CA5F92" w:rsidRDefault="00030F3E" w:rsidP="00030F3E">
      <w:pPr>
        <w:pStyle w:val="Copyright"/>
        <w:rPr>
          <w:b/>
          <w:bCs/>
        </w:rPr>
      </w:pPr>
      <w:r w:rsidRPr="00CA5F92">
        <w:rPr>
          <w:b/>
          <w:bCs/>
        </w:rPr>
        <w:t>Disclaimer</w:t>
      </w:r>
    </w:p>
    <w:p w14:paraId="2E5F3617" w14:textId="77777777" w:rsidR="00030F3E" w:rsidRPr="007C357A" w:rsidRDefault="00030F3E" w:rsidP="00030F3E">
      <w:pPr>
        <w:pStyle w:val="Copyright"/>
      </w:pPr>
      <w:r w:rsidRPr="007C357A">
        <w:t xml:space="preserve">The Australian Government acting through the Department of Climate Change, Energy, the Environment and Water has exercised due care and skill in preparing and compiling the information and data in this publication. Notwithstanding, the Department of Climate Change, Energy, the Environment and Water, its employees and advisers disclaim all liability, including liability for negligence and for any loss, damage, injury, expense or cost incurred by any person </w:t>
      </w:r>
      <w:proofErr w:type="gramStart"/>
      <w:r w:rsidRPr="007C357A">
        <w:t>as a result of</w:t>
      </w:r>
      <w:proofErr w:type="gramEnd"/>
      <w:r w:rsidRPr="007C357A">
        <w:t xml:space="preserve"> accessing, using or relying on any of the information or data in this publication to the maximum extent permitted by law.</w:t>
      </w:r>
    </w:p>
    <w:p w14:paraId="1676D837" w14:textId="77777777" w:rsidR="00030F3E" w:rsidRPr="00CA5F92" w:rsidRDefault="00030F3E" w:rsidP="00030F3E">
      <w:pPr>
        <w:pStyle w:val="Copyright"/>
        <w:rPr>
          <w:b/>
          <w:bCs/>
        </w:rPr>
      </w:pPr>
      <w:r w:rsidRPr="00CA5F92">
        <w:rPr>
          <w:b/>
          <w:bCs/>
        </w:rPr>
        <w:t>Acknowledgement of Country</w:t>
      </w:r>
    </w:p>
    <w:p w14:paraId="46C3121A" w14:textId="68517BA9" w:rsidR="006F474E" w:rsidRDefault="00030F3E" w:rsidP="009F63DF">
      <w:pPr>
        <w:pStyle w:val="Copyright"/>
      </w:pPr>
      <w:r w:rsidRPr="007C357A">
        <w:t>We acknowledge the Traditional Owners of Country throughout Australia and recognise their continuing connection to land, waters and culture. We pay our respects to their Elders past and present.</w:t>
      </w:r>
      <w:r w:rsidR="006F474E">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sz w:val="24"/>
          <w:szCs w:val="24"/>
        </w:rPr>
      </w:sdtEndPr>
      <w:sdtContent>
        <w:p w14:paraId="0F7971DE" w14:textId="39E2720A" w:rsidR="00764D6A" w:rsidRDefault="00E91D72" w:rsidP="006C52AA">
          <w:pPr>
            <w:pStyle w:val="TOCHeading"/>
          </w:pPr>
          <w:r>
            <w:t>Contents</w:t>
          </w:r>
        </w:p>
        <w:p w14:paraId="7015A3FD" w14:textId="4ABA7D06" w:rsidR="001C5A11" w:rsidRDefault="00E91D72">
          <w:pPr>
            <w:pStyle w:val="TOC1"/>
            <w:rPr>
              <w:rFonts w:eastAsiaTheme="minorEastAsia"/>
              <w:b w:val="0"/>
              <w:kern w:val="2"/>
              <w:szCs w:val="24"/>
              <w:lang w:eastAsia="en-AU"/>
              <w14:ligatures w14:val="standardContextual"/>
            </w:rPr>
          </w:pPr>
          <w:r>
            <w:rPr>
              <w:b w:val="0"/>
            </w:rPr>
            <w:fldChar w:fldCharType="begin"/>
          </w:r>
          <w:r>
            <w:instrText xml:space="preserve"> TOC \h \z \u \t "Heading 2,1,Heading 3,2,Style1,2,TOA Heading,1" </w:instrText>
          </w:r>
          <w:r>
            <w:rPr>
              <w:b w:val="0"/>
            </w:rPr>
            <w:fldChar w:fldCharType="separate"/>
          </w:r>
          <w:hyperlink w:anchor="_Toc201068933" w:history="1">
            <w:r w:rsidR="001C5A11" w:rsidRPr="006927AE">
              <w:rPr>
                <w:rStyle w:val="Hyperlink"/>
              </w:rPr>
              <w:t>1</w:t>
            </w:r>
            <w:r w:rsidR="001C5A11">
              <w:rPr>
                <w:rFonts w:eastAsiaTheme="minorEastAsia"/>
                <w:b w:val="0"/>
                <w:kern w:val="2"/>
                <w:szCs w:val="24"/>
                <w:lang w:eastAsia="en-AU"/>
                <w14:ligatures w14:val="standardContextual"/>
              </w:rPr>
              <w:tab/>
            </w:r>
            <w:r w:rsidR="001C5A11" w:rsidRPr="006927AE">
              <w:rPr>
                <w:rStyle w:val="Hyperlink"/>
              </w:rPr>
              <w:t>Introduction</w:t>
            </w:r>
            <w:r w:rsidR="001C5A11">
              <w:rPr>
                <w:webHidden/>
              </w:rPr>
              <w:tab/>
            </w:r>
            <w:r w:rsidR="001C5A11">
              <w:rPr>
                <w:webHidden/>
              </w:rPr>
              <w:fldChar w:fldCharType="begin"/>
            </w:r>
            <w:r w:rsidR="001C5A11">
              <w:rPr>
                <w:webHidden/>
              </w:rPr>
              <w:instrText xml:space="preserve"> PAGEREF _Toc201068933 \h </w:instrText>
            </w:r>
            <w:r w:rsidR="001C5A11">
              <w:rPr>
                <w:webHidden/>
              </w:rPr>
            </w:r>
            <w:r w:rsidR="001C5A11">
              <w:rPr>
                <w:webHidden/>
              </w:rPr>
              <w:fldChar w:fldCharType="separate"/>
            </w:r>
            <w:r w:rsidR="00661208">
              <w:rPr>
                <w:webHidden/>
              </w:rPr>
              <w:t>4</w:t>
            </w:r>
            <w:r w:rsidR="001C5A11">
              <w:rPr>
                <w:webHidden/>
              </w:rPr>
              <w:fldChar w:fldCharType="end"/>
            </w:r>
          </w:hyperlink>
        </w:p>
        <w:p w14:paraId="094117FA" w14:textId="57CA2345" w:rsidR="001C5A11" w:rsidRDefault="001C5A11">
          <w:pPr>
            <w:pStyle w:val="TOC2"/>
            <w:tabs>
              <w:tab w:val="left" w:pos="1200"/>
            </w:tabs>
            <w:rPr>
              <w:rFonts w:eastAsiaTheme="minorEastAsia"/>
              <w:kern w:val="2"/>
              <w:szCs w:val="24"/>
              <w:lang w:eastAsia="en-AU"/>
              <w14:ligatures w14:val="standardContextual"/>
            </w:rPr>
          </w:pPr>
          <w:hyperlink w:anchor="_Toc201068934" w:history="1">
            <w:r w:rsidRPr="006927AE">
              <w:rPr>
                <w:rStyle w:val="Hyperlink"/>
              </w:rPr>
              <w:t>1.1</w:t>
            </w:r>
            <w:r>
              <w:rPr>
                <w:rFonts w:eastAsiaTheme="minorEastAsia"/>
                <w:kern w:val="2"/>
                <w:szCs w:val="24"/>
                <w:lang w:eastAsia="en-AU"/>
                <w14:ligatures w14:val="standardContextual"/>
              </w:rPr>
              <w:tab/>
            </w:r>
            <w:r w:rsidRPr="006927AE">
              <w:rPr>
                <w:rStyle w:val="Hyperlink"/>
              </w:rPr>
              <w:t>Purpose of the consultation paper</w:t>
            </w:r>
            <w:r>
              <w:rPr>
                <w:webHidden/>
              </w:rPr>
              <w:tab/>
            </w:r>
            <w:r>
              <w:rPr>
                <w:webHidden/>
              </w:rPr>
              <w:fldChar w:fldCharType="begin"/>
            </w:r>
            <w:r>
              <w:rPr>
                <w:webHidden/>
              </w:rPr>
              <w:instrText xml:space="preserve"> PAGEREF _Toc201068934 \h </w:instrText>
            </w:r>
            <w:r>
              <w:rPr>
                <w:webHidden/>
              </w:rPr>
            </w:r>
            <w:r>
              <w:rPr>
                <w:webHidden/>
              </w:rPr>
              <w:fldChar w:fldCharType="separate"/>
            </w:r>
            <w:r w:rsidR="00661208">
              <w:rPr>
                <w:webHidden/>
              </w:rPr>
              <w:t>5</w:t>
            </w:r>
            <w:r>
              <w:rPr>
                <w:webHidden/>
              </w:rPr>
              <w:fldChar w:fldCharType="end"/>
            </w:r>
          </w:hyperlink>
        </w:p>
        <w:p w14:paraId="214184B3" w14:textId="2DDD77B3" w:rsidR="001C5A11" w:rsidRDefault="001C5A11">
          <w:pPr>
            <w:pStyle w:val="TOC2"/>
            <w:tabs>
              <w:tab w:val="left" w:pos="1200"/>
            </w:tabs>
            <w:rPr>
              <w:rFonts w:eastAsiaTheme="minorEastAsia"/>
              <w:kern w:val="2"/>
              <w:szCs w:val="24"/>
              <w:lang w:eastAsia="en-AU"/>
              <w14:ligatures w14:val="standardContextual"/>
            </w:rPr>
          </w:pPr>
          <w:hyperlink w:anchor="_Toc201068935" w:history="1">
            <w:r w:rsidRPr="006927AE">
              <w:rPr>
                <w:rStyle w:val="Hyperlink"/>
                <w:lang w:eastAsia="ja-JP"/>
              </w:rPr>
              <w:t>1.2</w:t>
            </w:r>
            <w:r>
              <w:rPr>
                <w:rFonts w:eastAsiaTheme="minorEastAsia"/>
                <w:kern w:val="2"/>
                <w:szCs w:val="24"/>
                <w:lang w:eastAsia="en-AU"/>
                <w14:ligatures w14:val="standardContextual"/>
              </w:rPr>
              <w:tab/>
            </w:r>
            <w:r w:rsidRPr="006927AE">
              <w:rPr>
                <w:rStyle w:val="Hyperlink"/>
                <w:lang w:eastAsia="ja-JP"/>
              </w:rPr>
              <w:t>Your Feedback</w:t>
            </w:r>
            <w:r>
              <w:rPr>
                <w:webHidden/>
              </w:rPr>
              <w:tab/>
            </w:r>
            <w:r>
              <w:rPr>
                <w:webHidden/>
              </w:rPr>
              <w:fldChar w:fldCharType="begin"/>
            </w:r>
            <w:r>
              <w:rPr>
                <w:webHidden/>
              </w:rPr>
              <w:instrText xml:space="preserve"> PAGEREF _Toc201068935 \h </w:instrText>
            </w:r>
            <w:r>
              <w:rPr>
                <w:webHidden/>
              </w:rPr>
            </w:r>
            <w:r>
              <w:rPr>
                <w:webHidden/>
              </w:rPr>
              <w:fldChar w:fldCharType="separate"/>
            </w:r>
            <w:r w:rsidR="00661208">
              <w:rPr>
                <w:webHidden/>
              </w:rPr>
              <w:t>5</w:t>
            </w:r>
            <w:r>
              <w:rPr>
                <w:webHidden/>
              </w:rPr>
              <w:fldChar w:fldCharType="end"/>
            </w:r>
          </w:hyperlink>
        </w:p>
        <w:p w14:paraId="698C8750" w14:textId="2741FF51" w:rsidR="001C5A11" w:rsidRDefault="001C5A11">
          <w:pPr>
            <w:pStyle w:val="TOC1"/>
            <w:rPr>
              <w:rFonts w:eastAsiaTheme="minorEastAsia"/>
              <w:b w:val="0"/>
              <w:kern w:val="2"/>
              <w:szCs w:val="24"/>
              <w:lang w:eastAsia="en-AU"/>
              <w14:ligatures w14:val="standardContextual"/>
            </w:rPr>
          </w:pPr>
          <w:hyperlink w:anchor="_Toc201068936" w:history="1">
            <w:r w:rsidRPr="006927AE">
              <w:rPr>
                <w:rStyle w:val="Hyperlink"/>
              </w:rPr>
              <w:t>2</w:t>
            </w:r>
            <w:r>
              <w:rPr>
                <w:rFonts w:eastAsiaTheme="minorEastAsia"/>
                <w:b w:val="0"/>
                <w:kern w:val="2"/>
                <w:szCs w:val="24"/>
                <w:lang w:eastAsia="en-AU"/>
                <w14:ligatures w14:val="standardContextual"/>
              </w:rPr>
              <w:tab/>
            </w:r>
            <w:r w:rsidRPr="006927AE">
              <w:rPr>
                <w:rStyle w:val="Hyperlink"/>
              </w:rPr>
              <w:t>The Default Market Offer</w:t>
            </w:r>
            <w:r>
              <w:rPr>
                <w:webHidden/>
              </w:rPr>
              <w:tab/>
            </w:r>
            <w:r>
              <w:rPr>
                <w:webHidden/>
              </w:rPr>
              <w:fldChar w:fldCharType="begin"/>
            </w:r>
            <w:r>
              <w:rPr>
                <w:webHidden/>
              </w:rPr>
              <w:instrText xml:space="preserve"> PAGEREF _Toc201068936 \h </w:instrText>
            </w:r>
            <w:r>
              <w:rPr>
                <w:webHidden/>
              </w:rPr>
            </w:r>
            <w:r>
              <w:rPr>
                <w:webHidden/>
              </w:rPr>
              <w:fldChar w:fldCharType="separate"/>
            </w:r>
            <w:r w:rsidR="00661208">
              <w:rPr>
                <w:webHidden/>
              </w:rPr>
              <w:t>7</w:t>
            </w:r>
            <w:r>
              <w:rPr>
                <w:webHidden/>
              </w:rPr>
              <w:fldChar w:fldCharType="end"/>
            </w:r>
          </w:hyperlink>
        </w:p>
        <w:p w14:paraId="4F30026B" w14:textId="7441E428" w:rsidR="001C5A11" w:rsidRDefault="001C5A11">
          <w:pPr>
            <w:pStyle w:val="TOC2"/>
            <w:tabs>
              <w:tab w:val="left" w:pos="1200"/>
            </w:tabs>
            <w:rPr>
              <w:rFonts w:eastAsiaTheme="minorEastAsia"/>
              <w:kern w:val="2"/>
              <w:szCs w:val="24"/>
              <w:lang w:eastAsia="en-AU"/>
              <w14:ligatures w14:val="standardContextual"/>
            </w:rPr>
          </w:pPr>
          <w:hyperlink w:anchor="_Toc201068937" w:history="1">
            <w:r w:rsidRPr="006927AE">
              <w:rPr>
                <w:rStyle w:val="Hyperlink"/>
                <w:iCs/>
              </w:rPr>
              <w:t>2.1</w:t>
            </w:r>
            <w:r>
              <w:rPr>
                <w:rFonts w:eastAsiaTheme="minorEastAsia"/>
                <w:kern w:val="2"/>
                <w:szCs w:val="24"/>
                <w:lang w:eastAsia="en-AU"/>
                <w14:ligatures w14:val="standardContextual"/>
              </w:rPr>
              <w:tab/>
            </w:r>
            <w:r w:rsidRPr="006927AE">
              <w:rPr>
                <w:rStyle w:val="Hyperlink"/>
              </w:rPr>
              <w:t>The objectives of the DMO</w:t>
            </w:r>
            <w:r>
              <w:rPr>
                <w:webHidden/>
              </w:rPr>
              <w:tab/>
            </w:r>
            <w:r>
              <w:rPr>
                <w:webHidden/>
              </w:rPr>
              <w:fldChar w:fldCharType="begin"/>
            </w:r>
            <w:r>
              <w:rPr>
                <w:webHidden/>
              </w:rPr>
              <w:instrText xml:space="preserve"> PAGEREF _Toc201068937 \h </w:instrText>
            </w:r>
            <w:r>
              <w:rPr>
                <w:webHidden/>
              </w:rPr>
            </w:r>
            <w:r>
              <w:rPr>
                <w:webHidden/>
              </w:rPr>
              <w:fldChar w:fldCharType="separate"/>
            </w:r>
            <w:r w:rsidR="00661208">
              <w:rPr>
                <w:webHidden/>
              </w:rPr>
              <w:t>8</w:t>
            </w:r>
            <w:r>
              <w:rPr>
                <w:webHidden/>
              </w:rPr>
              <w:fldChar w:fldCharType="end"/>
            </w:r>
          </w:hyperlink>
        </w:p>
        <w:p w14:paraId="7FD9B475" w14:textId="47906916" w:rsidR="001C5A11" w:rsidRDefault="001C5A11">
          <w:pPr>
            <w:pStyle w:val="TOC1"/>
            <w:rPr>
              <w:rFonts w:eastAsiaTheme="minorEastAsia"/>
              <w:b w:val="0"/>
              <w:kern w:val="2"/>
              <w:szCs w:val="24"/>
              <w:lang w:eastAsia="en-AU"/>
              <w14:ligatures w14:val="standardContextual"/>
            </w:rPr>
          </w:pPr>
          <w:hyperlink w:anchor="_Toc201068938" w:history="1">
            <w:r w:rsidRPr="006927AE">
              <w:rPr>
                <w:rStyle w:val="Hyperlink"/>
              </w:rPr>
              <w:t>3</w:t>
            </w:r>
            <w:r>
              <w:rPr>
                <w:rFonts w:eastAsiaTheme="minorEastAsia"/>
                <w:b w:val="0"/>
                <w:kern w:val="2"/>
                <w:szCs w:val="24"/>
                <w:lang w:eastAsia="en-AU"/>
                <w14:ligatures w14:val="standardContextual"/>
              </w:rPr>
              <w:tab/>
            </w:r>
            <w:r w:rsidRPr="006927AE">
              <w:rPr>
                <w:rStyle w:val="Hyperlink"/>
              </w:rPr>
              <w:t>The case for reform</w:t>
            </w:r>
            <w:r>
              <w:rPr>
                <w:webHidden/>
              </w:rPr>
              <w:tab/>
            </w:r>
            <w:r>
              <w:rPr>
                <w:webHidden/>
              </w:rPr>
              <w:fldChar w:fldCharType="begin"/>
            </w:r>
            <w:r>
              <w:rPr>
                <w:webHidden/>
              </w:rPr>
              <w:instrText xml:space="preserve"> PAGEREF _Toc201068938 \h </w:instrText>
            </w:r>
            <w:r>
              <w:rPr>
                <w:webHidden/>
              </w:rPr>
            </w:r>
            <w:r>
              <w:rPr>
                <w:webHidden/>
              </w:rPr>
              <w:fldChar w:fldCharType="separate"/>
            </w:r>
            <w:r w:rsidR="00661208">
              <w:rPr>
                <w:webHidden/>
              </w:rPr>
              <w:t>12</w:t>
            </w:r>
            <w:r>
              <w:rPr>
                <w:webHidden/>
              </w:rPr>
              <w:fldChar w:fldCharType="end"/>
            </w:r>
          </w:hyperlink>
        </w:p>
        <w:p w14:paraId="5DECFACB" w14:textId="798C8944" w:rsidR="001C5A11" w:rsidRDefault="001C5A11">
          <w:pPr>
            <w:pStyle w:val="TOC2"/>
            <w:tabs>
              <w:tab w:val="left" w:pos="1200"/>
            </w:tabs>
            <w:rPr>
              <w:rFonts w:eastAsiaTheme="minorEastAsia"/>
              <w:kern w:val="2"/>
              <w:szCs w:val="24"/>
              <w:lang w:eastAsia="en-AU"/>
              <w14:ligatures w14:val="standardContextual"/>
            </w:rPr>
          </w:pPr>
          <w:hyperlink w:anchor="_Toc201068939" w:history="1">
            <w:r w:rsidRPr="006927AE">
              <w:rPr>
                <w:rStyle w:val="Hyperlink"/>
              </w:rPr>
              <w:t>3.1</w:t>
            </w:r>
            <w:r>
              <w:rPr>
                <w:rFonts w:eastAsiaTheme="minorEastAsia"/>
                <w:kern w:val="2"/>
                <w:szCs w:val="24"/>
                <w:lang w:eastAsia="en-AU"/>
                <w14:ligatures w14:val="standardContextual"/>
              </w:rPr>
              <w:tab/>
            </w:r>
            <w:r w:rsidRPr="006927AE">
              <w:rPr>
                <w:rStyle w:val="Hyperlink"/>
              </w:rPr>
              <w:t>Context for price regulation in retail electricity markets in the NEM</w:t>
            </w:r>
            <w:r>
              <w:rPr>
                <w:webHidden/>
              </w:rPr>
              <w:tab/>
            </w:r>
            <w:r>
              <w:rPr>
                <w:webHidden/>
              </w:rPr>
              <w:fldChar w:fldCharType="begin"/>
            </w:r>
            <w:r>
              <w:rPr>
                <w:webHidden/>
              </w:rPr>
              <w:instrText xml:space="preserve"> PAGEREF _Toc201068939 \h </w:instrText>
            </w:r>
            <w:r>
              <w:rPr>
                <w:webHidden/>
              </w:rPr>
            </w:r>
            <w:r>
              <w:rPr>
                <w:webHidden/>
              </w:rPr>
              <w:fldChar w:fldCharType="separate"/>
            </w:r>
            <w:r w:rsidR="00661208">
              <w:rPr>
                <w:webHidden/>
              </w:rPr>
              <w:t>13</w:t>
            </w:r>
            <w:r>
              <w:rPr>
                <w:webHidden/>
              </w:rPr>
              <w:fldChar w:fldCharType="end"/>
            </w:r>
          </w:hyperlink>
        </w:p>
        <w:p w14:paraId="675E152F" w14:textId="483359E4" w:rsidR="001C5A11" w:rsidRDefault="001C5A11">
          <w:pPr>
            <w:pStyle w:val="TOC2"/>
            <w:tabs>
              <w:tab w:val="left" w:pos="1200"/>
            </w:tabs>
            <w:rPr>
              <w:rFonts w:eastAsiaTheme="minorEastAsia"/>
              <w:kern w:val="2"/>
              <w:szCs w:val="24"/>
              <w:lang w:eastAsia="en-AU"/>
              <w14:ligatures w14:val="standardContextual"/>
            </w:rPr>
          </w:pPr>
          <w:hyperlink w:anchor="_Toc201068940" w:history="1">
            <w:r w:rsidRPr="006927AE">
              <w:rPr>
                <w:rStyle w:val="Hyperlink"/>
              </w:rPr>
              <w:t>3.2</w:t>
            </w:r>
            <w:r>
              <w:rPr>
                <w:rFonts w:eastAsiaTheme="minorEastAsia"/>
                <w:kern w:val="2"/>
                <w:szCs w:val="24"/>
                <w:lang w:eastAsia="en-AU"/>
                <w14:ligatures w14:val="standardContextual"/>
              </w:rPr>
              <w:tab/>
            </w:r>
            <w:r w:rsidRPr="006927AE">
              <w:rPr>
                <w:rStyle w:val="Hyperlink"/>
              </w:rPr>
              <w:t>Retail competition in the NEM</w:t>
            </w:r>
            <w:r>
              <w:rPr>
                <w:webHidden/>
              </w:rPr>
              <w:tab/>
            </w:r>
            <w:r>
              <w:rPr>
                <w:webHidden/>
              </w:rPr>
              <w:fldChar w:fldCharType="begin"/>
            </w:r>
            <w:r>
              <w:rPr>
                <w:webHidden/>
              </w:rPr>
              <w:instrText xml:space="preserve"> PAGEREF _Toc201068940 \h </w:instrText>
            </w:r>
            <w:r>
              <w:rPr>
                <w:webHidden/>
              </w:rPr>
            </w:r>
            <w:r>
              <w:rPr>
                <w:webHidden/>
              </w:rPr>
              <w:fldChar w:fldCharType="separate"/>
            </w:r>
            <w:r w:rsidR="00661208">
              <w:rPr>
                <w:webHidden/>
              </w:rPr>
              <w:t>14</w:t>
            </w:r>
            <w:r>
              <w:rPr>
                <w:webHidden/>
              </w:rPr>
              <w:fldChar w:fldCharType="end"/>
            </w:r>
          </w:hyperlink>
        </w:p>
        <w:p w14:paraId="1F5FAB4E" w14:textId="7745D65E" w:rsidR="001C5A11" w:rsidRDefault="001C5A11">
          <w:pPr>
            <w:pStyle w:val="TOC2"/>
            <w:tabs>
              <w:tab w:val="left" w:pos="1200"/>
            </w:tabs>
            <w:rPr>
              <w:rFonts w:eastAsiaTheme="minorEastAsia"/>
              <w:kern w:val="2"/>
              <w:szCs w:val="24"/>
              <w:lang w:eastAsia="en-AU"/>
              <w14:ligatures w14:val="standardContextual"/>
            </w:rPr>
          </w:pPr>
          <w:hyperlink w:anchor="_Toc201068941" w:history="1">
            <w:r w:rsidRPr="006927AE">
              <w:rPr>
                <w:rStyle w:val="Hyperlink"/>
              </w:rPr>
              <w:t>3.3</w:t>
            </w:r>
            <w:r>
              <w:rPr>
                <w:rFonts w:eastAsiaTheme="minorEastAsia"/>
                <w:kern w:val="2"/>
                <w:szCs w:val="24"/>
                <w:lang w:eastAsia="en-AU"/>
                <w14:ligatures w14:val="standardContextual"/>
              </w:rPr>
              <w:tab/>
            </w:r>
            <w:r w:rsidRPr="006927AE">
              <w:rPr>
                <w:rStyle w:val="Hyperlink"/>
              </w:rPr>
              <w:t>Previous reviews of the Retail Electricity Code</w:t>
            </w:r>
            <w:r>
              <w:rPr>
                <w:webHidden/>
              </w:rPr>
              <w:tab/>
            </w:r>
            <w:r>
              <w:rPr>
                <w:webHidden/>
              </w:rPr>
              <w:fldChar w:fldCharType="begin"/>
            </w:r>
            <w:r>
              <w:rPr>
                <w:webHidden/>
              </w:rPr>
              <w:instrText xml:space="preserve"> PAGEREF _Toc201068941 \h </w:instrText>
            </w:r>
            <w:r>
              <w:rPr>
                <w:webHidden/>
              </w:rPr>
            </w:r>
            <w:r>
              <w:rPr>
                <w:webHidden/>
              </w:rPr>
              <w:fldChar w:fldCharType="separate"/>
            </w:r>
            <w:r w:rsidR="00661208">
              <w:rPr>
                <w:webHidden/>
              </w:rPr>
              <w:t>21</w:t>
            </w:r>
            <w:r>
              <w:rPr>
                <w:webHidden/>
              </w:rPr>
              <w:fldChar w:fldCharType="end"/>
            </w:r>
          </w:hyperlink>
        </w:p>
        <w:p w14:paraId="343B9326" w14:textId="54483DA3" w:rsidR="001C5A11" w:rsidRDefault="001C5A11">
          <w:pPr>
            <w:pStyle w:val="TOC1"/>
            <w:rPr>
              <w:rFonts w:eastAsiaTheme="minorEastAsia"/>
              <w:b w:val="0"/>
              <w:kern w:val="2"/>
              <w:szCs w:val="24"/>
              <w:lang w:eastAsia="en-AU"/>
              <w14:ligatures w14:val="standardContextual"/>
            </w:rPr>
          </w:pPr>
          <w:hyperlink w:anchor="_Toc201068942" w:history="1">
            <w:r w:rsidRPr="006927AE">
              <w:rPr>
                <w:rStyle w:val="Hyperlink"/>
              </w:rPr>
              <w:t>4</w:t>
            </w:r>
            <w:r>
              <w:rPr>
                <w:rFonts w:eastAsiaTheme="minorEastAsia"/>
                <w:b w:val="0"/>
                <w:kern w:val="2"/>
                <w:szCs w:val="24"/>
                <w:lang w:eastAsia="en-AU"/>
                <w14:ligatures w14:val="standardContextual"/>
              </w:rPr>
              <w:tab/>
            </w:r>
            <w:r w:rsidRPr="006927AE">
              <w:rPr>
                <w:rStyle w:val="Hyperlink"/>
              </w:rPr>
              <w:t>Consultation approach</w:t>
            </w:r>
            <w:r>
              <w:rPr>
                <w:webHidden/>
              </w:rPr>
              <w:tab/>
            </w:r>
            <w:r>
              <w:rPr>
                <w:webHidden/>
              </w:rPr>
              <w:fldChar w:fldCharType="begin"/>
            </w:r>
            <w:r>
              <w:rPr>
                <w:webHidden/>
              </w:rPr>
              <w:instrText xml:space="preserve"> PAGEREF _Toc201068942 \h </w:instrText>
            </w:r>
            <w:r>
              <w:rPr>
                <w:webHidden/>
              </w:rPr>
            </w:r>
            <w:r>
              <w:rPr>
                <w:webHidden/>
              </w:rPr>
              <w:fldChar w:fldCharType="separate"/>
            </w:r>
            <w:r w:rsidR="00661208">
              <w:rPr>
                <w:webHidden/>
              </w:rPr>
              <w:t>22</w:t>
            </w:r>
            <w:r>
              <w:rPr>
                <w:webHidden/>
              </w:rPr>
              <w:fldChar w:fldCharType="end"/>
            </w:r>
          </w:hyperlink>
        </w:p>
        <w:p w14:paraId="6C88DB0A" w14:textId="052C7787" w:rsidR="001C5A11" w:rsidRDefault="001C5A11">
          <w:pPr>
            <w:pStyle w:val="TOC2"/>
            <w:tabs>
              <w:tab w:val="left" w:pos="1200"/>
            </w:tabs>
            <w:rPr>
              <w:rFonts w:eastAsiaTheme="minorEastAsia"/>
              <w:kern w:val="2"/>
              <w:szCs w:val="24"/>
              <w:lang w:eastAsia="en-AU"/>
              <w14:ligatures w14:val="standardContextual"/>
            </w:rPr>
          </w:pPr>
          <w:hyperlink w:anchor="_Toc201068943" w:history="1">
            <w:r w:rsidRPr="006927AE">
              <w:rPr>
                <w:rStyle w:val="Hyperlink"/>
              </w:rPr>
              <w:t>4.1</w:t>
            </w:r>
            <w:r>
              <w:rPr>
                <w:rFonts w:eastAsiaTheme="minorEastAsia"/>
                <w:kern w:val="2"/>
                <w:szCs w:val="24"/>
                <w:lang w:eastAsia="en-AU"/>
                <w14:ligatures w14:val="standardContextual"/>
              </w:rPr>
              <w:tab/>
            </w:r>
            <w:r w:rsidRPr="006927AE">
              <w:rPr>
                <w:rStyle w:val="Hyperlink"/>
              </w:rPr>
              <w:t>Scope of reforms</w:t>
            </w:r>
            <w:r>
              <w:rPr>
                <w:webHidden/>
              </w:rPr>
              <w:tab/>
            </w:r>
            <w:r>
              <w:rPr>
                <w:webHidden/>
              </w:rPr>
              <w:fldChar w:fldCharType="begin"/>
            </w:r>
            <w:r>
              <w:rPr>
                <w:webHidden/>
              </w:rPr>
              <w:instrText xml:space="preserve"> PAGEREF _Toc201068943 \h </w:instrText>
            </w:r>
            <w:r>
              <w:rPr>
                <w:webHidden/>
              </w:rPr>
            </w:r>
            <w:r>
              <w:rPr>
                <w:webHidden/>
              </w:rPr>
              <w:fldChar w:fldCharType="separate"/>
            </w:r>
            <w:r w:rsidR="00661208">
              <w:rPr>
                <w:webHidden/>
              </w:rPr>
              <w:t>22</w:t>
            </w:r>
            <w:r>
              <w:rPr>
                <w:webHidden/>
              </w:rPr>
              <w:fldChar w:fldCharType="end"/>
            </w:r>
          </w:hyperlink>
        </w:p>
        <w:p w14:paraId="5947FE5A" w14:textId="07F010D1" w:rsidR="001C5A11" w:rsidRDefault="001C5A11">
          <w:pPr>
            <w:pStyle w:val="TOC2"/>
            <w:tabs>
              <w:tab w:val="left" w:pos="1200"/>
            </w:tabs>
            <w:rPr>
              <w:rFonts w:eastAsiaTheme="minorEastAsia"/>
              <w:kern w:val="2"/>
              <w:szCs w:val="24"/>
              <w:lang w:eastAsia="en-AU"/>
              <w14:ligatures w14:val="standardContextual"/>
            </w:rPr>
          </w:pPr>
          <w:hyperlink w:anchor="_Toc201068944" w:history="1">
            <w:r w:rsidRPr="006927AE">
              <w:rPr>
                <w:rStyle w:val="Hyperlink"/>
              </w:rPr>
              <w:t>4.2</w:t>
            </w:r>
            <w:r>
              <w:rPr>
                <w:rFonts w:eastAsiaTheme="minorEastAsia"/>
                <w:kern w:val="2"/>
                <w:szCs w:val="24"/>
                <w:lang w:eastAsia="en-AU"/>
                <w14:ligatures w14:val="standardContextual"/>
              </w:rPr>
              <w:tab/>
            </w:r>
            <w:r w:rsidRPr="006927AE">
              <w:rPr>
                <w:rStyle w:val="Hyperlink"/>
              </w:rPr>
              <w:t>Stakeholder engagement</w:t>
            </w:r>
            <w:r>
              <w:rPr>
                <w:webHidden/>
              </w:rPr>
              <w:tab/>
            </w:r>
            <w:r>
              <w:rPr>
                <w:webHidden/>
              </w:rPr>
              <w:fldChar w:fldCharType="begin"/>
            </w:r>
            <w:r>
              <w:rPr>
                <w:webHidden/>
              </w:rPr>
              <w:instrText xml:space="preserve"> PAGEREF _Toc201068944 \h </w:instrText>
            </w:r>
            <w:r>
              <w:rPr>
                <w:webHidden/>
              </w:rPr>
            </w:r>
            <w:r>
              <w:rPr>
                <w:webHidden/>
              </w:rPr>
              <w:fldChar w:fldCharType="separate"/>
            </w:r>
            <w:r w:rsidR="00661208">
              <w:rPr>
                <w:webHidden/>
              </w:rPr>
              <w:t>22</w:t>
            </w:r>
            <w:r>
              <w:rPr>
                <w:webHidden/>
              </w:rPr>
              <w:fldChar w:fldCharType="end"/>
            </w:r>
          </w:hyperlink>
        </w:p>
        <w:p w14:paraId="39F595F1" w14:textId="6B77D2D4" w:rsidR="001C5A11" w:rsidRDefault="001C5A11">
          <w:pPr>
            <w:pStyle w:val="TOC2"/>
            <w:tabs>
              <w:tab w:val="left" w:pos="1200"/>
            </w:tabs>
            <w:rPr>
              <w:rFonts w:eastAsiaTheme="minorEastAsia"/>
              <w:kern w:val="2"/>
              <w:szCs w:val="24"/>
              <w:lang w:eastAsia="en-AU"/>
              <w14:ligatures w14:val="standardContextual"/>
            </w:rPr>
          </w:pPr>
          <w:hyperlink w:anchor="_Toc201068945" w:history="1">
            <w:r w:rsidRPr="006927AE">
              <w:rPr>
                <w:rStyle w:val="Hyperlink"/>
              </w:rPr>
              <w:t>4.3</w:t>
            </w:r>
            <w:r>
              <w:rPr>
                <w:rFonts w:eastAsiaTheme="minorEastAsia"/>
                <w:kern w:val="2"/>
                <w:szCs w:val="24"/>
                <w:lang w:eastAsia="en-AU"/>
                <w14:ligatures w14:val="standardContextual"/>
              </w:rPr>
              <w:tab/>
            </w:r>
            <w:r w:rsidRPr="006927AE">
              <w:rPr>
                <w:rStyle w:val="Hyperlink"/>
              </w:rPr>
              <w:t>Timeframes</w:t>
            </w:r>
            <w:r>
              <w:rPr>
                <w:webHidden/>
              </w:rPr>
              <w:tab/>
            </w:r>
            <w:r>
              <w:rPr>
                <w:webHidden/>
              </w:rPr>
              <w:fldChar w:fldCharType="begin"/>
            </w:r>
            <w:r>
              <w:rPr>
                <w:webHidden/>
              </w:rPr>
              <w:instrText xml:space="preserve"> PAGEREF _Toc201068945 \h </w:instrText>
            </w:r>
            <w:r>
              <w:rPr>
                <w:webHidden/>
              </w:rPr>
            </w:r>
            <w:r>
              <w:rPr>
                <w:webHidden/>
              </w:rPr>
              <w:fldChar w:fldCharType="separate"/>
            </w:r>
            <w:r w:rsidR="00661208">
              <w:rPr>
                <w:webHidden/>
              </w:rPr>
              <w:t>23</w:t>
            </w:r>
            <w:r>
              <w:rPr>
                <w:webHidden/>
              </w:rPr>
              <w:fldChar w:fldCharType="end"/>
            </w:r>
          </w:hyperlink>
        </w:p>
        <w:p w14:paraId="1D8610D3" w14:textId="20C0D69E" w:rsidR="001C5A11" w:rsidRDefault="001C5A11">
          <w:pPr>
            <w:pStyle w:val="TOC1"/>
            <w:rPr>
              <w:rFonts w:eastAsiaTheme="minorEastAsia"/>
              <w:b w:val="0"/>
              <w:kern w:val="2"/>
              <w:szCs w:val="24"/>
              <w:lang w:eastAsia="en-AU"/>
              <w14:ligatures w14:val="standardContextual"/>
            </w:rPr>
          </w:pPr>
          <w:hyperlink w:anchor="_Toc201068946" w:history="1">
            <w:r w:rsidRPr="006927AE">
              <w:rPr>
                <w:rStyle w:val="Hyperlink"/>
              </w:rPr>
              <w:t>5</w:t>
            </w:r>
            <w:r>
              <w:rPr>
                <w:rFonts w:eastAsiaTheme="minorEastAsia"/>
                <w:b w:val="0"/>
                <w:kern w:val="2"/>
                <w:szCs w:val="24"/>
                <w:lang w:eastAsia="en-AU"/>
                <w14:ligatures w14:val="standardContextual"/>
              </w:rPr>
              <w:tab/>
            </w:r>
            <w:r w:rsidRPr="006927AE">
              <w:rPr>
                <w:rStyle w:val="Hyperlink"/>
              </w:rPr>
              <w:t>Proposed reforms for consultation</w:t>
            </w:r>
            <w:r>
              <w:rPr>
                <w:webHidden/>
              </w:rPr>
              <w:tab/>
            </w:r>
            <w:r>
              <w:rPr>
                <w:webHidden/>
              </w:rPr>
              <w:fldChar w:fldCharType="begin"/>
            </w:r>
            <w:r>
              <w:rPr>
                <w:webHidden/>
              </w:rPr>
              <w:instrText xml:space="preserve"> PAGEREF _Toc201068946 \h </w:instrText>
            </w:r>
            <w:r>
              <w:rPr>
                <w:webHidden/>
              </w:rPr>
            </w:r>
            <w:r>
              <w:rPr>
                <w:webHidden/>
              </w:rPr>
              <w:fldChar w:fldCharType="separate"/>
            </w:r>
            <w:r w:rsidR="00661208">
              <w:rPr>
                <w:webHidden/>
              </w:rPr>
              <w:t>24</w:t>
            </w:r>
            <w:r>
              <w:rPr>
                <w:webHidden/>
              </w:rPr>
              <w:fldChar w:fldCharType="end"/>
            </w:r>
          </w:hyperlink>
        </w:p>
        <w:p w14:paraId="3B403310" w14:textId="1CF44A15" w:rsidR="001C5A11" w:rsidRDefault="001C5A11">
          <w:pPr>
            <w:pStyle w:val="TOC2"/>
            <w:tabs>
              <w:tab w:val="left" w:pos="1200"/>
            </w:tabs>
            <w:rPr>
              <w:rFonts w:eastAsiaTheme="minorEastAsia"/>
              <w:kern w:val="2"/>
              <w:szCs w:val="24"/>
              <w:lang w:eastAsia="en-AU"/>
              <w14:ligatures w14:val="standardContextual"/>
            </w:rPr>
          </w:pPr>
          <w:hyperlink w:anchor="_Toc201068947" w:history="1">
            <w:r w:rsidRPr="006927AE">
              <w:rPr>
                <w:rStyle w:val="Hyperlink"/>
              </w:rPr>
              <w:t>5.1</w:t>
            </w:r>
            <w:r>
              <w:rPr>
                <w:rFonts w:eastAsiaTheme="minorEastAsia"/>
                <w:kern w:val="2"/>
                <w:szCs w:val="24"/>
                <w:lang w:eastAsia="en-AU"/>
                <w14:ligatures w14:val="standardContextual"/>
              </w:rPr>
              <w:tab/>
            </w:r>
            <w:r w:rsidRPr="006927AE">
              <w:rPr>
                <w:rStyle w:val="Hyperlink"/>
              </w:rPr>
              <w:t>DMO objectives</w:t>
            </w:r>
            <w:r>
              <w:rPr>
                <w:webHidden/>
              </w:rPr>
              <w:tab/>
            </w:r>
            <w:r>
              <w:rPr>
                <w:webHidden/>
              </w:rPr>
              <w:fldChar w:fldCharType="begin"/>
            </w:r>
            <w:r>
              <w:rPr>
                <w:webHidden/>
              </w:rPr>
              <w:instrText xml:space="preserve"> PAGEREF _Toc201068947 \h </w:instrText>
            </w:r>
            <w:r>
              <w:rPr>
                <w:webHidden/>
              </w:rPr>
            </w:r>
            <w:r>
              <w:rPr>
                <w:webHidden/>
              </w:rPr>
              <w:fldChar w:fldCharType="separate"/>
            </w:r>
            <w:r w:rsidR="00661208">
              <w:rPr>
                <w:webHidden/>
              </w:rPr>
              <w:t>24</w:t>
            </w:r>
            <w:r>
              <w:rPr>
                <w:webHidden/>
              </w:rPr>
              <w:fldChar w:fldCharType="end"/>
            </w:r>
          </w:hyperlink>
        </w:p>
        <w:p w14:paraId="28F3C06F" w14:textId="1B58545B" w:rsidR="001C5A11" w:rsidRDefault="001C5A11">
          <w:pPr>
            <w:pStyle w:val="TOC2"/>
            <w:tabs>
              <w:tab w:val="left" w:pos="1200"/>
            </w:tabs>
            <w:rPr>
              <w:rFonts w:eastAsiaTheme="minorEastAsia"/>
              <w:kern w:val="2"/>
              <w:szCs w:val="24"/>
              <w:lang w:eastAsia="en-AU"/>
              <w14:ligatures w14:val="standardContextual"/>
            </w:rPr>
          </w:pPr>
          <w:hyperlink w:anchor="_Toc201068948" w:history="1">
            <w:r w:rsidRPr="006927AE">
              <w:rPr>
                <w:rStyle w:val="Hyperlink"/>
              </w:rPr>
              <w:t>5.2</w:t>
            </w:r>
            <w:r>
              <w:rPr>
                <w:rFonts w:eastAsiaTheme="minorEastAsia"/>
                <w:kern w:val="2"/>
                <w:szCs w:val="24"/>
                <w:lang w:eastAsia="en-AU"/>
                <w14:ligatures w14:val="standardContextual"/>
              </w:rPr>
              <w:tab/>
            </w:r>
            <w:r w:rsidRPr="006927AE">
              <w:rPr>
                <w:rStyle w:val="Hyperlink"/>
              </w:rPr>
              <w:t>Efficient pricing framework for the DMO</w:t>
            </w:r>
            <w:r>
              <w:rPr>
                <w:webHidden/>
              </w:rPr>
              <w:tab/>
            </w:r>
            <w:r>
              <w:rPr>
                <w:webHidden/>
              </w:rPr>
              <w:fldChar w:fldCharType="begin"/>
            </w:r>
            <w:r>
              <w:rPr>
                <w:webHidden/>
              </w:rPr>
              <w:instrText xml:space="preserve"> PAGEREF _Toc201068948 \h </w:instrText>
            </w:r>
            <w:r>
              <w:rPr>
                <w:webHidden/>
              </w:rPr>
            </w:r>
            <w:r>
              <w:rPr>
                <w:webHidden/>
              </w:rPr>
              <w:fldChar w:fldCharType="separate"/>
            </w:r>
            <w:r w:rsidR="00661208">
              <w:rPr>
                <w:webHidden/>
              </w:rPr>
              <w:t>24</w:t>
            </w:r>
            <w:r>
              <w:rPr>
                <w:webHidden/>
              </w:rPr>
              <w:fldChar w:fldCharType="end"/>
            </w:r>
          </w:hyperlink>
        </w:p>
        <w:p w14:paraId="2A2A3113" w14:textId="38F0F321" w:rsidR="001C5A11" w:rsidRDefault="001C5A11">
          <w:pPr>
            <w:pStyle w:val="TOC2"/>
            <w:tabs>
              <w:tab w:val="left" w:pos="1200"/>
            </w:tabs>
            <w:rPr>
              <w:rFonts w:eastAsiaTheme="minorEastAsia"/>
              <w:kern w:val="2"/>
              <w:szCs w:val="24"/>
              <w:lang w:eastAsia="en-AU"/>
              <w14:ligatures w14:val="standardContextual"/>
            </w:rPr>
          </w:pPr>
          <w:hyperlink w:anchor="_Toc201068949" w:history="1">
            <w:r w:rsidRPr="006927AE">
              <w:rPr>
                <w:rStyle w:val="Hyperlink"/>
              </w:rPr>
              <w:t>5.3</w:t>
            </w:r>
            <w:r>
              <w:rPr>
                <w:rFonts w:eastAsiaTheme="minorEastAsia"/>
                <w:kern w:val="2"/>
                <w:szCs w:val="24"/>
                <w:lang w:eastAsia="en-AU"/>
                <w14:ligatures w14:val="standardContextual"/>
              </w:rPr>
              <w:tab/>
            </w:r>
            <w:r w:rsidRPr="006927AE">
              <w:rPr>
                <w:rStyle w:val="Hyperlink"/>
              </w:rPr>
              <w:t>The form of the DMO: tariff or price cap</w:t>
            </w:r>
            <w:r>
              <w:rPr>
                <w:webHidden/>
              </w:rPr>
              <w:tab/>
            </w:r>
            <w:r>
              <w:rPr>
                <w:webHidden/>
              </w:rPr>
              <w:fldChar w:fldCharType="begin"/>
            </w:r>
            <w:r>
              <w:rPr>
                <w:webHidden/>
              </w:rPr>
              <w:instrText xml:space="preserve"> PAGEREF _Toc201068949 \h </w:instrText>
            </w:r>
            <w:r>
              <w:rPr>
                <w:webHidden/>
              </w:rPr>
            </w:r>
            <w:r>
              <w:rPr>
                <w:webHidden/>
              </w:rPr>
              <w:fldChar w:fldCharType="separate"/>
            </w:r>
            <w:r w:rsidR="00661208">
              <w:rPr>
                <w:webHidden/>
              </w:rPr>
              <w:t>26</w:t>
            </w:r>
            <w:r>
              <w:rPr>
                <w:webHidden/>
              </w:rPr>
              <w:fldChar w:fldCharType="end"/>
            </w:r>
          </w:hyperlink>
        </w:p>
        <w:p w14:paraId="2FA97C12" w14:textId="792A6E65" w:rsidR="001C5A11" w:rsidRDefault="001C5A11">
          <w:pPr>
            <w:pStyle w:val="TOC1"/>
            <w:rPr>
              <w:rFonts w:eastAsiaTheme="minorEastAsia"/>
              <w:b w:val="0"/>
              <w:kern w:val="2"/>
              <w:szCs w:val="24"/>
              <w:lang w:eastAsia="en-AU"/>
              <w14:ligatures w14:val="standardContextual"/>
            </w:rPr>
          </w:pPr>
          <w:hyperlink w:anchor="_Toc201068950" w:history="1">
            <w:r w:rsidRPr="006927AE">
              <w:rPr>
                <w:rStyle w:val="Hyperlink"/>
              </w:rPr>
              <w:t>6</w:t>
            </w:r>
            <w:r>
              <w:rPr>
                <w:rFonts w:eastAsiaTheme="minorEastAsia"/>
                <w:b w:val="0"/>
                <w:kern w:val="2"/>
                <w:szCs w:val="24"/>
                <w:lang w:eastAsia="en-AU"/>
                <w14:ligatures w14:val="standardContextual"/>
              </w:rPr>
              <w:tab/>
            </w:r>
            <w:r w:rsidRPr="006927AE">
              <w:rPr>
                <w:rStyle w:val="Hyperlink"/>
              </w:rPr>
              <w:t>Abbreviations</w:t>
            </w:r>
            <w:r>
              <w:rPr>
                <w:webHidden/>
              </w:rPr>
              <w:tab/>
            </w:r>
            <w:r>
              <w:rPr>
                <w:webHidden/>
              </w:rPr>
              <w:fldChar w:fldCharType="begin"/>
            </w:r>
            <w:r>
              <w:rPr>
                <w:webHidden/>
              </w:rPr>
              <w:instrText xml:space="preserve"> PAGEREF _Toc201068950 \h </w:instrText>
            </w:r>
            <w:r>
              <w:rPr>
                <w:webHidden/>
              </w:rPr>
            </w:r>
            <w:r>
              <w:rPr>
                <w:webHidden/>
              </w:rPr>
              <w:fldChar w:fldCharType="separate"/>
            </w:r>
            <w:r w:rsidR="00661208">
              <w:rPr>
                <w:webHidden/>
              </w:rPr>
              <w:t>27</w:t>
            </w:r>
            <w:r>
              <w:rPr>
                <w:webHidden/>
              </w:rPr>
              <w:fldChar w:fldCharType="end"/>
            </w:r>
          </w:hyperlink>
        </w:p>
        <w:p w14:paraId="14099409" w14:textId="25620453" w:rsidR="001C5A11" w:rsidRDefault="001C5A11">
          <w:pPr>
            <w:pStyle w:val="TOC1"/>
            <w:rPr>
              <w:rFonts w:eastAsiaTheme="minorEastAsia"/>
              <w:b w:val="0"/>
              <w:kern w:val="2"/>
              <w:szCs w:val="24"/>
              <w:lang w:eastAsia="en-AU"/>
              <w14:ligatures w14:val="standardContextual"/>
            </w:rPr>
          </w:pPr>
          <w:hyperlink w:anchor="_Toc201068951" w:history="1">
            <w:r w:rsidRPr="006927AE">
              <w:rPr>
                <w:rStyle w:val="Hyperlink"/>
              </w:rPr>
              <w:t>7</w:t>
            </w:r>
            <w:r>
              <w:rPr>
                <w:rFonts w:eastAsiaTheme="minorEastAsia"/>
                <w:b w:val="0"/>
                <w:kern w:val="2"/>
                <w:szCs w:val="24"/>
                <w:lang w:eastAsia="en-AU"/>
                <w14:ligatures w14:val="standardContextual"/>
              </w:rPr>
              <w:tab/>
            </w:r>
            <w:r w:rsidRPr="006927AE">
              <w:rPr>
                <w:rStyle w:val="Hyperlink"/>
              </w:rPr>
              <w:t>Glossary</w:t>
            </w:r>
            <w:r>
              <w:rPr>
                <w:webHidden/>
              </w:rPr>
              <w:tab/>
            </w:r>
            <w:r>
              <w:rPr>
                <w:webHidden/>
              </w:rPr>
              <w:fldChar w:fldCharType="begin"/>
            </w:r>
            <w:r>
              <w:rPr>
                <w:webHidden/>
              </w:rPr>
              <w:instrText xml:space="preserve"> PAGEREF _Toc201068951 \h </w:instrText>
            </w:r>
            <w:r>
              <w:rPr>
                <w:webHidden/>
              </w:rPr>
            </w:r>
            <w:r>
              <w:rPr>
                <w:webHidden/>
              </w:rPr>
              <w:fldChar w:fldCharType="separate"/>
            </w:r>
            <w:r w:rsidR="00661208">
              <w:rPr>
                <w:webHidden/>
              </w:rPr>
              <w:t>28</w:t>
            </w:r>
            <w:r>
              <w:rPr>
                <w:webHidden/>
              </w:rPr>
              <w:fldChar w:fldCharType="end"/>
            </w:r>
          </w:hyperlink>
        </w:p>
        <w:p w14:paraId="77505E28" w14:textId="4E80DA69" w:rsidR="006712B7" w:rsidRPr="006C52AA" w:rsidRDefault="00E91D72" w:rsidP="006C52AA">
          <w:r>
            <w:rPr>
              <w:b/>
              <w:noProof/>
            </w:rPr>
            <w:fldChar w:fldCharType="end"/>
          </w:r>
        </w:p>
      </w:sdtContent>
    </w:sdt>
    <w:p w14:paraId="3953A5F9" w14:textId="77777777" w:rsidR="006F474E" w:rsidRDefault="006F474E" w:rsidP="00573430">
      <w:r>
        <w:br w:type="page"/>
      </w:r>
    </w:p>
    <w:p w14:paraId="26938B38" w14:textId="1AEF6E59" w:rsidR="003E4A11" w:rsidRPr="003E4A11" w:rsidRDefault="00573430" w:rsidP="00E26576">
      <w:pPr>
        <w:pStyle w:val="Heading2"/>
        <w:spacing w:line="276" w:lineRule="auto"/>
      </w:pPr>
      <w:bookmarkStart w:id="1" w:name="_Toc201068933"/>
      <w:r>
        <w:lastRenderedPageBreak/>
        <w:t>Introduction</w:t>
      </w:r>
      <w:bookmarkEnd w:id="1"/>
    </w:p>
    <w:p w14:paraId="49CD71E9" w14:textId="2B700B29" w:rsidR="007257BC" w:rsidRDefault="00286DDD" w:rsidP="00390D36">
      <w:pPr>
        <w:rPr>
          <w:lang w:eastAsia="ja-JP"/>
        </w:rPr>
      </w:pPr>
      <w:r w:rsidRPr="00286DDD">
        <w:rPr>
          <w:lang w:eastAsia="ja-JP"/>
        </w:rPr>
        <w:t xml:space="preserve">The Default Market Offer (DMO) was introduced by the Australian Government in 2019 to </w:t>
      </w:r>
      <w:r w:rsidR="007257BC" w:rsidRPr="007257BC">
        <w:rPr>
          <w:lang w:eastAsia="ja-JP"/>
        </w:rPr>
        <w:t xml:space="preserve">address concerns that retailers were advertising large headline discounts against their own independently set and high-priced standing offers prices. This made it difficult for customers to </w:t>
      </w:r>
      <w:r w:rsidR="004A50ED">
        <w:rPr>
          <w:lang w:eastAsia="ja-JP"/>
        </w:rPr>
        <w:t xml:space="preserve">meaningfully </w:t>
      </w:r>
      <w:r w:rsidR="007257BC" w:rsidRPr="007257BC">
        <w:rPr>
          <w:lang w:eastAsia="ja-JP"/>
        </w:rPr>
        <w:t xml:space="preserve">compare electricity offers. It also meant disengaged customers on those same standing offers were not benefiting from competition but were instead </w:t>
      </w:r>
      <w:r w:rsidR="009D5D94">
        <w:rPr>
          <w:lang w:eastAsia="ja-JP"/>
        </w:rPr>
        <w:t xml:space="preserve">paying </w:t>
      </w:r>
      <w:r w:rsidR="007257BC" w:rsidRPr="007257BC">
        <w:rPr>
          <w:lang w:eastAsia="ja-JP"/>
        </w:rPr>
        <w:t xml:space="preserve">unreasonably high prices. </w:t>
      </w:r>
    </w:p>
    <w:p w14:paraId="0EBDA0AC" w14:textId="3AA07226" w:rsidR="00390D36" w:rsidRPr="00390D36" w:rsidRDefault="2C54F234" w:rsidP="00390D36">
      <w:pPr>
        <w:rPr>
          <w:lang w:eastAsia="ja-JP"/>
        </w:rPr>
      </w:pPr>
      <w:r>
        <w:rPr>
          <w:lang w:eastAsia="ja-JP"/>
        </w:rPr>
        <w:t xml:space="preserve">Implementing </w:t>
      </w:r>
      <w:r w:rsidR="26EB8AFA" w:rsidRPr="00286DDD">
        <w:rPr>
          <w:lang w:eastAsia="ja-JP"/>
        </w:rPr>
        <w:t>recommendations from the 2018 Retail Electricity Pricing Inquiry</w:t>
      </w:r>
      <w:r w:rsidR="23AF905D">
        <w:rPr>
          <w:lang w:eastAsia="ja-JP"/>
        </w:rPr>
        <w:t xml:space="preserve"> </w:t>
      </w:r>
      <w:r w:rsidR="25C92B0A">
        <w:rPr>
          <w:lang w:eastAsia="ja-JP"/>
        </w:rPr>
        <w:t xml:space="preserve">(REPI) </w:t>
      </w:r>
      <w:r w:rsidR="23AF905D">
        <w:rPr>
          <w:lang w:eastAsia="ja-JP"/>
        </w:rPr>
        <w:t>by the Australian Competition and Consumer Commission (ACCC)</w:t>
      </w:r>
      <w:r w:rsidR="26EB8AFA" w:rsidRPr="00286DDD">
        <w:rPr>
          <w:lang w:eastAsia="ja-JP"/>
        </w:rPr>
        <w:t xml:space="preserve">, the DMO was </w:t>
      </w:r>
      <w:r w:rsidR="23AF905D">
        <w:rPr>
          <w:lang w:eastAsia="ja-JP"/>
        </w:rPr>
        <w:t xml:space="preserve">introduced </w:t>
      </w:r>
      <w:r w:rsidR="26EB8AFA" w:rsidRPr="00286DDD">
        <w:rPr>
          <w:lang w:eastAsia="ja-JP"/>
        </w:rPr>
        <w:t xml:space="preserve">as a price cap </w:t>
      </w:r>
      <w:r w:rsidR="23AF905D">
        <w:rPr>
          <w:lang w:eastAsia="ja-JP"/>
        </w:rPr>
        <w:t xml:space="preserve">for standing offers </w:t>
      </w:r>
      <w:r w:rsidR="26EB8AFA" w:rsidRPr="00286DDD">
        <w:rPr>
          <w:lang w:eastAsia="ja-JP"/>
        </w:rPr>
        <w:t xml:space="preserve">and a reference </w:t>
      </w:r>
      <w:r w:rsidR="23AF905D">
        <w:rPr>
          <w:lang w:eastAsia="ja-JP"/>
        </w:rPr>
        <w:t xml:space="preserve">price to </w:t>
      </w:r>
      <w:r w:rsidR="26EB8AFA" w:rsidRPr="00286DDD">
        <w:rPr>
          <w:lang w:eastAsia="ja-JP"/>
        </w:rPr>
        <w:t>empower consumers to make better</w:t>
      </w:r>
      <w:r w:rsidR="5D379CF9" w:rsidRPr="00286DDD">
        <w:rPr>
          <w:lang w:eastAsia="ja-JP"/>
        </w:rPr>
        <w:t>-</w:t>
      </w:r>
      <w:r w:rsidR="26EB8AFA" w:rsidRPr="00286DDD">
        <w:rPr>
          <w:lang w:eastAsia="ja-JP"/>
        </w:rPr>
        <w:t>informed choices in the electricity market.</w:t>
      </w:r>
    </w:p>
    <w:p w14:paraId="70F255F6" w14:textId="14337E2D" w:rsidR="00647665" w:rsidRDefault="0075787F" w:rsidP="00390D36">
      <w:pPr>
        <w:rPr>
          <w:lang w:eastAsia="ja-JP"/>
        </w:rPr>
      </w:pPr>
      <w:r w:rsidRPr="1E238D8F">
        <w:rPr>
          <w:lang w:eastAsia="ja-JP"/>
        </w:rPr>
        <w:t>Now in its seventh year</w:t>
      </w:r>
      <w:r w:rsidR="00DF2AD6" w:rsidRPr="1E238D8F">
        <w:rPr>
          <w:lang w:eastAsia="ja-JP"/>
        </w:rPr>
        <w:t xml:space="preserve"> of operation</w:t>
      </w:r>
      <w:r w:rsidRPr="1E238D8F">
        <w:rPr>
          <w:lang w:eastAsia="ja-JP"/>
        </w:rPr>
        <w:t xml:space="preserve">, </w:t>
      </w:r>
      <w:r w:rsidR="00A4412F" w:rsidRPr="1E238D8F">
        <w:rPr>
          <w:lang w:eastAsia="ja-JP"/>
        </w:rPr>
        <w:t xml:space="preserve">the </w:t>
      </w:r>
      <w:r w:rsidR="3F5769D0" w:rsidRPr="1E238D8F">
        <w:rPr>
          <w:rFonts w:ascii="Calibri" w:eastAsia="Calibri" w:hAnsi="Calibri" w:cs="Arial"/>
        </w:rPr>
        <w:t xml:space="preserve">Department of Climate Change, Energy, the Environment and Water (the </w:t>
      </w:r>
      <w:r w:rsidR="007C11E1" w:rsidRPr="1E238D8F">
        <w:rPr>
          <w:lang w:eastAsia="ja-JP"/>
        </w:rPr>
        <w:t>department</w:t>
      </w:r>
      <w:r w:rsidR="1C257EFC" w:rsidRPr="1E238D8F">
        <w:rPr>
          <w:lang w:eastAsia="ja-JP"/>
        </w:rPr>
        <w:t>)</w:t>
      </w:r>
      <w:r w:rsidR="00A4412F" w:rsidRPr="1E238D8F">
        <w:rPr>
          <w:lang w:eastAsia="ja-JP"/>
        </w:rPr>
        <w:t xml:space="preserve"> is undertaking </w:t>
      </w:r>
      <w:r w:rsidR="00785A66">
        <w:rPr>
          <w:lang w:eastAsia="ja-JP"/>
        </w:rPr>
        <w:t xml:space="preserve">consultation on potential reforms to </w:t>
      </w:r>
      <w:r w:rsidR="00A4412F" w:rsidRPr="1E238D8F">
        <w:rPr>
          <w:lang w:eastAsia="ja-JP"/>
        </w:rPr>
        <w:t xml:space="preserve">the </w:t>
      </w:r>
      <w:r w:rsidR="00C6166A" w:rsidRPr="1E238D8F">
        <w:rPr>
          <w:lang w:eastAsia="ja-JP"/>
        </w:rPr>
        <w:t xml:space="preserve">DMO </w:t>
      </w:r>
      <w:r w:rsidR="00AA4D59">
        <w:rPr>
          <w:lang w:eastAsia="ja-JP"/>
        </w:rPr>
        <w:t xml:space="preserve">framework </w:t>
      </w:r>
      <w:r w:rsidR="00920BC4" w:rsidRPr="1E238D8F">
        <w:rPr>
          <w:lang w:eastAsia="ja-JP"/>
        </w:rPr>
        <w:t xml:space="preserve">to </w:t>
      </w:r>
      <w:r w:rsidR="002E1CFE">
        <w:rPr>
          <w:lang w:eastAsia="ja-JP"/>
        </w:rPr>
        <w:t xml:space="preserve">ensure customers on a standing offer pay an efficient </w:t>
      </w:r>
      <w:r w:rsidR="00CC228C">
        <w:rPr>
          <w:lang w:eastAsia="ja-JP"/>
        </w:rPr>
        <w:t>price that only compensates retailers for the cost</w:t>
      </w:r>
      <w:r w:rsidR="00577621">
        <w:rPr>
          <w:lang w:eastAsia="ja-JP"/>
        </w:rPr>
        <w:t>s</w:t>
      </w:r>
      <w:r w:rsidR="00CC228C">
        <w:rPr>
          <w:lang w:eastAsia="ja-JP"/>
        </w:rPr>
        <w:t xml:space="preserve"> that they </w:t>
      </w:r>
      <w:r w:rsidR="000771ED">
        <w:rPr>
          <w:lang w:eastAsia="ja-JP"/>
        </w:rPr>
        <w:t>incur in providing an essential service</w:t>
      </w:r>
      <w:r w:rsidR="003F0A31" w:rsidRPr="1E238D8F">
        <w:rPr>
          <w:lang w:eastAsia="ja-JP"/>
        </w:rPr>
        <w:t xml:space="preserve">. </w:t>
      </w:r>
    </w:p>
    <w:p w14:paraId="5883A830" w14:textId="59C9CC91" w:rsidR="000430C9" w:rsidRDefault="003F0A31" w:rsidP="00390D36">
      <w:r>
        <w:rPr>
          <w:lang w:eastAsia="ja-JP"/>
        </w:rPr>
        <w:t xml:space="preserve">An efficient pricing framework </w:t>
      </w:r>
      <w:r w:rsidRPr="009D5D94">
        <w:t xml:space="preserve">would ensure that the prices </w:t>
      </w:r>
      <w:r w:rsidR="001C2804">
        <w:t>customer</w:t>
      </w:r>
      <w:r w:rsidRPr="009D5D94">
        <w:t>s pay for a standing offer would reflect the efficient costs to serve a customer and remove or minimise the additional costs built into the current DMO framework to maintain incentives for competition.</w:t>
      </w:r>
      <w:r w:rsidR="00312413">
        <w:t xml:space="preserve"> </w:t>
      </w:r>
    </w:p>
    <w:p w14:paraId="23CFB52E" w14:textId="590A64AA" w:rsidR="00647665" w:rsidRDefault="094E17B8" w:rsidP="00390D36">
      <w:r>
        <w:t>Customers on s</w:t>
      </w:r>
      <w:r w:rsidR="7274C1C4">
        <w:t xml:space="preserve">tanding </w:t>
      </w:r>
      <w:r w:rsidR="35DED8E0">
        <w:t xml:space="preserve">offers </w:t>
      </w:r>
      <w:r w:rsidR="7274C1C4">
        <w:t>represent a cohort of customers</w:t>
      </w:r>
      <w:r w:rsidR="45D6697E">
        <w:t xml:space="preserve"> </w:t>
      </w:r>
      <w:r w:rsidR="4C38F41F">
        <w:t>that</w:t>
      </w:r>
      <w:r w:rsidR="45D6697E">
        <w:t xml:space="preserve"> </w:t>
      </w:r>
      <w:r w:rsidR="67E3F942">
        <w:t xml:space="preserve">have not engaged, or cannot engage, </w:t>
      </w:r>
      <w:r w:rsidR="688F4B89">
        <w:t>in the competitive process o</w:t>
      </w:r>
      <w:r w:rsidR="22E4BDA5">
        <w:t>f seeking the cheapest offer</w:t>
      </w:r>
      <w:r w:rsidR="60E14265">
        <w:t xml:space="preserve"> in the retail electricity market</w:t>
      </w:r>
      <w:r w:rsidR="22E4BDA5">
        <w:t>.</w:t>
      </w:r>
      <w:r w:rsidR="00B46BF9">
        <w:rPr>
          <w:rStyle w:val="FootnoteReference"/>
        </w:rPr>
        <w:footnoteReference w:id="2"/>
      </w:r>
      <w:r w:rsidR="22E4BDA5">
        <w:t xml:space="preserve"> </w:t>
      </w:r>
      <w:r w:rsidR="122F7653">
        <w:t>T</w:t>
      </w:r>
      <w:r w:rsidR="22E4BDA5">
        <w:t>he</w:t>
      </w:r>
      <w:r>
        <w:t xml:space="preserve">refore, certain costs components allowed under the current DMO framework, such as </w:t>
      </w:r>
      <w:r w:rsidR="22E4BDA5">
        <w:t xml:space="preserve">a competition allowance and customer </w:t>
      </w:r>
      <w:r w:rsidR="007E56A3">
        <w:t>acquisition and retention</w:t>
      </w:r>
      <w:r w:rsidR="22E4BDA5">
        <w:t xml:space="preserve"> costs, </w:t>
      </w:r>
      <w:r w:rsidR="4596BF48">
        <w:t xml:space="preserve">are additional costs that these customers pay </w:t>
      </w:r>
      <w:r w:rsidR="06EAF605">
        <w:t>whe</w:t>
      </w:r>
      <w:r w:rsidR="10D6C8F2">
        <w:t xml:space="preserve">re </w:t>
      </w:r>
      <w:r w:rsidR="30E4576D">
        <w:t>they do</w:t>
      </w:r>
      <w:r w:rsidR="06EAF605">
        <w:t xml:space="preserve"> not </w:t>
      </w:r>
      <w:r w:rsidR="30E4576D">
        <w:t>accrue the benefits</w:t>
      </w:r>
      <w:r w:rsidR="06EAF605">
        <w:t xml:space="preserve"> of competition. </w:t>
      </w:r>
    </w:p>
    <w:p w14:paraId="3D1E5EA0" w14:textId="3FB8C74E" w:rsidR="005B74FA" w:rsidRDefault="4616FD53" w:rsidP="00DF207A">
      <w:pPr>
        <w:rPr>
          <w:lang w:eastAsia="ja-JP"/>
        </w:rPr>
      </w:pPr>
      <w:r w:rsidRPr="1818410E">
        <w:rPr>
          <w:lang w:eastAsia="ja-JP"/>
        </w:rPr>
        <w:t xml:space="preserve">The reforms </w:t>
      </w:r>
      <w:r w:rsidR="0179E501" w:rsidRPr="1818410E">
        <w:rPr>
          <w:lang w:eastAsia="ja-JP"/>
        </w:rPr>
        <w:t xml:space="preserve">for consultation </w:t>
      </w:r>
      <w:r w:rsidR="1037F85A" w:rsidRPr="1818410E">
        <w:rPr>
          <w:lang w:eastAsia="ja-JP"/>
        </w:rPr>
        <w:t xml:space="preserve">outlined in this paper </w:t>
      </w:r>
      <w:r w:rsidRPr="1818410E">
        <w:rPr>
          <w:lang w:eastAsia="ja-JP"/>
        </w:rPr>
        <w:t xml:space="preserve">aim to </w:t>
      </w:r>
      <w:r w:rsidR="50113880">
        <w:t>improve the policy articulation of the DMO</w:t>
      </w:r>
      <w:r w:rsidR="687E0BDF">
        <w:t xml:space="preserve"> </w:t>
      </w:r>
      <w:r w:rsidR="000E60D0">
        <w:t xml:space="preserve">framework </w:t>
      </w:r>
      <w:r w:rsidR="687E0BDF">
        <w:t>and its</w:t>
      </w:r>
      <w:r w:rsidR="5D4C6567">
        <w:t xml:space="preserve"> </w:t>
      </w:r>
      <w:r w:rsidR="2009D3F6">
        <w:t>function</w:t>
      </w:r>
      <w:r w:rsidR="5D4C6567">
        <w:t xml:space="preserve"> as </w:t>
      </w:r>
      <w:r w:rsidR="50113880">
        <w:t xml:space="preserve">a </w:t>
      </w:r>
      <w:r w:rsidR="38E538A7">
        <w:t>safeguard</w:t>
      </w:r>
      <w:r w:rsidR="50113880">
        <w:t xml:space="preserve"> </w:t>
      </w:r>
      <w:r w:rsidR="38E538A7">
        <w:t xml:space="preserve">for </w:t>
      </w:r>
      <w:r w:rsidR="7E79D48B">
        <w:t xml:space="preserve">customers </w:t>
      </w:r>
      <w:r w:rsidR="38E538A7">
        <w:t xml:space="preserve">unable, or </w:t>
      </w:r>
      <w:r w:rsidR="50113880">
        <w:t>unwilling</w:t>
      </w:r>
      <w:r w:rsidR="27FF5CE2">
        <w:t>,</w:t>
      </w:r>
      <w:r w:rsidR="50113880">
        <w:t xml:space="preserve"> to participate in the market</w:t>
      </w:r>
      <w:r w:rsidR="1562ACE7">
        <w:t>.</w:t>
      </w:r>
      <w:r w:rsidR="00A77974">
        <w:t xml:space="preserve"> In doing</w:t>
      </w:r>
      <w:r w:rsidR="009965A3">
        <w:t xml:space="preserve"> so, t</w:t>
      </w:r>
      <w:r w:rsidR="00655E1C">
        <w:rPr>
          <w:lang w:eastAsia="ja-JP"/>
        </w:rPr>
        <w:t>his consultation p</w:t>
      </w:r>
      <w:r w:rsidR="002B05A6">
        <w:rPr>
          <w:lang w:eastAsia="ja-JP"/>
        </w:rPr>
        <w:t>rocess</w:t>
      </w:r>
      <w:r w:rsidR="00655E1C">
        <w:rPr>
          <w:lang w:eastAsia="ja-JP"/>
        </w:rPr>
        <w:t xml:space="preserve"> seeks to </w:t>
      </w:r>
      <w:r w:rsidR="00982B83">
        <w:rPr>
          <w:lang w:eastAsia="ja-JP"/>
        </w:rPr>
        <w:t xml:space="preserve">examine </w:t>
      </w:r>
      <w:r w:rsidR="00331AB9">
        <w:rPr>
          <w:lang w:eastAsia="ja-JP"/>
        </w:rPr>
        <w:t xml:space="preserve">the key </w:t>
      </w:r>
      <w:r w:rsidR="00954E78">
        <w:rPr>
          <w:lang w:eastAsia="ja-JP"/>
        </w:rPr>
        <w:t xml:space="preserve">policy </w:t>
      </w:r>
      <w:r w:rsidR="00331AB9">
        <w:rPr>
          <w:lang w:eastAsia="ja-JP"/>
        </w:rPr>
        <w:t xml:space="preserve">objectives guiding the DMO </w:t>
      </w:r>
      <w:r w:rsidR="00876A29">
        <w:rPr>
          <w:lang w:eastAsia="ja-JP"/>
        </w:rPr>
        <w:t>pricing framework</w:t>
      </w:r>
      <w:r w:rsidR="00B64022">
        <w:rPr>
          <w:lang w:eastAsia="ja-JP"/>
        </w:rPr>
        <w:t xml:space="preserve"> with a focus on </w:t>
      </w:r>
      <w:r w:rsidR="00294947">
        <w:rPr>
          <w:lang w:eastAsia="ja-JP"/>
        </w:rPr>
        <w:t xml:space="preserve">striking an appropriate </w:t>
      </w:r>
      <w:r w:rsidR="00294947">
        <w:rPr>
          <w:lang w:eastAsia="ja-JP"/>
        </w:rPr>
        <w:lastRenderedPageBreak/>
        <w:t xml:space="preserve">balance between </w:t>
      </w:r>
      <w:r w:rsidR="00F05695">
        <w:rPr>
          <w:lang w:eastAsia="ja-JP"/>
        </w:rPr>
        <w:t>protect</w:t>
      </w:r>
      <w:r w:rsidR="00294947">
        <w:rPr>
          <w:lang w:eastAsia="ja-JP"/>
        </w:rPr>
        <w:t>ing</w:t>
      </w:r>
      <w:r w:rsidR="004F114C">
        <w:rPr>
          <w:lang w:eastAsia="ja-JP"/>
        </w:rPr>
        <w:t xml:space="preserve"> </w:t>
      </w:r>
      <w:r w:rsidR="001C2804">
        <w:rPr>
          <w:lang w:eastAsia="ja-JP"/>
        </w:rPr>
        <w:t>customer</w:t>
      </w:r>
      <w:r w:rsidR="00331AB9">
        <w:rPr>
          <w:lang w:eastAsia="ja-JP"/>
        </w:rPr>
        <w:t xml:space="preserve"> access to </w:t>
      </w:r>
      <w:proofErr w:type="gramStart"/>
      <w:r w:rsidR="00331AB9">
        <w:rPr>
          <w:lang w:eastAsia="ja-JP"/>
        </w:rPr>
        <w:t>fairly priced</w:t>
      </w:r>
      <w:proofErr w:type="gramEnd"/>
      <w:r w:rsidR="00331AB9">
        <w:rPr>
          <w:lang w:eastAsia="ja-JP"/>
        </w:rPr>
        <w:t xml:space="preserve"> electricity </w:t>
      </w:r>
      <w:r w:rsidR="00F05695">
        <w:rPr>
          <w:lang w:eastAsia="ja-JP"/>
        </w:rPr>
        <w:t>while</w:t>
      </w:r>
      <w:r w:rsidR="00331AB9">
        <w:rPr>
          <w:lang w:eastAsia="ja-JP"/>
        </w:rPr>
        <w:t xml:space="preserve"> maintaining incentives for retailers to compete and make a profit. </w:t>
      </w:r>
    </w:p>
    <w:p w14:paraId="5DA8D36A" w14:textId="49932914" w:rsidR="00CA57C8" w:rsidRDefault="00072249" w:rsidP="004B525F">
      <w:r>
        <w:t>In addition, the department will also con</w:t>
      </w:r>
      <w:r w:rsidR="00AA1D0B">
        <w:t xml:space="preserve">sider other factors </w:t>
      </w:r>
      <w:r w:rsidR="00F53A77">
        <w:t>relevant to the DMO pricing framework</w:t>
      </w:r>
      <w:r w:rsidR="006B7713">
        <w:t>, including</w:t>
      </w:r>
      <w:r w:rsidR="00CA57C8">
        <w:t xml:space="preserve"> expressing </w:t>
      </w:r>
      <w:r w:rsidR="00CA57C8" w:rsidRPr="00D82729">
        <w:t>the structure of the DMO as a tariff</w:t>
      </w:r>
      <w:r w:rsidR="00CA57C8">
        <w:t xml:space="preserve"> rather than annual price, and extending </w:t>
      </w:r>
      <w:r w:rsidR="00CA57C8" w:rsidRPr="00D82729">
        <w:t>its application to tariffs</w:t>
      </w:r>
      <w:r w:rsidR="00CA57C8">
        <w:t xml:space="preserve"> with a demand charge</w:t>
      </w:r>
      <w:r w:rsidR="00CA57C8" w:rsidRPr="00D82729">
        <w:t>, small business time-of-use and controlled load</w:t>
      </w:r>
      <w:r w:rsidR="00CA57C8">
        <w:t xml:space="preserve"> tariffs.</w:t>
      </w:r>
    </w:p>
    <w:p w14:paraId="1F0162C5" w14:textId="45C0C8AA" w:rsidR="009261FF" w:rsidRDefault="009261FF" w:rsidP="009261FF">
      <w:r>
        <w:t xml:space="preserve">The </w:t>
      </w:r>
      <w:r w:rsidR="0070440D">
        <w:t>department</w:t>
      </w:r>
      <w:r>
        <w:t xml:space="preserve"> is leading this reform of the DMO framework, which is currently set out in the Part 3 of the </w:t>
      </w:r>
      <w:r w:rsidRPr="018B15F2">
        <w:rPr>
          <w:i/>
          <w:iCs/>
        </w:rPr>
        <w:t xml:space="preserve">Competition and Consumer (Industry Code—Electricity Retail) Regulations 2019 </w:t>
      </w:r>
      <w:r w:rsidRPr="006144BC">
        <w:t>(Electricity Retail Code)</w:t>
      </w:r>
      <w:r>
        <w:t>.</w:t>
      </w:r>
    </w:p>
    <w:p w14:paraId="7D6BADBD" w14:textId="6405181C" w:rsidR="00D82729" w:rsidRDefault="003D752C" w:rsidP="00614629">
      <w:r>
        <w:t xml:space="preserve">The department anticipates that consultation </w:t>
      </w:r>
      <w:r w:rsidR="006D1D61">
        <w:t>of the proposed reforms will</w:t>
      </w:r>
      <w:r w:rsidR="007D6992">
        <w:t xml:space="preserve"> be settle</w:t>
      </w:r>
      <w:r w:rsidR="00F904E9">
        <w:t>d</w:t>
      </w:r>
      <w:r w:rsidR="007D6992">
        <w:t xml:space="preserve"> in sufficient time for these</w:t>
      </w:r>
      <w:r w:rsidR="006D1D61">
        <w:t xml:space="preserve"> </w:t>
      </w:r>
      <w:r w:rsidR="00040D0C">
        <w:t xml:space="preserve">to </w:t>
      </w:r>
      <w:r w:rsidR="00C52EC9">
        <w:t xml:space="preserve">take effect for the </w:t>
      </w:r>
      <w:r w:rsidR="006870E5">
        <w:t xml:space="preserve">2026-27 DMO </w:t>
      </w:r>
      <w:r w:rsidR="00040D0C">
        <w:t xml:space="preserve">8 </w:t>
      </w:r>
      <w:r w:rsidR="00C52EC9">
        <w:t>determination</w:t>
      </w:r>
      <w:r w:rsidR="006D1D61">
        <w:t xml:space="preserve"> </w:t>
      </w:r>
      <w:r w:rsidR="006870E5">
        <w:t xml:space="preserve">process. </w:t>
      </w:r>
    </w:p>
    <w:p w14:paraId="5A6E6591" w14:textId="153DE6E4" w:rsidR="00C870EC" w:rsidRPr="00C870EC" w:rsidRDefault="007E3A05" w:rsidP="00DA6753">
      <w:pPr>
        <w:pStyle w:val="Heading3"/>
        <w:spacing w:after="240"/>
      </w:pPr>
      <w:bookmarkStart w:id="2" w:name="_Toc199343398"/>
      <w:bookmarkStart w:id="3" w:name="_Toc199343399"/>
      <w:bookmarkStart w:id="4" w:name="_Toc199343400"/>
      <w:bookmarkStart w:id="5" w:name="_Toc201068934"/>
      <w:bookmarkEnd w:id="2"/>
      <w:bookmarkEnd w:id="3"/>
      <w:bookmarkEnd w:id="4"/>
      <w:r>
        <w:t>Purpose of the consultation paper</w:t>
      </w:r>
      <w:bookmarkEnd w:id="5"/>
    </w:p>
    <w:p w14:paraId="6C073401" w14:textId="122DE6E8" w:rsidR="00A274B5" w:rsidRDefault="002D61B1" w:rsidP="007E3A05">
      <w:r>
        <w:t xml:space="preserve">The purpose of this paper is to </w:t>
      </w:r>
      <w:r w:rsidR="00D1412A">
        <w:t xml:space="preserve">support </w:t>
      </w:r>
      <w:r w:rsidR="351141F8">
        <w:t xml:space="preserve">the </w:t>
      </w:r>
      <w:r w:rsidR="0070440D">
        <w:t>department</w:t>
      </w:r>
      <w:r w:rsidR="351141F8">
        <w:t xml:space="preserve">’s </w:t>
      </w:r>
      <w:r w:rsidR="00D1412A">
        <w:t xml:space="preserve">consultation </w:t>
      </w:r>
      <w:r w:rsidR="4D70EB0B">
        <w:t>on</w:t>
      </w:r>
      <w:r w:rsidR="002225EB">
        <w:t xml:space="preserve"> potential</w:t>
      </w:r>
      <w:r w:rsidR="00DC058B">
        <w:t xml:space="preserve"> </w:t>
      </w:r>
      <w:r w:rsidR="12EEB77A">
        <w:t>reform</w:t>
      </w:r>
      <w:r w:rsidR="11E4DAF8">
        <w:t>s</w:t>
      </w:r>
      <w:r w:rsidR="237C26A6">
        <w:t xml:space="preserve"> </w:t>
      </w:r>
      <w:r w:rsidR="281C6A8A">
        <w:t>to</w:t>
      </w:r>
      <w:r w:rsidR="237C26A6">
        <w:t xml:space="preserve"> </w:t>
      </w:r>
      <w:r w:rsidR="00D1412A">
        <w:t>the DMO frame</w:t>
      </w:r>
      <w:r w:rsidR="0079666D">
        <w:t>work</w:t>
      </w:r>
      <w:r w:rsidR="00A274B5">
        <w:t xml:space="preserve">. </w:t>
      </w:r>
    </w:p>
    <w:p w14:paraId="712BDE7F" w14:textId="5497EC6D" w:rsidR="00A274B5" w:rsidRDefault="00A274B5" w:rsidP="00614629">
      <w:pPr>
        <w:keepNext/>
      </w:pPr>
      <w:r>
        <w:t>The structure of the paper is outlined below:</w:t>
      </w:r>
    </w:p>
    <w:p w14:paraId="2260352E" w14:textId="77EF01CD" w:rsidR="00B32C48" w:rsidRDefault="006F3B09" w:rsidP="000A795C">
      <w:pPr>
        <w:pStyle w:val="ListParagraph"/>
        <w:numPr>
          <w:ilvl w:val="0"/>
          <w:numId w:val="20"/>
        </w:numPr>
      </w:pPr>
      <w:r>
        <w:t>Part</w:t>
      </w:r>
      <w:r w:rsidR="00B32C48" w:rsidRPr="00B32C48">
        <w:t xml:space="preserve"> 2 provides a</w:t>
      </w:r>
      <w:r w:rsidR="00191AFA">
        <w:t xml:space="preserve">n </w:t>
      </w:r>
      <w:r w:rsidR="00B32C48" w:rsidRPr="00B32C48">
        <w:t xml:space="preserve">overview of </w:t>
      </w:r>
      <w:r w:rsidR="00DD67AE">
        <w:t xml:space="preserve">the </w:t>
      </w:r>
      <w:r w:rsidR="00B32C48">
        <w:t>DMO</w:t>
      </w:r>
      <w:r w:rsidR="00DD67AE">
        <w:t>, its</w:t>
      </w:r>
      <w:r w:rsidR="00B32C48" w:rsidRPr="00B32C48">
        <w:t xml:space="preserve"> background, </w:t>
      </w:r>
      <w:r w:rsidR="00D10B61">
        <w:t>how it regulates standing offers, an</w:t>
      </w:r>
      <w:r w:rsidR="00D83984">
        <w:t>d changes to its policy approach since its implementation</w:t>
      </w:r>
      <w:r w:rsidR="2EEB6902">
        <w:t>.</w:t>
      </w:r>
    </w:p>
    <w:p w14:paraId="38A75D33" w14:textId="0532C368" w:rsidR="00E07E8F" w:rsidRDefault="006F3B09" w:rsidP="000A795C">
      <w:pPr>
        <w:pStyle w:val="ListParagraph"/>
        <w:numPr>
          <w:ilvl w:val="0"/>
          <w:numId w:val="20"/>
        </w:numPr>
      </w:pPr>
      <w:r>
        <w:t>Part</w:t>
      </w:r>
      <w:r w:rsidR="0057676E">
        <w:t xml:space="preserve"> 3 </w:t>
      </w:r>
      <w:r w:rsidR="00D83984">
        <w:t xml:space="preserve">examines </w:t>
      </w:r>
      <w:r w:rsidR="001E3ECB">
        <w:t xml:space="preserve">the </w:t>
      </w:r>
      <w:r w:rsidR="00E833A1" w:rsidRPr="00E833A1">
        <w:t xml:space="preserve">market conditions leading up to the implementation of the DMO, the state of competition and associated challenges, and </w:t>
      </w:r>
      <w:r w:rsidR="009B6620">
        <w:t xml:space="preserve">sets out the rationale for the DMO </w:t>
      </w:r>
      <w:r w:rsidR="00915579">
        <w:t xml:space="preserve">framework </w:t>
      </w:r>
      <w:r w:rsidR="00E833A1" w:rsidRPr="00E833A1">
        <w:t>plac</w:t>
      </w:r>
      <w:r w:rsidR="009B6620">
        <w:t xml:space="preserve">ing </w:t>
      </w:r>
      <w:r w:rsidR="00E833A1" w:rsidRPr="00E833A1">
        <w:t>greater emphasis on consumer protection</w:t>
      </w:r>
      <w:r w:rsidR="00310868">
        <w:t>s</w:t>
      </w:r>
      <w:r w:rsidR="009B6620">
        <w:t xml:space="preserve"> via the adoption of an efficient pricing framework</w:t>
      </w:r>
      <w:r w:rsidR="00E5139A">
        <w:t>.</w:t>
      </w:r>
    </w:p>
    <w:p w14:paraId="21D4A50C" w14:textId="7197E864" w:rsidR="00CB4326" w:rsidRDefault="00CB4326" w:rsidP="000A795C">
      <w:pPr>
        <w:pStyle w:val="ListParagraph"/>
        <w:numPr>
          <w:ilvl w:val="0"/>
          <w:numId w:val="20"/>
        </w:numPr>
      </w:pPr>
      <w:r w:rsidRPr="00CB4326">
        <w:t xml:space="preserve">Part 4 outlines the </w:t>
      </w:r>
      <w:r w:rsidR="0099563D">
        <w:t xml:space="preserve">consultation approach and </w:t>
      </w:r>
      <w:r w:rsidRPr="00CB4326">
        <w:t>invites stakeholder feedback on potential improvements to its functionality</w:t>
      </w:r>
      <w:r>
        <w:t>.</w:t>
      </w:r>
    </w:p>
    <w:p w14:paraId="10823CFF" w14:textId="7955242F" w:rsidR="005A27B0" w:rsidRPr="00DA6753" w:rsidRDefault="0026617D" w:rsidP="00DA6753">
      <w:pPr>
        <w:pStyle w:val="ListParagraph"/>
        <w:numPr>
          <w:ilvl w:val="0"/>
          <w:numId w:val="20"/>
        </w:numPr>
        <w:rPr>
          <w:color w:val="000000" w:themeColor="text1"/>
        </w:rPr>
      </w:pPr>
      <w:r>
        <w:t xml:space="preserve">Part 5 </w:t>
      </w:r>
      <w:r w:rsidR="00CB2B4F">
        <w:t xml:space="preserve">provides a summary </w:t>
      </w:r>
      <w:r w:rsidR="00173F2E">
        <w:t xml:space="preserve">of the </w:t>
      </w:r>
      <w:r w:rsidR="00920B8D">
        <w:t xml:space="preserve">potential </w:t>
      </w:r>
      <w:r w:rsidR="00173F2E">
        <w:t xml:space="preserve">reforms and </w:t>
      </w:r>
      <w:r w:rsidR="00173F2E" w:rsidRPr="00DA6753">
        <w:rPr>
          <w:color w:val="000000" w:themeColor="text1"/>
        </w:rPr>
        <w:t xml:space="preserve">related </w:t>
      </w:r>
      <w:r w:rsidR="00E5575F" w:rsidRPr="00DA6753">
        <w:rPr>
          <w:color w:val="000000" w:themeColor="text1"/>
        </w:rPr>
        <w:t>queries</w:t>
      </w:r>
      <w:r w:rsidR="00540BAC" w:rsidRPr="00DA6753">
        <w:rPr>
          <w:color w:val="000000" w:themeColor="text1"/>
        </w:rPr>
        <w:t xml:space="preserve"> we are consulting on</w:t>
      </w:r>
      <w:r w:rsidR="00CB2B4F" w:rsidRPr="00DA6753">
        <w:rPr>
          <w:color w:val="000000" w:themeColor="text1"/>
        </w:rPr>
        <w:t xml:space="preserve">. </w:t>
      </w:r>
    </w:p>
    <w:p w14:paraId="67A9A752" w14:textId="6CBCFDEC" w:rsidR="00C34104" w:rsidRDefault="004E34AF" w:rsidP="002B1ADE">
      <w:pPr>
        <w:spacing w:before="240"/>
        <w:rPr>
          <w:lang w:eastAsia="ja-JP"/>
        </w:rPr>
      </w:pPr>
      <w:r w:rsidRPr="004E34AF">
        <w:t xml:space="preserve">The observations outlined in this paper are intended to facilitate informed discussion and invite considered feedback from relevant stakeholders. </w:t>
      </w:r>
      <w:r w:rsidR="00D92FC6" w:rsidRPr="00D92FC6">
        <w:rPr>
          <w:lang w:eastAsia="ja-JP"/>
        </w:rPr>
        <w:t xml:space="preserve">This </w:t>
      </w:r>
      <w:r w:rsidR="00720035">
        <w:rPr>
          <w:lang w:eastAsia="ja-JP"/>
        </w:rPr>
        <w:t>c</w:t>
      </w:r>
      <w:r w:rsidR="00D92FC6" w:rsidRPr="00D92FC6">
        <w:rPr>
          <w:lang w:eastAsia="ja-JP"/>
        </w:rPr>
        <w:t xml:space="preserve">onsultation </w:t>
      </w:r>
      <w:r w:rsidR="00720035">
        <w:rPr>
          <w:lang w:eastAsia="ja-JP"/>
        </w:rPr>
        <w:t>p</w:t>
      </w:r>
      <w:r w:rsidR="00D92FC6" w:rsidRPr="00D92FC6">
        <w:rPr>
          <w:lang w:eastAsia="ja-JP"/>
        </w:rPr>
        <w:t>aper</w:t>
      </w:r>
      <w:r w:rsidR="006144BC">
        <w:rPr>
          <w:lang w:eastAsia="ja-JP"/>
        </w:rPr>
        <w:t xml:space="preserve"> </w:t>
      </w:r>
      <w:r w:rsidR="00D92FC6" w:rsidRPr="00D92FC6">
        <w:rPr>
          <w:lang w:eastAsia="ja-JP"/>
        </w:rPr>
        <w:t xml:space="preserve">outlines our principles and proposed approach for </w:t>
      </w:r>
      <w:r w:rsidR="002468AD">
        <w:rPr>
          <w:lang w:eastAsia="ja-JP"/>
        </w:rPr>
        <w:t>amending the DMO framework</w:t>
      </w:r>
      <w:r w:rsidR="00D92FC6" w:rsidRPr="00D92FC6">
        <w:rPr>
          <w:lang w:eastAsia="ja-JP"/>
        </w:rPr>
        <w:t xml:space="preserve">. </w:t>
      </w:r>
    </w:p>
    <w:p w14:paraId="67FCCCB6" w14:textId="22146530" w:rsidR="009F2BEF" w:rsidRDefault="00032A96" w:rsidP="00DA6753">
      <w:pPr>
        <w:pStyle w:val="Heading3"/>
        <w:spacing w:after="240"/>
        <w:rPr>
          <w:lang w:eastAsia="ja-JP"/>
        </w:rPr>
      </w:pPr>
      <w:bookmarkStart w:id="6" w:name="_Toc201068935"/>
      <w:r>
        <w:rPr>
          <w:lang w:eastAsia="ja-JP"/>
        </w:rPr>
        <w:t>Your Feedback</w:t>
      </w:r>
      <w:bookmarkEnd w:id="6"/>
    </w:p>
    <w:p w14:paraId="32D5D5CD" w14:textId="138D5D9A" w:rsidR="00C34104" w:rsidRDefault="00314091" w:rsidP="00032A96">
      <w:pPr>
        <w:rPr>
          <w:lang w:eastAsia="ja-JP"/>
        </w:rPr>
      </w:pPr>
      <w:r w:rsidRPr="000E41CB">
        <w:rPr>
          <w:lang w:eastAsia="ja-JP"/>
        </w:rPr>
        <w:t>To inform this process, the Commonwealth is seeking input from stakeholders</w:t>
      </w:r>
      <w:r w:rsidR="00EB4297">
        <w:rPr>
          <w:lang w:eastAsia="ja-JP"/>
        </w:rPr>
        <w:t xml:space="preserve"> </w:t>
      </w:r>
      <w:r w:rsidRPr="000E41CB">
        <w:rPr>
          <w:lang w:eastAsia="ja-JP"/>
        </w:rPr>
        <w:t xml:space="preserve">on the operation, effectiveness, and market impacts of the DMO since its introduction. Feedback received will help guide potential reforms to better support competitive, fair, and transparent outcomes for both </w:t>
      </w:r>
      <w:r w:rsidR="001C2804">
        <w:rPr>
          <w:lang w:eastAsia="ja-JP"/>
        </w:rPr>
        <w:t>customer</w:t>
      </w:r>
      <w:r w:rsidRPr="000E41CB">
        <w:rPr>
          <w:lang w:eastAsia="ja-JP"/>
        </w:rPr>
        <w:t>s and industry participants.</w:t>
      </w:r>
    </w:p>
    <w:p w14:paraId="184B3D1E" w14:textId="70B0E57F" w:rsidR="00C34104" w:rsidRDefault="00C34104" w:rsidP="00032A96">
      <w:pPr>
        <w:rPr>
          <w:lang w:eastAsia="ja-JP"/>
        </w:rPr>
      </w:pPr>
      <w:r w:rsidRPr="00C34104">
        <w:rPr>
          <w:lang w:eastAsia="ja-JP"/>
        </w:rPr>
        <w:t xml:space="preserve">We invite stakeholders to make written submissions in response to this </w:t>
      </w:r>
      <w:r w:rsidR="002B1ADE">
        <w:rPr>
          <w:lang w:eastAsia="ja-JP"/>
        </w:rPr>
        <w:t>c</w:t>
      </w:r>
      <w:r w:rsidRPr="00C34104">
        <w:rPr>
          <w:lang w:eastAsia="ja-JP"/>
        </w:rPr>
        <w:t xml:space="preserve">onsultation </w:t>
      </w:r>
      <w:r w:rsidR="002B1ADE">
        <w:rPr>
          <w:lang w:eastAsia="ja-JP"/>
        </w:rPr>
        <w:t>p</w:t>
      </w:r>
      <w:r w:rsidRPr="00C34104">
        <w:rPr>
          <w:lang w:eastAsia="ja-JP"/>
        </w:rPr>
        <w:t xml:space="preserve">aper. </w:t>
      </w:r>
    </w:p>
    <w:p w14:paraId="2A13A1D5" w14:textId="53E6B1C5" w:rsidR="00032A96" w:rsidRDefault="00C34104" w:rsidP="00032A96">
      <w:pPr>
        <w:rPr>
          <w:lang w:eastAsia="ja-JP"/>
        </w:rPr>
      </w:pPr>
      <w:r w:rsidRPr="00C34104">
        <w:rPr>
          <w:lang w:eastAsia="ja-JP"/>
        </w:rPr>
        <w:lastRenderedPageBreak/>
        <w:t xml:space="preserve">Submissions should be made by </w:t>
      </w:r>
      <w:r w:rsidRPr="000C37CE">
        <w:rPr>
          <w:lang w:eastAsia="ja-JP"/>
        </w:rPr>
        <w:t xml:space="preserve">5pm on </w:t>
      </w:r>
      <w:r w:rsidR="000C37CE" w:rsidRPr="000C37CE">
        <w:rPr>
          <w:lang w:eastAsia="ja-JP"/>
        </w:rPr>
        <w:t>1</w:t>
      </w:r>
      <w:r w:rsidR="00FA47B1">
        <w:rPr>
          <w:lang w:eastAsia="ja-JP"/>
        </w:rPr>
        <w:t>8</w:t>
      </w:r>
      <w:r w:rsidRPr="000C37CE">
        <w:rPr>
          <w:lang w:eastAsia="ja-JP"/>
        </w:rPr>
        <w:t xml:space="preserve"> </w:t>
      </w:r>
      <w:r w:rsidR="00A552DC" w:rsidRPr="000C37CE">
        <w:rPr>
          <w:lang w:eastAsia="ja-JP"/>
        </w:rPr>
        <w:t xml:space="preserve">July </w:t>
      </w:r>
      <w:r w:rsidRPr="000C37CE">
        <w:rPr>
          <w:lang w:eastAsia="ja-JP"/>
        </w:rPr>
        <w:t>2025.</w:t>
      </w:r>
      <w:r w:rsidRPr="00C34104">
        <w:rPr>
          <w:lang w:eastAsia="ja-JP"/>
        </w:rPr>
        <w:t xml:space="preserve"> Stakeholders intending to make submissions are strongly encouraged to do so by the due date. We may not be able to consider submissions received after this deadline</w:t>
      </w:r>
      <w:r w:rsidR="0079027D">
        <w:rPr>
          <w:lang w:eastAsia="ja-JP"/>
        </w:rPr>
        <w:t>.</w:t>
      </w:r>
    </w:p>
    <w:p w14:paraId="267CBB3C" w14:textId="7117275F" w:rsidR="0079027D" w:rsidRPr="00707B9D" w:rsidRDefault="0079027D" w:rsidP="00707B9D">
      <w:pPr>
        <w:spacing w:after="0"/>
        <w:rPr>
          <w:lang w:eastAsia="ja-JP"/>
        </w:rPr>
      </w:pPr>
      <w:r w:rsidRPr="00707B9D">
        <w:rPr>
          <w:lang w:eastAsia="ja-JP"/>
        </w:rPr>
        <w:t xml:space="preserve">To make a submission to this </w:t>
      </w:r>
      <w:r w:rsidR="002B1ADE" w:rsidRPr="00707B9D">
        <w:rPr>
          <w:lang w:eastAsia="ja-JP"/>
        </w:rPr>
        <w:t>c</w:t>
      </w:r>
      <w:r w:rsidRPr="00707B9D">
        <w:rPr>
          <w:lang w:eastAsia="ja-JP"/>
        </w:rPr>
        <w:t xml:space="preserve">onsultation </w:t>
      </w:r>
      <w:r w:rsidR="002B1ADE" w:rsidRPr="00707B9D">
        <w:rPr>
          <w:lang w:eastAsia="ja-JP"/>
        </w:rPr>
        <w:t>p</w:t>
      </w:r>
      <w:r w:rsidRPr="00707B9D">
        <w:rPr>
          <w:lang w:eastAsia="ja-JP"/>
        </w:rPr>
        <w:t>aper, please choose from one of the following:</w:t>
      </w:r>
    </w:p>
    <w:p w14:paraId="152CDDC9" w14:textId="7EC4ADBD" w:rsidR="00EB61D2" w:rsidRPr="00707B9D" w:rsidRDefault="00EB61D2" w:rsidP="00EB61D2">
      <w:pPr>
        <w:pStyle w:val="ListParagraph"/>
        <w:numPr>
          <w:ilvl w:val="0"/>
          <w:numId w:val="31"/>
        </w:numPr>
        <w:rPr>
          <w:lang w:eastAsia="ja-JP"/>
        </w:rPr>
      </w:pPr>
      <w:r w:rsidRPr="00707B9D">
        <w:rPr>
          <w:lang w:eastAsia="ja-JP"/>
        </w:rPr>
        <w:t xml:space="preserve">Respond to any or </w:t>
      </w:r>
      <w:proofErr w:type="gramStart"/>
      <w:r w:rsidRPr="00707B9D">
        <w:rPr>
          <w:lang w:eastAsia="ja-JP"/>
        </w:rPr>
        <w:t>all of</w:t>
      </w:r>
      <w:proofErr w:type="gramEnd"/>
      <w:r w:rsidRPr="00707B9D">
        <w:rPr>
          <w:lang w:eastAsia="ja-JP"/>
        </w:rPr>
        <w:t xml:space="preserve"> the questions asked in this paper via the template document on our website, which will be treated as a written submission</w:t>
      </w:r>
      <w:r w:rsidR="007E56A3">
        <w:rPr>
          <w:lang w:eastAsia="ja-JP"/>
        </w:rPr>
        <w:t>.</w:t>
      </w:r>
    </w:p>
    <w:p w14:paraId="4F38807A" w14:textId="30764516" w:rsidR="00707B9D" w:rsidRPr="00707B9D" w:rsidRDefault="00707B9D" w:rsidP="00707B9D">
      <w:pPr>
        <w:pStyle w:val="ListParagraph"/>
        <w:numPr>
          <w:ilvl w:val="0"/>
          <w:numId w:val="31"/>
        </w:numPr>
        <w:spacing w:after="240"/>
        <w:rPr>
          <w:lang w:eastAsia="ja-JP"/>
        </w:rPr>
      </w:pPr>
      <w:r w:rsidRPr="00707B9D">
        <w:rPr>
          <w:lang w:eastAsia="ja-JP"/>
        </w:rPr>
        <w:t xml:space="preserve">Send your feedback by email. </w:t>
      </w:r>
    </w:p>
    <w:p w14:paraId="5C9A8C27" w14:textId="4D6D6CAB" w:rsidR="0079027D" w:rsidRPr="000C37CE" w:rsidRDefault="005B7BC9" w:rsidP="0079027D">
      <w:pPr>
        <w:rPr>
          <w:lang w:eastAsia="ja-JP"/>
        </w:rPr>
      </w:pPr>
      <w:r w:rsidRPr="000C37CE">
        <w:rPr>
          <w:lang w:eastAsia="ja-JP"/>
        </w:rPr>
        <w:t xml:space="preserve">Any queries should be directed to the </w:t>
      </w:r>
      <w:r w:rsidR="0070440D" w:rsidRPr="000C37CE">
        <w:rPr>
          <w:lang w:eastAsia="ja-JP"/>
        </w:rPr>
        <w:t>department</w:t>
      </w:r>
      <w:r w:rsidR="002B1ADE" w:rsidRPr="000C37CE">
        <w:rPr>
          <w:lang w:eastAsia="ja-JP"/>
        </w:rPr>
        <w:t xml:space="preserve">’s </w:t>
      </w:r>
      <w:r w:rsidRPr="000C37CE">
        <w:rPr>
          <w:lang w:eastAsia="ja-JP"/>
        </w:rPr>
        <w:t xml:space="preserve">Retail </w:t>
      </w:r>
      <w:r w:rsidR="002B1ADE" w:rsidRPr="000C37CE">
        <w:rPr>
          <w:lang w:eastAsia="ja-JP"/>
        </w:rPr>
        <w:t xml:space="preserve">Market </w:t>
      </w:r>
      <w:r w:rsidRPr="000C37CE">
        <w:rPr>
          <w:lang w:eastAsia="ja-JP"/>
        </w:rPr>
        <w:t xml:space="preserve">Policy team by email to </w:t>
      </w:r>
      <w:r w:rsidR="00CE5B4E" w:rsidRPr="000C37CE">
        <w:rPr>
          <w:lang w:eastAsia="ja-JP"/>
        </w:rPr>
        <w:t>DMOReforms@dcceew.gov.au</w:t>
      </w:r>
      <w:r w:rsidRPr="000C37CE">
        <w:rPr>
          <w:lang w:eastAsia="ja-JP"/>
        </w:rPr>
        <w:t>.</w:t>
      </w:r>
    </w:p>
    <w:p w14:paraId="5500BDB5" w14:textId="7A1D88B6" w:rsidR="006712B7" w:rsidRDefault="00511F34" w:rsidP="006C52AA">
      <w:pPr>
        <w:pStyle w:val="Heading2"/>
        <w:spacing w:line="276" w:lineRule="auto"/>
      </w:pPr>
      <w:bookmarkStart w:id="7" w:name="_Toc201068936"/>
      <w:r>
        <w:lastRenderedPageBreak/>
        <w:t>The Default Market Offer</w:t>
      </w:r>
      <w:bookmarkEnd w:id="7"/>
    </w:p>
    <w:p w14:paraId="6947993B" w14:textId="2A7D9B63" w:rsidR="00706E6B" w:rsidRPr="00706E6B" w:rsidRDefault="00706E6B" w:rsidP="00706E6B">
      <w:pPr>
        <w:rPr>
          <w:lang w:eastAsia="ja-JP"/>
        </w:rPr>
      </w:pPr>
      <w:r w:rsidRPr="00706E6B">
        <w:rPr>
          <w:lang w:eastAsia="ja-JP"/>
        </w:rPr>
        <w:t>On 20 August 2018, the Australian Government committed to introducing a Default Market Offer for electricity standing offers, following key recommendation</w:t>
      </w:r>
      <w:r>
        <w:rPr>
          <w:lang w:eastAsia="ja-JP"/>
        </w:rPr>
        <w:t>s</w:t>
      </w:r>
      <w:r w:rsidRPr="00706E6B">
        <w:rPr>
          <w:lang w:eastAsia="ja-JP"/>
        </w:rPr>
        <w:t xml:space="preserve"> from the ACCC’s </w:t>
      </w:r>
      <w:r w:rsidR="003A1ECE" w:rsidRPr="003A1ECE">
        <w:rPr>
          <w:lang w:eastAsia="ja-JP"/>
        </w:rPr>
        <w:t>REPI</w:t>
      </w:r>
      <w:r w:rsidR="003A1ECE">
        <w:rPr>
          <w:i/>
          <w:iCs/>
          <w:lang w:eastAsia="ja-JP"/>
        </w:rPr>
        <w:t xml:space="preserve"> </w:t>
      </w:r>
      <w:r w:rsidRPr="00706E6B">
        <w:rPr>
          <w:lang w:eastAsia="ja-JP"/>
        </w:rPr>
        <w:t>(June 2018), aimed at restoring affordability and competition.</w:t>
      </w:r>
    </w:p>
    <w:p w14:paraId="0D508595" w14:textId="7B6E7C80" w:rsidR="009D7F97" w:rsidRPr="00D671A9" w:rsidRDefault="00706E6B" w:rsidP="006C52AA">
      <w:pPr>
        <w:rPr>
          <w:lang w:eastAsia="ja-JP"/>
        </w:rPr>
      </w:pPr>
      <w:r w:rsidRPr="00706E6B">
        <w:rPr>
          <w:lang w:eastAsia="ja-JP"/>
        </w:rPr>
        <w:t xml:space="preserve">Alongside this, the </w:t>
      </w:r>
      <w:r w:rsidR="00D3116F">
        <w:rPr>
          <w:lang w:eastAsia="ja-JP"/>
        </w:rPr>
        <w:t>g</w:t>
      </w:r>
      <w:r w:rsidRPr="00706E6B">
        <w:rPr>
          <w:lang w:eastAsia="ja-JP"/>
        </w:rPr>
        <w:t xml:space="preserve">overnment endorsed the ACCC’s proposal to use the DMO as a benchmark for comparing electricity prices—boosting transparency and helping </w:t>
      </w:r>
      <w:r w:rsidR="001C2804">
        <w:rPr>
          <w:lang w:eastAsia="ja-JP"/>
        </w:rPr>
        <w:t>customer</w:t>
      </w:r>
      <w:r w:rsidRPr="00706E6B">
        <w:rPr>
          <w:lang w:eastAsia="ja-JP"/>
        </w:rPr>
        <w:t>s navigate the market more confidently</w:t>
      </w:r>
      <w:r w:rsidR="009D7F97" w:rsidRPr="00D671A9">
        <w:rPr>
          <w:lang w:eastAsia="ja-JP"/>
        </w:rPr>
        <w:t>.</w:t>
      </w:r>
      <w:r w:rsidR="00573975">
        <w:rPr>
          <w:rStyle w:val="FootnoteReference"/>
          <w:lang w:eastAsia="ja-JP"/>
        </w:rPr>
        <w:footnoteReference w:id="3"/>
      </w:r>
    </w:p>
    <w:p w14:paraId="65215F32" w14:textId="53A475CF" w:rsidR="009D7F97" w:rsidRPr="009D7F97" w:rsidRDefault="007A5A0E" w:rsidP="006C52AA">
      <w:pPr>
        <w:rPr>
          <w:lang w:eastAsia="ja-JP"/>
        </w:rPr>
      </w:pPr>
      <w:r>
        <w:rPr>
          <w:lang w:eastAsia="ja-JP"/>
        </w:rPr>
        <w:t xml:space="preserve">The </w:t>
      </w:r>
      <w:r w:rsidR="00AF1BD0">
        <w:rPr>
          <w:lang w:eastAsia="ja-JP"/>
        </w:rPr>
        <w:t>Electricity Retail Code</w:t>
      </w:r>
      <w:r w:rsidR="009D7F97" w:rsidRPr="00D671A9">
        <w:rPr>
          <w:lang w:eastAsia="ja-JP"/>
        </w:rPr>
        <w:t xml:space="preserve"> came into effect on 1 July 2019.</w:t>
      </w:r>
      <w:r w:rsidR="00D866BF">
        <w:rPr>
          <w:rStyle w:val="FootnoteReference"/>
          <w:lang w:eastAsia="ja-JP"/>
        </w:rPr>
        <w:footnoteReference w:id="4"/>
      </w:r>
      <w:r w:rsidR="00D866BF" w:rsidRPr="009D7F97">
        <w:rPr>
          <w:lang w:eastAsia="ja-JP"/>
        </w:rPr>
        <w:t xml:space="preserve"> </w:t>
      </w:r>
      <w:r w:rsidR="009D7F97" w:rsidRPr="009D7F97">
        <w:rPr>
          <w:lang w:eastAsia="ja-JP"/>
        </w:rPr>
        <w:t xml:space="preserve">It </w:t>
      </w:r>
      <w:r w:rsidR="009D7F97" w:rsidRPr="00D671A9">
        <w:rPr>
          <w:lang w:eastAsia="ja-JP"/>
        </w:rPr>
        <w:t xml:space="preserve">operates in New South Wales, South Australia, and </w:t>
      </w:r>
      <w:proofErr w:type="gramStart"/>
      <w:r w:rsidR="009D7F97" w:rsidRPr="009D7F97">
        <w:rPr>
          <w:lang w:eastAsia="ja-JP"/>
        </w:rPr>
        <w:t>South</w:t>
      </w:r>
      <w:r w:rsidR="002B1B9A">
        <w:rPr>
          <w:lang w:eastAsia="ja-JP"/>
        </w:rPr>
        <w:t xml:space="preserve"> E</w:t>
      </w:r>
      <w:r w:rsidR="009D7F97" w:rsidRPr="009D7F97">
        <w:rPr>
          <w:lang w:eastAsia="ja-JP"/>
        </w:rPr>
        <w:t>ast</w:t>
      </w:r>
      <w:proofErr w:type="gramEnd"/>
      <w:r w:rsidR="009D7F97" w:rsidRPr="00D671A9">
        <w:rPr>
          <w:lang w:eastAsia="ja-JP"/>
        </w:rPr>
        <w:t xml:space="preserve"> Queensland</w:t>
      </w:r>
      <w:r w:rsidR="009D7F97" w:rsidRPr="009D7F97">
        <w:rPr>
          <w:lang w:eastAsia="ja-JP"/>
        </w:rPr>
        <w:t xml:space="preserve"> by:</w:t>
      </w:r>
    </w:p>
    <w:p w14:paraId="4C4DF899" w14:textId="01403CEB" w:rsidR="009D7F97" w:rsidRPr="009D7F97" w:rsidRDefault="00A20237" w:rsidP="000A795C">
      <w:pPr>
        <w:pStyle w:val="ListParagraph"/>
        <w:numPr>
          <w:ilvl w:val="0"/>
          <w:numId w:val="10"/>
        </w:numPr>
        <w:spacing w:line="276" w:lineRule="auto"/>
        <w:rPr>
          <w:lang w:eastAsia="ja-JP"/>
        </w:rPr>
      </w:pPr>
      <w:r w:rsidRPr="00A20237">
        <w:rPr>
          <w:noProof/>
          <w:lang w:eastAsia="ja-JP"/>
        </w:rPr>
        <w:drawing>
          <wp:anchor distT="0" distB="0" distL="114300" distR="114300" simplePos="0" relativeHeight="251658240" behindDoc="0" locked="0" layoutInCell="1" allowOverlap="1" wp14:anchorId="7A6906F3" wp14:editId="5016876E">
            <wp:simplePos x="0" y="0"/>
            <wp:positionH relativeFrom="column">
              <wp:posOffset>3637998</wp:posOffset>
            </wp:positionH>
            <wp:positionV relativeFrom="paragraph">
              <wp:posOffset>7896</wp:posOffset>
            </wp:positionV>
            <wp:extent cx="2440940" cy="1675765"/>
            <wp:effectExtent l="0" t="0" r="0" b="635"/>
            <wp:wrapSquare wrapText="bothSides"/>
            <wp:docPr id="212320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0807"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0940" cy="1675765"/>
                    </a:xfrm>
                    <a:prstGeom prst="rect">
                      <a:avLst/>
                    </a:prstGeom>
                  </pic:spPr>
                </pic:pic>
              </a:graphicData>
            </a:graphic>
            <wp14:sizeRelH relativeFrom="margin">
              <wp14:pctWidth>0</wp14:pctWidth>
            </wp14:sizeRelH>
            <wp14:sizeRelV relativeFrom="margin">
              <wp14:pctHeight>0</wp14:pctHeight>
            </wp14:sizeRelV>
          </wp:anchor>
        </w:drawing>
      </w:r>
      <w:r w:rsidR="009D7F97" w:rsidRPr="009D7F97">
        <w:rPr>
          <w:lang w:eastAsia="ja-JP"/>
        </w:rPr>
        <w:t xml:space="preserve">applying the DMO price cap to standing offer prices available to certain </w:t>
      </w:r>
      <w:r w:rsidR="00573975" w:rsidRPr="009D7F97">
        <w:rPr>
          <w:lang w:eastAsia="ja-JP"/>
        </w:rPr>
        <w:t xml:space="preserve">residential </w:t>
      </w:r>
      <w:r w:rsidR="00573975" w:rsidRPr="00A20237">
        <w:rPr>
          <w:lang w:eastAsia="ja-JP"/>
        </w:rPr>
        <w:t>and</w:t>
      </w:r>
      <w:r w:rsidR="009D7F97" w:rsidRPr="009D7F97">
        <w:rPr>
          <w:lang w:eastAsia="ja-JP"/>
        </w:rPr>
        <w:t xml:space="preserve"> small business </w:t>
      </w:r>
      <w:proofErr w:type="gramStart"/>
      <w:r w:rsidR="009D7F97" w:rsidRPr="009D7F97">
        <w:rPr>
          <w:lang w:eastAsia="ja-JP"/>
        </w:rPr>
        <w:t>customer</w:t>
      </w:r>
      <w:r w:rsidR="0011660A">
        <w:rPr>
          <w:lang w:eastAsia="ja-JP"/>
        </w:rPr>
        <w:t>s;</w:t>
      </w:r>
      <w:proofErr w:type="gramEnd"/>
    </w:p>
    <w:p w14:paraId="6646F3F3" w14:textId="77777777" w:rsidR="009D7F97" w:rsidRPr="009D7F97" w:rsidRDefault="009D7F97" w:rsidP="000A795C">
      <w:pPr>
        <w:pStyle w:val="ListParagraph"/>
        <w:numPr>
          <w:ilvl w:val="0"/>
          <w:numId w:val="10"/>
        </w:numPr>
        <w:spacing w:line="276" w:lineRule="auto"/>
        <w:rPr>
          <w:lang w:eastAsia="ja-JP"/>
        </w:rPr>
      </w:pPr>
      <w:r w:rsidRPr="009D7F97">
        <w:rPr>
          <w:lang w:eastAsia="ja-JP"/>
        </w:rPr>
        <w:t>requiring retailers to compare their prices to the DMO (called the reference price); and</w:t>
      </w:r>
    </w:p>
    <w:p w14:paraId="3C8AA575" w14:textId="0FC13CA1" w:rsidR="003D6AFE" w:rsidRDefault="009D7F97" w:rsidP="000A795C">
      <w:pPr>
        <w:pStyle w:val="ListParagraph"/>
        <w:numPr>
          <w:ilvl w:val="0"/>
          <w:numId w:val="10"/>
        </w:numPr>
        <w:spacing w:line="276" w:lineRule="auto"/>
        <w:rPr>
          <w:lang w:eastAsia="ja-JP"/>
        </w:rPr>
      </w:pPr>
      <w:r w:rsidRPr="009D7F97">
        <w:rPr>
          <w:lang w:eastAsia="ja-JP"/>
        </w:rPr>
        <w:t>imposing specific requirements on communicating of prices and advertising conditional discounts.</w:t>
      </w:r>
      <w:r w:rsidR="00044FF7">
        <w:rPr>
          <w:rStyle w:val="FootnoteReference"/>
          <w:lang w:eastAsia="ja-JP"/>
        </w:rPr>
        <w:footnoteReference w:id="5"/>
      </w:r>
      <w:r w:rsidRPr="009D7F97">
        <w:rPr>
          <w:lang w:eastAsia="ja-JP"/>
        </w:rPr>
        <w:t xml:space="preserve"> </w:t>
      </w:r>
    </w:p>
    <w:p w14:paraId="1EEA6145" w14:textId="693A7F25" w:rsidR="003D6AFE" w:rsidRPr="00A20237" w:rsidRDefault="674F12AF" w:rsidP="1818410E">
      <w:pPr>
        <w:jc w:val="right"/>
        <w:rPr>
          <w:i/>
          <w:iCs/>
          <w:lang w:eastAsia="ja-JP"/>
        </w:rPr>
      </w:pPr>
      <w:r w:rsidRPr="1818410E">
        <w:rPr>
          <w:i/>
          <w:iCs/>
          <w:lang w:eastAsia="ja-JP"/>
        </w:rPr>
        <w:t xml:space="preserve">Figure 1: Map of DMO </w:t>
      </w:r>
      <w:r w:rsidR="65436C6E" w:rsidRPr="1818410E">
        <w:rPr>
          <w:i/>
          <w:iCs/>
          <w:lang w:eastAsia="ja-JP"/>
        </w:rPr>
        <w:t>regions</w:t>
      </w:r>
    </w:p>
    <w:p w14:paraId="0D68ECC9" w14:textId="16FF50A7" w:rsidR="009D7F97" w:rsidRDefault="009D7F97" w:rsidP="006C52AA">
      <w:pPr>
        <w:rPr>
          <w:lang w:eastAsia="ja-JP"/>
        </w:rPr>
      </w:pPr>
      <w:r w:rsidRPr="00D671A9">
        <w:rPr>
          <w:lang w:eastAsia="ja-JP"/>
        </w:rPr>
        <w:t xml:space="preserve">The </w:t>
      </w:r>
      <w:r w:rsidR="009A48A1">
        <w:rPr>
          <w:lang w:eastAsia="ja-JP"/>
        </w:rPr>
        <w:t xml:space="preserve">Electricity Retail </w:t>
      </w:r>
      <w:r w:rsidR="00AF1BD0">
        <w:rPr>
          <w:lang w:eastAsia="ja-JP"/>
        </w:rPr>
        <w:t>Code</w:t>
      </w:r>
      <w:r w:rsidR="009A48A1" w:rsidRPr="00D671A9">
        <w:rPr>
          <w:lang w:eastAsia="ja-JP"/>
        </w:rPr>
        <w:t xml:space="preserve"> </w:t>
      </w:r>
      <w:r w:rsidRPr="00D671A9">
        <w:rPr>
          <w:lang w:eastAsia="ja-JP"/>
        </w:rPr>
        <w:t xml:space="preserve">also sets out the framework for the Australian Energy Regulator (AER) to </w:t>
      </w:r>
      <w:r w:rsidRPr="009D7F97">
        <w:rPr>
          <w:lang w:eastAsia="ja-JP"/>
        </w:rPr>
        <w:t>make determinations</w:t>
      </w:r>
      <w:r w:rsidR="00BC30E8">
        <w:rPr>
          <w:lang w:eastAsia="ja-JP"/>
        </w:rPr>
        <w:t xml:space="preserve"> for a financial year</w:t>
      </w:r>
      <w:r w:rsidR="00CA3AE0">
        <w:rPr>
          <w:lang w:eastAsia="ja-JP"/>
        </w:rPr>
        <w:t>.</w:t>
      </w:r>
      <w:r w:rsidR="00234A80">
        <w:rPr>
          <w:lang w:eastAsia="ja-JP"/>
        </w:rPr>
        <w:t xml:space="preserve"> </w:t>
      </w:r>
      <w:r w:rsidR="00CA3AE0">
        <w:rPr>
          <w:lang w:eastAsia="ja-JP"/>
        </w:rPr>
        <w:t xml:space="preserve">The Electricity Retail Code </w:t>
      </w:r>
      <w:r w:rsidRPr="009D7F97">
        <w:rPr>
          <w:lang w:eastAsia="ja-JP"/>
        </w:rPr>
        <w:t xml:space="preserve">is scheduled to sunset </w:t>
      </w:r>
      <w:r w:rsidR="00470226">
        <w:rPr>
          <w:lang w:eastAsia="ja-JP"/>
        </w:rPr>
        <w:t xml:space="preserve">on 1 July </w:t>
      </w:r>
      <w:r w:rsidRPr="009D7F97">
        <w:rPr>
          <w:lang w:eastAsia="ja-JP"/>
        </w:rPr>
        <w:t>2029.</w:t>
      </w:r>
      <w:r w:rsidR="002E4003">
        <w:rPr>
          <w:rStyle w:val="FootnoteReference"/>
          <w:lang w:eastAsia="ja-JP"/>
        </w:rPr>
        <w:footnoteReference w:id="6"/>
      </w:r>
    </w:p>
    <w:p w14:paraId="7A9817AC" w14:textId="68AD0409" w:rsidR="00341F96" w:rsidRDefault="04C9E47C" w:rsidP="006C52AA">
      <w:pPr>
        <w:rPr>
          <w:lang w:eastAsia="ja-JP"/>
        </w:rPr>
      </w:pPr>
      <w:r w:rsidRPr="00DA6753">
        <w:rPr>
          <w:lang w:eastAsia="ja-JP"/>
        </w:rPr>
        <w:lastRenderedPageBreak/>
        <w:t>Similarly</w:t>
      </w:r>
      <w:r w:rsidR="00C83FF9">
        <w:rPr>
          <w:lang w:eastAsia="ja-JP"/>
        </w:rPr>
        <w:t xml:space="preserve"> in Victoria</w:t>
      </w:r>
      <w:r w:rsidR="184F2765">
        <w:rPr>
          <w:lang w:eastAsia="ja-JP"/>
        </w:rPr>
        <w:t>,</w:t>
      </w:r>
      <w:r w:rsidRPr="00DA6753">
        <w:rPr>
          <w:lang w:eastAsia="ja-JP"/>
        </w:rPr>
        <w:t xml:space="preserve"> </w:t>
      </w:r>
      <w:proofErr w:type="gramStart"/>
      <w:r w:rsidR="184F2765">
        <w:rPr>
          <w:lang w:eastAsia="ja-JP"/>
        </w:rPr>
        <w:t>as a result of</w:t>
      </w:r>
      <w:proofErr w:type="gramEnd"/>
      <w:r w:rsidR="5D82844C" w:rsidRPr="00DA6753">
        <w:rPr>
          <w:lang w:eastAsia="ja-JP"/>
        </w:rPr>
        <w:t xml:space="preserve"> an independent review </w:t>
      </w:r>
      <w:r w:rsidR="0B279DA9" w:rsidRPr="00DA6753">
        <w:rPr>
          <w:lang w:eastAsia="ja-JP"/>
        </w:rPr>
        <w:t>in</w:t>
      </w:r>
      <w:r w:rsidR="2757D269" w:rsidRPr="00DA6753">
        <w:rPr>
          <w:lang w:eastAsia="ja-JP"/>
        </w:rPr>
        <w:t xml:space="preserve"> 2017</w:t>
      </w:r>
      <w:r w:rsidR="00635DD3" w:rsidRPr="00DA6753">
        <w:rPr>
          <w:rStyle w:val="FootnoteReference"/>
          <w:lang w:eastAsia="ja-JP"/>
        </w:rPr>
        <w:footnoteReference w:id="7"/>
      </w:r>
      <w:r w:rsidR="1FE59F9F" w:rsidRPr="00DA6753">
        <w:rPr>
          <w:lang w:eastAsia="ja-JP"/>
        </w:rPr>
        <w:t xml:space="preserve"> which</w:t>
      </w:r>
      <w:r w:rsidR="43FE4BBA" w:rsidRPr="00DA6753">
        <w:rPr>
          <w:lang w:eastAsia="ja-JP"/>
        </w:rPr>
        <w:t xml:space="preserve"> identified </w:t>
      </w:r>
      <w:r w:rsidR="676B02DE">
        <w:rPr>
          <w:lang w:eastAsia="ja-JP"/>
        </w:rPr>
        <w:t>several</w:t>
      </w:r>
      <w:r w:rsidR="43FE4BBA" w:rsidRPr="00DA6753">
        <w:rPr>
          <w:lang w:eastAsia="ja-JP"/>
        </w:rPr>
        <w:t xml:space="preserve"> key issues inflating energy prices</w:t>
      </w:r>
      <w:r w:rsidR="2757D269" w:rsidRPr="00DA6753">
        <w:rPr>
          <w:lang w:eastAsia="ja-JP"/>
        </w:rPr>
        <w:t xml:space="preserve">, </w:t>
      </w:r>
      <w:r w:rsidR="4DB4F53A" w:rsidRPr="00DA6753">
        <w:rPr>
          <w:lang w:eastAsia="ja-JP"/>
        </w:rPr>
        <w:t xml:space="preserve">the Victorian Government agreed </w:t>
      </w:r>
      <w:r w:rsidR="19955F4E" w:rsidRPr="00DA6753">
        <w:rPr>
          <w:lang w:eastAsia="ja-JP"/>
        </w:rPr>
        <w:t xml:space="preserve">on 26 October 2018 </w:t>
      </w:r>
      <w:r w:rsidR="4DB4F53A" w:rsidRPr="00DA6753">
        <w:rPr>
          <w:lang w:eastAsia="ja-JP"/>
        </w:rPr>
        <w:t xml:space="preserve">to a suite of recommendations </w:t>
      </w:r>
      <w:r w:rsidR="5191C9FE" w:rsidRPr="00DA6753">
        <w:rPr>
          <w:lang w:eastAsia="ja-JP"/>
        </w:rPr>
        <w:t xml:space="preserve">to place </w:t>
      </w:r>
      <w:r w:rsidR="5810CAA4">
        <w:rPr>
          <w:lang w:eastAsia="ja-JP"/>
        </w:rPr>
        <w:t>customer</w:t>
      </w:r>
      <w:r w:rsidR="16C1D914" w:rsidRPr="00DA6753">
        <w:rPr>
          <w:lang w:eastAsia="ja-JP"/>
        </w:rPr>
        <w:t>s back on a level playing field</w:t>
      </w:r>
      <w:r w:rsidR="003F0DC2" w:rsidRPr="00DA6753">
        <w:rPr>
          <w:rStyle w:val="FootnoteReference"/>
          <w:lang w:eastAsia="ja-JP"/>
        </w:rPr>
        <w:footnoteReference w:id="8"/>
      </w:r>
      <w:r w:rsidR="692175CC" w:rsidRPr="00DA6753">
        <w:rPr>
          <w:lang w:eastAsia="ja-JP"/>
        </w:rPr>
        <w:t xml:space="preserve"> which included the introduction of the Victorian Default Offer (VDO)</w:t>
      </w:r>
      <w:r w:rsidR="16C1D914" w:rsidRPr="00DA6753">
        <w:rPr>
          <w:lang w:eastAsia="ja-JP"/>
        </w:rPr>
        <w:t xml:space="preserve">. </w:t>
      </w:r>
      <w:r w:rsidR="1055B6A8" w:rsidRPr="00DA6753">
        <w:rPr>
          <w:lang w:eastAsia="ja-JP"/>
        </w:rPr>
        <w:t>The implementation of the VDO aimed to provide a simple, trusted and reasonabl</w:t>
      </w:r>
      <w:r w:rsidR="080B1009">
        <w:rPr>
          <w:lang w:eastAsia="ja-JP"/>
        </w:rPr>
        <w:t>y</w:t>
      </w:r>
      <w:r w:rsidR="1055B6A8" w:rsidRPr="00DA6753">
        <w:rPr>
          <w:lang w:eastAsia="ja-JP"/>
        </w:rPr>
        <w:t xml:space="preserve"> priced electricity option that safeguards </w:t>
      </w:r>
      <w:r w:rsidR="5810CAA4">
        <w:rPr>
          <w:lang w:eastAsia="ja-JP"/>
        </w:rPr>
        <w:t>customer</w:t>
      </w:r>
      <w:r w:rsidR="1055B6A8" w:rsidRPr="00DA6753">
        <w:rPr>
          <w:lang w:eastAsia="ja-JP"/>
        </w:rPr>
        <w:t xml:space="preserve">s unable or unwilling to engage in the retail market, without impeding </w:t>
      </w:r>
      <w:r w:rsidR="5810CAA4">
        <w:rPr>
          <w:lang w:eastAsia="ja-JP"/>
        </w:rPr>
        <w:t>customer</w:t>
      </w:r>
      <w:r w:rsidR="1055B6A8" w:rsidRPr="00DA6753">
        <w:rPr>
          <w:lang w:eastAsia="ja-JP"/>
        </w:rPr>
        <w:t xml:space="preserve"> benefits experienced by those who are active in the market</w:t>
      </w:r>
      <w:r w:rsidR="007E56A3">
        <w:rPr>
          <w:lang w:eastAsia="ja-JP"/>
        </w:rPr>
        <w:t>.</w:t>
      </w:r>
      <w:r w:rsidR="00BF3831">
        <w:rPr>
          <w:rStyle w:val="FootnoteReference"/>
          <w:lang w:eastAsia="ja-JP"/>
        </w:rPr>
        <w:footnoteReference w:id="9"/>
      </w:r>
      <w:r w:rsidR="1055B6A8" w:rsidRPr="00DA6753">
        <w:rPr>
          <w:lang w:eastAsia="ja-JP"/>
        </w:rPr>
        <w:t xml:space="preserve"> </w:t>
      </w:r>
      <w:r w:rsidR="7F51847F" w:rsidRPr="00BF3831">
        <w:rPr>
          <w:lang w:eastAsia="ja-JP"/>
        </w:rPr>
        <w:t xml:space="preserve"> </w:t>
      </w:r>
    </w:p>
    <w:p w14:paraId="0A4A585D" w14:textId="77777777" w:rsidR="003A10D6" w:rsidRDefault="00234A80" w:rsidP="00DA6753">
      <w:pPr>
        <w:pStyle w:val="Heading3"/>
        <w:spacing w:after="240"/>
        <w:rPr>
          <w:iCs/>
        </w:rPr>
      </w:pPr>
      <w:bookmarkStart w:id="8" w:name="_Toc199343404"/>
      <w:bookmarkStart w:id="9" w:name="_Toc199343405"/>
      <w:bookmarkStart w:id="10" w:name="_Toc201068937"/>
      <w:bookmarkEnd w:id="8"/>
      <w:bookmarkEnd w:id="9"/>
      <w:r>
        <w:t>The objectives of the DMO</w:t>
      </w:r>
      <w:bookmarkEnd w:id="10"/>
      <w:r w:rsidR="00127AEB">
        <w:rPr>
          <w:iCs/>
        </w:rPr>
        <w:t xml:space="preserve"> </w:t>
      </w:r>
    </w:p>
    <w:p w14:paraId="1F038CFB" w14:textId="142B144C" w:rsidR="00226FF7" w:rsidRDefault="008B4604" w:rsidP="006D25C4">
      <w:pPr>
        <w:spacing w:after="160" w:line="259" w:lineRule="auto"/>
        <w:rPr>
          <w:iCs/>
        </w:rPr>
      </w:pPr>
      <w:r>
        <w:rPr>
          <w:iCs/>
        </w:rPr>
        <w:t>T</w:t>
      </w:r>
      <w:r w:rsidR="00EB1757" w:rsidRPr="00EB1757">
        <w:rPr>
          <w:iCs/>
        </w:rPr>
        <w:t xml:space="preserve">he DMO was introduced in response to the ACCC’s findings </w:t>
      </w:r>
      <w:r w:rsidR="00DC6CDA">
        <w:rPr>
          <w:iCs/>
        </w:rPr>
        <w:t xml:space="preserve">in its REPI report </w:t>
      </w:r>
      <w:r w:rsidR="00EB1757" w:rsidRPr="00EB1757">
        <w:rPr>
          <w:iCs/>
        </w:rPr>
        <w:t xml:space="preserve">of significant failures in </w:t>
      </w:r>
      <w:r w:rsidR="00A77F4C">
        <w:rPr>
          <w:iCs/>
        </w:rPr>
        <w:t xml:space="preserve">the development of </w:t>
      </w:r>
      <w:r w:rsidR="00DC7014">
        <w:rPr>
          <w:iCs/>
        </w:rPr>
        <w:t xml:space="preserve">retail </w:t>
      </w:r>
      <w:r w:rsidR="00A77F4C">
        <w:rPr>
          <w:iCs/>
        </w:rPr>
        <w:t>competition</w:t>
      </w:r>
      <w:r w:rsidR="00207862">
        <w:rPr>
          <w:iCs/>
        </w:rPr>
        <w:t xml:space="preserve"> which led to poor </w:t>
      </w:r>
      <w:r w:rsidR="001C2804">
        <w:rPr>
          <w:iCs/>
        </w:rPr>
        <w:t>customer</w:t>
      </w:r>
      <w:r w:rsidR="00207862">
        <w:rPr>
          <w:iCs/>
        </w:rPr>
        <w:t xml:space="preserve"> outcomes</w:t>
      </w:r>
      <w:r w:rsidR="000C11C4">
        <w:rPr>
          <w:iCs/>
        </w:rPr>
        <w:t xml:space="preserve"> and hindered the ability for smaller retailers to </w:t>
      </w:r>
      <w:r w:rsidR="00E757B6">
        <w:rPr>
          <w:iCs/>
        </w:rPr>
        <w:t>attract and acquire customers</w:t>
      </w:r>
      <w:r w:rsidR="00EB1757" w:rsidRPr="00EB1757">
        <w:rPr>
          <w:iCs/>
        </w:rPr>
        <w:t xml:space="preserve">. </w:t>
      </w:r>
    </w:p>
    <w:p w14:paraId="0EF3EFA5" w14:textId="4B99AA83" w:rsidR="00EB1757" w:rsidRDefault="0082617B" w:rsidP="006D25C4">
      <w:pPr>
        <w:spacing w:after="160" w:line="259" w:lineRule="auto"/>
        <w:rPr>
          <w:iCs/>
        </w:rPr>
      </w:pPr>
      <w:r>
        <w:rPr>
          <w:iCs/>
        </w:rPr>
        <w:t>To address these issues, t</w:t>
      </w:r>
      <w:r w:rsidR="00B0023C">
        <w:rPr>
          <w:iCs/>
        </w:rPr>
        <w:t>he ACCC outlined a plan to reset the rules and policies shaping competition in Australia’s electricity market.</w:t>
      </w:r>
      <w:r w:rsidR="00EB1757" w:rsidRPr="00EB1757">
        <w:rPr>
          <w:iCs/>
        </w:rPr>
        <w:t xml:space="preserve"> </w:t>
      </w:r>
      <w:r>
        <w:rPr>
          <w:iCs/>
        </w:rPr>
        <w:t xml:space="preserve">Recommendations 30 and 32 of the REPI report led to the creation of the DMO. </w:t>
      </w:r>
      <w:r w:rsidR="00EB1757" w:rsidRPr="00EB1757">
        <w:rPr>
          <w:iCs/>
        </w:rPr>
        <w:t>Recommendation 30 proposed replacing independently set standing offers with a regulated default offer determined by the AER.</w:t>
      </w:r>
      <w:r>
        <w:rPr>
          <w:iCs/>
        </w:rPr>
        <w:t xml:space="preserve"> </w:t>
      </w:r>
      <w:r w:rsidR="00EB1757" w:rsidRPr="00EB1757">
        <w:rPr>
          <w:iCs/>
        </w:rPr>
        <w:t xml:space="preserve">Recommendation 32 advocated for the introduction of a reference price to standardise how retailers advertise discounts. </w:t>
      </w:r>
    </w:p>
    <w:p w14:paraId="5406A512" w14:textId="1655D9B1" w:rsidR="006D25C4" w:rsidRPr="006D25C4" w:rsidRDefault="006D25C4" w:rsidP="006D25C4">
      <w:pPr>
        <w:spacing w:after="160" w:line="259" w:lineRule="auto"/>
        <w:rPr>
          <w:iCs/>
        </w:rPr>
      </w:pPr>
      <w:r w:rsidRPr="006D25C4">
        <w:rPr>
          <w:iCs/>
        </w:rPr>
        <w:t xml:space="preserve">The </w:t>
      </w:r>
      <w:r w:rsidR="00A01A07">
        <w:rPr>
          <w:iCs/>
        </w:rPr>
        <w:t xml:space="preserve">current </w:t>
      </w:r>
      <w:r w:rsidRPr="006D25C4">
        <w:rPr>
          <w:iCs/>
        </w:rPr>
        <w:t xml:space="preserve">DMO </w:t>
      </w:r>
      <w:r w:rsidR="00EF4180">
        <w:rPr>
          <w:iCs/>
        </w:rPr>
        <w:t xml:space="preserve">pricing </w:t>
      </w:r>
      <w:r w:rsidR="00A01A07">
        <w:rPr>
          <w:iCs/>
        </w:rPr>
        <w:t xml:space="preserve">framework </w:t>
      </w:r>
      <w:r w:rsidR="00382BAF">
        <w:rPr>
          <w:iCs/>
        </w:rPr>
        <w:t xml:space="preserve">is </w:t>
      </w:r>
      <w:r w:rsidR="00222046">
        <w:rPr>
          <w:iCs/>
        </w:rPr>
        <w:t>define</w:t>
      </w:r>
      <w:r w:rsidR="00382BAF">
        <w:rPr>
          <w:iCs/>
        </w:rPr>
        <w:t>d by</w:t>
      </w:r>
      <w:r w:rsidRPr="006D25C4">
        <w:rPr>
          <w:iCs/>
        </w:rPr>
        <w:t xml:space="preserve"> three key </w:t>
      </w:r>
      <w:r w:rsidR="001F28AC">
        <w:rPr>
          <w:iCs/>
        </w:rPr>
        <w:t xml:space="preserve">policy </w:t>
      </w:r>
      <w:r w:rsidRPr="006D25C4">
        <w:rPr>
          <w:iCs/>
        </w:rPr>
        <w:t>objectives:</w:t>
      </w:r>
    </w:p>
    <w:p w14:paraId="1DF77FEE" w14:textId="165B2676" w:rsidR="006D25C4" w:rsidRPr="006D25C4" w:rsidRDefault="001F28AC" w:rsidP="000A795C">
      <w:pPr>
        <w:numPr>
          <w:ilvl w:val="0"/>
          <w:numId w:val="19"/>
        </w:numPr>
        <w:spacing w:after="160" w:line="259" w:lineRule="auto"/>
        <w:rPr>
          <w:iCs/>
        </w:rPr>
      </w:pPr>
      <w:r>
        <w:rPr>
          <w:b/>
          <w:bCs/>
          <w:iCs/>
        </w:rPr>
        <w:t>Protect</w:t>
      </w:r>
      <w:r w:rsidR="006D25C4" w:rsidRPr="006D25C4">
        <w:rPr>
          <w:iCs/>
        </w:rPr>
        <w:t> </w:t>
      </w:r>
      <w:r w:rsidR="001C2804">
        <w:rPr>
          <w:iCs/>
        </w:rPr>
        <w:t>customer</w:t>
      </w:r>
      <w:r>
        <w:rPr>
          <w:iCs/>
        </w:rPr>
        <w:t>s from unreasonable prices in the market by reducing unjustifiably high standing offer prices</w:t>
      </w:r>
      <w:r w:rsidR="006D25C4" w:rsidRPr="006D25C4">
        <w:rPr>
          <w:iCs/>
        </w:rPr>
        <w:t>.</w:t>
      </w:r>
    </w:p>
    <w:p w14:paraId="3AF37F84" w14:textId="26AE10C8" w:rsidR="006D25C4" w:rsidRPr="006D25C4" w:rsidRDefault="001F28AC" w:rsidP="000A795C">
      <w:pPr>
        <w:numPr>
          <w:ilvl w:val="0"/>
          <w:numId w:val="19"/>
        </w:numPr>
        <w:spacing w:after="160" w:line="259" w:lineRule="auto"/>
        <w:rPr>
          <w:iCs/>
        </w:rPr>
      </w:pPr>
      <w:r>
        <w:rPr>
          <w:b/>
          <w:bCs/>
          <w:iCs/>
        </w:rPr>
        <w:t xml:space="preserve">Allow </w:t>
      </w:r>
      <w:r>
        <w:rPr>
          <w:iCs/>
        </w:rPr>
        <w:t>retailers to recover their efficient costs of providing services, including a reasonable retail margin and costs associated with customer acquisition and retention</w:t>
      </w:r>
      <w:r w:rsidR="006D25C4" w:rsidRPr="006D25C4">
        <w:rPr>
          <w:iCs/>
        </w:rPr>
        <w:t>.</w:t>
      </w:r>
    </w:p>
    <w:p w14:paraId="2A6FAB51" w14:textId="29573CC4" w:rsidR="006D25C4" w:rsidRPr="006D25C4" w:rsidRDefault="001F28AC" w:rsidP="000A795C">
      <w:pPr>
        <w:numPr>
          <w:ilvl w:val="0"/>
          <w:numId w:val="19"/>
        </w:numPr>
        <w:spacing w:after="160" w:line="259" w:lineRule="auto"/>
        <w:rPr>
          <w:iCs/>
        </w:rPr>
      </w:pPr>
      <w:r>
        <w:rPr>
          <w:b/>
          <w:bCs/>
          <w:iCs/>
        </w:rPr>
        <w:t>Maintain</w:t>
      </w:r>
      <w:r w:rsidR="006D25C4" w:rsidRPr="006D25C4">
        <w:rPr>
          <w:iCs/>
        </w:rPr>
        <w:t> </w:t>
      </w:r>
      <w:r>
        <w:rPr>
          <w:iCs/>
        </w:rPr>
        <w:t xml:space="preserve">incentives for competition, innovation and investment by retailers, and incentives for </w:t>
      </w:r>
      <w:r w:rsidR="001C2804">
        <w:rPr>
          <w:iCs/>
        </w:rPr>
        <w:t>customer</w:t>
      </w:r>
      <w:r>
        <w:rPr>
          <w:iCs/>
        </w:rPr>
        <w:t>s to engage in the market</w:t>
      </w:r>
      <w:r w:rsidR="006D25C4" w:rsidRPr="006D25C4">
        <w:rPr>
          <w:iCs/>
        </w:rPr>
        <w:t>.</w:t>
      </w:r>
    </w:p>
    <w:p w14:paraId="402E33DA" w14:textId="70CDC285" w:rsidR="00A9046A" w:rsidRPr="009D7F97" w:rsidRDefault="00533D2E" w:rsidP="00A9046A">
      <w:pPr>
        <w:rPr>
          <w:lang w:eastAsia="ja-JP"/>
        </w:rPr>
      </w:pPr>
      <w:r>
        <w:rPr>
          <w:lang w:eastAsia="ja-JP"/>
        </w:rPr>
        <w:t>A</w:t>
      </w:r>
      <w:r w:rsidR="00A9046A">
        <w:rPr>
          <w:lang w:eastAsia="ja-JP"/>
        </w:rPr>
        <w:t>s noted by th</w:t>
      </w:r>
      <w:r w:rsidR="00A9046A" w:rsidRPr="48B53750">
        <w:rPr>
          <w:lang w:eastAsia="ja-JP"/>
        </w:rPr>
        <w:t xml:space="preserve">e </w:t>
      </w:r>
      <w:r w:rsidR="003509D3" w:rsidRPr="56A953E7">
        <w:rPr>
          <w:lang w:eastAsia="ja-JP"/>
        </w:rPr>
        <w:t>AER</w:t>
      </w:r>
      <w:r w:rsidR="00A9046A">
        <w:rPr>
          <w:lang w:eastAsia="ja-JP"/>
        </w:rPr>
        <w:t xml:space="preserve"> in its final determination for the 2025-26 DMO, </w:t>
      </w:r>
      <w:r w:rsidR="00362158" w:rsidRPr="00362158">
        <w:rPr>
          <w:lang w:eastAsia="ja-JP"/>
        </w:rPr>
        <w:t xml:space="preserve">the Electricity Retail Code requires that the DMO reflects the 'reasonable' costs of a retailer supplying electricity, whereas regulatory frameworks in other regions including Victoria incorporate efficient costs </w:t>
      </w:r>
      <w:r w:rsidR="00362158" w:rsidRPr="00362158">
        <w:rPr>
          <w:lang w:eastAsia="ja-JP"/>
        </w:rPr>
        <w:lastRenderedPageBreak/>
        <w:t>of supply</w:t>
      </w:r>
      <w:r w:rsidR="00A9046A" w:rsidRPr="00B67687">
        <w:rPr>
          <w:lang w:eastAsia="ja-JP"/>
        </w:rPr>
        <w:t>. For regional Queensland, the A</w:t>
      </w:r>
      <w:r w:rsidR="00BC4FAE">
        <w:rPr>
          <w:lang w:eastAsia="ja-JP"/>
        </w:rPr>
        <w:t xml:space="preserve">ustralian </w:t>
      </w:r>
      <w:r w:rsidR="00A9046A" w:rsidRPr="00B67687">
        <w:rPr>
          <w:lang w:eastAsia="ja-JP"/>
        </w:rPr>
        <w:t>C</w:t>
      </w:r>
      <w:r w:rsidR="00BC4FAE">
        <w:rPr>
          <w:lang w:eastAsia="ja-JP"/>
        </w:rPr>
        <w:t xml:space="preserve">apital </w:t>
      </w:r>
      <w:r w:rsidR="00A9046A" w:rsidRPr="00B67687">
        <w:rPr>
          <w:lang w:eastAsia="ja-JP"/>
        </w:rPr>
        <w:t>T</w:t>
      </w:r>
      <w:r w:rsidR="00BC4FAE">
        <w:rPr>
          <w:lang w:eastAsia="ja-JP"/>
        </w:rPr>
        <w:t>erritory</w:t>
      </w:r>
      <w:r w:rsidR="00A9046A" w:rsidRPr="00B67687">
        <w:rPr>
          <w:lang w:eastAsia="ja-JP"/>
        </w:rPr>
        <w:t xml:space="preserve"> </w:t>
      </w:r>
      <w:r w:rsidR="00320D66">
        <w:rPr>
          <w:lang w:eastAsia="ja-JP"/>
        </w:rPr>
        <w:t>(ACT)</w:t>
      </w:r>
      <w:r w:rsidR="00A9046A" w:rsidRPr="00B67687">
        <w:rPr>
          <w:lang w:eastAsia="ja-JP"/>
        </w:rPr>
        <w:t xml:space="preserve"> and Tasmania, where there is limited retail electricity competition, regulated prices are intended to be efficient prices in </w:t>
      </w:r>
      <w:r w:rsidR="00D027BC">
        <w:rPr>
          <w:lang w:eastAsia="ja-JP"/>
        </w:rPr>
        <w:t xml:space="preserve">the </w:t>
      </w:r>
      <w:r w:rsidR="00A9046A" w:rsidRPr="00B67687">
        <w:rPr>
          <w:lang w:eastAsia="ja-JP"/>
        </w:rPr>
        <w:t>market, due to the lack of competitive tension between retailers.</w:t>
      </w:r>
    </w:p>
    <w:p w14:paraId="066615D1" w14:textId="77777777" w:rsidR="00E53D3B" w:rsidRDefault="00A9046A" w:rsidP="00BC4FAE">
      <w:pPr>
        <w:rPr>
          <w:lang w:eastAsia="ja-JP"/>
        </w:rPr>
      </w:pPr>
      <w:r>
        <w:rPr>
          <w:lang w:eastAsia="ja-JP"/>
        </w:rPr>
        <w:t>Both the VDO and DMO</w:t>
      </w:r>
      <w:r w:rsidR="00612905">
        <w:rPr>
          <w:lang w:eastAsia="ja-JP"/>
        </w:rPr>
        <w:t xml:space="preserve"> regulated offers seek to provide enhanced protections to disengaged customers</w:t>
      </w:r>
      <w:r w:rsidR="0067538B">
        <w:rPr>
          <w:lang w:eastAsia="ja-JP"/>
        </w:rPr>
        <w:t xml:space="preserve"> in competitive retail markets</w:t>
      </w:r>
      <w:r w:rsidR="00612905">
        <w:rPr>
          <w:lang w:eastAsia="ja-JP"/>
        </w:rPr>
        <w:t xml:space="preserve">. However, the policy objectives of each framework </w:t>
      </w:r>
      <w:r w:rsidR="00BC4FAE">
        <w:rPr>
          <w:lang w:eastAsia="ja-JP"/>
        </w:rPr>
        <w:t>place</w:t>
      </w:r>
      <w:r w:rsidR="00612905">
        <w:rPr>
          <w:lang w:eastAsia="ja-JP"/>
        </w:rPr>
        <w:t xml:space="preserve"> a different emphasis on the extent to which standing offer customers not engaged in the </w:t>
      </w:r>
      <w:r w:rsidR="0067538B">
        <w:rPr>
          <w:lang w:eastAsia="ja-JP"/>
        </w:rPr>
        <w:t xml:space="preserve">competitive </w:t>
      </w:r>
      <w:r w:rsidR="00612905">
        <w:rPr>
          <w:lang w:eastAsia="ja-JP"/>
        </w:rPr>
        <w:t xml:space="preserve">market bear additional costs for incentives </w:t>
      </w:r>
      <w:r w:rsidR="003C0C81">
        <w:rPr>
          <w:lang w:eastAsia="ja-JP"/>
        </w:rPr>
        <w:t xml:space="preserve">for </w:t>
      </w:r>
      <w:r w:rsidR="00612905">
        <w:rPr>
          <w:lang w:eastAsia="ja-JP"/>
        </w:rPr>
        <w:t xml:space="preserve">competition. </w:t>
      </w:r>
    </w:p>
    <w:p w14:paraId="684AA3F8" w14:textId="43B1337B" w:rsidR="00612905" w:rsidRPr="00BC4FAE" w:rsidRDefault="00612905" w:rsidP="00BC4FAE">
      <w:pPr>
        <w:rPr>
          <w:lang w:eastAsia="ja-JP"/>
        </w:rPr>
      </w:pPr>
      <w:r>
        <w:rPr>
          <w:lang w:eastAsia="ja-JP"/>
        </w:rPr>
        <w:t xml:space="preserve">Ultimately, this results in </w:t>
      </w:r>
      <w:r w:rsidRPr="00BC4FAE">
        <w:rPr>
          <w:lang w:eastAsia="ja-JP"/>
        </w:rPr>
        <w:t xml:space="preserve">setting a regulated price at the efficient cost of supplying electricity </w:t>
      </w:r>
      <w:r w:rsidR="003C0C81">
        <w:rPr>
          <w:lang w:eastAsia="ja-JP"/>
        </w:rPr>
        <w:t xml:space="preserve">(in the VDO) </w:t>
      </w:r>
      <w:r w:rsidRPr="00BC4FAE">
        <w:rPr>
          <w:lang w:eastAsia="ja-JP"/>
        </w:rPr>
        <w:t xml:space="preserve">compared to allowing for additional costs </w:t>
      </w:r>
      <w:r w:rsidR="00326FF1">
        <w:rPr>
          <w:lang w:eastAsia="ja-JP"/>
        </w:rPr>
        <w:t>such as</w:t>
      </w:r>
      <w:r w:rsidRPr="00BC4FAE">
        <w:rPr>
          <w:lang w:eastAsia="ja-JP"/>
        </w:rPr>
        <w:t xml:space="preserve"> the inclusion of a competition allowance</w:t>
      </w:r>
      <w:r w:rsidR="003C0C81">
        <w:rPr>
          <w:lang w:eastAsia="ja-JP"/>
        </w:rPr>
        <w:t xml:space="preserve"> (in the DMO)</w:t>
      </w:r>
      <w:r w:rsidRPr="00BC4FAE">
        <w:rPr>
          <w:lang w:eastAsia="ja-JP"/>
        </w:rPr>
        <w:t>.</w:t>
      </w:r>
      <w:r w:rsidR="008333BC">
        <w:rPr>
          <w:lang w:eastAsia="ja-JP"/>
        </w:rPr>
        <w:t xml:space="preserve"> Further, the VDO places constraints on </w:t>
      </w:r>
      <w:r w:rsidR="00430B65">
        <w:rPr>
          <w:lang w:eastAsia="ja-JP"/>
        </w:rPr>
        <w:t xml:space="preserve">some cost categories such as retail margins and customer acquisition and retention costs that otherwise </w:t>
      </w:r>
      <w:r w:rsidR="005E14CF">
        <w:rPr>
          <w:lang w:eastAsia="ja-JP"/>
        </w:rPr>
        <w:t>have limited explicit constraints</w:t>
      </w:r>
      <w:r w:rsidR="00430B65">
        <w:rPr>
          <w:lang w:eastAsia="ja-JP"/>
        </w:rPr>
        <w:t xml:space="preserve"> under the DMO pricing framework.</w:t>
      </w:r>
    </w:p>
    <w:p w14:paraId="4D619626" w14:textId="4D911213" w:rsidR="00CF79E7" w:rsidRDefault="00335E4B" w:rsidP="00DA6753">
      <w:pPr>
        <w:pStyle w:val="Heading4"/>
        <w:spacing w:after="240"/>
      </w:pPr>
      <w:r>
        <w:t xml:space="preserve">The DMO regulates the price charged for standing offer contracts </w:t>
      </w:r>
    </w:p>
    <w:p w14:paraId="05CD6714" w14:textId="4E06A77A" w:rsidR="00E4594C" w:rsidRDefault="00FD064F" w:rsidP="006C52AA">
      <w:pPr>
        <w:spacing w:after="160"/>
        <w:rPr>
          <w:iCs/>
        </w:rPr>
      </w:pPr>
      <w:r>
        <w:t>Standard Retail Contracts (referred to as s</w:t>
      </w:r>
      <w:r w:rsidR="00CF79E7" w:rsidRPr="00CF79E7">
        <w:t xml:space="preserve">tanding offers </w:t>
      </w:r>
      <w:r>
        <w:t xml:space="preserve">in this paper) </w:t>
      </w:r>
      <w:r w:rsidR="00CF79E7" w:rsidRPr="00CF79E7">
        <w:t>are intended to provide a level of protection to customers not engaged in the retail electricity market.</w:t>
      </w:r>
      <w:r w:rsidR="00E4594C" w:rsidRPr="00E4594C">
        <w:rPr>
          <w:iCs/>
        </w:rPr>
        <w:t xml:space="preserve"> </w:t>
      </w:r>
      <w:r w:rsidR="00FB2D18">
        <w:rPr>
          <w:iCs/>
        </w:rPr>
        <w:t xml:space="preserve">The terms and conditions </w:t>
      </w:r>
      <w:r w:rsidR="00AF65FD">
        <w:rPr>
          <w:iCs/>
        </w:rPr>
        <w:t xml:space="preserve">of a standing offer is set by </w:t>
      </w:r>
      <w:r w:rsidR="009752A7">
        <w:rPr>
          <w:iCs/>
        </w:rPr>
        <w:t xml:space="preserve">law and cannot be changed by </w:t>
      </w:r>
      <w:r w:rsidR="00300B73">
        <w:rPr>
          <w:iCs/>
        </w:rPr>
        <w:t xml:space="preserve">a </w:t>
      </w:r>
      <w:r w:rsidR="009752A7">
        <w:rPr>
          <w:iCs/>
        </w:rPr>
        <w:t>retailer</w:t>
      </w:r>
      <w:r w:rsidR="00AF65FD">
        <w:rPr>
          <w:iCs/>
        </w:rPr>
        <w:t>.</w:t>
      </w:r>
      <w:r w:rsidR="00283F5D">
        <w:rPr>
          <w:rStyle w:val="FootnoteReference"/>
          <w:iCs/>
        </w:rPr>
        <w:footnoteReference w:id="10"/>
      </w:r>
      <w:r w:rsidR="00AF65FD">
        <w:rPr>
          <w:iCs/>
        </w:rPr>
        <w:t xml:space="preserve"> </w:t>
      </w:r>
      <w:r w:rsidR="00E4594C" w:rsidRPr="00D71A7F">
        <w:rPr>
          <w:iCs/>
        </w:rPr>
        <w:t>A customer may be on a standing offer for several reasons – such as, if they have never switched to a retailer’s market offer or have defaulted to a standing offer at the end of their market offer benefit period.</w:t>
      </w:r>
    </w:p>
    <w:p w14:paraId="788D7CEA" w14:textId="7A5115BC" w:rsidR="000A7A02" w:rsidRDefault="4E46FD45" w:rsidP="006C52AA">
      <w:pPr>
        <w:spacing w:after="160"/>
      </w:pPr>
      <w:r>
        <w:t xml:space="preserve">Standing offers are generally not the cheapest offers on the market. </w:t>
      </w:r>
      <w:proofErr w:type="gramStart"/>
      <w:r>
        <w:t>The majority of</w:t>
      </w:r>
      <w:proofErr w:type="gramEnd"/>
      <w:r>
        <w:t xml:space="preserve"> customers are on “market offers”</w:t>
      </w:r>
      <w:r w:rsidR="49A521EE">
        <w:t xml:space="preserve"> that are subject to a set of minimum terms and conditions and </w:t>
      </w:r>
      <w:r w:rsidR="31CCDD3F">
        <w:t xml:space="preserve">for which </w:t>
      </w:r>
      <w:r w:rsidR="49A521EE">
        <w:t xml:space="preserve">the </w:t>
      </w:r>
      <w:r>
        <w:t>retailer</w:t>
      </w:r>
      <w:r w:rsidR="00377621">
        <w:t>, not the AER,</w:t>
      </w:r>
      <w:r>
        <w:t xml:space="preserve"> sets the price</w:t>
      </w:r>
      <w:r w:rsidR="4CDFB3E5">
        <w:t>.</w:t>
      </w:r>
      <w:r w:rsidR="656B0C23">
        <w:t xml:space="preserve"> Retailers may offer discounts, </w:t>
      </w:r>
      <w:r w:rsidR="31CCDD3F">
        <w:t xml:space="preserve">feed in tariffs, </w:t>
      </w:r>
      <w:r w:rsidR="656B0C23">
        <w:t>renewable energy options</w:t>
      </w:r>
      <w:r w:rsidR="31CCDD3F">
        <w:t>,</w:t>
      </w:r>
      <w:r w:rsidR="656B0C23">
        <w:t xml:space="preserve"> and other incentives </w:t>
      </w:r>
      <w:r w:rsidR="1DBD98A2">
        <w:t xml:space="preserve">to customers on </w:t>
      </w:r>
      <w:r w:rsidR="656B0C23">
        <w:t>their market offers.</w:t>
      </w:r>
    </w:p>
    <w:p w14:paraId="24B7F886" w14:textId="6B6880B7" w:rsidR="00DB2A89" w:rsidRDefault="001E1DD4" w:rsidP="006C52AA">
      <w:r>
        <w:t xml:space="preserve">The DMO </w:t>
      </w:r>
      <w:r w:rsidR="00377621">
        <w:t xml:space="preserve">is </w:t>
      </w:r>
      <w:r>
        <w:t>set</w:t>
      </w:r>
      <w:r w:rsidR="002A523B">
        <w:t xml:space="preserve"> a</w:t>
      </w:r>
      <w:r>
        <w:t xml:space="preserve">s an annual price cap </w:t>
      </w:r>
      <w:r w:rsidR="00FB54E4">
        <w:t xml:space="preserve">based on a model annual usage </w:t>
      </w:r>
      <w:r>
        <w:t xml:space="preserve">for standing offers </w:t>
      </w:r>
      <w:r w:rsidR="00FB54E4">
        <w:t xml:space="preserve">in </w:t>
      </w:r>
      <w:r w:rsidR="03E74819">
        <w:t>DMO regions</w:t>
      </w:r>
      <w:r w:rsidR="00FB54E4">
        <w:t xml:space="preserve">. </w:t>
      </w:r>
      <w:r w:rsidR="005F11F0">
        <w:t xml:space="preserve">The </w:t>
      </w:r>
      <w:r w:rsidR="00294853">
        <w:t>AER</w:t>
      </w:r>
      <w:r w:rsidR="00723AD8">
        <w:t xml:space="preserve"> annually determines the DMO price</w:t>
      </w:r>
      <w:r w:rsidR="00294853">
        <w:t xml:space="preserve"> </w:t>
      </w:r>
      <w:r w:rsidR="001527AE" w:rsidRPr="001527AE">
        <w:t xml:space="preserve">in accordance with the requirements set out in the </w:t>
      </w:r>
      <w:r w:rsidR="009A48A1">
        <w:rPr>
          <w:lang w:eastAsia="ja-JP"/>
        </w:rPr>
        <w:t xml:space="preserve">Electricity Retail </w:t>
      </w:r>
      <w:r w:rsidR="00AF1BD0">
        <w:rPr>
          <w:lang w:eastAsia="ja-JP"/>
        </w:rPr>
        <w:t>Code</w:t>
      </w:r>
      <w:r w:rsidR="001527AE" w:rsidRPr="001527AE">
        <w:t xml:space="preserve">. </w:t>
      </w:r>
    </w:p>
    <w:p w14:paraId="356BDC14" w14:textId="006E8DDB" w:rsidR="001662E0" w:rsidRDefault="00495444" w:rsidP="006C52AA">
      <w:r>
        <w:lastRenderedPageBreak/>
        <w:t xml:space="preserve">The Electricity Retail Code lists the matters </w:t>
      </w:r>
      <w:r w:rsidR="001527AE" w:rsidRPr="001527AE">
        <w:t>the AER must have regard to</w:t>
      </w:r>
      <w:r>
        <w:t xml:space="preserve"> in its determination</w:t>
      </w:r>
      <w:r w:rsidR="00021E69">
        <w:t>:</w:t>
      </w:r>
      <w:r w:rsidR="00326FF1">
        <w:rPr>
          <w:rStyle w:val="FootnoteReference"/>
        </w:rPr>
        <w:footnoteReference w:id="11"/>
      </w:r>
    </w:p>
    <w:p w14:paraId="4F1A7297" w14:textId="10C4D145" w:rsidR="0033396B" w:rsidRPr="005A4F60" w:rsidRDefault="2B4F54AF" w:rsidP="000A795C">
      <w:pPr>
        <w:pStyle w:val="ListParagraph"/>
        <w:numPr>
          <w:ilvl w:val="0"/>
          <w:numId w:val="11"/>
        </w:numPr>
        <w:spacing w:after="160" w:line="276" w:lineRule="auto"/>
        <w:rPr>
          <w:iCs/>
        </w:rPr>
      </w:pPr>
      <w:r>
        <w:t>T</w:t>
      </w:r>
      <w:r w:rsidR="0033396B">
        <w:t>he</w:t>
      </w:r>
      <w:r w:rsidR="0033396B" w:rsidRPr="005A4F60">
        <w:rPr>
          <w:iCs/>
        </w:rPr>
        <w:t xml:space="preserve"> prices electricity retailers charge for supplying electricity in the region to that type of small customer.</w:t>
      </w:r>
    </w:p>
    <w:p w14:paraId="44AAED9C" w14:textId="0ECF8571" w:rsidR="0033396B" w:rsidRPr="005A4F60" w:rsidRDefault="2BAE6D90" w:rsidP="000A795C">
      <w:pPr>
        <w:pStyle w:val="ListParagraph"/>
        <w:numPr>
          <w:ilvl w:val="0"/>
          <w:numId w:val="11"/>
        </w:numPr>
        <w:spacing w:after="160" w:line="276" w:lineRule="auto"/>
        <w:rPr>
          <w:iCs/>
        </w:rPr>
      </w:pPr>
      <w:r>
        <w:t>T</w:t>
      </w:r>
      <w:r w:rsidR="0033396B">
        <w:t>he</w:t>
      </w:r>
      <w:r w:rsidR="0033396B" w:rsidRPr="005A4F60">
        <w:rPr>
          <w:iCs/>
        </w:rPr>
        <w:t xml:space="preserve"> principle that an electricity retailer should be able to make a reasonable profit in relation to supplying electricity in the region.</w:t>
      </w:r>
    </w:p>
    <w:p w14:paraId="6C6A62F2" w14:textId="21E7E3AE" w:rsidR="0033396B" w:rsidRDefault="70F8B3AB" w:rsidP="000A795C">
      <w:pPr>
        <w:pStyle w:val="ListParagraph"/>
        <w:numPr>
          <w:ilvl w:val="0"/>
          <w:numId w:val="11"/>
        </w:numPr>
        <w:spacing w:after="160" w:line="276" w:lineRule="auto"/>
        <w:rPr>
          <w:iCs/>
        </w:rPr>
      </w:pPr>
      <w:r>
        <w:t>T</w:t>
      </w:r>
      <w:r w:rsidR="0033396B">
        <w:t>he</w:t>
      </w:r>
      <w:r w:rsidR="0033396B" w:rsidRPr="005A4F60">
        <w:rPr>
          <w:iCs/>
        </w:rPr>
        <w:t xml:space="preserve"> following costs:</w:t>
      </w:r>
    </w:p>
    <w:p w14:paraId="4862BF9F" w14:textId="6428359A" w:rsidR="0033396B" w:rsidRDefault="00B55B9D" w:rsidP="000A795C">
      <w:pPr>
        <w:pStyle w:val="ListParagraph"/>
        <w:numPr>
          <w:ilvl w:val="1"/>
          <w:numId w:val="11"/>
        </w:numPr>
        <w:spacing w:line="276" w:lineRule="auto"/>
        <w:rPr>
          <w:iCs/>
        </w:rPr>
      </w:pPr>
      <w:r>
        <w:rPr>
          <w:i/>
        </w:rPr>
        <w:t xml:space="preserve">Wholesale cost: </w:t>
      </w:r>
      <w:r w:rsidR="0033396B" w:rsidRPr="005A4F60">
        <w:rPr>
          <w:iCs/>
        </w:rPr>
        <w:t>the wholesale cost of electricity in the region.</w:t>
      </w:r>
    </w:p>
    <w:p w14:paraId="0F5E0B36" w14:textId="759D39CC" w:rsidR="0033396B" w:rsidRDefault="00B55B9D" w:rsidP="000A795C">
      <w:pPr>
        <w:pStyle w:val="ListParagraph"/>
        <w:numPr>
          <w:ilvl w:val="1"/>
          <w:numId w:val="11"/>
        </w:numPr>
        <w:spacing w:line="276" w:lineRule="auto"/>
        <w:rPr>
          <w:iCs/>
        </w:rPr>
      </w:pPr>
      <w:r>
        <w:rPr>
          <w:i/>
        </w:rPr>
        <w:t xml:space="preserve">Network cost: </w:t>
      </w:r>
      <w:r w:rsidR="0033396B" w:rsidRPr="005A4F60">
        <w:rPr>
          <w:iCs/>
        </w:rPr>
        <w:t>the cost of distributing and transmitting electricity in the region.</w:t>
      </w:r>
    </w:p>
    <w:p w14:paraId="25E0BEEE" w14:textId="300A2B89" w:rsidR="0033396B" w:rsidRDefault="00B55B9D" w:rsidP="000A795C">
      <w:pPr>
        <w:pStyle w:val="ListParagraph"/>
        <w:numPr>
          <w:ilvl w:val="1"/>
          <w:numId w:val="11"/>
        </w:numPr>
        <w:spacing w:line="276" w:lineRule="auto"/>
        <w:rPr>
          <w:iCs/>
        </w:rPr>
      </w:pPr>
      <w:r>
        <w:rPr>
          <w:i/>
        </w:rPr>
        <w:t xml:space="preserve">Environmental costs: </w:t>
      </w:r>
      <w:r w:rsidR="0033396B" w:rsidRPr="005A4F60">
        <w:rPr>
          <w:iCs/>
        </w:rPr>
        <w:t>the cost of complying with the laws of the Commonwealth and the relevant State or Territory in relation to supplying electricity in the region.</w:t>
      </w:r>
    </w:p>
    <w:p w14:paraId="3A097FA9" w14:textId="59FB6FDC" w:rsidR="0033396B" w:rsidRDefault="00B55B9D" w:rsidP="000A795C">
      <w:pPr>
        <w:pStyle w:val="ListParagraph"/>
        <w:numPr>
          <w:ilvl w:val="1"/>
          <w:numId w:val="11"/>
        </w:numPr>
        <w:spacing w:line="276" w:lineRule="auto"/>
        <w:rPr>
          <w:iCs/>
        </w:rPr>
      </w:pPr>
      <w:r>
        <w:rPr>
          <w:i/>
        </w:rPr>
        <w:t xml:space="preserve">Customer acquisition and retention cost (CARC): </w:t>
      </w:r>
      <w:r w:rsidR="0033396B" w:rsidRPr="005A4F60">
        <w:rPr>
          <w:iCs/>
        </w:rPr>
        <w:t>if relevant to the region—the cost of acquiring and retaining small customers.</w:t>
      </w:r>
    </w:p>
    <w:p w14:paraId="06CB3D74" w14:textId="12ACCD69" w:rsidR="000E3078" w:rsidRDefault="00B55B9D" w:rsidP="000A795C">
      <w:pPr>
        <w:pStyle w:val="ListParagraph"/>
        <w:numPr>
          <w:ilvl w:val="1"/>
          <w:numId w:val="11"/>
        </w:numPr>
        <w:spacing w:line="276" w:lineRule="auto"/>
        <w:rPr>
          <w:iCs/>
        </w:rPr>
      </w:pPr>
      <w:r>
        <w:rPr>
          <w:i/>
        </w:rPr>
        <w:t xml:space="preserve">Retail operating cost: </w:t>
      </w:r>
      <w:r w:rsidR="0033396B" w:rsidRPr="004F1117">
        <w:rPr>
          <w:iCs/>
        </w:rPr>
        <w:t>the cost of serving small customers.</w:t>
      </w:r>
    </w:p>
    <w:p w14:paraId="17E05383" w14:textId="77777777" w:rsidR="00857A1C" w:rsidRPr="00857A1C" w:rsidRDefault="00857A1C" w:rsidP="00AF4EFB">
      <w:pPr>
        <w:pStyle w:val="ListParagraph"/>
        <w:spacing w:line="276" w:lineRule="auto"/>
        <w:ind w:left="1440"/>
        <w:rPr>
          <w:iCs/>
        </w:rPr>
      </w:pPr>
    </w:p>
    <w:p w14:paraId="5764A053" w14:textId="516F4EA6" w:rsidR="007E406C" w:rsidRDefault="00731D88" w:rsidP="006C52AA">
      <w:pPr>
        <w:spacing w:after="160"/>
        <w:rPr>
          <w:iCs/>
        </w:rPr>
      </w:pPr>
      <w:r w:rsidRPr="00D41955">
        <w:rPr>
          <w:iCs/>
        </w:rPr>
        <w:t>Aside from the mandatory considerations listed above, the AER m</w:t>
      </w:r>
      <w:r w:rsidR="00335E4B">
        <w:rPr>
          <w:iCs/>
        </w:rPr>
        <w:t>ay</w:t>
      </w:r>
      <w:r w:rsidRPr="00D41955">
        <w:rPr>
          <w:iCs/>
        </w:rPr>
        <w:t xml:space="preserve"> also have regard to any other matter the AER considers relevant.</w:t>
      </w:r>
      <w:r w:rsidR="00DC6330">
        <w:rPr>
          <w:rStyle w:val="FootnoteReference"/>
          <w:iCs/>
        </w:rPr>
        <w:footnoteReference w:id="12"/>
      </w:r>
      <w:r w:rsidR="001253DC">
        <w:rPr>
          <w:iCs/>
        </w:rPr>
        <w:t xml:space="preserve"> </w:t>
      </w:r>
    </w:p>
    <w:p w14:paraId="2A963866" w14:textId="61825FEC" w:rsidR="00EF39F7" w:rsidRDefault="00A02199" w:rsidP="00DA6753">
      <w:pPr>
        <w:pStyle w:val="Heading4"/>
        <w:spacing w:after="240"/>
      </w:pPr>
      <w:r>
        <w:t>The DMO acts a r</w:t>
      </w:r>
      <w:r w:rsidR="008E3908">
        <w:t xml:space="preserve">eference </w:t>
      </w:r>
      <w:r>
        <w:t>p</w:t>
      </w:r>
      <w:r w:rsidR="008E3908">
        <w:t>rice</w:t>
      </w:r>
      <w:r>
        <w:t xml:space="preserve"> for market offers</w:t>
      </w:r>
    </w:p>
    <w:p w14:paraId="42C8FB7F" w14:textId="4E6973C1" w:rsidR="005E1269" w:rsidRDefault="00EF39F7" w:rsidP="006C52AA">
      <w:r w:rsidRPr="00EF39F7">
        <w:t xml:space="preserve">As well as setting a cap on standing offer prices, the DMO acts as a </w:t>
      </w:r>
      <w:r w:rsidR="004F5C8E">
        <w:t xml:space="preserve">reference </w:t>
      </w:r>
      <w:r w:rsidRPr="00EF39F7">
        <w:t xml:space="preserve">price </w:t>
      </w:r>
      <w:r w:rsidR="004F5C8E">
        <w:t xml:space="preserve">to allow customers </w:t>
      </w:r>
      <w:r w:rsidR="003323E0">
        <w:t xml:space="preserve">to </w:t>
      </w:r>
      <w:r w:rsidRPr="00EF39F7">
        <w:t>compar</w:t>
      </w:r>
      <w:r w:rsidR="004F5C8E">
        <w:t>e</w:t>
      </w:r>
      <w:r w:rsidR="009E2843">
        <w:t xml:space="preserve"> market offers</w:t>
      </w:r>
      <w:r w:rsidRPr="00EF39F7">
        <w:t xml:space="preserve">. Retailers </w:t>
      </w:r>
      <w:r w:rsidR="00EF2A09">
        <w:t xml:space="preserve">are required to provide </w:t>
      </w:r>
      <w:r w:rsidR="006A5716">
        <w:t xml:space="preserve">a </w:t>
      </w:r>
      <w:r w:rsidR="00655BD5">
        <w:t xml:space="preserve">percentage </w:t>
      </w:r>
      <w:r w:rsidR="006A5716">
        <w:t xml:space="preserve">comparison </w:t>
      </w:r>
      <w:r w:rsidR="003C2554">
        <w:t>between</w:t>
      </w:r>
      <w:r w:rsidR="003C2554" w:rsidRPr="00EF39F7">
        <w:t xml:space="preserve"> </w:t>
      </w:r>
      <w:r w:rsidRPr="00EF39F7">
        <w:t>their market offer</w:t>
      </w:r>
      <w:r w:rsidR="00C16995">
        <w:t xml:space="preserve"> </w:t>
      </w:r>
      <w:r w:rsidR="003C2554">
        <w:t>price</w:t>
      </w:r>
      <w:r w:rsidR="005456BF">
        <w:t>s</w:t>
      </w:r>
      <w:r w:rsidR="003C2554">
        <w:t xml:space="preserve"> </w:t>
      </w:r>
      <w:r w:rsidRPr="00EF39F7">
        <w:t>to the DMO</w:t>
      </w:r>
      <w:r w:rsidR="00C16995">
        <w:t xml:space="preserve"> </w:t>
      </w:r>
      <w:r w:rsidRPr="00EF39F7">
        <w:t>when advertising</w:t>
      </w:r>
      <w:r w:rsidR="0063746C">
        <w:t xml:space="preserve"> or making any statements about pricing to their customers</w:t>
      </w:r>
      <w:r w:rsidRPr="00EF39F7">
        <w:t xml:space="preserve">. </w:t>
      </w:r>
      <w:r w:rsidR="009E2843">
        <w:t xml:space="preserve">This requirement is </w:t>
      </w:r>
      <w:r w:rsidRPr="00EF39F7">
        <w:t xml:space="preserve">intended to help </w:t>
      </w:r>
      <w:r w:rsidR="001C2804">
        <w:t>customer</w:t>
      </w:r>
      <w:r w:rsidRPr="00EF39F7">
        <w:t xml:space="preserve">s make an informed decision </w:t>
      </w:r>
      <w:r w:rsidR="004F5C8E">
        <w:t xml:space="preserve">by making it easier to </w:t>
      </w:r>
      <w:r w:rsidRPr="00EF39F7">
        <w:t>compar</w:t>
      </w:r>
      <w:r w:rsidR="004F5C8E">
        <w:t>e</w:t>
      </w:r>
      <w:r w:rsidRPr="00EF39F7">
        <w:t xml:space="preserve"> market offers.</w:t>
      </w:r>
    </w:p>
    <w:p w14:paraId="78C4CE2C" w14:textId="547E6901" w:rsidR="004B7A02" w:rsidRDefault="00DE44E2" w:rsidP="004B7A02">
      <w:pPr>
        <w:spacing w:after="160"/>
        <w:rPr>
          <w:iCs/>
        </w:rPr>
      </w:pPr>
      <w:r>
        <w:rPr>
          <w:iCs/>
        </w:rPr>
        <w:t xml:space="preserve">As required under the </w:t>
      </w:r>
      <w:r w:rsidR="001E17B5">
        <w:rPr>
          <w:iCs/>
        </w:rPr>
        <w:t xml:space="preserve">Electricity Retail Code, </w:t>
      </w:r>
      <w:r>
        <w:rPr>
          <w:iCs/>
        </w:rPr>
        <w:t>t</w:t>
      </w:r>
      <w:r w:rsidR="004B7A02">
        <w:rPr>
          <w:iCs/>
        </w:rPr>
        <w:t>he DMO price is an annual fixed cost at a model usage</w:t>
      </w:r>
      <w:r w:rsidR="00C17DFA">
        <w:rPr>
          <w:iCs/>
        </w:rPr>
        <w:t xml:space="preserve">. This approach </w:t>
      </w:r>
      <w:r w:rsidR="004B7A02">
        <w:rPr>
          <w:iCs/>
        </w:rPr>
        <w:t>aim</w:t>
      </w:r>
      <w:r w:rsidR="00C17DFA">
        <w:rPr>
          <w:iCs/>
        </w:rPr>
        <w:t xml:space="preserve">s </w:t>
      </w:r>
      <w:r w:rsidR="004B7A02">
        <w:rPr>
          <w:iCs/>
        </w:rPr>
        <w:t>to</w:t>
      </w:r>
      <w:r w:rsidR="00C17DFA">
        <w:rPr>
          <w:iCs/>
        </w:rPr>
        <w:t xml:space="preserve"> </w:t>
      </w:r>
      <w:r w:rsidR="004B7A02">
        <w:rPr>
          <w:iCs/>
        </w:rPr>
        <w:t xml:space="preserve">balance </w:t>
      </w:r>
      <w:r w:rsidR="000470E1">
        <w:rPr>
          <w:iCs/>
        </w:rPr>
        <w:t xml:space="preserve">the </w:t>
      </w:r>
      <w:r w:rsidR="004B7A02">
        <w:rPr>
          <w:iCs/>
        </w:rPr>
        <w:t>policy objective</w:t>
      </w:r>
      <w:r w:rsidR="000470E1">
        <w:rPr>
          <w:iCs/>
        </w:rPr>
        <w:t>s</w:t>
      </w:r>
      <w:r w:rsidR="004B7A02">
        <w:rPr>
          <w:iCs/>
        </w:rPr>
        <w:t xml:space="preserve"> of consumer </w:t>
      </w:r>
      <w:r w:rsidR="009B1950">
        <w:rPr>
          <w:iCs/>
        </w:rPr>
        <w:t xml:space="preserve">price </w:t>
      </w:r>
      <w:r w:rsidR="004B7A02">
        <w:rPr>
          <w:iCs/>
        </w:rPr>
        <w:t xml:space="preserve">protection, retailers’ recovery of efficient costs, and incentivising market competition, innovation, and investment by retailers. Retailers </w:t>
      </w:r>
      <w:proofErr w:type="gramStart"/>
      <w:r w:rsidR="004B7A02">
        <w:rPr>
          <w:iCs/>
        </w:rPr>
        <w:t>are able to</w:t>
      </w:r>
      <w:proofErr w:type="gramEnd"/>
      <w:r w:rsidR="004B7A02">
        <w:rPr>
          <w:iCs/>
        </w:rPr>
        <w:t xml:space="preserve"> set their charges </w:t>
      </w:r>
      <w:r w:rsidR="00E30262">
        <w:rPr>
          <w:iCs/>
        </w:rPr>
        <w:t xml:space="preserve">for their </w:t>
      </w:r>
      <w:r w:rsidR="00E30262">
        <w:rPr>
          <w:iCs/>
        </w:rPr>
        <w:lastRenderedPageBreak/>
        <w:t xml:space="preserve">standing offers </w:t>
      </w:r>
      <w:r w:rsidR="004B7A02">
        <w:rPr>
          <w:iCs/>
        </w:rPr>
        <w:t xml:space="preserve">(supply </w:t>
      </w:r>
      <w:r w:rsidR="00E30262">
        <w:rPr>
          <w:iCs/>
        </w:rPr>
        <w:t>and</w:t>
      </w:r>
      <w:r w:rsidR="004B7A02">
        <w:rPr>
          <w:iCs/>
        </w:rPr>
        <w:t xml:space="preserve"> usage charge</w:t>
      </w:r>
      <w:r w:rsidR="00E30262">
        <w:rPr>
          <w:iCs/>
        </w:rPr>
        <w:t>s</w:t>
      </w:r>
      <w:r w:rsidR="004B7A02">
        <w:rPr>
          <w:iCs/>
        </w:rPr>
        <w:t>), so long as the</w:t>
      </w:r>
      <w:r w:rsidR="00A726BF">
        <w:rPr>
          <w:iCs/>
        </w:rPr>
        <w:t>ir price at the model annual usage</w:t>
      </w:r>
      <w:r w:rsidR="004B7A02">
        <w:rPr>
          <w:iCs/>
        </w:rPr>
        <w:t xml:space="preserve"> is </w:t>
      </w:r>
      <w:r w:rsidR="00A726BF">
        <w:rPr>
          <w:iCs/>
        </w:rPr>
        <w:t xml:space="preserve">at or below </w:t>
      </w:r>
      <w:r w:rsidR="004B7A02">
        <w:rPr>
          <w:iCs/>
        </w:rPr>
        <w:t>the DMO price.</w:t>
      </w:r>
      <w:r w:rsidR="004B7A02">
        <w:rPr>
          <w:rStyle w:val="FootnoteReference"/>
          <w:iCs/>
        </w:rPr>
        <w:footnoteReference w:id="13"/>
      </w:r>
      <w:r w:rsidR="004B7A02">
        <w:rPr>
          <w:iCs/>
        </w:rPr>
        <w:t xml:space="preserve"> </w:t>
      </w:r>
    </w:p>
    <w:p w14:paraId="012139F5" w14:textId="14ECF2C6" w:rsidR="00D80118" w:rsidRPr="00294853" w:rsidRDefault="00D80118" w:rsidP="004B7A02">
      <w:pPr>
        <w:spacing w:after="160"/>
        <w:rPr>
          <w:iCs/>
        </w:rPr>
      </w:pPr>
      <w:r>
        <w:rPr>
          <w:iCs/>
        </w:rPr>
        <w:t xml:space="preserve">The resulting price setting </w:t>
      </w:r>
      <w:r w:rsidR="00F23EC3">
        <w:rPr>
          <w:iCs/>
        </w:rPr>
        <w:t xml:space="preserve">approach provides a clear reference price for </w:t>
      </w:r>
      <w:r w:rsidR="001C2804">
        <w:rPr>
          <w:iCs/>
        </w:rPr>
        <w:t>customer</w:t>
      </w:r>
      <w:r w:rsidR="00F23EC3">
        <w:rPr>
          <w:iCs/>
        </w:rPr>
        <w:t>s with a</w:t>
      </w:r>
      <w:r w:rsidR="000B41BB">
        <w:rPr>
          <w:iCs/>
        </w:rPr>
        <w:t>n annual</w:t>
      </w:r>
      <w:r w:rsidR="00F23EC3">
        <w:rPr>
          <w:iCs/>
        </w:rPr>
        <w:t xml:space="preserve"> </w:t>
      </w:r>
      <w:r w:rsidR="004C5F9E">
        <w:rPr>
          <w:iCs/>
        </w:rPr>
        <w:t>consumption</w:t>
      </w:r>
      <w:r w:rsidR="00F23EC3">
        <w:rPr>
          <w:iCs/>
        </w:rPr>
        <w:t xml:space="preserve"> </w:t>
      </w:r>
      <w:proofErr w:type="gramStart"/>
      <w:r w:rsidR="00F23EC3">
        <w:rPr>
          <w:iCs/>
        </w:rPr>
        <w:t>similar to</w:t>
      </w:r>
      <w:proofErr w:type="gramEnd"/>
      <w:r w:rsidR="00F23EC3">
        <w:rPr>
          <w:iCs/>
        </w:rPr>
        <w:t xml:space="preserve"> the model usage defined by the AER,</w:t>
      </w:r>
      <w:r w:rsidR="004C5F9E">
        <w:rPr>
          <w:iCs/>
        </w:rPr>
        <w:t xml:space="preserve"> while outcomes are </w:t>
      </w:r>
      <w:r w:rsidR="001A64C0">
        <w:rPr>
          <w:iCs/>
        </w:rPr>
        <w:t>less transparent</w:t>
      </w:r>
      <w:r w:rsidR="004C5F9E">
        <w:rPr>
          <w:iCs/>
        </w:rPr>
        <w:t xml:space="preserve"> for consumption profiles above or below this usage level. </w:t>
      </w:r>
    </w:p>
    <w:p w14:paraId="40E9214E" w14:textId="38FEE1A9" w:rsidR="007E5D76" w:rsidRDefault="00D508D5">
      <w:pPr>
        <w:pStyle w:val="Heading2"/>
      </w:pPr>
      <w:bookmarkStart w:id="11" w:name="_Toc200562142"/>
      <w:bookmarkStart w:id="12" w:name="_Toc200562143"/>
      <w:bookmarkStart w:id="13" w:name="_Toc201068938"/>
      <w:bookmarkEnd w:id="11"/>
      <w:bookmarkEnd w:id="12"/>
      <w:r>
        <w:lastRenderedPageBreak/>
        <w:t>The case for reform</w:t>
      </w:r>
      <w:bookmarkEnd w:id="13"/>
    </w:p>
    <w:p w14:paraId="766FA137" w14:textId="157212BE" w:rsidR="00000827" w:rsidRDefault="00385161" w:rsidP="00D508D5">
      <w:r>
        <w:t>T</w:t>
      </w:r>
      <w:r w:rsidR="00D508D5">
        <w:t xml:space="preserve">here is a </w:t>
      </w:r>
      <w:r w:rsidR="00FD353B">
        <w:t xml:space="preserve">case for </w:t>
      </w:r>
      <w:r w:rsidR="00F438ED">
        <w:t xml:space="preserve">reforming the DMO </w:t>
      </w:r>
      <w:r w:rsidR="00915579">
        <w:t xml:space="preserve">framework </w:t>
      </w:r>
      <w:r w:rsidR="00E60838">
        <w:t>to ensure it is fit-for-purpose to address the current and emerging challenges in the retail electricity space.</w:t>
      </w:r>
      <w:r w:rsidR="00FA5BF3">
        <w:t xml:space="preserve"> At the core of the issue is </w:t>
      </w:r>
      <w:r w:rsidR="00B66C12">
        <w:t xml:space="preserve">the question of whether the DMO successfully </w:t>
      </w:r>
      <w:r w:rsidR="00BE74F3">
        <w:t xml:space="preserve">balances </w:t>
      </w:r>
      <w:r w:rsidR="00B66C12">
        <w:t xml:space="preserve">its </w:t>
      </w:r>
      <w:r w:rsidR="00AD6A42">
        <w:t xml:space="preserve">competing objectives to act as a consumer </w:t>
      </w:r>
      <w:r w:rsidR="00337683">
        <w:t xml:space="preserve">price </w:t>
      </w:r>
      <w:r w:rsidR="00AD6A42">
        <w:t>protection measure while enabling and incentivising competition</w:t>
      </w:r>
      <w:r w:rsidR="00121B52">
        <w:t xml:space="preserve"> and customer engagement</w:t>
      </w:r>
      <w:r w:rsidR="00AD6A42">
        <w:t xml:space="preserve"> in the market. </w:t>
      </w:r>
    </w:p>
    <w:p w14:paraId="4D7C4601" w14:textId="573DFFC6" w:rsidR="00E60838" w:rsidRDefault="002A7A8C" w:rsidP="00D508D5">
      <w:r>
        <w:t xml:space="preserve">Since the DMO came into effect on 1 July 2019, the </w:t>
      </w:r>
      <w:r w:rsidR="002C6E40">
        <w:t xml:space="preserve">Australian electricity </w:t>
      </w:r>
      <w:r w:rsidR="00A8471A">
        <w:t xml:space="preserve">sector </w:t>
      </w:r>
      <w:r w:rsidR="00CE44DD">
        <w:t>has experienced significant volatil</w:t>
      </w:r>
      <w:r w:rsidR="00A8471A">
        <w:t>e</w:t>
      </w:r>
      <w:r w:rsidR="00CE44DD">
        <w:t xml:space="preserve"> market conditions, including</w:t>
      </w:r>
      <w:r w:rsidR="00C95920">
        <w:t>:</w:t>
      </w:r>
    </w:p>
    <w:p w14:paraId="137DBE4E" w14:textId="22C03CA5" w:rsidR="00D508D5" w:rsidRDefault="003D464B" w:rsidP="002A165E">
      <w:pPr>
        <w:pStyle w:val="ListParagraph"/>
        <w:numPr>
          <w:ilvl w:val="0"/>
          <w:numId w:val="10"/>
        </w:numPr>
        <w:spacing w:line="276" w:lineRule="auto"/>
        <w:rPr>
          <w:lang w:eastAsia="ja-JP"/>
        </w:rPr>
      </w:pPr>
      <w:r>
        <w:t>Rising cost-of-living pressures as h</w:t>
      </w:r>
      <w:r w:rsidR="00D508D5">
        <w:t>ouseholds</w:t>
      </w:r>
      <w:r>
        <w:t xml:space="preserve">, </w:t>
      </w:r>
      <w:r w:rsidR="00D508D5">
        <w:t xml:space="preserve">businesses </w:t>
      </w:r>
      <w:r>
        <w:t xml:space="preserve">and industry </w:t>
      </w:r>
      <w:r w:rsidR="00D508D5">
        <w:t xml:space="preserve">have faced energy price rises due to Australia’s continued reliance on coal and gas-fired electricity </w:t>
      </w:r>
      <w:r w:rsidR="00D508D5">
        <w:rPr>
          <w:lang w:eastAsia="ja-JP"/>
        </w:rPr>
        <w:t>generation, compounded by global impacts such as Russia’s invasion of Ukraine and the impacts of COVID-19.</w:t>
      </w:r>
      <w:r w:rsidR="0018764C">
        <w:rPr>
          <w:lang w:eastAsia="ja-JP"/>
        </w:rPr>
        <w:t xml:space="preserve"> </w:t>
      </w:r>
    </w:p>
    <w:p w14:paraId="4EE9CD53" w14:textId="3ACFE499" w:rsidR="003D464B" w:rsidRDefault="000B1F4B" w:rsidP="002A165E">
      <w:pPr>
        <w:pStyle w:val="ListParagraph"/>
        <w:numPr>
          <w:ilvl w:val="0"/>
          <w:numId w:val="10"/>
        </w:numPr>
        <w:spacing w:line="276" w:lineRule="auto"/>
        <w:rPr>
          <w:lang w:eastAsia="ja-JP"/>
        </w:rPr>
      </w:pPr>
      <w:r>
        <w:rPr>
          <w:lang w:eastAsia="ja-JP"/>
        </w:rPr>
        <w:t xml:space="preserve">Reports from the ACCC and </w:t>
      </w:r>
      <w:r w:rsidR="005A2670">
        <w:rPr>
          <w:lang w:eastAsia="ja-JP"/>
        </w:rPr>
        <w:t xml:space="preserve">the </w:t>
      </w:r>
      <w:r>
        <w:rPr>
          <w:lang w:eastAsia="ja-JP"/>
        </w:rPr>
        <w:t xml:space="preserve">Independent Pricing and Regulatory Tribunal </w:t>
      </w:r>
      <w:r w:rsidR="00174208">
        <w:rPr>
          <w:lang w:eastAsia="ja-JP"/>
        </w:rPr>
        <w:t xml:space="preserve">of New South Wales </w:t>
      </w:r>
      <w:r>
        <w:rPr>
          <w:lang w:eastAsia="ja-JP"/>
        </w:rPr>
        <w:t xml:space="preserve">have raised concerns about the number of </w:t>
      </w:r>
      <w:r w:rsidR="001C2804">
        <w:rPr>
          <w:lang w:eastAsia="ja-JP"/>
        </w:rPr>
        <w:t>customer</w:t>
      </w:r>
      <w:r>
        <w:rPr>
          <w:lang w:eastAsia="ja-JP"/>
        </w:rPr>
        <w:t>s paying at or above the DMO, and the lack of price protections for customers on non-flat rate energy offers</w:t>
      </w:r>
      <w:r w:rsidR="00561345">
        <w:rPr>
          <w:lang w:eastAsia="ja-JP"/>
        </w:rPr>
        <w:t>.</w:t>
      </w:r>
    </w:p>
    <w:p w14:paraId="3365EDAA" w14:textId="0D6F7FE0" w:rsidR="002A165E" w:rsidRDefault="00A43587" w:rsidP="002A165E">
      <w:pPr>
        <w:pStyle w:val="ListParagraph"/>
        <w:numPr>
          <w:ilvl w:val="0"/>
          <w:numId w:val="10"/>
        </w:numPr>
        <w:spacing w:after="240" w:line="276" w:lineRule="auto"/>
        <w:ind w:left="714" w:hanging="357"/>
      </w:pPr>
      <w:r>
        <w:rPr>
          <w:lang w:eastAsia="ja-JP"/>
        </w:rPr>
        <w:t>T</w:t>
      </w:r>
      <w:r w:rsidR="00880F97">
        <w:rPr>
          <w:lang w:eastAsia="ja-JP"/>
        </w:rPr>
        <w:t>he Australian energy market has undergone rapid and significant transformation. The</w:t>
      </w:r>
      <w:r w:rsidR="00880F97" w:rsidRPr="00C46C3E">
        <w:rPr>
          <w:lang w:eastAsia="ja-JP"/>
        </w:rPr>
        <w:t xml:space="preserve"> </w:t>
      </w:r>
      <w:r w:rsidR="00880F97">
        <w:rPr>
          <w:lang w:eastAsia="ja-JP"/>
        </w:rPr>
        <w:t>increased uptake of CER including solar photovoltaic and battery systems, and electric vehicles, alongside the smart meter roller and wider use of cost-reflective tariffs (such as</w:t>
      </w:r>
      <w:r w:rsidR="00880F97">
        <w:t xml:space="preserve"> time of use and demand tariffs) has </w:t>
      </w:r>
      <w:r w:rsidR="004F60DC">
        <w:t xml:space="preserve">resulted in </w:t>
      </w:r>
      <w:r w:rsidR="00430615">
        <w:t xml:space="preserve">increasing complexity in navigating </w:t>
      </w:r>
      <w:r w:rsidR="00880F97">
        <w:t>electricity products and services</w:t>
      </w:r>
      <w:r w:rsidR="00430615">
        <w:t xml:space="preserve"> as a greater range of </w:t>
      </w:r>
      <w:r w:rsidR="00E836EB">
        <w:t>trade-offs</w:t>
      </w:r>
      <w:r w:rsidR="00430615">
        <w:t xml:space="preserve"> must be considered in selecting the </w:t>
      </w:r>
      <w:r w:rsidR="00D66C6A">
        <w:t>right tariff for a household.</w:t>
      </w:r>
      <w:r w:rsidR="008555C0">
        <w:rPr>
          <w:rStyle w:val="FootnoteReference"/>
        </w:rPr>
        <w:footnoteReference w:id="14"/>
      </w:r>
      <w:r w:rsidR="00D66C6A">
        <w:t xml:space="preserve">  </w:t>
      </w:r>
    </w:p>
    <w:p w14:paraId="2A931250" w14:textId="5E3D6E3B" w:rsidR="000E4D43" w:rsidRDefault="00A8471A" w:rsidP="00D508D5">
      <w:r>
        <w:t>These conditions ha</w:t>
      </w:r>
      <w:r w:rsidR="006B3602">
        <w:t>ve</w:t>
      </w:r>
      <w:r>
        <w:t xml:space="preserve"> </w:t>
      </w:r>
      <w:r w:rsidR="00687D03">
        <w:t>brought into</w:t>
      </w:r>
      <w:r w:rsidR="00A2211B">
        <w:t xml:space="preserve"> sharp</w:t>
      </w:r>
      <w:r w:rsidR="00687D03">
        <w:t xml:space="preserve"> </w:t>
      </w:r>
      <w:r w:rsidR="004800A3">
        <w:t>relief the key policy objective</w:t>
      </w:r>
      <w:r w:rsidR="00BE74F3">
        <w:t>s</w:t>
      </w:r>
      <w:r w:rsidR="004800A3">
        <w:t xml:space="preserve"> of the DMO </w:t>
      </w:r>
      <w:r w:rsidR="004B6268">
        <w:t xml:space="preserve">framework </w:t>
      </w:r>
      <w:r w:rsidR="00A2211B">
        <w:t xml:space="preserve">and </w:t>
      </w:r>
      <w:r w:rsidR="004800A3">
        <w:t xml:space="preserve">whether it strikes the right balance between protecting </w:t>
      </w:r>
      <w:r w:rsidR="001C2804">
        <w:t>customer</w:t>
      </w:r>
      <w:r w:rsidR="004800A3">
        <w:t xml:space="preserve"> access to </w:t>
      </w:r>
      <w:proofErr w:type="gramStart"/>
      <w:r w:rsidR="004800A3">
        <w:t>fairly priced</w:t>
      </w:r>
      <w:proofErr w:type="gramEnd"/>
      <w:r w:rsidR="004800A3">
        <w:t xml:space="preserve"> electricity while maintaining incentives for retailers to compete and make a profit. </w:t>
      </w:r>
      <w:r w:rsidR="000E4D43" w:rsidRPr="000E4D43">
        <w:t xml:space="preserve">The policy objectives as currently articulated may, particularly in circumstances of wholesale market volatility and higher inflationary environments, result in </w:t>
      </w:r>
      <w:r w:rsidR="001C2804">
        <w:t>customer</w:t>
      </w:r>
      <w:r w:rsidR="000E4D43" w:rsidRPr="000E4D43">
        <w:t xml:space="preserve">s on standing offers </w:t>
      </w:r>
      <w:r w:rsidR="00AF398E">
        <w:t xml:space="preserve">not benefitting from </w:t>
      </w:r>
      <w:r w:rsidR="003A1ECE">
        <w:t xml:space="preserve">the </w:t>
      </w:r>
      <w:r w:rsidR="00AF398E">
        <w:t xml:space="preserve">competitive market while bearing some of the costs </w:t>
      </w:r>
      <w:r w:rsidR="005A0315">
        <w:t>associated with retail market competition.</w:t>
      </w:r>
    </w:p>
    <w:p w14:paraId="49B4E108" w14:textId="687F7B47" w:rsidR="005E2577" w:rsidRDefault="005E2577" w:rsidP="00D508D5">
      <w:pPr>
        <w:rPr>
          <w:lang w:eastAsia="ja-JP"/>
        </w:rPr>
      </w:pPr>
      <w:r>
        <w:rPr>
          <w:lang w:eastAsia="ja-JP"/>
        </w:rPr>
        <w:lastRenderedPageBreak/>
        <w:t>As evidenced by ACCC reporting, there is a spectrum of customers ranging from those that switch regularly to those who do not or cannot switch. The ACCC also observed most retailers set and adjust prices for new and existing offer customers differently. This contributes to a ‘loyalty penalty’ where customers who do not engage in the market or regularly switch offers pay higher prices than those who do engage with the market or switch regularly.</w:t>
      </w:r>
      <w:r>
        <w:rPr>
          <w:rStyle w:val="FootnoteReference"/>
          <w:lang w:eastAsia="ja-JP"/>
        </w:rPr>
        <w:footnoteReference w:id="15"/>
      </w:r>
      <w:r>
        <w:rPr>
          <w:lang w:eastAsia="ja-JP"/>
        </w:rPr>
        <w:t xml:space="preserve"> </w:t>
      </w:r>
    </w:p>
    <w:p w14:paraId="15418899" w14:textId="448E14A4" w:rsidR="009E0AD7" w:rsidRDefault="009E0AD7" w:rsidP="00D508D5">
      <w:r>
        <w:t xml:space="preserve">Moving the DMO to an efficient pricing framework would ensure that </w:t>
      </w:r>
      <w:r w:rsidR="001C2804">
        <w:t>customer</w:t>
      </w:r>
      <w:r>
        <w:t>s on a standing offer pay a fair price that does not build in additional costs over the efficient cost to electricity retailers of providing a</w:t>
      </w:r>
      <w:r w:rsidR="00BE74F3">
        <w:t>n essential service</w:t>
      </w:r>
      <w:r>
        <w:t xml:space="preserve">. </w:t>
      </w:r>
    </w:p>
    <w:p w14:paraId="6CA4A9AD" w14:textId="6F40E46B" w:rsidR="007E5D76" w:rsidRDefault="00477923" w:rsidP="00DA6753">
      <w:pPr>
        <w:pStyle w:val="Heading3"/>
        <w:spacing w:after="240"/>
      </w:pPr>
      <w:bookmarkStart w:id="14" w:name="_Toc200562145"/>
      <w:bookmarkStart w:id="15" w:name="_Toc200562147"/>
      <w:bookmarkStart w:id="16" w:name="_Toc200562148"/>
      <w:bookmarkStart w:id="17" w:name="_Toc200562150"/>
      <w:bookmarkStart w:id="18" w:name="_Toc200562151"/>
      <w:bookmarkStart w:id="19" w:name="_Toc200562152"/>
      <w:bookmarkStart w:id="20" w:name="_Toc200562153"/>
      <w:bookmarkStart w:id="21" w:name="_Toc200562154"/>
      <w:bookmarkStart w:id="22" w:name="_Toc200562157"/>
      <w:bookmarkStart w:id="23" w:name="_Toc201068939"/>
      <w:bookmarkEnd w:id="14"/>
      <w:bookmarkEnd w:id="15"/>
      <w:bookmarkEnd w:id="16"/>
      <w:bookmarkEnd w:id="17"/>
      <w:bookmarkEnd w:id="18"/>
      <w:bookmarkEnd w:id="19"/>
      <w:bookmarkEnd w:id="20"/>
      <w:bookmarkEnd w:id="21"/>
      <w:bookmarkEnd w:id="22"/>
      <w:r>
        <w:t>Context for p</w:t>
      </w:r>
      <w:r w:rsidR="00FD6F69">
        <w:t xml:space="preserve">rice regulation in </w:t>
      </w:r>
      <w:r w:rsidR="00E53561">
        <w:t>retail electricity markets in the NEM</w:t>
      </w:r>
      <w:bookmarkEnd w:id="23"/>
      <w:r w:rsidR="00F014DB">
        <w:t xml:space="preserve"> </w:t>
      </w:r>
    </w:p>
    <w:p w14:paraId="72131352" w14:textId="7A7F221B" w:rsidR="009B7430" w:rsidRPr="00E07FDD" w:rsidRDefault="009B7430" w:rsidP="5B5AB4D2">
      <w:pPr>
        <w:rPr>
          <w:rFonts w:ascii="Calibri" w:eastAsia="Calibri" w:hAnsi="Calibri" w:cs="Calibri"/>
          <w:szCs w:val="24"/>
        </w:rPr>
      </w:pPr>
      <w:r w:rsidRPr="00A156A2">
        <w:t xml:space="preserve">Retail competition in Australia’s electricity market is </w:t>
      </w:r>
      <w:r w:rsidR="00092A28">
        <w:t xml:space="preserve">a </w:t>
      </w:r>
      <w:r w:rsidRPr="00A156A2">
        <w:t>relatively recent</w:t>
      </w:r>
      <w:r w:rsidR="00092A28">
        <w:t xml:space="preserve"> development</w:t>
      </w:r>
      <w:r w:rsidRPr="00A156A2">
        <w:t xml:space="preserve">. </w:t>
      </w:r>
    </w:p>
    <w:p w14:paraId="2BC49BF0" w14:textId="0EAECA43" w:rsidR="005967EA" w:rsidRDefault="005967EA" w:rsidP="005967EA">
      <w:pPr>
        <w:rPr>
          <w:rFonts w:ascii="Calibri" w:eastAsia="Calibri" w:hAnsi="Calibri" w:cs="Arial"/>
        </w:rPr>
      </w:pPr>
      <w:r w:rsidRPr="005967EA">
        <w:rPr>
          <w:rFonts w:ascii="Calibri" w:eastAsia="Calibri" w:hAnsi="Calibri" w:cs="Arial"/>
        </w:rPr>
        <w:t xml:space="preserve">Under the Australian Energy Market Agreement in 2004, federal, state, and territory governments agreed to phase out retail price regulation where effective retail competition </w:t>
      </w:r>
      <w:r w:rsidR="007870B7">
        <w:rPr>
          <w:rFonts w:ascii="Calibri" w:eastAsia="Calibri" w:hAnsi="Calibri" w:cs="Arial"/>
        </w:rPr>
        <w:t xml:space="preserve">was established. </w:t>
      </w:r>
      <w:r w:rsidRPr="005967EA">
        <w:rPr>
          <w:rFonts w:ascii="Calibri" w:eastAsia="Calibri" w:hAnsi="Calibri" w:cs="Arial"/>
        </w:rPr>
        <w:t>However, they also agreed that, where competition is not yet effective for a market, group of users or a region, or where effective competition for categories of users ceases, retail price controls can be imposed.</w:t>
      </w:r>
    </w:p>
    <w:p w14:paraId="4E63720F" w14:textId="58E80E20" w:rsidR="005967EA" w:rsidRDefault="593C43C9" w:rsidP="00655A1C">
      <w:pPr>
        <w:rPr>
          <w:rFonts w:ascii="Calibri" w:eastAsia="Calibri" w:hAnsi="Calibri" w:cs="Arial"/>
        </w:rPr>
      </w:pPr>
      <w:r w:rsidRPr="00655A1C">
        <w:rPr>
          <w:rFonts w:ascii="Calibri" w:eastAsia="Calibri" w:hAnsi="Calibri" w:cs="Arial"/>
        </w:rPr>
        <w:t xml:space="preserve">Accordingly, standing offer prices were progressively deregulated in Victoria, New South Wales, </w:t>
      </w:r>
      <w:proofErr w:type="gramStart"/>
      <w:r w:rsidRPr="00655A1C">
        <w:rPr>
          <w:rFonts w:ascii="Calibri" w:eastAsia="Calibri" w:hAnsi="Calibri" w:cs="Arial"/>
        </w:rPr>
        <w:t>South East</w:t>
      </w:r>
      <w:proofErr w:type="gramEnd"/>
      <w:r w:rsidRPr="00655A1C">
        <w:rPr>
          <w:rFonts w:ascii="Calibri" w:eastAsia="Calibri" w:hAnsi="Calibri" w:cs="Arial"/>
        </w:rPr>
        <w:t xml:space="preserve"> Queensland, and South Australia, as more customers moved to</w:t>
      </w:r>
      <w:r w:rsidR="561D8702">
        <w:rPr>
          <w:rFonts w:ascii="Calibri" w:eastAsia="Calibri" w:hAnsi="Calibri" w:cs="Arial"/>
        </w:rPr>
        <w:t xml:space="preserve"> discounted</w:t>
      </w:r>
      <w:r w:rsidRPr="00655A1C">
        <w:rPr>
          <w:rFonts w:ascii="Calibri" w:eastAsia="Calibri" w:hAnsi="Calibri" w:cs="Arial"/>
        </w:rPr>
        <w:t xml:space="preserve"> market retail contracts</w:t>
      </w:r>
      <w:r w:rsidR="532455DF">
        <w:rPr>
          <w:rFonts w:ascii="Calibri" w:eastAsia="Calibri" w:hAnsi="Calibri" w:cs="Arial"/>
        </w:rPr>
        <w:t xml:space="preserve"> and the market was deemed ‘workably competitive’</w:t>
      </w:r>
      <w:r w:rsidR="3CFA38CE">
        <w:rPr>
          <w:rFonts w:ascii="Calibri" w:eastAsia="Calibri" w:hAnsi="Calibri" w:cs="Arial"/>
        </w:rPr>
        <w:t>.</w:t>
      </w:r>
      <w:r w:rsidR="00816841">
        <w:rPr>
          <w:rStyle w:val="FootnoteReference"/>
          <w:rFonts w:ascii="Calibri" w:eastAsia="Calibri" w:hAnsi="Calibri" w:cs="Arial"/>
        </w:rPr>
        <w:footnoteReference w:id="16"/>
      </w:r>
      <w:r w:rsidRPr="00655A1C">
        <w:rPr>
          <w:rFonts w:ascii="Calibri" w:eastAsia="Calibri" w:hAnsi="Calibri" w:cs="Arial"/>
        </w:rPr>
        <w:t xml:space="preserve"> </w:t>
      </w:r>
      <w:r w:rsidR="532455DF">
        <w:rPr>
          <w:rFonts w:ascii="Calibri" w:eastAsia="Calibri" w:hAnsi="Calibri" w:cs="Arial"/>
        </w:rPr>
        <w:t>S</w:t>
      </w:r>
      <w:r w:rsidRPr="00655A1C">
        <w:rPr>
          <w:rFonts w:ascii="Calibri" w:eastAsia="Calibri" w:hAnsi="Calibri" w:cs="Arial"/>
        </w:rPr>
        <w:t xml:space="preserve">tanding offer prices </w:t>
      </w:r>
      <w:r w:rsidR="532455DF">
        <w:rPr>
          <w:rFonts w:ascii="Calibri" w:eastAsia="Calibri" w:hAnsi="Calibri" w:cs="Arial"/>
        </w:rPr>
        <w:t xml:space="preserve">however </w:t>
      </w:r>
      <w:r w:rsidRPr="00655A1C">
        <w:rPr>
          <w:rFonts w:ascii="Calibri" w:eastAsia="Calibri" w:hAnsi="Calibri" w:cs="Arial"/>
        </w:rPr>
        <w:t>remained regulated in regional Queensland, Tasmania, and the ACT under jurisdiction-specific applications of the National Energy Retail Law</w:t>
      </w:r>
      <w:r>
        <w:rPr>
          <w:rFonts w:ascii="Calibri" w:eastAsia="Calibri" w:hAnsi="Calibri" w:cs="Arial"/>
        </w:rPr>
        <w:t>.</w:t>
      </w:r>
    </w:p>
    <w:p w14:paraId="65831DB9" w14:textId="5373752A" w:rsidR="00C34923" w:rsidRDefault="00C34923" w:rsidP="00C34923">
      <w:pPr>
        <w:rPr>
          <w:rFonts w:ascii="Calibri" w:eastAsia="Calibri" w:hAnsi="Calibri" w:cs="Arial"/>
        </w:rPr>
      </w:pPr>
      <w:r w:rsidRPr="00C34923">
        <w:rPr>
          <w:rFonts w:ascii="Calibri" w:eastAsia="Calibri" w:hAnsi="Calibri" w:cs="Arial"/>
        </w:rPr>
        <w:t xml:space="preserve">In 2019, standing offer prices were </w:t>
      </w:r>
      <w:r w:rsidR="00D3312D">
        <w:rPr>
          <w:rFonts w:ascii="Calibri" w:eastAsia="Calibri" w:hAnsi="Calibri" w:cs="Arial"/>
        </w:rPr>
        <w:t xml:space="preserve">partially </w:t>
      </w:r>
      <w:r w:rsidRPr="00C34923">
        <w:rPr>
          <w:rFonts w:ascii="Calibri" w:eastAsia="Calibri" w:hAnsi="Calibri" w:cs="Arial"/>
        </w:rPr>
        <w:t xml:space="preserve">re-regulated in Victoria, New South Wales, </w:t>
      </w:r>
      <w:proofErr w:type="gramStart"/>
      <w:r w:rsidRPr="00C34923">
        <w:rPr>
          <w:rFonts w:ascii="Calibri" w:eastAsia="Calibri" w:hAnsi="Calibri" w:cs="Arial"/>
        </w:rPr>
        <w:t>South East</w:t>
      </w:r>
      <w:proofErr w:type="gramEnd"/>
      <w:r w:rsidRPr="00C34923">
        <w:rPr>
          <w:rFonts w:ascii="Calibri" w:eastAsia="Calibri" w:hAnsi="Calibri" w:cs="Arial"/>
        </w:rPr>
        <w:t xml:space="preserve"> Queensland, and South Australia. In Victoria</w:t>
      </w:r>
      <w:r w:rsidR="00184B52">
        <w:rPr>
          <w:rFonts w:ascii="Calibri" w:eastAsia="Calibri" w:hAnsi="Calibri" w:cs="Arial"/>
        </w:rPr>
        <w:t>,</w:t>
      </w:r>
      <w:r w:rsidRPr="00C34923">
        <w:rPr>
          <w:rFonts w:ascii="Calibri" w:eastAsia="Calibri" w:hAnsi="Calibri" w:cs="Arial"/>
        </w:rPr>
        <w:t xml:space="preserve"> this was achieved through the introduction of the</w:t>
      </w:r>
      <w:r w:rsidR="007B770D">
        <w:rPr>
          <w:rFonts w:ascii="Calibri" w:eastAsia="Calibri" w:hAnsi="Calibri" w:cs="Arial"/>
        </w:rPr>
        <w:t xml:space="preserve"> VDO</w:t>
      </w:r>
      <w:r w:rsidR="00E323E8">
        <w:rPr>
          <w:rFonts w:ascii="Calibri" w:eastAsia="Calibri" w:hAnsi="Calibri" w:cs="Arial"/>
        </w:rPr>
        <w:t xml:space="preserve">, </w:t>
      </w:r>
      <w:r w:rsidR="00E323E8" w:rsidRPr="00E323E8">
        <w:rPr>
          <w:rFonts w:ascii="Calibri" w:eastAsia="Calibri" w:hAnsi="Calibri" w:cs="Arial"/>
        </w:rPr>
        <w:t xml:space="preserve">while in New South Wales, South Australia and </w:t>
      </w:r>
      <w:proofErr w:type="gramStart"/>
      <w:r w:rsidR="00E323E8" w:rsidRPr="00E323E8">
        <w:rPr>
          <w:rFonts w:ascii="Calibri" w:eastAsia="Calibri" w:hAnsi="Calibri" w:cs="Arial"/>
        </w:rPr>
        <w:t>South East</w:t>
      </w:r>
      <w:proofErr w:type="gramEnd"/>
      <w:r w:rsidR="00E323E8" w:rsidRPr="00E323E8">
        <w:rPr>
          <w:rFonts w:ascii="Calibri" w:eastAsia="Calibri" w:hAnsi="Calibri" w:cs="Arial"/>
        </w:rPr>
        <w:t xml:space="preserve"> Queensland, some standing offer prices were capped by the Australian Government through the introduction of the </w:t>
      </w:r>
      <w:r w:rsidR="007B770D">
        <w:rPr>
          <w:rFonts w:ascii="Calibri" w:eastAsia="Calibri" w:hAnsi="Calibri" w:cs="Arial"/>
        </w:rPr>
        <w:t>DMO</w:t>
      </w:r>
      <w:r>
        <w:rPr>
          <w:rFonts w:ascii="Calibri" w:eastAsia="Calibri" w:hAnsi="Calibri" w:cs="Arial"/>
        </w:rPr>
        <w:t>.</w:t>
      </w:r>
    </w:p>
    <w:p w14:paraId="4E4B034B" w14:textId="4571C1AE" w:rsidR="004658B7" w:rsidRDefault="00E53561" w:rsidP="00DA6753">
      <w:pPr>
        <w:pStyle w:val="Heading3"/>
        <w:spacing w:after="240" w:line="276" w:lineRule="auto"/>
      </w:pPr>
      <w:bookmarkStart w:id="24" w:name="_Toc199343410"/>
      <w:bookmarkStart w:id="25" w:name="_Toc201068940"/>
      <w:bookmarkEnd w:id="24"/>
      <w:r>
        <w:lastRenderedPageBreak/>
        <w:t>Retail c</w:t>
      </w:r>
      <w:r w:rsidR="00AD45B0">
        <w:t>ompetition</w:t>
      </w:r>
      <w:r w:rsidR="00A97D38">
        <w:t xml:space="preserve"> in t</w:t>
      </w:r>
      <w:r w:rsidR="0092283F">
        <w:t xml:space="preserve">he </w:t>
      </w:r>
      <w:r>
        <w:t>NEM</w:t>
      </w:r>
      <w:bookmarkEnd w:id="25"/>
      <w:r>
        <w:t xml:space="preserve"> </w:t>
      </w:r>
    </w:p>
    <w:p w14:paraId="1D477429" w14:textId="509BA13D" w:rsidR="00AA2FA5" w:rsidRDefault="00E5700D" w:rsidP="00295E69">
      <w:r>
        <w:t>Despite</w:t>
      </w:r>
      <w:r w:rsidR="00FA0BF4">
        <w:t xml:space="preserve"> r</w:t>
      </w:r>
      <w:r w:rsidR="00AA2FA5" w:rsidRPr="00AA2FA5">
        <w:t xml:space="preserve">etail </w:t>
      </w:r>
      <w:r w:rsidR="001B3AE4">
        <w:t>markets</w:t>
      </w:r>
      <w:r w:rsidR="00AA2FA5" w:rsidRPr="00AA2FA5">
        <w:t xml:space="preserve"> in the NEM </w:t>
      </w:r>
      <w:r>
        <w:t xml:space="preserve">evolving </w:t>
      </w:r>
      <w:r w:rsidR="00AA2FA5" w:rsidRPr="00AA2FA5">
        <w:t xml:space="preserve">substantially </w:t>
      </w:r>
      <w:r w:rsidR="000506BD">
        <w:t>since deregulation</w:t>
      </w:r>
      <w:r w:rsidR="00AA2FA5" w:rsidRPr="00AA2FA5">
        <w:t xml:space="preserve">, the </w:t>
      </w:r>
      <w:r w:rsidR="007B770D">
        <w:t xml:space="preserve">retail </w:t>
      </w:r>
      <w:r w:rsidR="00AA2FA5" w:rsidRPr="00AA2FA5">
        <w:t xml:space="preserve">market structure </w:t>
      </w:r>
      <w:r>
        <w:t xml:space="preserve">has </w:t>
      </w:r>
      <w:r w:rsidR="00AA2FA5" w:rsidRPr="00AA2FA5">
        <w:t xml:space="preserve">generally </w:t>
      </w:r>
      <w:r w:rsidR="008760E6">
        <w:t xml:space="preserve">remained </w:t>
      </w:r>
      <w:r w:rsidR="00AA2FA5" w:rsidRPr="00AA2FA5">
        <w:t>concentrated</w:t>
      </w:r>
      <w:r w:rsidR="008C70E7">
        <w:t>,</w:t>
      </w:r>
      <w:r w:rsidR="00AA2FA5" w:rsidRPr="00AA2FA5">
        <w:t xml:space="preserve"> </w:t>
      </w:r>
      <w:r w:rsidR="008760E6">
        <w:t>with a few larger retailer</w:t>
      </w:r>
      <w:r w:rsidR="00072697">
        <w:t xml:space="preserve">s </w:t>
      </w:r>
      <w:r w:rsidR="00F20F6A">
        <w:t>enjoying significant incumbency benefits</w:t>
      </w:r>
      <w:r w:rsidR="00AA2FA5" w:rsidRPr="00AA2FA5">
        <w:t xml:space="preserve">. </w:t>
      </w:r>
    </w:p>
    <w:p w14:paraId="62E2FDC3" w14:textId="1CAFA27F" w:rsidR="00EB295A" w:rsidRDefault="5F64B832" w:rsidP="00EB295A">
      <w:r>
        <w:t xml:space="preserve">In its REPI report, the ACCC summarised its key concerns regarding the development of effective retail competition in the electricity market </w:t>
      </w:r>
      <w:r w:rsidR="77514FA4">
        <w:t xml:space="preserve">at the time </w:t>
      </w:r>
      <w:r>
        <w:t>into three broad categories</w:t>
      </w:r>
      <w:r w:rsidR="00CE4D12">
        <w:t>:</w:t>
      </w:r>
      <w:r w:rsidR="005E3C52">
        <w:rPr>
          <w:rStyle w:val="FootnoteReference"/>
        </w:rPr>
        <w:footnoteReference w:id="17"/>
      </w:r>
      <w:r>
        <w:t xml:space="preserve"> </w:t>
      </w:r>
    </w:p>
    <w:p w14:paraId="60571205" w14:textId="2B14A1A1" w:rsidR="00E56A4C" w:rsidRDefault="00E56A4C" w:rsidP="000A795C">
      <w:pPr>
        <w:pStyle w:val="ListParagraph"/>
        <w:numPr>
          <w:ilvl w:val="0"/>
          <w:numId w:val="14"/>
        </w:numPr>
        <w:spacing w:after="160" w:line="257" w:lineRule="auto"/>
        <w:ind w:left="360"/>
        <w:contextualSpacing/>
      </w:pPr>
      <w:r w:rsidRPr="001235E9">
        <w:rPr>
          <w:b/>
          <w:bCs/>
        </w:rPr>
        <w:t xml:space="preserve">Market concentration </w:t>
      </w:r>
      <w:r w:rsidR="001013AA" w:rsidRPr="0F4E7AAE">
        <w:rPr>
          <w:b/>
          <w:bCs/>
        </w:rPr>
        <w:t>–</w:t>
      </w:r>
      <w:r w:rsidRPr="001235E9">
        <w:rPr>
          <w:b/>
          <w:bCs/>
        </w:rPr>
        <w:t xml:space="preserve"> </w:t>
      </w:r>
      <w:r>
        <w:t>The retail landscape is highly concentrated by a few large players</w:t>
      </w:r>
      <w:r w:rsidR="00EA35A8">
        <w:t>,</w:t>
      </w:r>
      <w:r>
        <w:t xml:space="preserve"> </w:t>
      </w:r>
      <w:r w:rsidR="00EA35A8">
        <w:t>l</w:t>
      </w:r>
      <w:r>
        <w:t xml:space="preserve">argely due to how </w:t>
      </w:r>
      <w:r w:rsidR="001A72B2">
        <w:t>the</w:t>
      </w:r>
      <w:r>
        <w:t xml:space="preserve"> customer base of publicly owned providers was sold. </w:t>
      </w:r>
    </w:p>
    <w:p w14:paraId="075B230F" w14:textId="051209FE" w:rsidR="00E56A4C" w:rsidRDefault="00E56A4C" w:rsidP="000A795C">
      <w:pPr>
        <w:pStyle w:val="ListParagraph"/>
        <w:numPr>
          <w:ilvl w:val="0"/>
          <w:numId w:val="14"/>
        </w:numPr>
        <w:spacing w:after="160" w:line="257" w:lineRule="auto"/>
        <w:ind w:left="360"/>
        <w:contextualSpacing/>
      </w:pPr>
      <w:r w:rsidRPr="001235E9">
        <w:rPr>
          <w:b/>
          <w:bCs/>
        </w:rPr>
        <w:t>Incumben</w:t>
      </w:r>
      <w:r w:rsidR="00A97D38">
        <w:rPr>
          <w:b/>
          <w:bCs/>
        </w:rPr>
        <w:t>cy</w:t>
      </w:r>
      <w:r w:rsidRPr="001235E9">
        <w:rPr>
          <w:b/>
          <w:bCs/>
        </w:rPr>
        <w:t xml:space="preserve"> advantages </w:t>
      </w:r>
      <w:r w:rsidR="001013AA" w:rsidRPr="0F4E7AAE">
        <w:rPr>
          <w:b/>
          <w:bCs/>
        </w:rPr>
        <w:t>–</w:t>
      </w:r>
      <w:r>
        <w:t xml:space="preserve"> In this concentrated market, major retailers have significant advantages through their incumbency over smaller retailers and new entrants. </w:t>
      </w:r>
      <w:r w:rsidR="00A97D38">
        <w:t>These</w:t>
      </w:r>
      <w:r>
        <w:t xml:space="preserve"> advantages include economies of scale, vertical integration, and financial stability from steady revenue streams through large cohorts of inactive customers. </w:t>
      </w:r>
    </w:p>
    <w:p w14:paraId="4E5CB6BD" w14:textId="6FBB2CB6" w:rsidR="00E56A4C" w:rsidRDefault="00E56A4C" w:rsidP="000A795C">
      <w:pPr>
        <w:pStyle w:val="ListParagraph"/>
        <w:numPr>
          <w:ilvl w:val="0"/>
          <w:numId w:val="14"/>
        </w:numPr>
        <w:spacing w:after="160" w:line="257" w:lineRule="auto"/>
        <w:ind w:left="360"/>
        <w:contextualSpacing/>
      </w:pPr>
      <w:r w:rsidRPr="001235E9">
        <w:rPr>
          <w:b/>
          <w:bCs/>
        </w:rPr>
        <w:t xml:space="preserve">Customer confusion </w:t>
      </w:r>
      <w:r w:rsidR="00182E74" w:rsidRPr="0F4E7AAE">
        <w:rPr>
          <w:b/>
          <w:bCs/>
        </w:rPr>
        <w:t>–</w:t>
      </w:r>
      <w:r>
        <w:t xml:space="preserve"> The retail market has evolved in a manner that makes it difficult for </w:t>
      </w:r>
      <w:r w:rsidR="001C2804">
        <w:t>customer</w:t>
      </w:r>
      <w:r>
        <w:t xml:space="preserve">s </w:t>
      </w:r>
      <w:r w:rsidRPr="004F5D4A">
        <w:t>to compare offers and make informed choices.</w:t>
      </w:r>
    </w:p>
    <w:p w14:paraId="0B7E845B" w14:textId="18F9B2D6" w:rsidR="00DF6C96" w:rsidRDefault="00DF6C96" w:rsidP="003043AA">
      <w:pPr>
        <w:rPr>
          <w:color w:val="000000" w:themeColor="text1"/>
        </w:rPr>
      </w:pPr>
      <w:r>
        <w:rPr>
          <w:color w:val="000000" w:themeColor="text1"/>
        </w:rPr>
        <w:t xml:space="preserve">The ACCC </w:t>
      </w:r>
      <w:r w:rsidR="00A26D25">
        <w:rPr>
          <w:color w:val="000000" w:themeColor="text1"/>
        </w:rPr>
        <w:t>recommended</w:t>
      </w:r>
      <w:r w:rsidR="00D24C6B">
        <w:rPr>
          <w:color w:val="000000" w:themeColor="text1"/>
        </w:rPr>
        <w:t xml:space="preserve"> </w:t>
      </w:r>
      <w:r>
        <w:rPr>
          <w:color w:val="000000" w:themeColor="text1"/>
        </w:rPr>
        <w:t xml:space="preserve">the introduction of a DMO </w:t>
      </w:r>
      <w:r w:rsidR="00987FCC">
        <w:rPr>
          <w:color w:val="000000" w:themeColor="text1"/>
        </w:rPr>
        <w:t xml:space="preserve">to </w:t>
      </w:r>
      <w:r w:rsidR="00F74AF9">
        <w:rPr>
          <w:color w:val="000000" w:themeColor="text1"/>
        </w:rPr>
        <w:t xml:space="preserve">address specific </w:t>
      </w:r>
      <w:r>
        <w:rPr>
          <w:color w:val="000000" w:themeColor="text1"/>
        </w:rPr>
        <w:t>c</w:t>
      </w:r>
      <w:r w:rsidRPr="00DF6C96">
        <w:rPr>
          <w:color w:val="000000" w:themeColor="text1"/>
        </w:rPr>
        <w:t>oncerns that retailers were advertising large headline ‘discounts’ against their own independently set and high-priced standing offer prices. It also meant disengaged customers on those same standing offers were not benefiting from competition but were instead subject to unreasonably high prices.</w:t>
      </w:r>
    </w:p>
    <w:p w14:paraId="55DB44A7" w14:textId="7D49A7EC" w:rsidR="00E56A4C" w:rsidRDefault="00DF6C96" w:rsidP="003043AA">
      <w:r>
        <w:rPr>
          <w:color w:val="000000" w:themeColor="text1"/>
        </w:rPr>
        <w:t>Given</w:t>
      </w:r>
      <w:r w:rsidR="003043AA">
        <w:rPr>
          <w:color w:val="000000" w:themeColor="text1"/>
        </w:rPr>
        <w:t xml:space="preserve"> the significant changes in the market since that time</w:t>
      </w:r>
      <w:r>
        <w:rPr>
          <w:color w:val="000000" w:themeColor="text1"/>
        </w:rPr>
        <w:t xml:space="preserve">, and </w:t>
      </w:r>
      <w:r w:rsidR="00823F59">
        <w:rPr>
          <w:color w:val="000000" w:themeColor="text1"/>
        </w:rPr>
        <w:t xml:space="preserve">recent findings from the ACCC, </w:t>
      </w:r>
      <w:r w:rsidR="00D463BE">
        <w:rPr>
          <w:color w:val="000000" w:themeColor="text1"/>
        </w:rPr>
        <w:t>it is timely to further</w:t>
      </w:r>
      <w:r w:rsidR="003043AA">
        <w:rPr>
          <w:color w:val="000000" w:themeColor="text1"/>
        </w:rPr>
        <w:t xml:space="preserve"> </w:t>
      </w:r>
      <w:r w:rsidR="0021629F">
        <w:t>interrogat</w:t>
      </w:r>
      <w:r w:rsidR="00D463BE">
        <w:t xml:space="preserve">e </w:t>
      </w:r>
      <w:r w:rsidR="005F2F2F">
        <w:t xml:space="preserve">the rationale </w:t>
      </w:r>
      <w:r w:rsidR="00247287">
        <w:t>that the DMO</w:t>
      </w:r>
      <w:r w:rsidR="003F1BDE">
        <w:t xml:space="preserve"> should balance between competing objectives:</w:t>
      </w:r>
      <w:r w:rsidR="00247287">
        <w:t xml:space="preserve"> </w:t>
      </w:r>
      <w:r w:rsidR="00BD77F0">
        <w:t xml:space="preserve">acting as a protection for disengaged customers, </w:t>
      </w:r>
      <w:r w:rsidR="0097454F">
        <w:t>incentivis</w:t>
      </w:r>
      <w:r w:rsidR="003F1BDE">
        <w:t>ing</w:t>
      </w:r>
      <w:r w:rsidR="0097454F">
        <w:t xml:space="preserve"> competition </w:t>
      </w:r>
      <w:r w:rsidR="003E1A14">
        <w:t xml:space="preserve">and customer engagement, </w:t>
      </w:r>
      <w:r w:rsidR="0097454F">
        <w:t xml:space="preserve">and </w:t>
      </w:r>
      <w:r w:rsidR="00201EB5">
        <w:t>allow</w:t>
      </w:r>
      <w:r w:rsidR="003E1A14">
        <w:t>ing</w:t>
      </w:r>
      <w:r w:rsidR="00201EB5">
        <w:t xml:space="preserve"> retailers</w:t>
      </w:r>
      <w:r w:rsidR="00E56A4C">
        <w:t xml:space="preserve"> to </w:t>
      </w:r>
      <w:r w:rsidR="00201EB5">
        <w:t>make</w:t>
      </w:r>
      <w:r w:rsidR="00E56A4C">
        <w:t xml:space="preserve"> a </w:t>
      </w:r>
      <w:r w:rsidR="00201EB5">
        <w:t>reasonable profit</w:t>
      </w:r>
      <w:r w:rsidR="003E1A14">
        <w:t xml:space="preserve"> from supplying electricity</w:t>
      </w:r>
      <w:r w:rsidR="00201EB5">
        <w:t xml:space="preserve">. </w:t>
      </w:r>
      <w:r w:rsidR="00E56A4C" w:rsidRPr="0074420B">
        <w:t xml:space="preserve"> </w:t>
      </w:r>
    </w:p>
    <w:p w14:paraId="342ACD8B" w14:textId="18094BF7" w:rsidR="007B124F" w:rsidRPr="006D007D" w:rsidRDefault="007B124F" w:rsidP="007B124F">
      <w:pPr>
        <w:pStyle w:val="Heading4"/>
        <w:spacing w:after="240"/>
      </w:pPr>
      <w:r w:rsidRPr="006D007D">
        <w:t xml:space="preserve">Drivers of retail competition </w:t>
      </w:r>
    </w:p>
    <w:p w14:paraId="78CD3806" w14:textId="1805C103" w:rsidR="007B124F" w:rsidRDefault="007B124F" w:rsidP="007B124F">
      <w:r>
        <w:t xml:space="preserve">There are several factors that can drive competition in the retail electricity segment, with key factors including market concentration, the costs to supply electricity to </w:t>
      </w:r>
      <w:r w:rsidR="001C2804">
        <w:t>customer</w:t>
      </w:r>
      <w:r>
        <w:t xml:space="preserve">s and the ability for retailers to hedge against wholesale volatility, barriers to entry and operation in the market, and </w:t>
      </w:r>
      <w:r w:rsidR="001C2804">
        <w:t>customer</w:t>
      </w:r>
      <w:r>
        <w:t xml:space="preserve"> behaviour.</w:t>
      </w:r>
    </w:p>
    <w:p w14:paraId="73EB28BA" w14:textId="5C8F3D6C" w:rsidR="007B124F" w:rsidRDefault="3C085A96" w:rsidP="007B124F">
      <w:r>
        <w:lastRenderedPageBreak/>
        <w:t>I</w:t>
      </w:r>
      <w:r w:rsidRPr="006265A5">
        <w:t xml:space="preserve">n its recent </w:t>
      </w:r>
      <w:r>
        <w:t xml:space="preserve">NEM </w:t>
      </w:r>
      <w:r w:rsidRPr="006265A5">
        <w:t xml:space="preserve">Inquiry report, the ACCC have stated that despite the improvements to competitive market conditions, </w:t>
      </w:r>
      <w:r>
        <w:t>Tier 1</w:t>
      </w:r>
      <w:r w:rsidRPr="006265A5">
        <w:t xml:space="preserve"> retailers remain dominant, holding a combined market share of 62</w:t>
      </w:r>
      <w:r w:rsidR="50FCBE7A">
        <w:t xml:space="preserve"> per cent</w:t>
      </w:r>
      <w:r w:rsidRPr="006265A5">
        <w:t xml:space="preserve"> across the NEM in June 2024</w:t>
      </w:r>
      <w:r w:rsidR="736BB490">
        <w:t>.</w:t>
      </w:r>
      <w:r w:rsidR="007B124F">
        <w:rPr>
          <w:rStyle w:val="FootnoteReference"/>
        </w:rPr>
        <w:footnoteReference w:id="18"/>
      </w:r>
      <w:r w:rsidRPr="006265A5">
        <w:t xml:space="preserve"> </w:t>
      </w:r>
      <w:r>
        <w:t>Specifically in DMO regions, over 2023-24 Tier 1 retailers held 73</w:t>
      </w:r>
      <w:r w:rsidR="50FCBE7A">
        <w:t xml:space="preserve"> per cent</w:t>
      </w:r>
      <w:r>
        <w:t xml:space="preserve"> of the market share in New South Wales and South Australia, and 72</w:t>
      </w:r>
      <w:r w:rsidR="50FCBE7A">
        <w:t xml:space="preserve"> per cent</w:t>
      </w:r>
      <w:r>
        <w:t xml:space="preserve"> in South</w:t>
      </w:r>
      <w:r w:rsidR="736BB490">
        <w:t xml:space="preserve"> E</w:t>
      </w:r>
      <w:r>
        <w:t>ast Queensland.</w:t>
      </w:r>
      <w:r w:rsidR="007B124F">
        <w:rPr>
          <w:rStyle w:val="FootnoteReference"/>
        </w:rPr>
        <w:footnoteReference w:id="19"/>
      </w:r>
      <w:r>
        <w:t xml:space="preserve"> </w:t>
      </w:r>
    </w:p>
    <w:p w14:paraId="1F864CCD" w14:textId="3C6C0BB6" w:rsidR="007B124F" w:rsidRPr="006265A5" w:rsidRDefault="3C085A96" w:rsidP="007B124F">
      <w:r>
        <w:t>Retail</w:t>
      </w:r>
      <w:r w:rsidRPr="006265A5">
        <w:t xml:space="preserve"> businesses operating in the retail electricity market benefit significantly through developing economies of scale. </w:t>
      </w:r>
      <w:r>
        <w:t xml:space="preserve">In </w:t>
      </w:r>
      <w:r w:rsidR="518E0645">
        <w:t xml:space="preserve">the </w:t>
      </w:r>
      <w:r>
        <w:t>2018</w:t>
      </w:r>
      <w:r w:rsidR="518E0645">
        <w:t xml:space="preserve"> REPI report</w:t>
      </w:r>
      <w:r>
        <w:t>, the ACCC noted that there are few retailers that had achieved customer numbers to allow them to take advantage of any substantial economies of scale</w:t>
      </w:r>
      <w:r w:rsidR="736BB490">
        <w:t>.</w:t>
      </w:r>
      <w:r w:rsidR="007B124F">
        <w:rPr>
          <w:rStyle w:val="FootnoteReference"/>
        </w:rPr>
        <w:footnoteReference w:id="20"/>
      </w:r>
      <w:r>
        <w:t xml:space="preserve"> </w:t>
      </w:r>
      <w:r w:rsidRPr="006265A5">
        <w:t xml:space="preserve">The ACCC’s most </w:t>
      </w:r>
      <w:r w:rsidR="52EED14E">
        <w:t xml:space="preserve">recent </w:t>
      </w:r>
      <w:r w:rsidR="518E0645">
        <w:t xml:space="preserve">NEM Inquiry </w:t>
      </w:r>
      <w:r w:rsidRPr="006265A5">
        <w:t xml:space="preserve">report highlighted that </w:t>
      </w:r>
      <w:r>
        <w:t xml:space="preserve">that this trend has not significantly changed </w:t>
      </w:r>
      <w:r w:rsidR="518E0645">
        <w:t xml:space="preserve">and </w:t>
      </w:r>
      <w:r>
        <w:t>the market remains highlight concentrated, with Tier 1</w:t>
      </w:r>
      <w:r w:rsidRPr="006265A5">
        <w:t xml:space="preserve"> </w:t>
      </w:r>
      <w:r>
        <w:t xml:space="preserve">retailers enjoying </w:t>
      </w:r>
      <w:r w:rsidRPr="006265A5">
        <w:t>a significant cost advantage over other retailers, with their cost to serve being 36</w:t>
      </w:r>
      <w:r w:rsidR="50FCBE7A">
        <w:t xml:space="preserve"> per cent</w:t>
      </w:r>
      <w:r w:rsidRPr="006265A5">
        <w:t xml:space="preserve"> lower than for other retailers</w:t>
      </w:r>
      <w:r>
        <w:t xml:space="preserve"> in 2024</w:t>
      </w:r>
      <w:r w:rsidR="736BB490">
        <w:t>.</w:t>
      </w:r>
      <w:r w:rsidR="007B124F">
        <w:rPr>
          <w:rStyle w:val="FootnoteReference"/>
        </w:rPr>
        <w:footnoteReference w:id="21"/>
      </w:r>
    </w:p>
    <w:p w14:paraId="7E3D173B" w14:textId="42DE61D1" w:rsidR="007B124F" w:rsidRPr="006265A5" w:rsidRDefault="3C085A96" w:rsidP="007B124F">
      <w:r w:rsidRPr="00355FFE">
        <w:t xml:space="preserve">Importantly, as was highlighted in </w:t>
      </w:r>
      <w:r w:rsidR="518E0645" w:rsidRPr="00355FFE">
        <w:t xml:space="preserve">the ACCC’s </w:t>
      </w:r>
      <w:r w:rsidRPr="00355FFE">
        <w:t>REPI</w:t>
      </w:r>
      <w:r w:rsidR="518E0645" w:rsidRPr="00355FFE">
        <w:t xml:space="preserve"> report</w:t>
      </w:r>
      <w:r w:rsidRPr="00355FFE">
        <w:t>, due to the way Tier 1 retailers acquired their market share when the market was initially deregulated, these larger retailers enjoy the benefits of ‘sticky’ customers who are not price sensitive and provide a dependable revenue stream. While the ACCC does not specify the spread between different retailers, in its December 2024</w:t>
      </w:r>
      <w:r w:rsidR="6D350918">
        <w:t xml:space="preserve"> NEM Inquiry</w:t>
      </w:r>
      <w:r w:rsidRPr="00355FFE">
        <w:t xml:space="preserve"> report</w:t>
      </w:r>
      <w:r w:rsidR="6D350918">
        <w:t>,</w:t>
      </w:r>
      <w:r w:rsidRPr="00355FFE">
        <w:t xml:space="preserve"> the ACCC indicated that there is still a cohort of 2.6 million customers with prices at or above the default offers who may benefit from engaging in the market</w:t>
      </w:r>
      <w:r w:rsidR="6D350918">
        <w:t>.</w:t>
      </w:r>
      <w:r w:rsidR="007B124F" w:rsidRPr="00355FFE">
        <w:rPr>
          <w:rStyle w:val="FootnoteReference"/>
        </w:rPr>
        <w:footnoteReference w:id="22"/>
      </w:r>
      <w:r>
        <w:t xml:space="preserve"> </w:t>
      </w:r>
    </w:p>
    <w:p w14:paraId="08B12C92" w14:textId="46E5AEEC" w:rsidR="007B124F" w:rsidRDefault="6D350918" w:rsidP="007B124F">
      <w:r>
        <w:t>T</w:t>
      </w:r>
      <w:r w:rsidR="3C085A96" w:rsidRPr="00DA6753">
        <w:t xml:space="preserve">he advantages that </w:t>
      </w:r>
      <w:r w:rsidR="3C085A96">
        <w:t>Tier 1</w:t>
      </w:r>
      <w:r w:rsidR="3C085A96" w:rsidRPr="00DA6753">
        <w:t xml:space="preserve"> retailers have over other market participants further extend into the sphere of financial risk management which materially impacts the ability for a retailer to effectively compete</w:t>
      </w:r>
      <w:r>
        <w:t>.</w:t>
      </w:r>
      <w:r w:rsidR="007B124F" w:rsidRPr="00DA6753">
        <w:rPr>
          <w:rStyle w:val="FootnoteReference"/>
        </w:rPr>
        <w:footnoteReference w:id="23"/>
      </w:r>
      <w:r w:rsidR="3C085A96" w:rsidRPr="00DA6753">
        <w:t xml:space="preserve"> The ACCC have noted that the smaller retailers</w:t>
      </w:r>
      <w:r>
        <w:t>’</w:t>
      </w:r>
      <w:r w:rsidR="3C085A96" w:rsidRPr="00DA6753">
        <w:t xml:space="preserve"> lack of access to trade on the </w:t>
      </w:r>
      <w:r w:rsidR="3C085A96">
        <w:t>Australian Securities Exchange</w:t>
      </w:r>
      <w:r w:rsidR="3C085A96" w:rsidRPr="00DA6753">
        <w:t xml:space="preserve"> and difficulty accessing required products on </w:t>
      </w:r>
      <w:r w:rsidR="1A7DA14A">
        <w:t>over-</w:t>
      </w:r>
      <w:r w:rsidR="5E6E8CEA">
        <w:t>t</w:t>
      </w:r>
      <w:r w:rsidR="3C085A96">
        <w:t>he</w:t>
      </w:r>
      <w:r w:rsidR="1A7DA14A">
        <w:t>-</w:t>
      </w:r>
      <w:r w:rsidR="5E6E8CEA">
        <w:t>c</w:t>
      </w:r>
      <w:r w:rsidR="3C085A96">
        <w:t xml:space="preserve">ounter </w:t>
      </w:r>
      <w:r w:rsidR="00D643AC">
        <w:t xml:space="preserve">market </w:t>
      </w:r>
      <w:r w:rsidR="3C085A96">
        <w:t>prevent</w:t>
      </w:r>
      <w:r w:rsidR="5E6E8CEA">
        <w:t>ed</w:t>
      </w:r>
      <w:r w:rsidR="3C085A96">
        <w:t xml:space="preserve"> them from executing</w:t>
      </w:r>
      <w:r w:rsidR="3C085A96" w:rsidRPr="00DA6753">
        <w:t xml:space="preserve"> on their preferred hedging strategy and can at times lead to retailers engaging in behaviour that effectively reduces their own market </w:t>
      </w:r>
      <w:r w:rsidR="3C085A96" w:rsidRPr="00DA6753">
        <w:lastRenderedPageBreak/>
        <w:t>share</w:t>
      </w:r>
      <w:r w:rsidR="5E6E8CEA">
        <w:t>.</w:t>
      </w:r>
      <w:r w:rsidR="007B124F" w:rsidRPr="00DA6753">
        <w:rPr>
          <w:rStyle w:val="FootnoteReference"/>
        </w:rPr>
        <w:footnoteReference w:id="24"/>
      </w:r>
      <w:r w:rsidR="3C085A96" w:rsidRPr="00DA6753">
        <w:t xml:space="preserve"> </w:t>
      </w:r>
      <w:r w:rsidR="0004340E">
        <w:t>While</w:t>
      </w:r>
      <w:r w:rsidR="3C085A96" w:rsidRPr="00DA6753">
        <w:t xml:space="preserve"> these issues have a material impact on competition</w:t>
      </w:r>
      <w:r w:rsidR="00EC3484">
        <w:t xml:space="preserve"> they are not within the scope of this </w:t>
      </w:r>
      <w:r w:rsidR="00196B74">
        <w:t>consultation</w:t>
      </w:r>
      <w:r w:rsidR="3C085A96" w:rsidRPr="00DA6753">
        <w:t xml:space="preserve">. </w:t>
      </w:r>
    </w:p>
    <w:p w14:paraId="5E8ADD41" w14:textId="2D742216" w:rsidR="0016233D" w:rsidRPr="00C5238D" w:rsidRDefault="0016233D" w:rsidP="007B124F">
      <w:pPr>
        <w:pStyle w:val="Heading4"/>
        <w:spacing w:after="240"/>
      </w:pPr>
      <w:r>
        <w:t>The competition allowance in the DMO</w:t>
      </w:r>
    </w:p>
    <w:p w14:paraId="44920549" w14:textId="77777777" w:rsidR="0094024A" w:rsidRDefault="00857D2F" w:rsidP="007B124F">
      <w:r>
        <w:t xml:space="preserve">The DMO includes retail allowance which aims to maintain incentives for investment, innovation and competition in the market and incentivise customers to engage in the market. </w:t>
      </w:r>
      <w:r w:rsidR="0094024A" w:rsidRPr="0094024A">
        <w:t>The retail allowance was set to reflect a return on retailer risk, allow for differences in retailers’ costs and provide additional room for competition.</w:t>
      </w:r>
    </w:p>
    <w:p w14:paraId="5C89D9C5" w14:textId="0E223D07" w:rsidR="004B7A52" w:rsidRDefault="004B7A52" w:rsidP="007B124F">
      <w:r>
        <w:t>T</w:t>
      </w:r>
      <w:r w:rsidR="11D3D829">
        <w:t>he retail allowance comprises a retail margin and competition allowance.</w:t>
      </w:r>
      <w:r w:rsidR="00857D2F">
        <w:rPr>
          <w:rStyle w:val="FootnoteReference"/>
        </w:rPr>
        <w:footnoteReference w:id="25"/>
      </w:r>
      <w:r w:rsidR="11D3D829">
        <w:t xml:space="preserve"> The latter component incorporates additional headroom</w:t>
      </w:r>
      <w:r w:rsidR="002C5B39">
        <w:t xml:space="preserve"> </w:t>
      </w:r>
      <w:r w:rsidR="11D3D829">
        <w:t xml:space="preserve">into the DMO to incentivise retailers to compete. </w:t>
      </w:r>
      <w:r>
        <w:t xml:space="preserve">Where applied, the competition allowance would allow most retailers whose cost-to-serve customers are above the weighted average used in the DMO cost stack to continue to make a reasonable profit. </w:t>
      </w:r>
    </w:p>
    <w:p w14:paraId="10079384" w14:textId="3051F211" w:rsidR="007B124F" w:rsidRDefault="004B7A52" w:rsidP="007B124F">
      <w:r>
        <w:t>Since DMO 6 (2024-25), t</w:t>
      </w:r>
      <w:r w:rsidR="052C8A39">
        <w:t xml:space="preserve">he AER </w:t>
      </w:r>
      <w:r w:rsidR="003C4795">
        <w:t>separated the retail allowance into its individual components to provide</w:t>
      </w:r>
      <w:r w:rsidR="052C8A39">
        <w:t xml:space="preserve"> </w:t>
      </w:r>
      <w:r w:rsidR="052C8A39" w:rsidRPr="002745C0">
        <w:t xml:space="preserve">a mechanism for </w:t>
      </w:r>
      <w:r w:rsidR="003C4795">
        <w:t>the AER</w:t>
      </w:r>
      <w:r w:rsidR="009B40A4">
        <w:t xml:space="preserve"> to</w:t>
      </w:r>
      <w:r w:rsidR="052C8A39" w:rsidRPr="002745C0">
        <w:t xml:space="preserve"> explicitly reflect </w:t>
      </w:r>
      <w:r w:rsidR="009B40A4">
        <w:t xml:space="preserve">its </w:t>
      </w:r>
      <w:r w:rsidR="052C8A39" w:rsidRPr="002745C0">
        <w:t>considerations of electricity affordability and cost-of living pressures</w:t>
      </w:r>
      <w:r w:rsidR="009B40A4">
        <w:t xml:space="preserve"> as a part of its price setting approach</w:t>
      </w:r>
      <w:r w:rsidR="052C8A39" w:rsidRPr="002745C0">
        <w:t>.</w:t>
      </w:r>
      <w:r w:rsidR="00625A46">
        <w:rPr>
          <w:rStyle w:val="FootnoteReference"/>
        </w:rPr>
        <w:footnoteReference w:id="26"/>
      </w:r>
      <w:r>
        <w:t xml:space="preserve"> </w:t>
      </w:r>
      <w:r w:rsidR="3C085A96" w:rsidRPr="00DA6753">
        <w:t xml:space="preserve">In its prior </w:t>
      </w:r>
      <w:r w:rsidR="11D3D829">
        <w:t xml:space="preserve">determinations for </w:t>
      </w:r>
      <w:r w:rsidR="3C085A96" w:rsidRPr="00DA6753">
        <w:t>DMO 6 (2024-25) and current DMO 7 (2025-26), the AER have excluded the application of the competition allowance</w:t>
      </w:r>
      <w:r w:rsidR="00522152">
        <w:t>. The AER</w:t>
      </w:r>
      <w:r w:rsidR="00F04713">
        <w:t xml:space="preserve"> </w:t>
      </w:r>
      <w:r w:rsidR="00945214">
        <w:t>has previously noted a</w:t>
      </w:r>
      <w:r w:rsidR="00945214" w:rsidRPr="00945214">
        <w:t>ffordability concerns are a relevant consideration in the DMO</w:t>
      </w:r>
      <w:r w:rsidR="00945214">
        <w:t xml:space="preserve"> </w:t>
      </w:r>
      <w:r w:rsidR="00945214" w:rsidRPr="00945214">
        <w:t xml:space="preserve">and determined that it </w:t>
      </w:r>
      <w:r w:rsidR="00945214">
        <w:t>was</w:t>
      </w:r>
      <w:r w:rsidR="00945214" w:rsidRPr="00945214">
        <w:t xml:space="preserve"> appropriate to continue to address these by including or excluding the competition allowance.</w:t>
      </w:r>
      <w:r w:rsidR="0082657E">
        <w:rPr>
          <w:rStyle w:val="FootnoteReference"/>
        </w:rPr>
        <w:footnoteReference w:id="27"/>
      </w:r>
    </w:p>
    <w:p w14:paraId="2083B604" w14:textId="7333E0E4" w:rsidR="007461AA" w:rsidRDefault="3C085A96" w:rsidP="007B124F">
      <w:r>
        <w:t xml:space="preserve">Submissions to the AER as a part of the DMO </w:t>
      </w:r>
      <w:r w:rsidR="002B2B4A">
        <w:t xml:space="preserve">7 </w:t>
      </w:r>
      <w:r>
        <w:t>process noted retailers argued the need for headroom in the</w:t>
      </w:r>
      <w:r w:rsidRPr="00586406">
        <w:t xml:space="preserve"> DMO </w:t>
      </w:r>
      <w:r>
        <w:t>to facilitate competition and innovation</w:t>
      </w:r>
      <w:r w:rsidR="007B124F">
        <w:rPr>
          <w:rStyle w:val="FootnoteReference"/>
        </w:rPr>
        <w:footnoteReference w:id="28"/>
      </w:r>
      <w:r>
        <w:t xml:space="preserve"> which will lead to better </w:t>
      </w:r>
      <w:r w:rsidR="5810CAA4">
        <w:t>customer</w:t>
      </w:r>
      <w:r>
        <w:t xml:space="preserve"> outcomes.</w:t>
      </w:r>
      <w:r w:rsidR="6A70CDA4">
        <w:t xml:space="preserve"> It was argued that the exclusion </w:t>
      </w:r>
      <w:r w:rsidR="00110022">
        <w:t xml:space="preserve">of the competition allowance </w:t>
      </w:r>
      <w:r w:rsidR="6A70CDA4">
        <w:t>would hinder the ability for smaller retailers to compete with larger retailers.</w:t>
      </w:r>
    </w:p>
    <w:p w14:paraId="49554DB4" w14:textId="3C51EEA8" w:rsidR="004F2B7B" w:rsidRDefault="03F97743" w:rsidP="007B124F">
      <w:r>
        <w:t>In</w:t>
      </w:r>
      <w:r w:rsidR="002B2B4A">
        <w:t xml:space="preserve"> its DMO 7 final determination</w:t>
      </w:r>
      <w:r>
        <w:t>, the AER did not consider the exclusion of the competition allowance would unduly restrict</w:t>
      </w:r>
      <w:r w:rsidR="6A70CDA4">
        <w:t xml:space="preserve"> </w:t>
      </w:r>
      <w:r>
        <w:t>competition</w:t>
      </w:r>
      <w:r w:rsidR="7167E0EE">
        <w:t>, noting market developments in 2024-25 indicated that the exclusion of the competition allowance from DMO 6 prices did not harm retail competition</w:t>
      </w:r>
      <w:r>
        <w:t>.</w:t>
      </w:r>
      <w:r w:rsidR="7E234F90">
        <w:t xml:space="preserve"> The</w:t>
      </w:r>
      <w:r w:rsidR="67D15E32">
        <w:t xml:space="preserve"> </w:t>
      </w:r>
      <w:r w:rsidR="67D15E32" w:rsidRPr="1818410E">
        <w:rPr>
          <w:rFonts w:ascii="Calibri" w:eastAsia="Calibri" w:hAnsi="Calibri" w:cs="Arial"/>
        </w:rPr>
        <w:t>Energy Consumers Australia</w:t>
      </w:r>
      <w:r w:rsidR="7E234F90" w:rsidRPr="326992A1">
        <w:t>’</w:t>
      </w:r>
      <w:r w:rsidR="7E234F90" w:rsidRPr="4344F3A9">
        <w:t>s</w:t>
      </w:r>
      <w:r w:rsidR="7E234F90">
        <w:t xml:space="preserve"> submission to the AER supported the </w:t>
      </w:r>
      <w:r w:rsidR="7E234F90">
        <w:lastRenderedPageBreak/>
        <w:t>exclusion of the competition allowance, stating the removal of the competition allowance for DMO 6 has not appeared to have had an impact on the levels of competition, referring to the strong level of competition in Victoria’s retail market despite the lack of additional headroom</w:t>
      </w:r>
      <w:r w:rsidR="00127465">
        <w:t xml:space="preserve"> under its efficient pricing framework</w:t>
      </w:r>
      <w:r w:rsidR="7E234F90">
        <w:t>.</w:t>
      </w:r>
      <w:r w:rsidR="004F2B7B">
        <w:rPr>
          <w:rStyle w:val="FootnoteReference"/>
        </w:rPr>
        <w:footnoteReference w:id="29"/>
      </w:r>
      <w:r w:rsidR="7E234F90">
        <w:t xml:space="preserve"> </w:t>
      </w:r>
      <w:r>
        <w:t xml:space="preserve"> </w:t>
      </w:r>
    </w:p>
    <w:p w14:paraId="0DB2E475" w14:textId="2BA63602" w:rsidR="007B124F" w:rsidRDefault="002F1275" w:rsidP="007B124F">
      <w:r w:rsidRPr="00832A60">
        <w:t xml:space="preserve">The </w:t>
      </w:r>
      <w:r>
        <w:t xml:space="preserve">AER also noted the </w:t>
      </w:r>
      <w:r w:rsidRPr="00832A60">
        <w:t xml:space="preserve">competition allowance represents an additional amount in DMO prices to further incentivise competition and </w:t>
      </w:r>
      <w:r w:rsidR="001C2804">
        <w:t>customer</w:t>
      </w:r>
      <w:r w:rsidRPr="00832A60">
        <w:t xml:space="preserve"> engagement.</w:t>
      </w:r>
      <w:r>
        <w:t xml:space="preserve"> </w:t>
      </w:r>
      <w:r w:rsidRPr="00832A60">
        <w:t xml:space="preserve">Unlike other elements of the DMO cost-stack, it is not an allowance reimbursing retailers for a cost of supplying electricity. </w:t>
      </w:r>
      <w:r w:rsidR="00A224C9">
        <w:t xml:space="preserve">While </w:t>
      </w:r>
      <w:r w:rsidR="00554409">
        <w:t xml:space="preserve">the allowance provides for retailers with higher-than-average </w:t>
      </w:r>
      <w:r w:rsidR="008B4292">
        <w:t>costs to serve to make a reasonable profit, i</w:t>
      </w:r>
      <w:r w:rsidRPr="00832A60">
        <w:t>ts exclusion from the DMO price does not impose or burden retailers with an unrecovered cost in supplying electricity</w:t>
      </w:r>
      <w:r w:rsidR="001516D5">
        <w:t xml:space="preserve">. </w:t>
      </w:r>
    </w:p>
    <w:p w14:paraId="51728893" w14:textId="19E85BD7" w:rsidR="00D22800" w:rsidRPr="00A82B04" w:rsidRDefault="00D22800" w:rsidP="00D22800">
      <w:pPr>
        <w:pStyle w:val="Heading4"/>
        <w:spacing w:after="240"/>
      </w:pPr>
      <w:r>
        <w:t xml:space="preserve">Competition in Victoria under an efficient pricing framework </w:t>
      </w:r>
    </w:p>
    <w:p w14:paraId="31EE5C0D" w14:textId="1C6C70F2" w:rsidR="00D22800" w:rsidRDefault="312DA3E1" w:rsidP="00D22800">
      <w:r>
        <w:t xml:space="preserve">On the same day that </w:t>
      </w:r>
      <w:r w:rsidRPr="00833B96">
        <w:t xml:space="preserve">the DMO </w:t>
      </w:r>
      <w:r>
        <w:t xml:space="preserve">came into effect, </w:t>
      </w:r>
      <w:r w:rsidRPr="00833B96">
        <w:t xml:space="preserve">the VDO </w:t>
      </w:r>
      <w:r>
        <w:t>was introduced</w:t>
      </w:r>
      <w:r w:rsidRPr="00833B96">
        <w:t xml:space="preserve"> in Victoria</w:t>
      </w:r>
      <w:r w:rsidR="71A5DF7B">
        <w:t xml:space="preserve"> by an order </w:t>
      </w:r>
      <w:r w:rsidR="15F996AE">
        <w:t xml:space="preserve">under section 13 of the </w:t>
      </w:r>
      <w:r w:rsidR="15F996AE" w:rsidRPr="1818410E">
        <w:rPr>
          <w:i/>
          <w:iCs/>
        </w:rPr>
        <w:t xml:space="preserve">Electricity Industry Act </w:t>
      </w:r>
      <w:r w:rsidR="02F7B14F" w:rsidRPr="1818410E">
        <w:rPr>
          <w:i/>
          <w:iCs/>
        </w:rPr>
        <w:t xml:space="preserve">2000 </w:t>
      </w:r>
      <w:r w:rsidR="15F996AE">
        <w:t>(pricing order)</w:t>
      </w:r>
      <w:r>
        <w:t xml:space="preserve">. </w:t>
      </w:r>
      <w:r w:rsidR="1103F0C4">
        <w:t>The VDO is set by the Essential Services Commission</w:t>
      </w:r>
      <w:r w:rsidR="12AD15C6">
        <w:t xml:space="preserve"> of Victoria (ESC)</w:t>
      </w:r>
      <w:r w:rsidR="1103F0C4">
        <w:t xml:space="preserve">. </w:t>
      </w:r>
      <w:r>
        <w:t xml:space="preserve">The DMO and the VDO both serve as government-regulated electricity prices designed to protect customers who do not engage in the competitive retail market. </w:t>
      </w:r>
      <w:r w:rsidR="001763FA">
        <w:t>The</w:t>
      </w:r>
      <w:r w:rsidRPr="0090493C">
        <w:t xml:space="preserve"> VDO </w:t>
      </w:r>
      <w:r w:rsidR="291809B9">
        <w:t xml:space="preserve">also </w:t>
      </w:r>
      <w:r w:rsidRPr="0090493C">
        <w:t>serve</w:t>
      </w:r>
      <w:r w:rsidR="00635BB5">
        <w:t>s</w:t>
      </w:r>
      <w:r w:rsidRPr="0090493C">
        <w:t xml:space="preserve"> as </w:t>
      </w:r>
      <w:r w:rsidR="000C267C">
        <w:t xml:space="preserve">a </w:t>
      </w:r>
      <w:r w:rsidRPr="0090493C">
        <w:t>reference price for comparing market offers</w:t>
      </w:r>
      <w:r>
        <w:t xml:space="preserve"> and seek</w:t>
      </w:r>
      <w:r w:rsidR="000C267C">
        <w:t>s</w:t>
      </w:r>
      <w:r>
        <w:t xml:space="preserve"> to </w:t>
      </w:r>
      <w:r w:rsidRPr="0090493C">
        <w:t xml:space="preserve">shield </w:t>
      </w:r>
      <w:r w:rsidR="5810CAA4">
        <w:t>customer</w:t>
      </w:r>
      <w:r w:rsidRPr="0090493C">
        <w:t>s from excessive electricity prices—ensuring fairness, transparency, and stability in a competitive market.</w:t>
      </w:r>
      <w:r>
        <w:t xml:space="preserve"> </w:t>
      </w:r>
    </w:p>
    <w:p w14:paraId="204E20BD" w14:textId="68E6EEB8" w:rsidR="00D22800" w:rsidRDefault="312DA3E1" w:rsidP="00D22800">
      <w:r>
        <w:t xml:space="preserve">The </w:t>
      </w:r>
      <w:r w:rsidR="137F3435">
        <w:t xml:space="preserve">pricing order species the </w:t>
      </w:r>
      <w:r>
        <w:t xml:space="preserve">objective of the VDO is to </w:t>
      </w:r>
      <w:r w:rsidRPr="00013556">
        <w:t xml:space="preserve">provide </w:t>
      </w:r>
      <w:r>
        <w:t>a “</w:t>
      </w:r>
      <w:r w:rsidRPr="00013556">
        <w:t xml:space="preserve">simple, trusted, and </w:t>
      </w:r>
      <w:r>
        <w:t>reasonably</w:t>
      </w:r>
      <w:r w:rsidRPr="00013556">
        <w:t xml:space="preserve"> priced </w:t>
      </w:r>
      <w:r>
        <w:t xml:space="preserve">electricity </w:t>
      </w:r>
      <w:r w:rsidRPr="00013556">
        <w:t xml:space="preserve">option </w:t>
      </w:r>
      <w:r>
        <w:t xml:space="preserve">that safeguards </w:t>
      </w:r>
      <w:r w:rsidR="5810CAA4">
        <w:t>customer</w:t>
      </w:r>
      <w:r>
        <w:t>s unable or unwilling to engage in the electricity retail market”</w:t>
      </w:r>
      <w:r w:rsidRPr="00013556">
        <w:t xml:space="preserve">. </w:t>
      </w:r>
      <w:r>
        <w:t xml:space="preserve">The ESC is also required to meet the objectives of the </w:t>
      </w:r>
      <w:r w:rsidRPr="1818410E">
        <w:rPr>
          <w:i/>
          <w:iCs/>
        </w:rPr>
        <w:t>Electricity Industry Act 2000</w:t>
      </w:r>
      <w:r>
        <w:t xml:space="preserve"> which obligates the ESC to set the VDO utilising an approach which promotes protections for customers, the development of full retail competition, and is consistent between electricity and gas markets</w:t>
      </w:r>
      <w:r w:rsidR="12AD15C6">
        <w:t>.</w:t>
      </w:r>
      <w:r w:rsidR="00D22800">
        <w:rPr>
          <w:rStyle w:val="FootnoteReference"/>
        </w:rPr>
        <w:footnoteReference w:id="30"/>
      </w:r>
      <w:r>
        <w:t xml:space="preserve"> </w:t>
      </w:r>
    </w:p>
    <w:p w14:paraId="704AA71B" w14:textId="77777777" w:rsidR="00D22800" w:rsidRDefault="00D22800" w:rsidP="00D22800">
      <w:r>
        <w:t xml:space="preserve">The VDO framework requires the ESC to set its price based on the efficient cost of the sale of electricity by a retailer, must not include headroom, and must be expressed in the form of a tariff (with regulated usage and supply charges).  </w:t>
      </w:r>
    </w:p>
    <w:p w14:paraId="7AF9BCB4" w14:textId="52DD20F9" w:rsidR="00D22800" w:rsidRDefault="312DA3E1" w:rsidP="00D22800">
      <w:r>
        <w:t xml:space="preserve">In its advice to the Victorian Government in 2019 regarding the application of the VDO, the ESC defined headroom as “an allowance in a regulated price that does not reflect a cost borne by firms operating in the market”. The ESC further clarifies that this transitional </w:t>
      </w:r>
      <w:r>
        <w:lastRenderedPageBreak/>
        <w:t>allowance is generally intended to attract competitors when markets are in the process of being deregulated</w:t>
      </w:r>
      <w:r w:rsidR="12AD15C6">
        <w:t>.</w:t>
      </w:r>
      <w:r w:rsidR="00D22800">
        <w:rPr>
          <w:rStyle w:val="FootnoteReference"/>
        </w:rPr>
        <w:footnoteReference w:id="31"/>
      </w:r>
      <w:r>
        <w:t xml:space="preserve"> The pricing order expressly requires the ESC to exclude a headroom allowance in its determination of the VDO cost stack, while still allowing for a retail operating margin set at a level that provides a suitable return to incentivise investment in the industry for an efficient retailer</w:t>
      </w:r>
      <w:r w:rsidR="137F3435">
        <w:t>.</w:t>
      </w:r>
      <w:r w:rsidR="00D22800">
        <w:rPr>
          <w:rStyle w:val="FootnoteReference"/>
        </w:rPr>
        <w:footnoteReference w:id="32"/>
      </w:r>
      <w:r>
        <w:t xml:space="preserve"> </w:t>
      </w:r>
    </w:p>
    <w:p w14:paraId="44E5EC78" w14:textId="425127B8" w:rsidR="007B124F" w:rsidRDefault="312DA3E1" w:rsidP="00E56A4C">
      <w:r>
        <w:t xml:space="preserve">An October 2022 review of the VDO considered the VDO has not deterred competition in Victoria’s retail energy market. Retailers </w:t>
      </w:r>
      <w:r w:rsidRPr="00722160">
        <w:t>—including new entrants and smaller providers—continue</w:t>
      </w:r>
      <w:r>
        <w:t xml:space="preserve"> to operate within Victoria, demonstrating that a well-calibrated, cost reflective and efficiently priced regulated default offer does not undermine market viability.</w:t>
      </w:r>
      <w:r w:rsidR="00D22800">
        <w:rPr>
          <w:rStyle w:val="FootnoteReference"/>
        </w:rPr>
        <w:footnoteReference w:id="33"/>
      </w:r>
      <w:r>
        <w:t xml:space="preserve"> </w:t>
      </w:r>
    </w:p>
    <w:p w14:paraId="34A2B1B8" w14:textId="2A132BD8" w:rsidR="00D22800" w:rsidRDefault="00D22800" w:rsidP="00D22800">
      <w:pPr>
        <w:pStyle w:val="Heading4"/>
        <w:spacing w:after="240"/>
      </w:pPr>
      <w:r>
        <w:t xml:space="preserve">Comparison with </w:t>
      </w:r>
      <w:r w:rsidRPr="00A435B7">
        <w:t>other state and territory reference price determination</w:t>
      </w:r>
    </w:p>
    <w:p w14:paraId="6088A23B" w14:textId="5D386ECA" w:rsidR="00D22800" w:rsidRPr="008A5077" w:rsidRDefault="00D22800" w:rsidP="00D22800">
      <w:pPr>
        <w:rPr>
          <w:b/>
          <w:bCs/>
        </w:rPr>
      </w:pPr>
      <w:r w:rsidRPr="00971DBF">
        <w:t xml:space="preserve">The DMO plays a different role compared to electricity prices set by other regulators in Tasmania, the ACT, and regional Queensland. </w:t>
      </w:r>
      <w:r>
        <w:t>As highlighted above, t</w:t>
      </w:r>
      <w:r w:rsidRPr="00971DBF">
        <w:t xml:space="preserve">he main difference is that the DMO must be set at a "reasonable" price, while in those other areas, prices are </w:t>
      </w:r>
      <w:r w:rsidR="008A5077" w:rsidRPr="00971DBF">
        <w:t>based on what</w:t>
      </w:r>
      <w:r w:rsidR="008A5077">
        <w:t xml:space="preserve"> is</w:t>
      </w:r>
      <w:r w:rsidR="008A5077" w:rsidRPr="00971DBF">
        <w:t xml:space="preserve"> considered </w:t>
      </w:r>
      <w:r w:rsidR="008A5077">
        <w:t xml:space="preserve">an </w:t>
      </w:r>
      <w:r w:rsidR="008A5077" w:rsidRPr="00971DBF">
        <w:t xml:space="preserve">"efficient" </w:t>
      </w:r>
      <w:r w:rsidR="008A5077">
        <w:t>price.</w:t>
      </w:r>
    </w:p>
    <w:p w14:paraId="409135AA" w14:textId="0C53C4C0" w:rsidR="008A5077" w:rsidRPr="008A5077" w:rsidRDefault="00D22800" w:rsidP="00D22800">
      <w:r w:rsidRPr="00971DBF">
        <w:t xml:space="preserve">In the ACT, Tasmania, and regional Queensland—where there's </w:t>
      </w:r>
      <w:r>
        <w:t xml:space="preserve">limited </w:t>
      </w:r>
      <w:r w:rsidRPr="00971DBF">
        <w:t>competition between electricity retailers—regulators aim to set prices that reflect the true cost of supplying electricity efficiently.</w:t>
      </w:r>
    </w:p>
    <w:p w14:paraId="7A4930E3" w14:textId="6DA4B161" w:rsidR="005C2572" w:rsidRDefault="00D22800" w:rsidP="00DA6753">
      <w:pPr>
        <w:pStyle w:val="Heading4"/>
        <w:spacing w:after="240"/>
      </w:pPr>
      <w:r>
        <w:t>Pricing strategies in competitive</w:t>
      </w:r>
      <w:r w:rsidR="006334ED">
        <w:t xml:space="preserve"> retail electricity</w:t>
      </w:r>
      <w:r>
        <w:t xml:space="preserve"> markets</w:t>
      </w:r>
    </w:p>
    <w:p w14:paraId="12C5808B" w14:textId="7909C4C8" w:rsidR="00F42A3B" w:rsidRDefault="00CC1836" w:rsidP="00295E69">
      <w:r>
        <w:t>Following the ACCC’s REPI report and recommendations,</w:t>
      </w:r>
      <w:r w:rsidR="0010633D">
        <w:t xml:space="preserve"> </w:t>
      </w:r>
      <w:r w:rsidR="001D68F3">
        <w:t>the C</w:t>
      </w:r>
      <w:r w:rsidR="00D67D0B">
        <w:t xml:space="preserve">ouncil of </w:t>
      </w:r>
      <w:r w:rsidR="001D68F3">
        <w:t>A</w:t>
      </w:r>
      <w:r w:rsidR="00D67D0B">
        <w:t xml:space="preserve">ustralian </w:t>
      </w:r>
      <w:r w:rsidR="001D68F3">
        <w:t>G</w:t>
      </w:r>
      <w:r w:rsidR="00D67D0B">
        <w:t>overnment</w:t>
      </w:r>
      <w:r w:rsidR="001D68F3">
        <w:t xml:space="preserve"> Energy Council (now known as the Energy and Climate Ministerial Council)</w:t>
      </w:r>
      <w:r w:rsidR="00F477B7">
        <w:t xml:space="preserve"> requested that the Australian Energy Market Commission (AEMC) analyse the impacts of </w:t>
      </w:r>
      <w:r>
        <w:t>introducing the DMO</w:t>
      </w:r>
      <w:r w:rsidR="00C871B7">
        <w:t>.</w:t>
      </w:r>
      <w:r w:rsidR="00E96579">
        <w:t xml:space="preserve"> </w:t>
      </w:r>
      <w:r w:rsidR="3FD11874">
        <w:t xml:space="preserve">The </w:t>
      </w:r>
      <w:r w:rsidR="05618189">
        <w:t xml:space="preserve">AEMC </w:t>
      </w:r>
      <w:r w:rsidR="79ADD9E1">
        <w:t xml:space="preserve">highlighted </w:t>
      </w:r>
      <w:r w:rsidR="3A61D601">
        <w:t xml:space="preserve">several key short-term </w:t>
      </w:r>
      <w:r w:rsidR="7C92F273">
        <w:t>and long-t</w:t>
      </w:r>
      <w:r w:rsidR="066CE4A8">
        <w:t xml:space="preserve">erm </w:t>
      </w:r>
      <w:r w:rsidR="3A61D601">
        <w:t xml:space="preserve">risks </w:t>
      </w:r>
      <w:r w:rsidR="2B8A54E6">
        <w:t xml:space="preserve">of introducing a DMO </w:t>
      </w:r>
      <w:r w:rsidR="3A61D601">
        <w:t>in its advice to government</w:t>
      </w:r>
      <w:r w:rsidR="29A5F6E4">
        <w:t>.</w:t>
      </w:r>
      <w:r w:rsidR="00322083">
        <w:rPr>
          <w:rStyle w:val="FootnoteReference"/>
        </w:rPr>
        <w:footnoteReference w:id="34"/>
      </w:r>
      <w:r w:rsidR="3AD0FFDA">
        <w:t xml:space="preserve"> These </w:t>
      </w:r>
      <w:r w:rsidR="101438D0">
        <w:t>included conce</w:t>
      </w:r>
      <w:r w:rsidR="7FB6AEBE">
        <w:t xml:space="preserve">rns that the implementation of a </w:t>
      </w:r>
      <w:r w:rsidR="74BE6681">
        <w:t xml:space="preserve">DMO </w:t>
      </w:r>
      <w:r w:rsidR="7FB6AEBE">
        <w:t>would result in</w:t>
      </w:r>
      <w:r w:rsidR="3C5A3367">
        <w:t xml:space="preserve"> increases to market offers</w:t>
      </w:r>
      <w:r w:rsidR="6E26D191">
        <w:t xml:space="preserve"> resulting from </w:t>
      </w:r>
      <w:r w:rsidR="6E26D191">
        <w:lastRenderedPageBreak/>
        <w:t>adjustments to retailer pricing strategies</w:t>
      </w:r>
      <w:r w:rsidR="3AD0FFDA">
        <w:t>,</w:t>
      </w:r>
      <w:r w:rsidR="6E26D191">
        <w:t xml:space="preserve"> and lower levels of price dispersion </w:t>
      </w:r>
      <w:r w:rsidR="6C707F11">
        <w:t>across market offers</w:t>
      </w:r>
      <w:r w:rsidR="6E26D191">
        <w:t xml:space="preserve">. </w:t>
      </w:r>
    </w:p>
    <w:p w14:paraId="79335954" w14:textId="77777777" w:rsidR="00DF60F2" w:rsidRDefault="007F4F18" w:rsidP="00295E69">
      <w:r>
        <w:t xml:space="preserve">The ACCC’s </w:t>
      </w:r>
      <w:r w:rsidR="00F42A3B">
        <w:t xml:space="preserve">NEM Inquiry reports have </w:t>
      </w:r>
      <w:r w:rsidR="00F90C72">
        <w:t>provide</w:t>
      </w:r>
      <w:r w:rsidR="00F42A3B">
        <w:t>d</w:t>
      </w:r>
      <w:r w:rsidR="00F90C72">
        <w:t xml:space="preserve"> insights into retail electricity market’s adaptation to the DMO. </w:t>
      </w:r>
      <w:r w:rsidR="004F4736">
        <w:t xml:space="preserve">Broadly, the outcomes of ACCC’s </w:t>
      </w:r>
      <w:r w:rsidR="00E17901">
        <w:t xml:space="preserve">NEM </w:t>
      </w:r>
      <w:r w:rsidR="004F4736">
        <w:t xml:space="preserve">Inquiry reporting </w:t>
      </w:r>
      <w:r w:rsidR="008B3557">
        <w:t>do</w:t>
      </w:r>
      <w:r w:rsidR="004F4736">
        <w:t xml:space="preserve"> not suggest that </w:t>
      </w:r>
      <w:r w:rsidR="00E229AF">
        <w:t>the AEMC’s initial concerns</w:t>
      </w:r>
      <w:r w:rsidR="00915944">
        <w:t xml:space="preserve"> about </w:t>
      </w:r>
      <w:r w:rsidR="002D376C">
        <w:t>the DMO’s impact on pricing has fully eventuated</w:t>
      </w:r>
      <w:r w:rsidR="00E229AF">
        <w:t xml:space="preserve">. </w:t>
      </w:r>
    </w:p>
    <w:p w14:paraId="2B30502C" w14:textId="73FB6D2E" w:rsidR="003A60EE" w:rsidRDefault="5AAF699C" w:rsidP="003A60EE">
      <w:r>
        <w:t xml:space="preserve">As shown in </w:t>
      </w:r>
      <w:r w:rsidRPr="00BB6288">
        <w:rPr>
          <w:b/>
          <w:bCs/>
        </w:rPr>
        <w:t xml:space="preserve">Figure </w:t>
      </w:r>
      <w:r w:rsidR="00BB6288" w:rsidRPr="00BB6288">
        <w:rPr>
          <w:b/>
          <w:bCs/>
        </w:rPr>
        <w:t>1</w:t>
      </w:r>
      <w:r w:rsidRPr="00BB6288">
        <w:t xml:space="preserve"> below</w:t>
      </w:r>
      <w:r>
        <w:t xml:space="preserve">, </w:t>
      </w:r>
      <w:r w:rsidR="53817865">
        <w:t xml:space="preserve">the pricing of market acquisition offers continues to remain below </w:t>
      </w:r>
      <w:r w:rsidR="7BA0F1CE">
        <w:t xml:space="preserve">the AER’s </w:t>
      </w:r>
      <w:r w:rsidR="7E9EC3FD">
        <w:t>determined DMO price level</w:t>
      </w:r>
      <w:r w:rsidR="027DF67D">
        <w:t xml:space="preserve"> due to </w:t>
      </w:r>
      <w:r w:rsidR="0238004E">
        <w:t xml:space="preserve">the infeasibility of </w:t>
      </w:r>
      <w:r w:rsidR="7947C788">
        <w:t xml:space="preserve">retailers </w:t>
      </w:r>
      <w:r w:rsidR="0238004E">
        <w:t xml:space="preserve">pricing market offers above </w:t>
      </w:r>
      <w:r w:rsidR="23AF8EB0">
        <w:t xml:space="preserve">the </w:t>
      </w:r>
      <w:r w:rsidR="5977F622">
        <w:t xml:space="preserve">DMO </w:t>
      </w:r>
      <w:r w:rsidR="0A6C374C">
        <w:t xml:space="preserve">if </w:t>
      </w:r>
      <w:r w:rsidR="7947C788">
        <w:t xml:space="preserve">they are seeking </w:t>
      </w:r>
      <w:r w:rsidR="0A6C374C">
        <w:t>to acquire new customers</w:t>
      </w:r>
      <w:r w:rsidR="6748A337">
        <w:t>.</w:t>
      </w:r>
      <w:r w:rsidR="002311AA">
        <w:rPr>
          <w:rStyle w:val="FootnoteReference"/>
        </w:rPr>
        <w:footnoteReference w:id="35"/>
      </w:r>
      <w:r w:rsidR="7E9EC3FD">
        <w:t xml:space="preserve"> </w:t>
      </w:r>
      <w:r w:rsidR="003A60EE">
        <w:t>However, this does not reflect outcomes for customers already contracted with a retailer and are subject to a ‘loyalty penalty’.</w:t>
      </w:r>
      <w:r w:rsidR="003A60EE">
        <w:rPr>
          <w:rStyle w:val="FootnoteReference"/>
        </w:rPr>
        <w:footnoteReference w:id="36"/>
      </w:r>
      <w:r w:rsidR="003A60EE">
        <w:t xml:space="preserve"> </w:t>
      </w:r>
    </w:p>
    <w:p w14:paraId="65946385" w14:textId="4C7DA91A" w:rsidR="00DF60F2" w:rsidRDefault="00DF60F2" w:rsidP="00D4054B">
      <w:r w:rsidRPr="00BB6288">
        <w:rPr>
          <w:b/>
          <w:bCs/>
        </w:rPr>
        <w:lastRenderedPageBreak/>
        <w:t xml:space="preserve">Figure </w:t>
      </w:r>
      <w:r w:rsidR="00BB6288" w:rsidRPr="00BB6288">
        <w:rPr>
          <w:b/>
          <w:bCs/>
        </w:rPr>
        <w:t>1</w:t>
      </w:r>
      <w:r w:rsidRPr="004056A1">
        <w:rPr>
          <w:b/>
          <w:bCs/>
        </w:rPr>
        <w:t xml:space="preserve"> – Residential estimated median calculated annual price </w:t>
      </w:r>
      <w:r w:rsidR="004056A1" w:rsidRPr="004056A1">
        <w:rPr>
          <w:b/>
          <w:bCs/>
        </w:rPr>
        <w:t>for acquisition offers by region, flat market offers, March 2021 to October 2024.</w:t>
      </w:r>
      <w:r w:rsidR="00491C0F" w:rsidRPr="00491C0F">
        <w:rPr>
          <w:noProof/>
        </w:rPr>
        <w:drawing>
          <wp:inline distT="0" distB="0" distL="0" distR="0" wp14:anchorId="6476B0E7" wp14:editId="60F8EA93">
            <wp:extent cx="4839629" cy="4339658"/>
            <wp:effectExtent l="0" t="0" r="0" b="3810"/>
            <wp:docPr id="390017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017725" name=""/>
                    <pic:cNvPicPr/>
                  </pic:nvPicPr>
                  <pic:blipFill>
                    <a:blip r:embed="rId17"/>
                    <a:stretch>
                      <a:fillRect/>
                    </a:stretch>
                  </pic:blipFill>
                  <pic:spPr>
                    <a:xfrm>
                      <a:off x="0" y="0"/>
                      <a:ext cx="4864044" cy="4361551"/>
                    </a:xfrm>
                    <a:prstGeom prst="rect">
                      <a:avLst/>
                    </a:prstGeom>
                  </pic:spPr>
                </pic:pic>
              </a:graphicData>
            </a:graphic>
          </wp:inline>
        </w:drawing>
      </w:r>
    </w:p>
    <w:p w14:paraId="3633EF27" w14:textId="57C96B26" w:rsidR="00DC0C57" w:rsidRDefault="00C15D74" w:rsidP="00350584">
      <w:r>
        <w:t>The</w:t>
      </w:r>
      <w:r w:rsidR="3CD78E8C">
        <w:t xml:space="preserve"> impact of the DMO on price dispersion is </w:t>
      </w:r>
      <w:r w:rsidR="6234A49A">
        <w:t xml:space="preserve">difficult to assess </w:t>
      </w:r>
      <w:r w:rsidR="1FAD9DFA">
        <w:t>as t</w:t>
      </w:r>
      <w:r w:rsidR="5E4FF4C2">
        <w:t xml:space="preserve">he </w:t>
      </w:r>
      <w:r w:rsidR="10795497">
        <w:t xml:space="preserve">level of price dispersion </w:t>
      </w:r>
      <w:r w:rsidR="5E4FF4C2">
        <w:t xml:space="preserve">of market offers </w:t>
      </w:r>
      <w:r w:rsidR="10795497">
        <w:t xml:space="preserve">tends to fluctuate </w:t>
      </w:r>
      <w:r w:rsidR="108CAC66">
        <w:t xml:space="preserve">in response to market conditions as highlighted in </w:t>
      </w:r>
      <w:r w:rsidR="38B9DEC2">
        <w:t>AER</w:t>
      </w:r>
      <w:r w:rsidR="2E39DCC9">
        <w:t>’s Annual Retail Market Report 2023-24</w:t>
      </w:r>
      <w:r w:rsidR="337DFB17">
        <w:t>.</w:t>
      </w:r>
      <w:r w:rsidR="00ED7EDA">
        <w:t xml:space="preserve"> However, the AER’s most recent reporting has highlighted that the gap between median market offer and standing offer pricing has widened in many electricity distribution networks over 2023-24.</w:t>
      </w:r>
      <w:r w:rsidR="00402BF4">
        <w:rPr>
          <w:rStyle w:val="FootnoteReference"/>
        </w:rPr>
        <w:footnoteReference w:id="37"/>
      </w:r>
      <w:r w:rsidR="6FC509C5">
        <w:t xml:space="preserve"> </w:t>
      </w:r>
    </w:p>
    <w:p w14:paraId="051DC464" w14:textId="6F2A7911" w:rsidR="009C17FB" w:rsidRDefault="00C7587B" w:rsidP="00350584">
      <w:r>
        <w:t>Price dispersion features across many different markets and tends to be used as a measure of the competitive dynamics of a market given its close link to market features that impact both customers and competition</w:t>
      </w:r>
      <w:r>
        <w:rPr>
          <w:rStyle w:val="FootnoteReference"/>
        </w:rPr>
        <w:footnoteReference w:id="38"/>
      </w:r>
      <w:r>
        <w:t xml:space="preserve"> such as price discrimination and engagement.</w:t>
      </w:r>
      <w:r w:rsidR="00033F8E">
        <w:t xml:space="preserve"> </w:t>
      </w:r>
      <w:r w:rsidR="00DA2F10" w:rsidRPr="009C17FB">
        <w:t xml:space="preserve">Theoretically, price dispersion in retail markets provides an incentive for customers to switch offers. It also provides a signal for new retailers to enter the market and seek to win new </w:t>
      </w:r>
      <w:r w:rsidR="00DA2F10" w:rsidRPr="009C17FB">
        <w:lastRenderedPageBreak/>
        <w:t xml:space="preserve">customers and expand market share. </w:t>
      </w:r>
      <w:r w:rsidR="007D2DE7">
        <w:t>Importantly, t</w:t>
      </w:r>
      <w:r w:rsidR="003B570B">
        <w:t xml:space="preserve">he spread of market offers </w:t>
      </w:r>
      <w:r w:rsidR="00A734B2">
        <w:t xml:space="preserve">in retail electricity markets </w:t>
      </w:r>
      <w:r w:rsidR="0018111F">
        <w:t>can also be clo</w:t>
      </w:r>
      <w:r w:rsidR="00A0231C">
        <w:t xml:space="preserve">sely linked to </w:t>
      </w:r>
      <w:r w:rsidR="004B0958">
        <w:t>a retailer</w:t>
      </w:r>
      <w:r w:rsidR="000763F0">
        <w:t>’</w:t>
      </w:r>
      <w:r w:rsidR="004B0958">
        <w:t xml:space="preserve">s market </w:t>
      </w:r>
      <w:r w:rsidR="00641ED0">
        <w:t xml:space="preserve">acquisition and retention strategy. </w:t>
      </w:r>
    </w:p>
    <w:p w14:paraId="4EA622CE" w14:textId="77777777" w:rsidR="00AE3729" w:rsidRDefault="00AE3729" w:rsidP="00AE3729">
      <w:pPr>
        <w:pStyle w:val="Heading3"/>
        <w:spacing w:after="240" w:line="276" w:lineRule="auto"/>
      </w:pPr>
      <w:bookmarkStart w:id="26" w:name="_Toc200562171"/>
      <w:bookmarkStart w:id="27" w:name="_Toc201068941"/>
      <w:bookmarkEnd w:id="26"/>
      <w:r>
        <w:t>Previous reviews of the Retail Electricity Code</w:t>
      </w:r>
      <w:bookmarkEnd w:id="27"/>
    </w:p>
    <w:p w14:paraId="569229AD" w14:textId="1B33C49E" w:rsidR="00AE3729" w:rsidRDefault="3AD7FFF6" w:rsidP="00AE3729">
      <w:pPr>
        <w:spacing w:after="160" w:line="259" w:lineRule="auto"/>
        <w:rPr>
          <w:iCs/>
        </w:rPr>
      </w:pPr>
      <w:r w:rsidRPr="345A1CDD">
        <w:t xml:space="preserve">In 2022, the then </w:t>
      </w:r>
      <w:r>
        <w:t>Department of Industry, Science, Energy and Resources (DISER) undertook</w:t>
      </w:r>
      <w:r w:rsidRPr="1818410E">
        <w:t xml:space="preserve"> a post-implementation review of the </w:t>
      </w:r>
      <w:r w:rsidRPr="05D456A3">
        <w:t>Electricity Retail Code</w:t>
      </w:r>
      <w:r>
        <w:rPr>
          <w:iCs/>
        </w:rPr>
        <w:t>.</w:t>
      </w:r>
      <w:r w:rsidR="00AE3729" w:rsidRPr="1818410E">
        <w:rPr>
          <w:rStyle w:val="FootnoteReference"/>
        </w:rPr>
        <w:footnoteReference w:id="39"/>
      </w:r>
      <w:r w:rsidRPr="1818410E">
        <w:t xml:space="preserve"> The department consulted stakeholders on five directions to improve the effectiveness of the DMO</w:t>
      </w:r>
      <w:r w:rsidR="00162C4D">
        <w:t xml:space="preserve"> framework</w:t>
      </w:r>
      <w:r w:rsidRPr="1818410E">
        <w:t xml:space="preserve">, including its reference price function. </w:t>
      </w:r>
    </w:p>
    <w:p w14:paraId="4055C0D1" w14:textId="77777777" w:rsidR="00AE3729" w:rsidRDefault="00AE3729" w:rsidP="00AE3729">
      <w:pPr>
        <w:spacing w:after="160" w:line="259" w:lineRule="auto"/>
        <w:rPr>
          <w:iCs/>
        </w:rPr>
      </w:pPr>
      <w:r>
        <w:rPr>
          <w:iCs/>
        </w:rPr>
        <w:t>The outcomes of the review included:</w:t>
      </w:r>
    </w:p>
    <w:p w14:paraId="34D2EC24" w14:textId="5B902992" w:rsidR="00AE3729" w:rsidRDefault="4F3DD9C4" w:rsidP="4E821761">
      <w:pPr>
        <w:pStyle w:val="ListParagraph"/>
        <w:numPr>
          <w:ilvl w:val="0"/>
          <w:numId w:val="12"/>
        </w:numPr>
        <w:spacing w:after="160" w:line="259" w:lineRule="auto"/>
      </w:pPr>
      <w:r>
        <w:t>R</w:t>
      </w:r>
      <w:r w:rsidR="00AE3729">
        <w:t>egulatory</w:t>
      </w:r>
      <w:r w:rsidR="00AE3729">
        <w:rPr>
          <w:iCs/>
        </w:rPr>
        <w:t xml:space="preserve"> change to amend the Electricity Retail Code to move the DMO determination date to the first business day after 25 May. This amendment has now been implemented in the Electricity Retail Code.</w:t>
      </w:r>
    </w:p>
    <w:p w14:paraId="1AB9EF3B" w14:textId="77777777" w:rsidR="00AE3729" w:rsidRDefault="00AE3729" w:rsidP="00AE3729">
      <w:pPr>
        <w:pStyle w:val="ListParagraph"/>
        <w:numPr>
          <w:ilvl w:val="0"/>
          <w:numId w:val="12"/>
        </w:numPr>
        <w:spacing w:after="160" w:line="259" w:lineRule="auto"/>
        <w:contextualSpacing/>
        <w:rPr>
          <w:iCs/>
        </w:rPr>
      </w:pPr>
      <w:r>
        <w:rPr>
          <w:iCs/>
        </w:rPr>
        <w:t xml:space="preserve">Further consultation on: </w:t>
      </w:r>
    </w:p>
    <w:p w14:paraId="6A1B6F37" w14:textId="276D8939" w:rsidR="00AE3729" w:rsidRDefault="00AE3729" w:rsidP="00AE3729">
      <w:pPr>
        <w:pStyle w:val="ListParagraph"/>
        <w:numPr>
          <w:ilvl w:val="1"/>
          <w:numId w:val="12"/>
        </w:numPr>
        <w:spacing w:after="160" w:line="259" w:lineRule="auto"/>
        <w:contextualSpacing/>
        <w:rPr>
          <w:iCs/>
        </w:rPr>
      </w:pPr>
      <w:r>
        <w:rPr>
          <w:iCs/>
        </w:rPr>
        <w:t xml:space="preserve">Amending the name of the reference price to improve </w:t>
      </w:r>
      <w:r w:rsidR="001C2804">
        <w:rPr>
          <w:iCs/>
        </w:rPr>
        <w:t>customer</w:t>
      </w:r>
      <w:r>
        <w:rPr>
          <w:iCs/>
        </w:rPr>
        <w:t xml:space="preserve"> understanding</w:t>
      </w:r>
      <w:r w:rsidR="00976136">
        <w:rPr>
          <w:iCs/>
        </w:rPr>
        <w:t>.</w:t>
      </w:r>
    </w:p>
    <w:p w14:paraId="39868771" w14:textId="27B850B8" w:rsidR="00AE3729" w:rsidRDefault="00AE3729" w:rsidP="00AE3729">
      <w:pPr>
        <w:pStyle w:val="ListParagraph"/>
        <w:numPr>
          <w:ilvl w:val="1"/>
          <w:numId w:val="12"/>
        </w:numPr>
        <w:spacing w:after="160" w:line="259" w:lineRule="auto"/>
        <w:contextualSpacing/>
        <w:rPr>
          <w:iCs/>
        </w:rPr>
      </w:pPr>
      <w:r>
        <w:rPr>
          <w:iCs/>
        </w:rPr>
        <w:t>Application of the reference price to complex offers, including ensuring comparative advertising is available for complex offers</w:t>
      </w:r>
      <w:r w:rsidR="00976136">
        <w:rPr>
          <w:iCs/>
        </w:rPr>
        <w:t>.</w:t>
      </w:r>
    </w:p>
    <w:p w14:paraId="7906DA8E" w14:textId="260E9336" w:rsidR="00AE3729" w:rsidRDefault="00AE3729" w:rsidP="00AE3729">
      <w:pPr>
        <w:pStyle w:val="ListParagraph"/>
        <w:numPr>
          <w:ilvl w:val="1"/>
          <w:numId w:val="12"/>
        </w:numPr>
        <w:spacing w:after="160" w:line="259" w:lineRule="auto"/>
        <w:contextualSpacing/>
        <w:rPr>
          <w:iCs/>
        </w:rPr>
      </w:pPr>
      <w:r>
        <w:rPr>
          <w:iCs/>
        </w:rPr>
        <w:t>How to extend price cap protection provided by the DMO to customers in embedded networks, including examination of compliance issues/</w:t>
      </w:r>
      <w:r w:rsidR="00E836EB">
        <w:rPr>
          <w:iCs/>
        </w:rPr>
        <w:t>cost.</w:t>
      </w:r>
    </w:p>
    <w:p w14:paraId="16FB77FE" w14:textId="59CAC31C" w:rsidR="00AE3729" w:rsidRDefault="75B30277" w:rsidP="7A7BCE39">
      <w:pPr>
        <w:pStyle w:val="ListParagraph"/>
        <w:numPr>
          <w:ilvl w:val="0"/>
          <w:numId w:val="12"/>
        </w:numPr>
        <w:spacing w:after="160" w:line="259" w:lineRule="auto"/>
      </w:pPr>
      <w:r>
        <w:t>A</w:t>
      </w:r>
      <w:r w:rsidR="00AE3729" w:rsidRPr="006B325A">
        <w:rPr>
          <w:iCs/>
        </w:rPr>
        <w:t xml:space="preserve"> further review of the </w:t>
      </w:r>
      <w:r w:rsidR="00AE3729">
        <w:rPr>
          <w:iCs/>
        </w:rPr>
        <w:t>Electricity Retail Code</w:t>
      </w:r>
      <w:r w:rsidR="00AE3729" w:rsidRPr="006B325A">
        <w:rPr>
          <w:iCs/>
        </w:rPr>
        <w:t xml:space="preserve"> to occur two years after the implementation of the C</w:t>
      </w:r>
      <w:r w:rsidR="00AE3729">
        <w:rPr>
          <w:iCs/>
        </w:rPr>
        <w:t xml:space="preserve">onsumer </w:t>
      </w:r>
      <w:r w:rsidR="00AE3729" w:rsidRPr="006B325A">
        <w:rPr>
          <w:iCs/>
        </w:rPr>
        <w:t>D</w:t>
      </w:r>
      <w:r w:rsidR="00AE3729">
        <w:rPr>
          <w:iCs/>
        </w:rPr>
        <w:t xml:space="preserve">ata </w:t>
      </w:r>
      <w:r w:rsidR="00AE3729" w:rsidRPr="006B325A">
        <w:rPr>
          <w:iCs/>
        </w:rPr>
        <w:t>R</w:t>
      </w:r>
      <w:r w:rsidR="00AE3729">
        <w:rPr>
          <w:iCs/>
        </w:rPr>
        <w:t xml:space="preserve">ight </w:t>
      </w:r>
      <w:r w:rsidR="0012758D">
        <w:rPr>
          <w:iCs/>
        </w:rPr>
        <w:t xml:space="preserve">(CDR) </w:t>
      </w:r>
      <w:r w:rsidR="00AE3729">
        <w:rPr>
          <w:iCs/>
        </w:rPr>
        <w:t xml:space="preserve">for energy. </w:t>
      </w:r>
    </w:p>
    <w:p w14:paraId="75470842" w14:textId="0C5D598F" w:rsidR="00A270FE" w:rsidRDefault="00813E49" w:rsidP="00813E49">
      <w:pPr>
        <w:spacing w:after="160" w:line="259" w:lineRule="auto"/>
        <w:contextualSpacing/>
        <w:rPr>
          <w:iCs/>
        </w:rPr>
      </w:pPr>
      <w:r>
        <w:rPr>
          <w:iCs/>
        </w:rPr>
        <w:t xml:space="preserve">Consultation on reforms to the DMO </w:t>
      </w:r>
      <w:r w:rsidR="00A270FE">
        <w:rPr>
          <w:iCs/>
        </w:rPr>
        <w:t xml:space="preserve">will also provide an opportunity to finalise outstanding outcomes from the post-implementation review including extending price cap protections provided by the DMO to customers in embedded networks. </w:t>
      </w:r>
    </w:p>
    <w:p w14:paraId="3CDAAD14" w14:textId="522A95B9" w:rsidR="00813E49" w:rsidRPr="00813E49" w:rsidRDefault="00A270FE" w:rsidP="004B525F">
      <w:pPr>
        <w:spacing w:after="160" w:line="259" w:lineRule="auto"/>
        <w:contextualSpacing/>
        <w:rPr>
          <w:iCs/>
        </w:rPr>
      </w:pPr>
      <w:r>
        <w:rPr>
          <w:iCs/>
        </w:rPr>
        <w:t xml:space="preserve"> </w:t>
      </w:r>
    </w:p>
    <w:p w14:paraId="7C52A077" w14:textId="2E3D6857" w:rsidR="00813E49" w:rsidRDefault="00AE3729" w:rsidP="00AE3729">
      <w:pPr>
        <w:spacing w:after="160" w:line="259" w:lineRule="auto"/>
        <w:contextualSpacing/>
        <w:rPr>
          <w:iCs/>
        </w:rPr>
      </w:pPr>
      <w:r>
        <w:rPr>
          <w:iCs/>
        </w:rPr>
        <w:t xml:space="preserve">While the post-implementation review of the Electricity Retail Code in </w:t>
      </w:r>
      <w:r>
        <w:t>2022</w:t>
      </w:r>
      <w:r>
        <w:rPr>
          <w:iCs/>
        </w:rPr>
        <w:t xml:space="preserve"> provided a review </w:t>
      </w:r>
      <w:r>
        <w:t xml:space="preserve">on specific aspects </w:t>
      </w:r>
      <w:r>
        <w:rPr>
          <w:iCs/>
        </w:rPr>
        <w:t>of the DMO</w:t>
      </w:r>
      <w:r w:rsidR="005A0A77">
        <w:rPr>
          <w:iCs/>
        </w:rPr>
        <w:t xml:space="preserve"> framework</w:t>
      </w:r>
      <w:r>
        <w:rPr>
          <w:iCs/>
        </w:rPr>
        <w:t xml:space="preserve">, there has not yet been a comprehensive review of the effectiveness or the operation of the framework itself. </w:t>
      </w:r>
    </w:p>
    <w:p w14:paraId="3E40C3E2" w14:textId="77777777" w:rsidR="00813E49" w:rsidRDefault="00813E49" w:rsidP="00AE3729">
      <w:pPr>
        <w:spacing w:after="160" w:line="259" w:lineRule="auto"/>
        <w:contextualSpacing/>
        <w:rPr>
          <w:iCs/>
        </w:rPr>
      </w:pPr>
    </w:p>
    <w:p w14:paraId="2F0F4EE2" w14:textId="77777777" w:rsidR="00AE3729" w:rsidRDefault="00AE3729" w:rsidP="00E07FDD"/>
    <w:p w14:paraId="6D619244" w14:textId="5B01C60E" w:rsidR="006712B7" w:rsidRDefault="00D508D5" w:rsidP="006C52AA">
      <w:pPr>
        <w:pStyle w:val="Heading2"/>
        <w:spacing w:line="276" w:lineRule="auto"/>
      </w:pPr>
      <w:bookmarkStart w:id="28" w:name="_Toc201068942"/>
      <w:r>
        <w:lastRenderedPageBreak/>
        <w:t>Consultation approach</w:t>
      </w:r>
      <w:bookmarkEnd w:id="28"/>
    </w:p>
    <w:p w14:paraId="6FEB130B" w14:textId="7619A949" w:rsidR="00164C7A" w:rsidRDefault="008D23BC" w:rsidP="00DA6753">
      <w:pPr>
        <w:pStyle w:val="Heading3"/>
        <w:spacing w:after="240" w:line="276" w:lineRule="auto"/>
      </w:pPr>
      <w:bookmarkStart w:id="29" w:name="_Toc201068943"/>
      <w:r>
        <w:t>Scope of reforms</w:t>
      </w:r>
      <w:bookmarkEnd w:id="29"/>
      <w:r>
        <w:t xml:space="preserve"> </w:t>
      </w:r>
    </w:p>
    <w:p w14:paraId="2A1F3F44" w14:textId="4E2C6E21" w:rsidR="005C6348" w:rsidRPr="00E07FDD" w:rsidRDefault="005C6348" w:rsidP="005C6348">
      <w:r w:rsidRPr="00E07FDD">
        <w:t>Since the DMO took effect on 1 July 2019, a comprehensive review of the effectiveness of the DMO framework</w:t>
      </w:r>
      <w:r w:rsidR="00191E4A">
        <w:t xml:space="preserve"> has not been undertaken</w:t>
      </w:r>
      <w:r w:rsidRPr="00E07FDD">
        <w:t xml:space="preserve">. </w:t>
      </w:r>
      <w:r w:rsidR="009C61F1">
        <w:t xml:space="preserve">The department is consulting with stakeholders about </w:t>
      </w:r>
      <w:r w:rsidR="008C3708" w:rsidRPr="00E07FDD">
        <w:t>the reforms proposed in this paper</w:t>
      </w:r>
      <w:r w:rsidR="009C61F1">
        <w:t xml:space="preserve"> </w:t>
      </w:r>
      <w:r w:rsidR="00557F90">
        <w:t>to bring the DMO into alignment with an efficient pricing framework</w:t>
      </w:r>
      <w:r>
        <w:t>.</w:t>
      </w:r>
    </w:p>
    <w:p w14:paraId="00A65A97" w14:textId="3B2B8037" w:rsidR="005C6348" w:rsidRDefault="005C6348" w:rsidP="00652FEF">
      <w:r w:rsidRPr="00E07FDD">
        <w:t>Th</w:t>
      </w:r>
      <w:r w:rsidR="004C6FFB">
        <w:t>is</w:t>
      </w:r>
      <w:r w:rsidRPr="00E07FDD">
        <w:t xml:space="preserve"> </w:t>
      </w:r>
      <w:r w:rsidR="004C6FFB">
        <w:t xml:space="preserve">consultation </w:t>
      </w:r>
      <w:r w:rsidR="0013371E">
        <w:t>process</w:t>
      </w:r>
      <w:r w:rsidR="004C6FFB" w:rsidRPr="00E07FDD">
        <w:t xml:space="preserve"> </w:t>
      </w:r>
      <w:r w:rsidR="008830AC">
        <w:t xml:space="preserve">seeks stakeholder views as to the adoption of </w:t>
      </w:r>
      <w:r w:rsidR="0077109E">
        <w:t>a</w:t>
      </w:r>
      <w:r w:rsidR="008830AC">
        <w:t xml:space="preserve"> framework for the DMO</w:t>
      </w:r>
      <w:r w:rsidR="0077109E">
        <w:t xml:space="preserve"> that </w:t>
      </w:r>
      <w:r w:rsidR="00526FB5" w:rsidRPr="00526FB5">
        <w:t>ensures customers on a standing offer pay an efficient price that only compensates retailers for the cost</w:t>
      </w:r>
      <w:r w:rsidR="003D3B82">
        <w:t>s</w:t>
      </w:r>
      <w:r w:rsidR="00526FB5" w:rsidRPr="00526FB5">
        <w:t xml:space="preserve"> that they incur in providing an essential service</w:t>
      </w:r>
      <w:r w:rsidR="008830AC">
        <w:t xml:space="preserve">. In doing so, the department is seeking to evaluate </w:t>
      </w:r>
      <w:r w:rsidRPr="00E07FDD">
        <w:t xml:space="preserve">the effectiveness of the </w:t>
      </w:r>
      <w:r w:rsidR="009C47E3">
        <w:t xml:space="preserve">current </w:t>
      </w:r>
      <w:r w:rsidRPr="00E07FDD">
        <w:t xml:space="preserve">DMO </w:t>
      </w:r>
      <w:r w:rsidR="0002546D">
        <w:t xml:space="preserve">framework </w:t>
      </w:r>
      <w:r w:rsidRPr="00E07FDD">
        <w:t>in achieving its objectives of protecting customers from unreasonably high prices, allowing retailers to recover costs</w:t>
      </w:r>
      <w:r w:rsidR="007F1AB5">
        <w:t>,</w:t>
      </w:r>
      <w:r w:rsidR="007D4F11">
        <w:t xml:space="preserve"> and</w:t>
      </w:r>
      <w:r w:rsidR="00D72548">
        <w:t xml:space="preserve"> </w:t>
      </w:r>
      <w:r w:rsidR="00B0035D">
        <w:t xml:space="preserve">whether there remains a case for the DMO continuing </w:t>
      </w:r>
      <w:r w:rsidR="007D4F11">
        <w:t xml:space="preserve">to </w:t>
      </w:r>
      <w:r w:rsidR="00A94343">
        <w:t xml:space="preserve">be </w:t>
      </w:r>
      <w:r w:rsidR="00C66F36">
        <w:t>set with the objective of</w:t>
      </w:r>
      <w:r w:rsidR="007D4F11">
        <w:t xml:space="preserve"> </w:t>
      </w:r>
      <w:r w:rsidRPr="00E07FDD">
        <w:t>incentivising competition, innovation, and investment.</w:t>
      </w:r>
    </w:p>
    <w:p w14:paraId="6840DB73" w14:textId="2ED936D7" w:rsidR="005C6348" w:rsidRPr="00E07FDD" w:rsidRDefault="009C47E3" w:rsidP="0072350C">
      <w:pPr>
        <w:rPr>
          <w:szCs w:val="24"/>
        </w:rPr>
      </w:pPr>
      <w:r>
        <w:t xml:space="preserve">At the conclusion of the consultation process, the department will provide its recommendations to </w:t>
      </w:r>
      <w:r w:rsidR="008C220A">
        <w:t xml:space="preserve">government on </w:t>
      </w:r>
      <w:r w:rsidR="00A4504A">
        <w:t xml:space="preserve">reforms to the DMO pricing framework that </w:t>
      </w:r>
      <w:r w:rsidR="005C6348" w:rsidRPr="00E07FDD">
        <w:t>ensure</w:t>
      </w:r>
      <w:r w:rsidR="00F8030F">
        <w:t>s</w:t>
      </w:r>
      <w:r w:rsidR="005C6348" w:rsidRPr="00E07FDD">
        <w:t xml:space="preserve"> it is fit</w:t>
      </w:r>
      <w:r w:rsidR="00B10508" w:rsidRPr="00E07FDD">
        <w:t>-</w:t>
      </w:r>
      <w:r w:rsidR="005C6348" w:rsidRPr="00E07FDD">
        <w:t>for</w:t>
      </w:r>
      <w:r w:rsidR="00B10508" w:rsidRPr="00E07FDD">
        <w:t>-</w:t>
      </w:r>
      <w:r w:rsidR="005C6348" w:rsidRPr="00E07FDD">
        <w:t xml:space="preserve">purpose </w:t>
      </w:r>
      <w:r w:rsidR="0C6CB13A">
        <w:t>and provides robust price protections for</w:t>
      </w:r>
      <w:r w:rsidR="004A3C6B">
        <w:t xml:space="preserve"> all</w:t>
      </w:r>
      <w:r w:rsidR="0C6CB13A">
        <w:t xml:space="preserve"> </w:t>
      </w:r>
      <w:r w:rsidR="004A3C6B">
        <w:t xml:space="preserve">standing offer </w:t>
      </w:r>
      <w:r w:rsidR="0C6CB13A">
        <w:t>customers</w:t>
      </w:r>
      <w:r w:rsidR="001503F9">
        <w:t xml:space="preserve"> and market offer customers through its function as a reference price in the market</w:t>
      </w:r>
      <w:r w:rsidR="005C6348" w:rsidRPr="00E07FDD">
        <w:t xml:space="preserve">. </w:t>
      </w:r>
    </w:p>
    <w:p w14:paraId="690BD747" w14:textId="54429BBB" w:rsidR="004E54AD" w:rsidRPr="00E07FDD" w:rsidRDefault="005C6348" w:rsidP="005C6348">
      <w:r w:rsidRPr="00E07FDD">
        <w:t>Th</w:t>
      </w:r>
      <w:r w:rsidR="0019498A" w:rsidRPr="00E07FDD">
        <w:t>is reform will</w:t>
      </w:r>
      <w:r w:rsidRPr="00E07FDD">
        <w:t xml:space="preserve"> </w:t>
      </w:r>
      <w:r w:rsidR="00614629">
        <w:t xml:space="preserve">consider </w:t>
      </w:r>
      <w:r w:rsidR="3390FD50">
        <w:t>g</w:t>
      </w:r>
      <w:r>
        <w:t>overnment</w:t>
      </w:r>
      <w:r w:rsidRPr="00E07FDD">
        <w:t xml:space="preserve"> priorities and policies for energy, climate change, and competition</w:t>
      </w:r>
      <w:r w:rsidR="00397F34">
        <w:t>,</w:t>
      </w:r>
      <w:r w:rsidRPr="00E07FDD">
        <w:t xml:space="preserve"> particularly the </w:t>
      </w:r>
      <w:r w:rsidR="00C8AA50">
        <w:t>CER</w:t>
      </w:r>
      <w:r w:rsidRPr="00E07FDD">
        <w:t xml:space="preserve"> Taskforce, Rewiring the Nation, the NEM</w:t>
      </w:r>
      <w:r w:rsidR="00460918">
        <w:t xml:space="preserve"> wholesale market settings review</w:t>
      </w:r>
      <w:r w:rsidRPr="00E07FDD">
        <w:t xml:space="preserve">, the </w:t>
      </w:r>
      <w:r w:rsidR="5B5EE599" w:rsidRPr="2E6094D3">
        <w:rPr>
          <w:i/>
        </w:rPr>
        <w:t>Prohibiting Energy Market Misconduct Act 2019</w:t>
      </w:r>
      <w:r w:rsidR="5B5EE599">
        <w:t xml:space="preserve"> (</w:t>
      </w:r>
      <w:r w:rsidRPr="00E07FDD">
        <w:t>PEMM</w:t>
      </w:r>
      <w:r w:rsidR="41890235">
        <w:t>)</w:t>
      </w:r>
      <w:r w:rsidRPr="00E07FDD">
        <w:t xml:space="preserve"> Review, and relevant issues identified through the Treasurer’s Competition Taskforce.</w:t>
      </w:r>
    </w:p>
    <w:p w14:paraId="449FE9F3" w14:textId="56B75433" w:rsidR="00500103" w:rsidRDefault="00651135" w:rsidP="00500103">
      <w:r w:rsidRPr="00A354DB">
        <w:t xml:space="preserve">The </w:t>
      </w:r>
      <w:r w:rsidR="007320D6" w:rsidRPr="00A354DB">
        <w:t>d</w:t>
      </w:r>
      <w:r w:rsidR="007C11E1" w:rsidRPr="00A354DB">
        <w:t>epartment</w:t>
      </w:r>
      <w:r w:rsidRPr="00A354DB">
        <w:t xml:space="preserve"> will </w:t>
      </w:r>
      <w:r w:rsidR="00E94B79" w:rsidRPr="00A354DB">
        <w:t xml:space="preserve">seek to settle the final policy position through </w:t>
      </w:r>
      <w:r w:rsidR="008C5785" w:rsidRPr="00A354DB">
        <w:t xml:space="preserve">the publication of an outcomes paper </w:t>
      </w:r>
      <w:r w:rsidR="00A354DB" w:rsidRPr="00A354DB">
        <w:t>in</w:t>
      </w:r>
      <w:r w:rsidR="007320D6" w:rsidRPr="00A354DB">
        <w:t xml:space="preserve"> </w:t>
      </w:r>
      <w:r w:rsidR="005C6348" w:rsidRPr="00A354DB">
        <w:t>September 2025.</w:t>
      </w:r>
      <w:r w:rsidR="001503F9">
        <w:t xml:space="preserve"> This timing will allow the AER to consult on relevant changes to its methodology as a part of preparing its DMO 8 (2026-27)</w:t>
      </w:r>
      <w:r w:rsidR="00754F2C">
        <w:t xml:space="preserve"> determination</w:t>
      </w:r>
      <w:r w:rsidR="001503F9">
        <w:t xml:space="preserve">. </w:t>
      </w:r>
    </w:p>
    <w:p w14:paraId="306586E2" w14:textId="05B4DCD6" w:rsidR="00500103" w:rsidRDefault="00B22141" w:rsidP="00DA6753">
      <w:pPr>
        <w:pStyle w:val="Heading3"/>
        <w:spacing w:after="240" w:line="276" w:lineRule="auto"/>
      </w:pPr>
      <w:bookmarkStart w:id="30" w:name="_Toc201068944"/>
      <w:r>
        <w:t>Stakeholder engagement</w:t>
      </w:r>
      <w:bookmarkEnd w:id="30"/>
      <w:r>
        <w:t xml:space="preserve"> </w:t>
      </w:r>
    </w:p>
    <w:p w14:paraId="4C0B91C4" w14:textId="32DD855A" w:rsidR="3C7106AC" w:rsidRPr="00E07FDD" w:rsidRDefault="004D4BED" w:rsidP="3C7106AC">
      <w:r w:rsidRPr="00E07FDD">
        <w:t>S</w:t>
      </w:r>
      <w:r w:rsidR="00BF4275" w:rsidRPr="00E07FDD">
        <w:t xml:space="preserve">takeholder </w:t>
      </w:r>
      <w:r w:rsidR="00300460" w:rsidRPr="00E07FDD">
        <w:t>engagement</w:t>
      </w:r>
      <w:r w:rsidR="00BF4275" w:rsidRPr="00E07FDD">
        <w:t xml:space="preserve"> is a vital component of policy development and government</w:t>
      </w:r>
      <w:r w:rsidR="00C47EAC" w:rsidRPr="00E07FDD">
        <w:t>al</w:t>
      </w:r>
      <w:r w:rsidR="00BF4275" w:rsidRPr="00E07FDD">
        <w:t xml:space="preserve"> decision</w:t>
      </w:r>
      <w:r w:rsidR="00C47EAC" w:rsidRPr="00E07FDD">
        <w:t>-</w:t>
      </w:r>
      <w:r w:rsidR="00BF4275" w:rsidRPr="00E07FDD">
        <w:t>making</w:t>
      </w:r>
      <w:r w:rsidR="002420E4" w:rsidRPr="00E07FDD">
        <w:t xml:space="preserve">. </w:t>
      </w:r>
      <w:r w:rsidR="00444D76" w:rsidRPr="00E07FDD">
        <w:t xml:space="preserve">The primary purpose of </w:t>
      </w:r>
      <w:r w:rsidR="00300460" w:rsidRPr="00E07FDD">
        <w:t>engaging with</w:t>
      </w:r>
      <w:r w:rsidR="00444D76" w:rsidRPr="00E07FDD">
        <w:t xml:space="preserve"> stakeholder</w:t>
      </w:r>
      <w:r w:rsidR="00300460" w:rsidRPr="00E07FDD">
        <w:t>s</w:t>
      </w:r>
      <w:r w:rsidR="00444D76" w:rsidRPr="00E07FDD">
        <w:t xml:space="preserve"> is to gather diverse perspectives</w:t>
      </w:r>
      <w:r w:rsidR="00F16486" w:rsidRPr="00E07FDD">
        <w:t>,</w:t>
      </w:r>
      <w:r w:rsidR="00444D76" w:rsidRPr="00E07FDD">
        <w:t xml:space="preserve"> identify potential concerns and ensure that the outcomes </w:t>
      </w:r>
      <w:r w:rsidR="004D7262">
        <w:t xml:space="preserve">are informed by </w:t>
      </w:r>
      <w:r w:rsidR="00444D76" w:rsidRPr="00E07FDD">
        <w:t xml:space="preserve">a broad range of </w:t>
      </w:r>
      <w:r w:rsidR="00A35B0E" w:rsidRPr="00E07FDD">
        <w:t>view</w:t>
      </w:r>
      <w:r w:rsidRPr="00E07FDD">
        <w:t>s</w:t>
      </w:r>
      <w:r w:rsidR="00A35B0E" w:rsidRPr="00E07FDD">
        <w:t xml:space="preserve">. </w:t>
      </w:r>
    </w:p>
    <w:p w14:paraId="4BA5FC1B" w14:textId="62F1360F" w:rsidR="00837042" w:rsidRDefault="00E667FB" w:rsidP="00500103">
      <w:r>
        <w:t>As part of the</w:t>
      </w:r>
      <w:r w:rsidR="00E1307F" w:rsidRPr="00E07FDD">
        <w:t xml:space="preserve"> reform to the DMO framework, stakeholder </w:t>
      </w:r>
      <w:r w:rsidR="00300460" w:rsidRPr="00E07FDD">
        <w:t xml:space="preserve">engagement </w:t>
      </w:r>
      <w:r w:rsidR="008C42FC" w:rsidRPr="00E07FDD">
        <w:t xml:space="preserve">will </w:t>
      </w:r>
      <w:r w:rsidR="00D111D3">
        <w:t xml:space="preserve">involve a two-stage process. First, </w:t>
      </w:r>
      <w:r w:rsidR="008C42FC" w:rsidRPr="00E07FDD">
        <w:t>a consultation paper</w:t>
      </w:r>
      <w:r w:rsidR="00C470C3">
        <w:t xml:space="preserve"> </w:t>
      </w:r>
      <w:r w:rsidR="00D111D3">
        <w:t xml:space="preserve">will be published to invite feedback </w:t>
      </w:r>
      <w:r w:rsidR="004A3C6B">
        <w:t xml:space="preserve">from </w:t>
      </w:r>
      <w:r w:rsidR="004A3C6B" w:rsidRPr="00E07FDD">
        <w:t>individuals</w:t>
      </w:r>
      <w:r w:rsidR="00223B92">
        <w:t>,</w:t>
      </w:r>
      <w:r w:rsidR="00337C8C" w:rsidRPr="00E07FDD">
        <w:t xml:space="preserve"> groups </w:t>
      </w:r>
      <w:r w:rsidR="009226C8" w:rsidRPr="00E07FDD">
        <w:t>and organisations</w:t>
      </w:r>
      <w:r w:rsidR="00823CC2" w:rsidRPr="00E07FDD">
        <w:t xml:space="preserve">. </w:t>
      </w:r>
      <w:r w:rsidR="004D7262">
        <w:t xml:space="preserve">The department will also convene </w:t>
      </w:r>
      <w:r w:rsidR="00166403">
        <w:t xml:space="preserve">targeted stakeholder forums throughout the process to </w:t>
      </w:r>
      <w:r w:rsidR="00784EE1">
        <w:t>explore</w:t>
      </w:r>
      <w:r w:rsidR="00B22141" w:rsidRPr="00E07FDD">
        <w:t xml:space="preserve"> </w:t>
      </w:r>
      <w:r w:rsidR="00837042">
        <w:t xml:space="preserve">stakeholder views in greater detail. </w:t>
      </w:r>
    </w:p>
    <w:p w14:paraId="41F44AAB" w14:textId="54C8D48C" w:rsidR="00500103" w:rsidRDefault="00500103" w:rsidP="00DA6753">
      <w:pPr>
        <w:pStyle w:val="Heading3"/>
        <w:spacing w:after="240" w:line="276" w:lineRule="auto"/>
      </w:pPr>
      <w:bookmarkStart w:id="31" w:name="_Toc200562176"/>
      <w:bookmarkStart w:id="32" w:name="_Toc199343417"/>
      <w:bookmarkStart w:id="33" w:name="_Toc199343418"/>
      <w:bookmarkStart w:id="34" w:name="_Toc199343419"/>
      <w:bookmarkStart w:id="35" w:name="_Toc199343421"/>
      <w:bookmarkStart w:id="36" w:name="_Toc201068945"/>
      <w:bookmarkEnd w:id="31"/>
      <w:bookmarkEnd w:id="32"/>
      <w:bookmarkEnd w:id="33"/>
      <w:bookmarkEnd w:id="34"/>
      <w:bookmarkEnd w:id="35"/>
      <w:r>
        <w:lastRenderedPageBreak/>
        <w:t>Timeframes</w:t>
      </w:r>
      <w:bookmarkEnd w:id="36"/>
    </w:p>
    <w:p w14:paraId="6AB8E430" w14:textId="57E0F7DB" w:rsidR="004E18B3" w:rsidRPr="00E07FDD" w:rsidRDefault="03256210" w:rsidP="003C1876">
      <w:r>
        <w:t xml:space="preserve">The </w:t>
      </w:r>
      <w:r w:rsidR="12EC2EB0">
        <w:t>department</w:t>
      </w:r>
      <w:r>
        <w:t xml:space="preserve"> anticipates the following key milestones: </w:t>
      </w:r>
    </w:p>
    <w:tbl>
      <w:tblPr>
        <w:tblStyle w:val="TableGrid"/>
        <w:tblW w:w="9067" w:type="dxa"/>
        <w:tblLook w:val="04A0" w:firstRow="1" w:lastRow="0" w:firstColumn="1" w:lastColumn="0" w:noHBand="0" w:noVBand="1"/>
      </w:tblPr>
      <w:tblGrid>
        <w:gridCol w:w="2136"/>
        <w:gridCol w:w="6931"/>
      </w:tblGrid>
      <w:tr w:rsidR="004E18B3" w:rsidRPr="00DA7645" w14:paraId="3889BE03" w14:textId="77777777" w:rsidTr="00837042">
        <w:tc>
          <w:tcPr>
            <w:tcW w:w="1780" w:type="dxa"/>
          </w:tcPr>
          <w:p w14:paraId="4D66011D" w14:textId="77777777" w:rsidR="004E18B3" w:rsidRPr="00E07FDD" w:rsidRDefault="004E18B3" w:rsidP="1E238D8F">
            <w:pPr>
              <w:rPr>
                <w:b/>
                <w:bCs/>
              </w:rPr>
            </w:pPr>
            <w:r w:rsidRPr="1E238D8F">
              <w:rPr>
                <w:b/>
                <w:bCs/>
              </w:rPr>
              <w:t>Date</w:t>
            </w:r>
          </w:p>
        </w:tc>
        <w:tc>
          <w:tcPr>
            <w:tcW w:w="7287" w:type="dxa"/>
          </w:tcPr>
          <w:p w14:paraId="5D45A627" w14:textId="77777777" w:rsidR="004E18B3" w:rsidRPr="00E07FDD" w:rsidRDefault="004E18B3" w:rsidP="1E238D8F">
            <w:pPr>
              <w:rPr>
                <w:b/>
                <w:bCs/>
              </w:rPr>
            </w:pPr>
            <w:r w:rsidRPr="1E238D8F">
              <w:rPr>
                <w:b/>
                <w:bCs/>
              </w:rPr>
              <w:t>Action</w:t>
            </w:r>
          </w:p>
        </w:tc>
      </w:tr>
      <w:tr w:rsidR="004E18B3" w:rsidRPr="00DA7645" w14:paraId="2E73D257" w14:textId="77777777" w:rsidTr="00837042">
        <w:tc>
          <w:tcPr>
            <w:tcW w:w="1780" w:type="dxa"/>
          </w:tcPr>
          <w:p w14:paraId="174B461E" w14:textId="6F8E99D1" w:rsidR="004E18B3" w:rsidRPr="00E07FDD" w:rsidRDefault="007047CE" w:rsidP="1818410E">
            <w:r>
              <w:t xml:space="preserve">18 </w:t>
            </w:r>
            <w:r w:rsidR="5AD3E156">
              <w:t>June 2025</w:t>
            </w:r>
          </w:p>
        </w:tc>
        <w:tc>
          <w:tcPr>
            <w:tcW w:w="7287" w:type="dxa"/>
          </w:tcPr>
          <w:p w14:paraId="71A03793" w14:textId="52BA0138" w:rsidR="004E18B3" w:rsidRPr="00E07FDD" w:rsidRDefault="004E18B3">
            <w:r w:rsidRPr="00E07FDD">
              <w:t>Publish consultation paper and call for submissions</w:t>
            </w:r>
          </w:p>
        </w:tc>
      </w:tr>
      <w:tr w:rsidR="004E18B3" w:rsidRPr="00DA7645" w14:paraId="140B8D98" w14:textId="77777777" w:rsidTr="00837042">
        <w:tc>
          <w:tcPr>
            <w:tcW w:w="1780" w:type="dxa"/>
          </w:tcPr>
          <w:p w14:paraId="2C592714" w14:textId="5C6C4923" w:rsidR="004E18B3" w:rsidRPr="00E07FDD" w:rsidRDefault="00BE2530" w:rsidP="1818410E">
            <w:r>
              <w:t xml:space="preserve">18 </w:t>
            </w:r>
            <w:r w:rsidR="5AD3E156">
              <w:t>Ju</w:t>
            </w:r>
            <w:r w:rsidR="44C0FD93">
              <w:t>ly</w:t>
            </w:r>
            <w:r w:rsidR="5AD3E156">
              <w:t xml:space="preserve"> 2025</w:t>
            </w:r>
          </w:p>
        </w:tc>
        <w:tc>
          <w:tcPr>
            <w:tcW w:w="7287" w:type="dxa"/>
          </w:tcPr>
          <w:p w14:paraId="733CEB13" w14:textId="77777777" w:rsidR="004E18B3" w:rsidRPr="00E07FDD" w:rsidRDefault="004E18B3">
            <w:pPr>
              <w:rPr>
                <w:b/>
              </w:rPr>
            </w:pPr>
            <w:r w:rsidRPr="00E07FDD">
              <w:rPr>
                <w:b/>
              </w:rPr>
              <w:t>Submissions closed</w:t>
            </w:r>
          </w:p>
        </w:tc>
      </w:tr>
      <w:tr w:rsidR="004E18B3" w:rsidRPr="00DA7645" w14:paraId="520CCC9E" w14:textId="77777777" w:rsidTr="00837042">
        <w:tc>
          <w:tcPr>
            <w:tcW w:w="1780" w:type="dxa"/>
          </w:tcPr>
          <w:p w14:paraId="7B9FD359" w14:textId="5BF2A128" w:rsidR="004E18B3" w:rsidRPr="00E07FDD" w:rsidRDefault="5AD3E156" w:rsidP="1818410E">
            <w:r>
              <w:t>July</w:t>
            </w:r>
            <w:r w:rsidR="00837042">
              <w:t xml:space="preserve"> - August</w:t>
            </w:r>
            <w:r>
              <w:t xml:space="preserve"> 2025</w:t>
            </w:r>
          </w:p>
        </w:tc>
        <w:tc>
          <w:tcPr>
            <w:tcW w:w="7287" w:type="dxa"/>
          </w:tcPr>
          <w:p w14:paraId="588786F2" w14:textId="6395A180" w:rsidR="004E18B3" w:rsidRPr="00E07FDD" w:rsidRDefault="004E18B3">
            <w:r w:rsidRPr="00E07FDD">
              <w:t>Targeted workshops to discuss submissions</w:t>
            </w:r>
          </w:p>
        </w:tc>
      </w:tr>
      <w:tr w:rsidR="1818410E" w14:paraId="7C876830" w14:textId="77777777" w:rsidTr="00837042">
        <w:trPr>
          <w:trHeight w:val="300"/>
        </w:trPr>
        <w:tc>
          <w:tcPr>
            <w:tcW w:w="1780" w:type="dxa"/>
          </w:tcPr>
          <w:p w14:paraId="6A34D4B2" w14:textId="061D5719" w:rsidR="182DE732" w:rsidRDefault="00837042" w:rsidP="1818410E">
            <w:r>
              <w:t>September 2025</w:t>
            </w:r>
          </w:p>
        </w:tc>
        <w:tc>
          <w:tcPr>
            <w:tcW w:w="7287" w:type="dxa"/>
          </w:tcPr>
          <w:p w14:paraId="0AE85BB2" w14:textId="6B0CA729" w:rsidR="182DE732" w:rsidRDefault="182DE732" w:rsidP="1818410E">
            <w:pPr>
              <w:rPr>
                <w:b/>
                <w:bCs/>
              </w:rPr>
            </w:pPr>
            <w:r w:rsidRPr="1818410E">
              <w:rPr>
                <w:b/>
                <w:bCs/>
              </w:rPr>
              <w:t>Final Outcomes Paper</w:t>
            </w:r>
          </w:p>
        </w:tc>
      </w:tr>
      <w:tr w:rsidR="004E18B3" w:rsidRPr="00DA7645" w14:paraId="63B217CA" w14:textId="77777777" w:rsidTr="00837042">
        <w:tc>
          <w:tcPr>
            <w:tcW w:w="1780" w:type="dxa"/>
          </w:tcPr>
          <w:p w14:paraId="7630751A" w14:textId="68514EF4" w:rsidR="004E18B3" w:rsidRPr="00E07FDD" w:rsidRDefault="004E18B3">
            <w:r w:rsidRPr="00E07FDD">
              <w:t>October</w:t>
            </w:r>
            <w:r w:rsidR="00A552DC">
              <w:t>/November</w:t>
            </w:r>
            <w:r w:rsidRPr="00E07FDD">
              <w:t xml:space="preserve"> 2025</w:t>
            </w:r>
          </w:p>
        </w:tc>
        <w:tc>
          <w:tcPr>
            <w:tcW w:w="7287" w:type="dxa"/>
          </w:tcPr>
          <w:p w14:paraId="3C0955B7" w14:textId="00E5FEC4" w:rsidR="004E18B3" w:rsidRPr="00E07FDD" w:rsidRDefault="004E18B3">
            <w:r w:rsidRPr="00E07FDD">
              <w:t>AER will publish issues paper on DMO 8</w:t>
            </w:r>
          </w:p>
        </w:tc>
      </w:tr>
      <w:tr w:rsidR="004E18B3" w:rsidRPr="00DA7645" w14:paraId="0E053003" w14:textId="77777777" w:rsidTr="00837042">
        <w:tc>
          <w:tcPr>
            <w:tcW w:w="1780" w:type="dxa"/>
          </w:tcPr>
          <w:p w14:paraId="4DA0EA8E" w14:textId="77777777" w:rsidR="004E18B3" w:rsidRPr="00E07FDD" w:rsidRDefault="004E18B3">
            <w:r w:rsidRPr="00E07FDD">
              <w:t>March 2026</w:t>
            </w:r>
          </w:p>
        </w:tc>
        <w:tc>
          <w:tcPr>
            <w:tcW w:w="7287" w:type="dxa"/>
          </w:tcPr>
          <w:p w14:paraId="31533170" w14:textId="77777777" w:rsidR="004E18B3" w:rsidRPr="00E07FDD" w:rsidRDefault="004E18B3">
            <w:r w:rsidRPr="00E07FDD">
              <w:t xml:space="preserve">Draft DMO 8 </w:t>
            </w:r>
            <w:proofErr w:type="gramStart"/>
            <w:r w:rsidRPr="00E07FDD">
              <w:t>determination</w:t>
            </w:r>
            <w:proofErr w:type="gramEnd"/>
            <w:r w:rsidRPr="00E07FDD">
              <w:t xml:space="preserve"> published</w:t>
            </w:r>
          </w:p>
        </w:tc>
      </w:tr>
    </w:tbl>
    <w:p w14:paraId="6A30DCBF" w14:textId="25AB5237" w:rsidR="003C1876" w:rsidRPr="00E07FDD" w:rsidRDefault="003C1876" w:rsidP="003C1876"/>
    <w:p w14:paraId="524C9EDF" w14:textId="29F3CE9D" w:rsidR="003C1876" w:rsidRPr="003C1876" w:rsidRDefault="03256210" w:rsidP="003C1876">
      <w:r>
        <w:t xml:space="preserve">Stakeholders are strongly encouraged to monitor the </w:t>
      </w:r>
      <w:proofErr w:type="spellStart"/>
      <w:r w:rsidR="12EC2EB0">
        <w:t>department</w:t>
      </w:r>
      <w:r>
        <w:t>’s</w:t>
      </w:r>
      <w:proofErr w:type="spellEnd"/>
      <w:r>
        <w:t xml:space="preserve"> </w:t>
      </w:r>
      <w:hyperlink r:id="rId18" w:history="1">
        <w:r w:rsidRPr="003D7957">
          <w:rPr>
            <w:rStyle w:val="Hyperlink"/>
          </w:rPr>
          <w:t>Have Your Say</w:t>
        </w:r>
      </w:hyperlink>
      <w:r w:rsidRPr="00A354DB">
        <w:t xml:space="preserve"> page for</w:t>
      </w:r>
      <w:r>
        <w:t xml:space="preserve"> updates.</w:t>
      </w:r>
      <w:r w:rsidR="175A67B3">
        <w:t xml:space="preserve"> Additionally, </w:t>
      </w:r>
      <w:r w:rsidR="4C50BA78">
        <w:t xml:space="preserve">in </w:t>
      </w:r>
      <w:r w:rsidR="692ACF36">
        <w:t xml:space="preserve">case of any queries, </w:t>
      </w:r>
      <w:r w:rsidR="175A67B3">
        <w:t xml:space="preserve">the DCCEEW </w:t>
      </w:r>
      <w:r w:rsidR="175A67B3" w:rsidRPr="1E238D8F">
        <w:rPr>
          <w:lang w:eastAsia="ja-JP"/>
        </w:rPr>
        <w:t xml:space="preserve">Retail Policy team can be contacted by email to </w:t>
      </w:r>
      <w:hyperlink r:id="rId19">
        <w:r w:rsidR="7EBCCD9E" w:rsidRPr="1E238D8F">
          <w:rPr>
            <w:rStyle w:val="Hyperlink"/>
            <w:lang w:eastAsia="ja-JP"/>
          </w:rPr>
          <w:t>DMOReforms@dcceew.gov.au</w:t>
        </w:r>
      </w:hyperlink>
      <w:r w:rsidR="693C6FB5" w:rsidRPr="1E238D8F">
        <w:rPr>
          <w:lang w:eastAsia="ja-JP"/>
        </w:rPr>
        <w:t>.</w:t>
      </w:r>
    </w:p>
    <w:p w14:paraId="0AA9024E" w14:textId="4B23FC32" w:rsidR="005C6348" w:rsidRPr="0051477D" w:rsidRDefault="005C6348" w:rsidP="005C6348"/>
    <w:p w14:paraId="527A30C9" w14:textId="27C10F5F" w:rsidR="006712B7" w:rsidRDefault="00D508D5" w:rsidP="006C52AA">
      <w:pPr>
        <w:pStyle w:val="Heading2"/>
        <w:spacing w:line="276" w:lineRule="auto"/>
      </w:pPr>
      <w:bookmarkStart w:id="37" w:name="_Toc201068946"/>
      <w:r>
        <w:lastRenderedPageBreak/>
        <w:t>Proposed reforms for consultation</w:t>
      </w:r>
      <w:bookmarkEnd w:id="37"/>
    </w:p>
    <w:p w14:paraId="5427BB0A" w14:textId="2EA30C36" w:rsidR="0092449B" w:rsidRDefault="007B622E" w:rsidP="00D31D88">
      <w:pPr>
        <w:pStyle w:val="Heading3"/>
        <w:spacing w:line="276" w:lineRule="auto"/>
      </w:pPr>
      <w:bookmarkStart w:id="38" w:name="_Toc201068947"/>
      <w:r>
        <w:t>DMO objectives</w:t>
      </w:r>
      <w:bookmarkEnd w:id="38"/>
    </w:p>
    <w:p w14:paraId="059AD8E2" w14:textId="3E036F2C" w:rsidR="00706A56" w:rsidRPr="0072350C" w:rsidRDefault="00706A56" w:rsidP="00DA5733">
      <w:pPr>
        <w:spacing w:before="240"/>
        <w:rPr>
          <w:b/>
          <w:bCs/>
        </w:rPr>
      </w:pPr>
      <w:r w:rsidRPr="0072350C">
        <w:rPr>
          <w:b/>
          <w:bCs/>
        </w:rPr>
        <w:t xml:space="preserve">We are consulting on the objectives of the DMO pricing framework and whether the objectives appropriately balance consumer protections with competitive market outcomes.  </w:t>
      </w:r>
    </w:p>
    <w:p w14:paraId="4A46C634" w14:textId="445A8C77" w:rsidR="00EC4C49" w:rsidRDefault="00EC4C49" w:rsidP="00DA5733">
      <w:pPr>
        <w:spacing w:before="240"/>
      </w:pPr>
      <w:r>
        <w:t xml:space="preserve">The Electricity Retail Code sets out three primary objectives to be considered by the AER in determining the DMO. These objectives include: </w:t>
      </w:r>
    </w:p>
    <w:p w14:paraId="182E88C4" w14:textId="555D3C38" w:rsidR="00EC4C49" w:rsidRDefault="00EC4C49" w:rsidP="000A795C">
      <w:pPr>
        <w:pStyle w:val="ListParagraph"/>
        <w:numPr>
          <w:ilvl w:val="0"/>
          <w:numId w:val="14"/>
        </w:numPr>
        <w:spacing w:after="160" w:line="257" w:lineRule="auto"/>
        <w:ind w:left="360"/>
        <w:contextualSpacing/>
      </w:pPr>
      <w:r>
        <w:t xml:space="preserve">Protect </w:t>
      </w:r>
      <w:r w:rsidR="001C2804">
        <w:t>customer</w:t>
      </w:r>
      <w:r>
        <w:t xml:space="preserve">s from unreasonable prices in the market by reducing unjustifiably high standing offer prices. </w:t>
      </w:r>
    </w:p>
    <w:p w14:paraId="4C4192CE" w14:textId="77777777" w:rsidR="00EC4C49" w:rsidRDefault="00EC4C49" w:rsidP="000A795C">
      <w:pPr>
        <w:pStyle w:val="ListParagraph"/>
        <w:numPr>
          <w:ilvl w:val="0"/>
          <w:numId w:val="14"/>
        </w:numPr>
        <w:spacing w:after="160" w:line="257" w:lineRule="auto"/>
        <w:ind w:left="360"/>
        <w:contextualSpacing/>
      </w:pPr>
      <w:r>
        <w:t xml:space="preserve">Allow retailers to recover their efficient costs of providing services, including a reasonable retail margin and costs associated with customer acquisition and retention. </w:t>
      </w:r>
    </w:p>
    <w:p w14:paraId="0AA9CD3E" w14:textId="382662C2" w:rsidR="00EC4C49" w:rsidRDefault="00EC4C49" w:rsidP="000A795C">
      <w:pPr>
        <w:pStyle w:val="ListParagraph"/>
        <w:numPr>
          <w:ilvl w:val="0"/>
          <w:numId w:val="14"/>
        </w:numPr>
        <w:spacing w:after="160" w:line="257" w:lineRule="auto"/>
        <w:ind w:left="360"/>
        <w:contextualSpacing/>
      </w:pPr>
      <w:r>
        <w:t xml:space="preserve">Maintain incentives for competition, innovation and investment by retailers, and incentives for </w:t>
      </w:r>
      <w:r w:rsidR="001C2804">
        <w:t>customer</w:t>
      </w:r>
      <w:r>
        <w:t xml:space="preserve">s to engage in the market. </w:t>
      </w:r>
    </w:p>
    <w:p w14:paraId="38D9B7D7" w14:textId="59083F89" w:rsidR="00A64ED4" w:rsidRDefault="00906EEC" w:rsidP="00EC4C49">
      <w:r>
        <w:t>T</w:t>
      </w:r>
      <w:r w:rsidR="005D33C8">
        <w:t>he inherent tension between these objectives</w:t>
      </w:r>
      <w:r w:rsidR="00EF4C4C">
        <w:t xml:space="preserve"> can </w:t>
      </w:r>
      <w:r w:rsidR="00A12DE3">
        <w:t xml:space="preserve">result in </w:t>
      </w:r>
      <w:r w:rsidR="00C43A43">
        <w:t xml:space="preserve">reduced transparency </w:t>
      </w:r>
      <w:r w:rsidR="00CF7FAD">
        <w:t xml:space="preserve">and certainty </w:t>
      </w:r>
      <w:r w:rsidR="00C43A43">
        <w:t xml:space="preserve">for market participants as they </w:t>
      </w:r>
      <w:r w:rsidR="00F943F4">
        <w:t xml:space="preserve">seek to mitigate cost fluctuations in an increasingly volatile market. </w:t>
      </w:r>
    </w:p>
    <w:tbl>
      <w:tblPr>
        <w:tblStyle w:val="TableGrid"/>
        <w:tblpPr w:leftFromText="180" w:rightFromText="180" w:vertAnchor="text" w:horzAnchor="margin" w:tblpY="123"/>
        <w:tblW w:w="0" w:type="auto"/>
        <w:shd w:val="clear" w:color="auto" w:fill="FDE9D9" w:themeFill="accent6" w:themeFillTint="33"/>
        <w:tblLook w:val="04A0" w:firstRow="1" w:lastRow="0" w:firstColumn="1" w:lastColumn="0" w:noHBand="0" w:noVBand="1"/>
      </w:tblPr>
      <w:tblGrid>
        <w:gridCol w:w="9016"/>
      </w:tblGrid>
      <w:tr w:rsidR="00A64ED4" w14:paraId="0D2F1032" w14:textId="77777777">
        <w:tc>
          <w:tcPr>
            <w:tcW w:w="9016" w:type="dxa"/>
            <w:shd w:val="clear" w:color="auto" w:fill="FDE9D9" w:themeFill="accent6" w:themeFillTint="33"/>
          </w:tcPr>
          <w:p w14:paraId="54E567F9" w14:textId="4C699598" w:rsidR="00BB45A6" w:rsidRPr="00205D32" w:rsidRDefault="00BB45A6" w:rsidP="00BB45A6">
            <w:pPr>
              <w:numPr>
                <w:ilvl w:val="0"/>
                <w:numId w:val="28"/>
              </w:numPr>
              <w:spacing w:after="160" w:line="259" w:lineRule="auto"/>
            </w:pPr>
            <w:r w:rsidRPr="00205D32">
              <w:rPr>
                <w:lang w:val="en-US"/>
              </w:rPr>
              <w:t xml:space="preserve">How can the DMO </w:t>
            </w:r>
            <w:r w:rsidR="009F0472">
              <w:rPr>
                <w:lang w:val="en-US"/>
              </w:rPr>
              <w:t xml:space="preserve">framework </w:t>
            </w:r>
            <w:r w:rsidRPr="00205D32">
              <w:rPr>
                <w:lang w:val="en-US"/>
              </w:rPr>
              <w:t>policy objectives be amended to adopt a greater emphasis on protections for disengaged customers in competitive retail markets?</w:t>
            </w:r>
            <w:r w:rsidRPr="00205D32">
              <w:t> </w:t>
            </w:r>
          </w:p>
          <w:p w14:paraId="7FD29D62" w14:textId="238F94D9" w:rsidR="00BB45A6" w:rsidRPr="00205D32" w:rsidRDefault="00BB45A6" w:rsidP="00BB45A6">
            <w:pPr>
              <w:numPr>
                <w:ilvl w:val="0"/>
                <w:numId w:val="28"/>
              </w:numPr>
              <w:spacing w:after="160" w:line="259" w:lineRule="auto"/>
            </w:pPr>
            <w:r w:rsidRPr="00205D32">
              <w:rPr>
                <w:lang w:val="en-US"/>
              </w:rPr>
              <w:t xml:space="preserve">Does the DMO </w:t>
            </w:r>
            <w:r w:rsidR="00A552DC">
              <w:rPr>
                <w:lang w:val="en-US"/>
              </w:rPr>
              <w:t xml:space="preserve">framework </w:t>
            </w:r>
            <w:r w:rsidRPr="00205D32">
              <w:rPr>
                <w:lang w:val="en-US"/>
              </w:rPr>
              <w:t xml:space="preserve">remain fit-for-purpose noting the rationale for its introduction in 2019 was to address specific concerns regarding the discounting </w:t>
            </w:r>
            <w:proofErr w:type="spellStart"/>
            <w:r w:rsidRPr="00205D32">
              <w:rPr>
                <w:lang w:val="en-US"/>
              </w:rPr>
              <w:t>behaviour</w:t>
            </w:r>
            <w:proofErr w:type="spellEnd"/>
            <w:r w:rsidRPr="00205D32">
              <w:rPr>
                <w:lang w:val="en-US"/>
              </w:rPr>
              <w:t xml:space="preserve"> by retailers identified in the ACCC’s REPI report?</w:t>
            </w:r>
            <w:r w:rsidRPr="00205D32">
              <w:t> </w:t>
            </w:r>
          </w:p>
          <w:p w14:paraId="44C6797A" w14:textId="15EB0338" w:rsidR="00A64ED4" w:rsidRDefault="00BB45A6" w:rsidP="0072350C">
            <w:pPr>
              <w:numPr>
                <w:ilvl w:val="0"/>
                <w:numId w:val="28"/>
              </w:numPr>
              <w:spacing w:after="160" w:line="259" w:lineRule="auto"/>
            </w:pPr>
            <w:r w:rsidRPr="00205D32">
              <w:rPr>
                <w:lang w:val="en-US"/>
              </w:rPr>
              <w:t xml:space="preserve">How successfully does the DMO </w:t>
            </w:r>
            <w:r w:rsidR="00A552DC">
              <w:rPr>
                <w:lang w:val="en-US"/>
              </w:rPr>
              <w:t xml:space="preserve">framework </w:t>
            </w:r>
            <w:r w:rsidRPr="00205D32">
              <w:rPr>
                <w:lang w:val="en-US"/>
              </w:rPr>
              <w:t>achieve its objective in being a reference price to allow customers</w:t>
            </w:r>
            <w:r w:rsidR="007F74DF">
              <w:rPr>
                <w:lang w:val="en-US"/>
              </w:rPr>
              <w:t xml:space="preserve"> to</w:t>
            </w:r>
            <w:r w:rsidRPr="00205D32">
              <w:rPr>
                <w:lang w:val="en-US"/>
              </w:rPr>
              <w:t xml:space="preserve"> compare market offers? Are there any issues preventing the DMO in achieving this objective? </w:t>
            </w:r>
            <w:r w:rsidRPr="00205D32">
              <w:t> </w:t>
            </w:r>
          </w:p>
        </w:tc>
      </w:tr>
    </w:tbl>
    <w:p w14:paraId="6A430CB4" w14:textId="552E28E9" w:rsidR="00512E6C" w:rsidRDefault="0017148C" w:rsidP="006A7EF6">
      <w:pPr>
        <w:pStyle w:val="Heading3"/>
        <w:spacing w:before="240" w:after="240"/>
      </w:pPr>
      <w:bookmarkStart w:id="39" w:name="_Toc201068948"/>
      <w:r>
        <w:t>Efficient pricing framework for the DMO</w:t>
      </w:r>
      <w:bookmarkEnd w:id="39"/>
    </w:p>
    <w:p w14:paraId="2B76E74E" w14:textId="539BD298" w:rsidR="002116B0" w:rsidRPr="0072350C" w:rsidRDefault="00706A56" w:rsidP="00045F79">
      <w:pPr>
        <w:rPr>
          <w:b/>
          <w:bCs/>
          <w:lang w:eastAsia="ja-JP"/>
        </w:rPr>
      </w:pPr>
      <w:r w:rsidRPr="0072350C">
        <w:rPr>
          <w:b/>
          <w:bCs/>
        </w:rPr>
        <w:t>We are consulting on whether an efficient pricing framework should be adopted for the DMO.</w:t>
      </w:r>
    </w:p>
    <w:p w14:paraId="4C97576E" w14:textId="0414663C" w:rsidR="00045F79" w:rsidRDefault="00045F79" w:rsidP="00045F79">
      <w:r>
        <w:rPr>
          <w:lang w:eastAsia="ja-JP"/>
        </w:rPr>
        <w:t xml:space="preserve">An efficient pricing framework </w:t>
      </w:r>
      <w:r w:rsidRPr="009D5D94">
        <w:t xml:space="preserve">would ensure that the prices </w:t>
      </w:r>
      <w:r>
        <w:t>customer</w:t>
      </w:r>
      <w:r w:rsidRPr="009D5D94">
        <w:t xml:space="preserve">s pay for a standing offer would reflect the efficient costs to </w:t>
      </w:r>
      <w:r w:rsidR="003508D1">
        <w:t>provide</w:t>
      </w:r>
      <w:r w:rsidR="003508D1" w:rsidRPr="009D5D94">
        <w:t xml:space="preserve"> </w:t>
      </w:r>
      <w:r w:rsidRPr="009D5D94">
        <w:t>a customer</w:t>
      </w:r>
      <w:r w:rsidR="003508D1">
        <w:t xml:space="preserve"> with an essential service</w:t>
      </w:r>
      <w:r w:rsidRPr="009D5D94">
        <w:t xml:space="preserve"> and remove or minimise the </w:t>
      </w:r>
      <w:r w:rsidR="00A552DC">
        <w:t xml:space="preserve">explicit </w:t>
      </w:r>
      <w:r w:rsidRPr="009D5D94">
        <w:t>costs built into the current DMO framework</w:t>
      </w:r>
      <w:r w:rsidR="00155B69">
        <w:t xml:space="preserve">. </w:t>
      </w:r>
      <w:r>
        <w:t xml:space="preserve"> </w:t>
      </w:r>
    </w:p>
    <w:p w14:paraId="5E166A60" w14:textId="1DA2AEF1" w:rsidR="009756FD" w:rsidRDefault="00045F79" w:rsidP="00DA5733">
      <w:pPr>
        <w:spacing w:before="240"/>
      </w:pPr>
      <w:r>
        <w:lastRenderedPageBreak/>
        <w:t>Customers on standing offers represent a cohort of customers that have not engaged, or cannot engage, in the competitive process of seeking the cheapest offer in the retail electricity market.</w:t>
      </w:r>
      <w:r>
        <w:rPr>
          <w:rStyle w:val="FootnoteReference"/>
        </w:rPr>
        <w:footnoteReference w:id="40"/>
      </w:r>
      <w:r>
        <w:t xml:space="preserve"> Therefore, certain costs components allowed under the current DMO framework, such as a competition allowance and customer acquisition </w:t>
      </w:r>
      <w:r w:rsidR="00305441">
        <w:t xml:space="preserve">and retention </w:t>
      </w:r>
      <w:r>
        <w:t xml:space="preserve">costs, are additional costs that these customers pay where they do not accrue the benefits of competition. </w:t>
      </w:r>
    </w:p>
    <w:tbl>
      <w:tblPr>
        <w:tblStyle w:val="TableGrid"/>
        <w:tblpPr w:leftFromText="180" w:rightFromText="180" w:vertAnchor="text" w:horzAnchor="margin" w:tblpY="123"/>
        <w:tblW w:w="0" w:type="auto"/>
        <w:shd w:val="clear" w:color="auto" w:fill="FDE9D9" w:themeFill="accent6" w:themeFillTint="33"/>
        <w:tblLook w:val="04A0" w:firstRow="1" w:lastRow="0" w:firstColumn="1" w:lastColumn="0" w:noHBand="0" w:noVBand="1"/>
      </w:tblPr>
      <w:tblGrid>
        <w:gridCol w:w="9016"/>
      </w:tblGrid>
      <w:tr w:rsidR="009756FD" w14:paraId="352AF5B1" w14:textId="77777777">
        <w:tc>
          <w:tcPr>
            <w:tcW w:w="9016" w:type="dxa"/>
            <w:shd w:val="clear" w:color="auto" w:fill="FDE9D9" w:themeFill="accent6" w:themeFillTint="33"/>
          </w:tcPr>
          <w:p w14:paraId="4BAD8F57" w14:textId="77777777" w:rsidR="005E6BBE" w:rsidRPr="00205D32" w:rsidRDefault="005E6BBE" w:rsidP="0072350C">
            <w:pPr>
              <w:numPr>
                <w:ilvl w:val="0"/>
                <w:numId w:val="28"/>
              </w:numPr>
              <w:spacing w:after="160" w:line="259" w:lineRule="auto"/>
              <w:rPr>
                <w:lang w:val="en-US"/>
              </w:rPr>
            </w:pPr>
            <w:r w:rsidRPr="00205D32">
              <w:rPr>
                <w:lang w:val="en-US"/>
              </w:rPr>
              <w:t>Should the DMO be set to reflect the efficient costs a retailer might incur in supplying electricity to its customers?  How does the DMO compare to other efficient pricing regimes adopted by other states and territories (e.g., ACT, Tasmania, regional Queensland? </w:t>
            </w:r>
          </w:p>
          <w:p w14:paraId="5C60CBBA" w14:textId="77777777" w:rsidR="005E6BBE" w:rsidRPr="00205D32" w:rsidRDefault="005E6BBE" w:rsidP="0072350C">
            <w:pPr>
              <w:numPr>
                <w:ilvl w:val="0"/>
                <w:numId w:val="28"/>
              </w:numPr>
              <w:spacing w:after="160" w:line="259" w:lineRule="auto"/>
              <w:rPr>
                <w:lang w:val="en-US"/>
              </w:rPr>
            </w:pPr>
            <w:r w:rsidRPr="009C43C8">
              <w:rPr>
                <w:lang w:val="en-US"/>
              </w:rPr>
              <w:t xml:space="preserve">What have been the impacts of the DMO in </w:t>
            </w:r>
            <w:proofErr w:type="spellStart"/>
            <w:r w:rsidRPr="009C43C8">
              <w:rPr>
                <w:lang w:val="en-US"/>
              </w:rPr>
              <w:t>incentivising</w:t>
            </w:r>
            <w:proofErr w:type="spellEnd"/>
            <w:r w:rsidRPr="009C43C8">
              <w:rPr>
                <w:lang w:val="en-US"/>
              </w:rPr>
              <w:t xml:space="preserve"> competition or customer engagement? In what ways has the inclusion of a competition </w:t>
            </w:r>
            <w:proofErr w:type="gramStart"/>
            <w:r w:rsidRPr="009C43C8">
              <w:rPr>
                <w:lang w:val="en-US"/>
              </w:rPr>
              <w:t>allowance maintained</w:t>
            </w:r>
            <w:proofErr w:type="gramEnd"/>
            <w:r w:rsidRPr="009C43C8">
              <w:rPr>
                <w:lang w:val="en-US"/>
              </w:rPr>
              <w:t xml:space="preserve"> incentives for competition and new entrant retailers?</w:t>
            </w:r>
            <w:r w:rsidRPr="00205D32">
              <w:rPr>
                <w:lang w:val="en-US"/>
              </w:rPr>
              <w:t> </w:t>
            </w:r>
          </w:p>
          <w:p w14:paraId="08749795" w14:textId="77777777" w:rsidR="005E6BBE" w:rsidRPr="00205D32" w:rsidRDefault="005E6BBE" w:rsidP="0072350C">
            <w:pPr>
              <w:numPr>
                <w:ilvl w:val="0"/>
                <w:numId w:val="28"/>
              </w:numPr>
              <w:spacing w:after="160" w:line="259" w:lineRule="auto"/>
              <w:rPr>
                <w:lang w:val="en-US"/>
              </w:rPr>
            </w:pPr>
            <w:r w:rsidRPr="00205D32">
              <w:rPr>
                <w:lang w:val="en-US"/>
              </w:rPr>
              <w:t>How does the inclusion of a competition allowance level the playing field between retailers, given the current market structure (specifically, considering the high-level of concentration of customers across the Tier 1 retailers, coupled with the significant customer disengagement prevalent in the market)?  </w:t>
            </w:r>
          </w:p>
          <w:p w14:paraId="7BE7F003" w14:textId="28D0CD8D" w:rsidR="005E6BBE" w:rsidRPr="00A354DB" w:rsidRDefault="005E6BBE" w:rsidP="0072350C">
            <w:pPr>
              <w:numPr>
                <w:ilvl w:val="0"/>
                <w:numId w:val="28"/>
              </w:numPr>
              <w:spacing w:after="160" w:line="259" w:lineRule="auto"/>
              <w:rPr>
                <w:lang w:val="en-US"/>
              </w:rPr>
            </w:pPr>
            <w:r w:rsidRPr="00A354DB">
              <w:rPr>
                <w:lang w:val="en-US"/>
              </w:rPr>
              <w:t xml:space="preserve">How does the DMO </w:t>
            </w:r>
            <w:r w:rsidR="00FE3700" w:rsidRPr="00A354DB">
              <w:rPr>
                <w:lang w:val="en-US"/>
              </w:rPr>
              <w:t xml:space="preserve">framework </w:t>
            </w:r>
            <w:r w:rsidRPr="00A354DB">
              <w:rPr>
                <w:lang w:val="en-US"/>
              </w:rPr>
              <w:t>compare to the VDO in terms of balancing consumer outcomes while maintaining competitive retail markets? </w:t>
            </w:r>
          </w:p>
          <w:p w14:paraId="0BEFAED6" w14:textId="77777777" w:rsidR="005E6BBE" w:rsidRPr="00A354DB" w:rsidRDefault="005E6BBE" w:rsidP="0072350C">
            <w:pPr>
              <w:numPr>
                <w:ilvl w:val="0"/>
                <w:numId w:val="28"/>
              </w:numPr>
              <w:spacing w:after="160" w:line="259" w:lineRule="auto"/>
              <w:rPr>
                <w:lang w:val="en-US"/>
              </w:rPr>
            </w:pPr>
            <w:r w:rsidRPr="00A354DB">
              <w:rPr>
                <w:lang w:val="en-US"/>
              </w:rPr>
              <w:t>How has the exclusion of headroom for competition impacted the Victorian market? What are the key reasons why the headroom should be included in DMO regions considering it is not factored into regulated pricing in Victoria?   </w:t>
            </w:r>
          </w:p>
          <w:p w14:paraId="0512F215" w14:textId="77777777" w:rsidR="005E6BBE" w:rsidRPr="00A354DB" w:rsidRDefault="005E6BBE" w:rsidP="0072350C">
            <w:pPr>
              <w:numPr>
                <w:ilvl w:val="0"/>
                <w:numId w:val="28"/>
              </w:numPr>
              <w:spacing w:after="160" w:line="259" w:lineRule="auto"/>
              <w:rPr>
                <w:lang w:val="en-US"/>
              </w:rPr>
            </w:pPr>
            <w:r w:rsidRPr="00A354DB">
              <w:rPr>
                <w:lang w:val="en-US"/>
              </w:rPr>
              <w:t>What considerations are taken when setting prices in Victoria when compared to DMO regions in alignment with respective regulated pricing determinations?  </w:t>
            </w:r>
          </w:p>
          <w:p w14:paraId="42DDB4CB" w14:textId="77777777" w:rsidR="005E6BBE" w:rsidRDefault="005E6BBE" w:rsidP="0072350C">
            <w:pPr>
              <w:numPr>
                <w:ilvl w:val="0"/>
                <w:numId w:val="28"/>
              </w:numPr>
              <w:spacing w:after="160" w:line="259" w:lineRule="auto"/>
              <w:rPr>
                <w:lang w:val="en-US"/>
              </w:rPr>
            </w:pPr>
            <w:r w:rsidRPr="00A354DB">
              <w:rPr>
                <w:lang w:val="en-US"/>
              </w:rPr>
              <w:t>What specific innovation has been delivered through the introduction of competition in the retail electricity market?  What specific innovation has the inclusion of the competition allowance fostered in the market?  </w:t>
            </w:r>
          </w:p>
          <w:p w14:paraId="55764467" w14:textId="397FE1D9" w:rsidR="009756FD" w:rsidRPr="00607A1D" w:rsidRDefault="00607A1D" w:rsidP="00607A1D">
            <w:pPr>
              <w:numPr>
                <w:ilvl w:val="0"/>
                <w:numId w:val="28"/>
              </w:numPr>
              <w:spacing w:after="160" w:line="259" w:lineRule="auto"/>
              <w:rPr>
                <w:lang w:val="en-US"/>
              </w:rPr>
            </w:pPr>
            <w:r>
              <w:rPr>
                <w:lang w:val="en-US"/>
              </w:rPr>
              <w:t xml:space="preserve">Is price dispersion of market offers a meaningful area of focus in the context of considerable customer disengagement in the market? What drivers price dispersion in retail electricity markets and how much price dispersion is driven by competition, in comparison to other drivers? </w:t>
            </w:r>
          </w:p>
        </w:tc>
      </w:tr>
    </w:tbl>
    <w:p w14:paraId="46B283E0" w14:textId="2437A5F0" w:rsidR="001A29E4" w:rsidRDefault="001A29E4" w:rsidP="004B525F">
      <w:pPr>
        <w:pStyle w:val="Heading3"/>
        <w:spacing w:before="240"/>
      </w:pPr>
      <w:bookmarkStart w:id="40" w:name="_Toc201068949"/>
      <w:r>
        <w:lastRenderedPageBreak/>
        <w:t>The form of the DMO: tariff or price cap</w:t>
      </w:r>
      <w:bookmarkEnd w:id="40"/>
    </w:p>
    <w:p w14:paraId="4D6E5D0D" w14:textId="3E0CAA69" w:rsidR="00706A56" w:rsidRPr="0072350C" w:rsidRDefault="00706A56" w:rsidP="000A2400">
      <w:pPr>
        <w:spacing w:before="240"/>
        <w:rPr>
          <w:b/>
          <w:bCs/>
        </w:rPr>
      </w:pPr>
      <w:r w:rsidRPr="0072350C">
        <w:rPr>
          <w:b/>
          <w:bCs/>
        </w:rPr>
        <w:t>We are consulting on whether the DMO should be a tariff rather than annual price at a model usage.</w:t>
      </w:r>
    </w:p>
    <w:p w14:paraId="0A2EDE61" w14:textId="671C5245" w:rsidR="00175A5C" w:rsidRDefault="00122ABF" w:rsidP="000A2400">
      <w:pPr>
        <w:spacing w:before="240"/>
      </w:pPr>
      <w:r>
        <w:t xml:space="preserve">The DMO is currently set as an annual price </w:t>
      </w:r>
      <w:r w:rsidR="000B1BB4">
        <w:t xml:space="preserve">at a given </w:t>
      </w:r>
      <w:r w:rsidR="00857EFB">
        <w:t xml:space="preserve">representative annual consumption </w:t>
      </w:r>
      <w:r w:rsidR="00CE485E">
        <w:t xml:space="preserve">level </w:t>
      </w:r>
      <w:r w:rsidR="00857EFB">
        <w:t>which varies depending on the distribution zone.</w:t>
      </w:r>
      <w:r w:rsidR="00482B12">
        <w:t xml:space="preserve"> </w:t>
      </w:r>
      <w:r w:rsidR="00045F79">
        <w:t>R</w:t>
      </w:r>
      <w:r w:rsidR="00482B12">
        <w:t xml:space="preserve">etailers are </w:t>
      </w:r>
      <w:r w:rsidR="00072012">
        <w:t xml:space="preserve">free to set their usage and supply charges </w:t>
      </w:r>
      <w:proofErr w:type="gramStart"/>
      <w:r w:rsidR="00072012">
        <w:t>as long as</w:t>
      </w:r>
      <w:proofErr w:type="gramEnd"/>
      <w:r w:rsidR="00072012">
        <w:t xml:space="preserve"> the annual price at that </w:t>
      </w:r>
      <w:r w:rsidR="00F61B9C">
        <w:t xml:space="preserve">consumption level is equal to the regulated price level. </w:t>
      </w:r>
      <w:r w:rsidR="0054773B">
        <w:t xml:space="preserve">However, this results in less transparent pricing outcomes for customers consuming </w:t>
      </w:r>
      <w:r w:rsidR="00C72B67">
        <w:t xml:space="preserve">above </w:t>
      </w:r>
      <w:r w:rsidR="00694237">
        <w:t xml:space="preserve">or below </w:t>
      </w:r>
      <w:r w:rsidR="00C72B67">
        <w:t>the re</w:t>
      </w:r>
      <w:r w:rsidR="00305441">
        <w:t>presentative consumption level</w:t>
      </w:r>
      <w:r w:rsidR="0054773B">
        <w:t xml:space="preserve">. </w:t>
      </w:r>
    </w:p>
    <w:p w14:paraId="444C403F" w14:textId="1CA34C2B" w:rsidR="00175A5C" w:rsidRDefault="002D53FF" w:rsidP="006A7EF6">
      <w:pPr>
        <w:spacing w:before="240"/>
      </w:pPr>
      <w:r>
        <w:t xml:space="preserve">Given the outcomes in more recent ACCC NEM Inquiry reporting which found </w:t>
      </w:r>
      <w:r w:rsidR="00B479E3">
        <w:t xml:space="preserve">significant proportions of </w:t>
      </w:r>
      <w:r w:rsidR="001C2804">
        <w:t>customer</w:t>
      </w:r>
      <w:r w:rsidR="00601B2F">
        <w:t>s paying at or above the DMO’s price level</w:t>
      </w:r>
      <w:r w:rsidR="00A905DA">
        <w:t>,</w:t>
      </w:r>
      <w:r w:rsidR="008F00C8">
        <w:t xml:space="preserve"> </w:t>
      </w:r>
      <w:r w:rsidR="00F11462">
        <w:t xml:space="preserve">coupled with </w:t>
      </w:r>
      <w:r w:rsidR="008B4F89">
        <w:t xml:space="preserve">the growing prominence of CER and </w:t>
      </w:r>
      <w:r w:rsidR="0018237F">
        <w:t>their</w:t>
      </w:r>
      <w:r w:rsidR="008B4F89">
        <w:t xml:space="preserve"> associated tariff structures, </w:t>
      </w:r>
      <w:r w:rsidR="005A2D78">
        <w:t>a</w:t>
      </w:r>
      <w:r w:rsidR="00AF7573" w:rsidRPr="00AF7573">
        <w:t xml:space="preserve"> </w:t>
      </w:r>
      <w:r w:rsidR="002433EC">
        <w:t xml:space="preserve">shift to a </w:t>
      </w:r>
      <w:r w:rsidR="00AF7573" w:rsidRPr="00AF7573">
        <w:t xml:space="preserve">regulated tariff </w:t>
      </w:r>
      <w:r w:rsidR="00D121B1">
        <w:t>can provide greater</w:t>
      </w:r>
      <w:r w:rsidR="0059707A">
        <w:t xml:space="preserve"> bill</w:t>
      </w:r>
      <w:r w:rsidR="00D121B1">
        <w:t xml:space="preserve"> certainty</w:t>
      </w:r>
      <w:r w:rsidR="003B40CA">
        <w:t xml:space="preserve"> </w:t>
      </w:r>
      <w:r w:rsidR="00384A1D">
        <w:t xml:space="preserve">and apply consistently </w:t>
      </w:r>
      <w:r w:rsidR="00CD1D92">
        <w:t xml:space="preserve">to </w:t>
      </w:r>
      <w:r w:rsidR="001C2804">
        <w:t>customer</w:t>
      </w:r>
      <w:r w:rsidR="0059707A">
        <w:t xml:space="preserve">s at any </w:t>
      </w:r>
      <w:r w:rsidR="003B40CA">
        <w:t>consumption level</w:t>
      </w:r>
      <w:r w:rsidR="0059707A">
        <w:t xml:space="preserve">. </w:t>
      </w:r>
    </w:p>
    <w:tbl>
      <w:tblPr>
        <w:tblStyle w:val="TableGrid"/>
        <w:tblpPr w:leftFromText="180" w:rightFromText="180" w:vertAnchor="text" w:horzAnchor="margin" w:tblpY="123"/>
        <w:tblW w:w="0" w:type="auto"/>
        <w:shd w:val="clear" w:color="auto" w:fill="FDE9D9" w:themeFill="accent6" w:themeFillTint="33"/>
        <w:tblLook w:val="04A0" w:firstRow="1" w:lastRow="0" w:firstColumn="1" w:lastColumn="0" w:noHBand="0" w:noVBand="1"/>
      </w:tblPr>
      <w:tblGrid>
        <w:gridCol w:w="9016"/>
      </w:tblGrid>
      <w:tr w:rsidR="005E6BBE" w14:paraId="79738251" w14:textId="77777777">
        <w:tc>
          <w:tcPr>
            <w:tcW w:w="9016" w:type="dxa"/>
            <w:shd w:val="clear" w:color="auto" w:fill="FDE9D9" w:themeFill="accent6" w:themeFillTint="33"/>
          </w:tcPr>
          <w:p w14:paraId="794AE99A" w14:textId="77777777" w:rsidR="00706A56" w:rsidRPr="00205D32" w:rsidRDefault="00706A56" w:rsidP="00EF7959">
            <w:pPr>
              <w:numPr>
                <w:ilvl w:val="0"/>
                <w:numId w:val="28"/>
              </w:numPr>
              <w:spacing w:after="160" w:line="259" w:lineRule="auto"/>
              <w:rPr>
                <w:lang w:val="en-US"/>
              </w:rPr>
            </w:pPr>
            <w:bookmarkStart w:id="41" w:name="_Toc88143339"/>
            <w:bookmarkStart w:id="42" w:name="_Toc91084252"/>
            <w:bookmarkStart w:id="43" w:name="_Toc127801080"/>
            <w:r w:rsidRPr="00205D32">
              <w:rPr>
                <w:lang w:val="en-US"/>
              </w:rPr>
              <w:t>To what extent does an annual price for a model level of usage help customers compare market offers against a reference price? How could this be improved or enhanced to benefit customers? </w:t>
            </w:r>
          </w:p>
          <w:p w14:paraId="16D4B6BF" w14:textId="448D1A86" w:rsidR="005E6BBE" w:rsidRPr="0072350C" w:rsidRDefault="00706A56" w:rsidP="0072350C">
            <w:pPr>
              <w:numPr>
                <w:ilvl w:val="0"/>
                <w:numId w:val="28"/>
              </w:numPr>
              <w:spacing w:after="160" w:line="259" w:lineRule="auto"/>
              <w:rPr>
                <w:lang w:val="en-US"/>
              </w:rPr>
            </w:pPr>
            <w:r w:rsidRPr="00205D32">
              <w:rPr>
                <w:lang w:val="en-US"/>
              </w:rPr>
              <w:t>Should the DMO be expressed as a tariff or annual price cap if its application is extended to additional tariff types</w:t>
            </w:r>
            <w:r>
              <w:rPr>
                <w:lang w:val="en-US"/>
              </w:rPr>
              <w:t xml:space="preserve"> </w:t>
            </w:r>
            <w:r w:rsidR="00305441">
              <w:rPr>
                <w:lang w:val="en-US"/>
              </w:rPr>
              <w:t>not currently considered within the DMO framework</w:t>
            </w:r>
            <w:r w:rsidRPr="00205D32">
              <w:rPr>
                <w:lang w:val="en-US"/>
              </w:rPr>
              <w:t>? </w:t>
            </w:r>
          </w:p>
        </w:tc>
      </w:tr>
      <w:bookmarkEnd w:id="41"/>
      <w:bookmarkEnd w:id="42"/>
      <w:bookmarkEnd w:id="43"/>
    </w:tbl>
    <w:p w14:paraId="41B6310D" w14:textId="77777777" w:rsidR="007770CE" w:rsidRDefault="007770CE">
      <w:pPr>
        <w:spacing w:after="0" w:line="240" w:lineRule="auto"/>
      </w:pPr>
    </w:p>
    <w:p w14:paraId="2977DE97" w14:textId="2F16187F" w:rsidR="00C31E9F" w:rsidRDefault="00C31E9F" w:rsidP="004977DB">
      <w:pPr>
        <w:pStyle w:val="Heading2"/>
      </w:pPr>
      <w:bookmarkStart w:id="44" w:name="_Toc200562187"/>
      <w:bookmarkStart w:id="45" w:name="_Toc200562188"/>
      <w:bookmarkStart w:id="46" w:name="_Toc200562189"/>
      <w:bookmarkStart w:id="47" w:name="_Toc200562190"/>
      <w:bookmarkStart w:id="48" w:name="_Toc200562191"/>
      <w:bookmarkStart w:id="49" w:name="_Toc200562192"/>
      <w:bookmarkStart w:id="50" w:name="_Toc200562193"/>
      <w:bookmarkStart w:id="51" w:name="_Toc200562194"/>
      <w:bookmarkStart w:id="52" w:name="_Toc200562195"/>
      <w:bookmarkStart w:id="53" w:name="_Toc200562196"/>
      <w:bookmarkStart w:id="54" w:name="_Toc200562197"/>
      <w:bookmarkStart w:id="55" w:name="_Toc200562198"/>
      <w:bookmarkStart w:id="56" w:name="_Toc201068950"/>
      <w:bookmarkEnd w:id="44"/>
      <w:bookmarkEnd w:id="45"/>
      <w:bookmarkEnd w:id="46"/>
      <w:bookmarkEnd w:id="47"/>
      <w:bookmarkEnd w:id="48"/>
      <w:bookmarkEnd w:id="49"/>
      <w:bookmarkEnd w:id="50"/>
      <w:bookmarkEnd w:id="51"/>
      <w:bookmarkEnd w:id="52"/>
      <w:bookmarkEnd w:id="53"/>
      <w:bookmarkEnd w:id="54"/>
      <w:bookmarkEnd w:id="55"/>
      <w:r w:rsidRPr="00C31E9F">
        <w:lastRenderedPageBreak/>
        <w:t>Abbreviations</w:t>
      </w:r>
      <w:bookmarkEnd w:id="56"/>
    </w:p>
    <w:tbl>
      <w:tblPr>
        <w:tblStyle w:val="PlainTable2"/>
        <w:tblW w:w="0" w:type="auto"/>
        <w:tblLook w:val="04A0" w:firstRow="1" w:lastRow="0" w:firstColumn="1" w:lastColumn="0" w:noHBand="0" w:noVBand="1"/>
      </w:tblPr>
      <w:tblGrid>
        <w:gridCol w:w="1838"/>
        <w:gridCol w:w="7222"/>
      </w:tblGrid>
      <w:tr w:rsidR="00E366F5" w14:paraId="5673E5AB" w14:textId="77777777" w:rsidTr="007235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7F7F7F" w:themeColor="text1" w:themeTint="80"/>
            </w:tcBorders>
          </w:tcPr>
          <w:p w14:paraId="6F3C9564" w14:textId="627CB323" w:rsidR="00E366F5" w:rsidRPr="006A4A08" w:rsidRDefault="00E366F5" w:rsidP="00E366F5">
            <w:r w:rsidRPr="00C119FC">
              <w:rPr>
                <w:rFonts w:ascii="Calibri" w:eastAsia="Calibri" w:hAnsi="Calibri" w:cs="Calibri"/>
                <w:color w:val="000000" w:themeColor="text1"/>
                <w:szCs w:val="24"/>
              </w:rPr>
              <w:t>ACCC</w:t>
            </w:r>
          </w:p>
        </w:tc>
        <w:tc>
          <w:tcPr>
            <w:tcW w:w="7222" w:type="dxa"/>
            <w:tcBorders>
              <w:top w:val="single" w:sz="4" w:space="0" w:color="7F7F7F" w:themeColor="text1" w:themeTint="80"/>
            </w:tcBorders>
          </w:tcPr>
          <w:p w14:paraId="023C1811" w14:textId="0809F2CC" w:rsidR="00E366F5" w:rsidRPr="0080369F" w:rsidRDefault="00E366F5" w:rsidP="00E366F5">
            <w:pPr>
              <w:cnfStyle w:val="100000000000" w:firstRow="1" w:lastRow="0" w:firstColumn="0" w:lastColumn="0" w:oddVBand="0" w:evenVBand="0" w:oddHBand="0" w:evenHBand="0" w:firstRowFirstColumn="0" w:firstRowLastColumn="0" w:lastRowFirstColumn="0" w:lastRowLastColumn="0"/>
              <w:rPr>
                <w:b w:val="0"/>
              </w:rPr>
            </w:pPr>
            <w:r w:rsidRPr="00C119FC">
              <w:rPr>
                <w:rFonts w:ascii="Calibri" w:eastAsia="Calibri" w:hAnsi="Calibri" w:cs="Calibri"/>
                <w:b w:val="0"/>
                <w:bCs w:val="0"/>
                <w:color w:val="000000" w:themeColor="text1"/>
                <w:szCs w:val="24"/>
              </w:rPr>
              <w:t>Australian Competition and Consumer Commission</w:t>
            </w:r>
          </w:p>
        </w:tc>
      </w:tr>
      <w:tr w:rsidR="00E366F5" w14:paraId="7E77D17E" w14:textId="77777777" w:rsidTr="0072350C">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838" w:type="dxa"/>
          </w:tcPr>
          <w:p w14:paraId="373EB262" w14:textId="00B4355C" w:rsidR="00E366F5" w:rsidRDefault="00E366F5" w:rsidP="00E366F5">
            <w:r w:rsidRPr="00C119FC">
              <w:rPr>
                <w:rFonts w:ascii="Calibri" w:eastAsia="Calibri" w:hAnsi="Calibri" w:cs="Calibri"/>
                <w:color w:val="000000" w:themeColor="text1"/>
                <w:szCs w:val="24"/>
              </w:rPr>
              <w:t>ACT</w:t>
            </w:r>
          </w:p>
        </w:tc>
        <w:tc>
          <w:tcPr>
            <w:tcW w:w="7222" w:type="dxa"/>
          </w:tcPr>
          <w:p w14:paraId="7B4E1B3C" w14:textId="1C6FB535" w:rsidR="00E366F5" w:rsidRDefault="00E366F5" w:rsidP="00E366F5">
            <w:pPr>
              <w:cnfStyle w:val="000000100000" w:firstRow="0" w:lastRow="0" w:firstColumn="0" w:lastColumn="0" w:oddVBand="0" w:evenVBand="0" w:oddHBand="1" w:evenHBand="0" w:firstRowFirstColumn="0" w:firstRowLastColumn="0" w:lastRowFirstColumn="0" w:lastRowLastColumn="0"/>
            </w:pPr>
            <w:r w:rsidRPr="00C119FC">
              <w:rPr>
                <w:rFonts w:ascii="Calibri" w:eastAsia="Calibri" w:hAnsi="Calibri" w:cs="Calibri"/>
                <w:color w:val="000000" w:themeColor="text1"/>
                <w:szCs w:val="24"/>
              </w:rPr>
              <w:t>Australian Capital Territory</w:t>
            </w:r>
          </w:p>
        </w:tc>
      </w:tr>
      <w:tr w:rsidR="00E366F5" w14:paraId="11D85288" w14:textId="77777777" w:rsidTr="0072350C">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7F7F7F" w:themeColor="text1" w:themeTint="80"/>
              <w:bottom w:val="single" w:sz="4" w:space="0" w:color="7F7F7F" w:themeColor="text1" w:themeTint="80"/>
            </w:tcBorders>
          </w:tcPr>
          <w:p w14:paraId="55ACC2FC" w14:textId="0487813C" w:rsidR="00E366F5" w:rsidRDefault="00E366F5" w:rsidP="00E366F5">
            <w:r w:rsidRPr="00C119FC">
              <w:rPr>
                <w:rFonts w:ascii="Calibri" w:eastAsia="Calibri" w:hAnsi="Calibri" w:cs="Calibri"/>
                <w:color w:val="000000" w:themeColor="text1"/>
                <w:szCs w:val="24"/>
              </w:rPr>
              <w:t>AEMC</w:t>
            </w:r>
          </w:p>
        </w:tc>
        <w:tc>
          <w:tcPr>
            <w:tcW w:w="7222" w:type="dxa"/>
            <w:tcBorders>
              <w:top w:val="single" w:sz="4" w:space="0" w:color="7F7F7F" w:themeColor="text1" w:themeTint="80"/>
              <w:bottom w:val="single" w:sz="4" w:space="0" w:color="7F7F7F" w:themeColor="text1" w:themeTint="80"/>
            </w:tcBorders>
          </w:tcPr>
          <w:p w14:paraId="5FC13342" w14:textId="5D7584A5" w:rsidR="00E366F5" w:rsidRDefault="00E366F5" w:rsidP="00E366F5">
            <w:pPr>
              <w:cnfStyle w:val="000000000000" w:firstRow="0" w:lastRow="0" w:firstColumn="0" w:lastColumn="0" w:oddVBand="0" w:evenVBand="0" w:oddHBand="0" w:evenHBand="0" w:firstRowFirstColumn="0" w:firstRowLastColumn="0" w:lastRowFirstColumn="0" w:lastRowLastColumn="0"/>
            </w:pPr>
            <w:r w:rsidRPr="00C119FC">
              <w:rPr>
                <w:rFonts w:ascii="Calibri" w:eastAsia="Calibri" w:hAnsi="Calibri" w:cs="Calibri"/>
                <w:color w:val="000000" w:themeColor="text1"/>
                <w:szCs w:val="24"/>
              </w:rPr>
              <w:t>Australian Energy Market Commission</w:t>
            </w:r>
          </w:p>
        </w:tc>
      </w:tr>
      <w:tr w:rsidR="00E366F5" w14:paraId="434B3A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947FBB7" w14:textId="006E85B9" w:rsidR="00E366F5" w:rsidRDefault="00E366F5" w:rsidP="00E366F5">
            <w:r w:rsidRPr="00C119FC">
              <w:rPr>
                <w:rFonts w:ascii="Calibri" w:eastAsia="Calibri" w:hAnsi="Calibri" w:cs="Calibri"/>
                <w:color w:val="000000" w:themeColor="text1"/>
                <w:szCs w:val="24"/>
              </w:rPr>
              <w:t>AER</w:t>
            </w:r>
          </w:p>
        </w:tc>
        <w:tc>
          <w:tcPr>
            <w:tcW w:w="7222" w:type="dxa"/>
          </w:tcPr>
          <w:p w14:paraId="499063A3" w14:textId="2B0CC8D9" w:rsidR="00E366F5" w:rsidRPr="00AD660D" w:rsidRDefault="00E366F5" w:rsidP="00E366F5">
            <w:pPr>
              <w:cnfStyle w:val="000000100000" w:firstRow="0" w:lastRow="0" w:firstColumn="0" w:lastColumn="0" w:oddVBand="0" w:evenVBand="0" w:oddHBand="1" w:evenHBand="0" w:firstRowFirstColumn="0" w:firstRowLastColumn="0" w:lastRowFirstColumn="0" w:lastRowLastColumn="0"/>
            </w:pPr>
            <w:r w:rsidRPr="00C119FC">
              <w:rPr>
                <w:rFonts w:ascii="Calibri" w:eastAsia="Calibri" w:hAnsi="Calibri" w:cs="Calibri"/>
                <w:color w:val="000000" w:themeColor="text1"/>
                <w:szCs w:val="24"/>
              </w:rPr>
              <w:t>Australian Energy Regulator</w:t>
            </w:r>
          </w:p>
        </w:tc>
      </w:tr>
      <w:tr w:rsidR="00E366F5" w14:paraId="04FA30CB" w14:textId="77777777" w:rsidTr="0072350C">
        <w:tc>
          <w:tcPr>
            <w:cnfStyle w:val="001000000000" w:firstRow="0" w:lastRow="0" w:firstColumn="1" w:lastColumn="0" w:oddVBand="0" w:evenVBand="0" w:oddHBand="0" w:evenHBand="0" w:firstRowFirstColumn="0" w:firstRowLastColumn="0" w:lastRowFirstColumn="0" w:lastRowLastColumn="0"/>
            <w:tcW w:w="1838" w:type="dxa"/>
          </w:tcPr>
          <w:p w14:paraId="32E2DFEF" w14:textId="248200FB" w:rsidR="00E366F5" w:rsidRDefault="00E366F5" w:rsidP="00E366F5">
            <w:r w:rsidRPr="00C119FC">
              <w:rPr>
                <w:rFonts w:ascii="Calibri" w:eastAsia="Calibri" w:hAnsi="Calibri" w:cs="Calibri"/>
                <w:color w:val="000000" w:themeColor="text1"/>
                <w:szCs w:val="24"/>
              </w:rPr>
              <w:t>CER</w:t>
            </w:r>
          </w:p>
        </w:tc>
        <w:tc>
          <w:tcPr>
            <w:tcW w:w="7222" w:type="dxa"/>
          </w:tcPr>
          <w:p w14:paraId="44B593F6" w14:textId="2A6C5B7D" w:rsidR="00E366F5" w:rsidRDefault="00E366F5" w:rsidP="00E366F5">
            <w:pPr>
              <w:cnfStyle w:val="000000000000" w:firstRow="0" w:lastRow="0" w:firstColumn="0" w:lastColumn="0" w:oddVBand="0" w:evenVBand="0" w:oddHBand="0" w:evenHBand="0" w:firstRowFirstColumn="0" w:firstRowLastColumn="0" w:lastRowFirstColumn="0" w:lastRowLastColumn="0"/>
            </w:pPr>
            <w:r w:rsidRPr="00C119FC">
              <w:rPr>
                <w:rFonts w:ascii="Calibri" w:eastAsia="Calibri" w:hAnsi="Calibri" w:cs="Calibri"/>
                <w:color w:val="000000" w:themeColor="text1"/>
                <w:szCs w:val="24"/>
              </w:rPr>
              <w:t>Consumer Energy Resources</w:t>
            </w:r>
          </w:p>
        </w:tc>
      </w:tr>
      <w:tr w:rsidR="00E366F5" w14:paraId="6A45ECEB" w14:textId="77777777" w:rsidTr="00723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2E88DB" w14:textId="19FE9262" w:rsidR="00E366F5" w:rsidRDefault="00E366F5" w:rsidP="00E366F5">
            <w:r w:rsidRPr="00C119FC">
              <w:rPr>
                <w:rFonts w:ascii="Calibri" w:eastAsia="Calibri" w:hAnsi="Calibri" w:cs="Calibri"/>
                <w:color w:val="000000" w:themeColor="text1"/>
                <w:szCs w:val="24"/>
              </w:rPr>
              <w:t>CDR</w:t>
            </w:r>
          </w:p>
        </w:tc>
        <w:tc>
          <w:tcPr>
            <w:tcW w:w="7222" w:type="dxa"/>
          </w:tcPr>
          <w:p w14:paraId="4D44FA5F" w14:textId="4D2D1C33" w:rsidR="00E366F5" w:rsidRDefault="00E366F5" w:rsidP="00E366F5">
            <w:pPr>
              <w:cnfStyle w:val="000000100000" w:firstRow="0" w:lastRow="0" w:firstColumn="0" w:lastColumn="0" w:oddVBand="0" w:evenVBand="0" w:oddHBand="1" w:evenHBand="0" w:firstRowFirstColumn="0" w:firstRowLastColumn="0" w:lastRowFirstColumn="0" w:lastRowLastColumn="0"/>
            </w:pPr>
            <w:r w:rsidRPr="00C119FC">
              <w:rPr>
                <w:rFonts w:ascii="Calibri" w:eastAsia="Calibri" w:hAnsi="Calibri" w:cs="Calibri"/>
                <w:color w:val="000000" w:themeColor="text1"/>
                <w:szCs w:val="24"/>
              </w:rPr>
              <w:t>Consumer Data Right</w:t>
            </w:r>
          </w:p>
        </w:tc>
      </w:tr>
      <w:tr w:rsidR="00E366F5" w14:paraId="0A6E31BB" w14:textId="77777777" w:rsidTr="0072350C">
        <w:tc>
          <w:tcPr>
            <w:cnfStyle w:val="001000000000" w:firstRow="0" w:lastRow="0" w:firstColumn="1" w:lastColumn="0" w:oddVBand="0" w:evenVBand="0" w:oddHBand="0" w:evenHBand="0" w:firstRowFirstColumn="0" w:firstRowLastColumn="0" w:lastRowFirstColumn="0" w:lastRowLastColumn="0"/>
            <w:tcW w:w="1838" w:type="dxa"/>
          </w:tcPr>
          <w:p w14:paraId="179EEE7B" w14:textId="569FB887" w:rsidR="00E366F5" w:rsidRDefault="00E366F5" w:rsidP="00E366F5">
            <w:r w:rsidRPr="00C119FC">
              <w:rPr>
                <w:rFonts w:ascii="Calibri" w:eastAsia="Calibri" w:hAnsi="Calibri" w:cs="Calibri"/>
                <w:color w:val="000000" w:themeColor="text1"/>
                <w:szCs w:val="24"/>
              </w:rPr>
              <w:t>DCCEEW</w:t>
            </w:r>
          </w:p>
        </w:tc>
        <w:tc>
          <w:tcPr>
            <w:tcW w:w="7222" w:type="dxa"/>
          </w:tcPr>
          <w:p w14:paraId="472FA8DE" w14:textId="4876F161" w:rsidR="00E366F5" w:rsidRDefault="00E366F5" w:rsidP="00E366F5">
            <w:pPr>
              <w:cnfStyle w:val="000000000000" w:firstRow="0" w:lastRow="0" w:firstColumn="0" w:lastColumn="0" w:oddVBand="0" w:evenVBand="0" w:oddHBand="0" w:evenHBand="0" w:firstRowFirstColumn="0" w:firstRowLastColumn="0" w:lastRowFirstColumn="0" w:lastRowLastColumn="0"/>
            </w:pPr>
            <w:r w:rsidRPr="00C119FC">
              <w:rPr>
                <w:rFonts w:ascii="Calibri" w:eastAsia="Calibri" w:hAnsi="Calibri" w:cs="Calibri"/>
                <w:color w:val="000000" w:themeColor="text1"/>
                <w:szCs w:val="24"/>
              </w:rPr>
              <w:t>Department of Climate Change, Energy, the Environment and Water</w:t>
            </w:r>
          </w:p>
        </w:tc>
      </w:tr>
      <w:tr w:rsidR="00E366F5" w14:paraId="50967F17" w14:textId="77777777" w:rsidTr="00CC4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8EEB96A" w14:textId="1616E404" w:rsidR="00E366F5" w:rsidRPr="006A4A08" w:rsidRDefault="00E366F5" w:rsidP="00E366F5">
            <w:r w:rsidRPr="00CD418B">
              <w:rPr>
                <w:rFonts w:ascii="Calibri" w:eastAsia="Calibri" w:hAnsi="Calibri" w:cs="Calibri"/>
                <w:color w:val="000000" w:themeColor="text1"/>
                <w:szCs w:val="24"/>
              </w:rPr>
              <w:t>DISER</w:t>
            </w:r>
          </w:p>
        </w:tc>
        <w:tc>
          <w:tcPr>
            <w:tcW w:w="7222" w:type="dxa"/>
          </w:tcPr>
          <w:p w14:paraId="594BEB80" w14:textId="073635C3" w:rsidR="00E366F5" w:rsidRDefault="00E366F5" w:rsidP="00E366F5">
            <w:pPr>
              <w:cnfStyle w:val="000000100000" w:firstRow="0" w:lastRow="0" w:firstColumn="0" w:lastColumn="0" w:oddVBand="0" w:evenVBand="0" w:oddHBand="1" w:evenHBand="0" w:firstRowFirstColumn="0" w:firstRowLastColumn="0" w:lastRowFirstColumn="0" w:lastRowLastColumn="0"/>
            </w:pPr>
            <w:r w:rsidRPr="00CD418B">
              <w:rPr>
                <w:rFonts w:ascii="Calibri" w:eastAsia="Calibri" w:hAnsi="Calibri" w:cs="Calibri"/>
                <w:color w:val="000000" w:themeColor="text1"/>
                <w:szCs w:val="24"/>
              </w:rPr>
              <w:t>Department of Industry, Science, Energy and Resources</w:t>
            </w:r>
          </w:p>
        </w:tc>
      </w:tr>
      <w:tr w:rsidR="00E366F5" w14:paraId="2DBF38CF" w14:textId="77777777">
        <w:tc>
          <w:tcPr>
            <w:cnfStyle w:val="001000000000" w:firstRow="0" w:lastRow="0" w:firstColumn="1" w:lastColumn="0" w:oddVBand="0" w:evenVBand="0" w:oddHBand="0" w:evenHBand="0" w:firstRowFirstColumn="0" w:firstRowLastColumn="0" w:lastRowFirstColumn="0" w:lastRowLastColumn="0"/>
            <w:tcW w:w="1838" w:type="dxa"/>
          </w:tcPr>
          <w:p w14:paraId="2DA43642" w14:textId="45B9382E" w:rsidR="00E366F5" w:rsidRDefault="00E366F5" w:rsidP="00E366F5">
            <w:r w:rsidRPr="00CD418B">
              <w:rPr>
                <w:rFonts w:ascii="Calibri" w:eastAsia="Calibri" w:hAnsi="Calibri" w:cs="Calibri"/>
                <w:color w:val="000000" w:themeColor="text1"/>
                <w:szCs w:val="24"/>
              </w:rPr>
              <w:t>DMO</w:t>
            </w:r>
          </w:p>
        </w:tc>
        <w:tc>
          <w:tcPr>
            <w:tcW w:w="7222" w:type="dxa"/>
          </w:tcPr>
          <w:p w14:paraId="0FC25839" w14:textId="6DAD1B58" w:rsidR="00E366F5" w:rsidRDefault="00E366F5" w:rsidP="00E366F5">
            <w:pPr>
              <w:cnfStyle w:val="000000000000" w:firstRow="0" w:lastRow="0" w:firstColumn="0" w:lastColumn="0" w:oddVBand="0" w:evenVBand="0" w:oddHBand="0" w:evenHBand="0" w:firstRowFirstColumn="0" w:firstRowLastColumn="0" w:lastRowFirstColumn="0" w:lastRowLastColumn="0"/>
            </w:pPr>
            <w:r w:rsidRPr="00CD418B">
              <w:rPr>
                <w:rFonts w:ascii="Calibri" w:eastAsia="Calibri" w:hAnsi="Calibri" w:cs="Calibri"/>
                <w:color w:val="000000" w:themeColor="text1"/>
                <w:szCs w:val="24"/>
              </w:rPr>
              <w:t>Default Market Offer</w:t>
            </w:r>
          </w:p>
        </w:tc>
      </w:tr>
      <w:tr w:rsidR="00E366F5" w14:paraId="51396667" w14:textId="77777777" w:rsidTr="00CC4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02F7DE7" w14:textId="24FEE89F" w:rsidR="00E366F5" w:rsidRPr="006A4A08" w:rsidRDefault="00E366F5" w:rsidP="00E366F5">
            <w:r w:rsidRPr="00CD418B">
              <w:rPr>
                <w:rFonts w:ascii="Calibri" w:eastAsia="Calibri" w:hAnsi="Calibri" w:cs="Calibri"/>
                <w:color w:val="000000" w:themeColor="text1"/>
                <w:szCs w:val="24"/>
              </w:rPr>
              <w:t>ESC</w:t>
            </w:r>
          </w:p>
        </w:tc>
        <w:tc>
          <w:tcPr>
            <w:tcW w:w="7222" w:type="dxa"/>
          </w:tcPr>
          <w:p w14:paraId="48FDF1FE" w14:textId="622ED3BB" w:rsidR="00E366F5" w:rsidRDefault="00E366F5" w:rsidP="00E366F5">
            <w:pPr>
              <w:cnfStyle w:val="000000100000" w:firstRow="0" w:lastRow="0" w:firstColumn="0" w:lastColumn="0" w:oddVBand="0" w:evenVBand="0" w:oddHBand="1" w:evenHBand="0" w:firstRowFirstColumn="0" w:firstRowLastColumn="0" w:lastRowFirstColumn="0" w:lastRowLastColumn="0"/>
            </w:pPr>
            <w:r w:rsidRPr="00CD418B">
              <w:rPr>
                <w:rFonts w:ascii="Calibri" w:eastAsia="Calibri" w:hAnsi="Calibri" w:cs="Calibri"/>
                <w:color w:val="000000" w:themeColor="text1"/>
                <w:szCs w:val="24"/>
              </w:rPr>
              <w:t>Essential Services Commission</w:t>
            </w:r>
          </w:p>
        </w:tc>
      </w:tr>
      <w:tr w:rsidR="00E366F5" w14:paraId="6732F30F" w14:textId="77777777" w:rsidTr="00CC4A1F">
        <w:tc>
          <w:tcPr>
            <w:cnfStyle w:val="001000000000" w:firstRow="0" w:lastRow="0" w:firstColumn="1" w:lastColumn="0" w:oddVBand="0" w:evenVBand="0" w:oddHBand="0" w:evenHBand="0" w:firstRowFirstColumn="0" w:firstRowLastColumn="0" w:lastRowFirstColumn="0" w:lastRowLastColumn="0"/>
            <w:tcW w:w="1838" w:type="dxa"/>
          </w:tcPr>
          <w:p w14:paraId="3D15ACA8" w14:textId="28A385E7" w:rsidR="00E366F5" w:rsidRPr="00CD418B" w:rsidRDefault="00E366F5" w:rsidP="00E366F5">
            <w:pPr>
              <w:rPr>
                <w:rFonts w:ascii="Calibri" w:eastAsia="Calibri" w:hAnsi="Calibri" w:cs="Calibri"/>
                <w:color w:val="000000" w:themeColor="text1"/>
                <w:szCs w:val="24"/>
              </w:rPr>
            </w:pPr>
            <w:r w:rsidRPr="00CD418B">
              <w:rPr>
                <w:rFonts w:ascii="Calibri" w:eastAsia="Calibri" w:hAnsi="Calibri" w:cs="Calibri"/>
                <w:color w:val="000000" w:themeColor="text1"/>
                <w:szCs w:val="24"/>
              </w:rPr>
              <w:t>ESC Act</w:t>
            </w:r>
          </w:p>
        </w:tc>
        <w:tc>
          <w:tcPr>
            <w:tcW w:w="7222" w:type="dxa"/>
          </w:tcPr>
          <w:p w14:paraId="038D84F9" w14:textId="2454C7A3" w:rsidR="00E366F5" w:rsidRPr="00CD418B" w:rsidRDefault="00E366F5" w:rsidP="00E366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Cs w:val="24"/>
              </w:rPr>
            </w:pPr>
            <w:r w:rsidRPr="00CD418B">
              <w:rPr>
                <w:rFonts w:ascii="Calibri" w:eastAsia="Calibri" w:hAnsi="Calibri" w:cs="Calibri"/>
                <w:color w:val="000000" w:themeColor="text1"/>
                <w:szCs w:val="24"/>
              </w:rPr>
              <w:t>Essential Services Commission Act 2001</w:t>
            </w:r>
          </w:p>
        </w:tc>
      </w:tr>
      <w:tr w:rsidR="00E366F5" w14:paraId="3B265D03" w14:textId="77777777" w:rsidTr="00CC4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71A0459" w14:textId="49CB00E0" w:rsidR="00E366F5" w:rsidRPr="00CD418B" w:rsidRDefault="00E366F5" w:rsidP="00E366F5">
            <w:pPr>
              <w:rPr>
                <w:rFonts w:ascii="Calibri" w:eastAsia="Calibri" w:hAnsi="Calibri" w:cs="Calibri"/>
                <w:color w:val="000000" w:themeColor="text1"/>
                <w:szCs w:val="24"/>
              </w:rPr>
            </w:pPr>
            <w:r w:rsidRPr="00CD418B">
              <w:rPr>
                <w:rFonts w:ascii="Calibri" w:eastAsia="Calibri" w:hAnsi="Calibri" w:cs="Calibri"/>
                <w:color w:val="000000" w:themeColor="text1"/>
                <w:szCs w:val="24"/>
              </w:rPr>
              <w:t>NEM</w:t>
            </w:r>
          </w:p>
        </w:tc>
        <w:tc>
          <w:tcPr>
            <w:tcW w:w="7222" w:type="dxa"/>
          </w:tcPr>
          <w:p w14:paraId="2C25A48C" w14:textId="0BED617A" w:rsidR="00E366F5" w:rsidRPr="00CD418B" w:rsidRDefault="00E366F5" w:rsidP="00E366F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Cs w:val="24"/>
              </w:rPr>
            </w:pPr>
            <w:r w:rsidRPr="00CD418B">
              <w:rPr>
                <w:rFonts w:ascii="Calibri" w:eastAsia="Calibri" w:hAnsi="Calibri" w:cs="Calibri"/>
                <w:color w:val="000000" w:themeColor="text1"/>
                <w:szCs w:val="24"/>
              </w:rPr>
              <w:t>National Electricity Market</w:t>
            </w:r>
          </w:p>
        </w:tc>
      </w:tr>
      <w:tr w:rsidR="00E366F5" w14:paraId="5558A116" w14:textId="77777777" w:rsidTr="00CC4A1F">
        <w:tc>
          <w:tcPr>
            <w:cnfStyle w:val="001000000000" w:firstRow="0" w:lastRow="0" w:firstColumn="1" w:lastColumn="0" w:oddVBand="0" w:evenVBand="0" w:oddHBand="0" w:evenHBand="0" w:firstRowFirstColumn="0" w:firstRowLastColumn="0" w:lastRowFirstColumn="0" w:lastRowLastColumn="0"/>
            <w:tcW w:w="1838" w:type="dxa"/>
          </w:tcPr>
          <w:p w14:paraId="53279150" w14:textId="44289C8A" w:rsidR="00E366F5" w:rsidRPr="00CD418B" w:rsidRDefault="00E366F5" w:rsidP="00E366F5">
            <w:pPr>
              <w:rPr>
                <w:rFonts w:ascii="Calibri" w:eastAsia="Calibri" w:hAnsi="Calibri" w:cs="Calibri"/>
                <w:color w:val="000000" w:themeColor="text1"/>
                <w:szCs w:val="24"/>
              </w:rPr>
            </w:pPr>
            <w:r>
              <w:rPr>
                <w:rFonts w:ascii="Calibri" w:eastAsia="Calibri" w:hAnsi="Calibri" w:cs="Calibri"/>
                <w:color w:val="000000" w:themeColor="text1"/>
                <w:szCs w:val="24"/>
              </w:rPr>
              <w:t>NECF</w:t>
            </w:r>
          </w:p>
        </w:tc>
        <w:tc>
          <w:tcPr>
            <w:tcW w:w="7222" w:type="dxa"/>
          </w:tcPr>
          <w:p w14:paraId="2FFE99A2" w14:textId="650A21EA" w:rsidR="00E366F5" w:rsidRPr="00CD418B" w:rsidRDefault="00E366F5" w:rsidP="00E366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Cs w:val="24"/>
              </w:rPr>
            </w:pPr>
            <w:r>
              <w:t>T</w:t>
            </w:r>
            <w:r w:rsidRPr="00A54080">
              <w:t xml:space="preserve">he </w:t>
            </w:r>
            <w:r w:rsidRPr="00B157A7">
              <w:t>National Energy Customer Framework</w:t>
            </w:r>
          </w:p>
        </w:tc>
      </w:tr>
      <w:tr w:rsidR="00E366F5" w14:paraId="49F1F212" w14:textId="77777777" w:rsidTr="00CC4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F5E4699" w14:textId="61E08656" w:rsidR="00E366F5" w:rsidRDefault="00E366F5" w:rsidP="00E366F5">
            <w:pPr>
              <w:rPr>
                <w:rFonts w:ascii="Calibri" w:eastAsia="Calibri" w:hAnsi="Calibri" w:cs="Calibri"/>
                <w:color w:val="000000" w:themeColor="text1"/>
                <w:szCs w:val="24"/>
              </w:rPr>
            </w:pPr>
            <w:r w:rsidRPr="00CD418B">
              <w:rPr>
                <w:rFonts w:ascii="Calibri" w:eastAsia="Calibri" w:hAnsi="Calibri" w:cs="Calibri"/>
                <w:color w:val="000000" w:themeColor="text1"/>
                <w:szCs w:val="24"/>
              </w:rPr>
              <w:t>PEMM</w:t>
            </w:r>
          </w:p>
        </w:tc>
        <w:tc>
          <w:tcPr>
            <w:tcW w:w="7222" w:type="dxa"/>
          </w:tcPr>
          <w:p w14:paraId="4EC72C0E" w14:textId="7D8E7D5C" w:rsidR="00E366F5" w:rsidRDefault="00E366F5" w:rsidP="00E366F5">
            <w:pPr>
              <w:cnfStyle w:val="000000100000" w:firstRow="0" w:lastRow="0" w:firstColumn="0" w:lastColumn="0" w:oddVBand="0" w:evenVBand="0" w:oddHBand="1" w:evenHBand="0" w:firstRowFirstColumn="0" w:firstRowLastColumn="0" w:lastRowFirstColumn="0" w:lastRowLastColumn="0"/>
            </w:pPr>
            <w:r w:rsidRPr="00CD418B">
              <w:rPr>
                <w:rFonts w:ascii="Calibri" w:eastAsia="Calibri" w:hAnsi="Calibri" w:cs="Calibri"/>
                <w:color w:val="000000" w:themeColor="text1"/>
                <w:szCs w:val="24"/>
                <w:lang w:val="en-US"/>
              </w:rPr>
              <w:t>Prohibiting Energy Market Misconduct</w:t>
            </w:r>
          </w:p>
        </w:tc>
      </w:tr>
      <w:tr w:rsidR="00E366F5" w14:paraId="5634A8D7" w14:textId="77777777" w:rsidTr="00CC4A1F">
        <w:tc>
          <w:tcPr>
            <w:cnfStyle w:val="001000000000" w:firstRow="0" w:lastRow="0" w:firstColumn="1" w:lastColumn="0" w:oddVBand="0" w:evenVBand="0" w:oddHBand="0" w:evenHBand="0" w:firstRowFirstColumn="0" w:firstRowLastColumn="0" w:lastRowFirstColumn="0" w:lastRowLastColumn="0"/>
            <w:tcW w:w="1838" w:type="dxa"/>
          </w:tcPr>
          <w:p w14:paraId="70AEEC39" w14:textId="3D3E1560" w:rsidR="00E366F5" w:rsidRPr="00CD418B" w:rsidRDefault="00E366F5" w:rsidP="00E366F5">
            <w:pPr>
              <w:rPr>
                <w:rFonts w:ascii="Calibri" w:eastAsia="Calibri" w:hAnsi="Calibri" w:cs="Calibri"/>
                <w:color w:val="000000" w:themeColor="text1"/>
                <w:szCs w:val="24"/>
              </w:rPr>
            </w:pPr>
            <w:r w:rsidRPr="00CD418B">
              <w:rPr>
                <w:rFonts w:ascii="Calibri" w:eastAsia="Calibri" w:hAnsi="Calibri" w:cs="Calibri"/>
                <w:color w:val="000000" w:themeColor="text1"/>
                <w:szCs w:val="24"/>
              </w:rPr>
              <w:t>REPI</w:t>
            </w:r>
          </w:p>
        </w:tc>
        <w:tc>
          <w:tcPr>
            <w:tcW w:w="7222" w:type="dxa"/>
          </w:tcPr>
          <w:p w14:paraId="01A947D0" w14:textId="11C6DDF1" w:rsidR="00E366F5" w:rsidRPr="00CD418B" w:rsidRDefault="00E366F5" w:rsidP="00E366F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Cs w:val="24"/>
                <w:lang w:val="en-US"/>
              </w:rPr>
            </w:pPr>
            <w:r w:rsidRPr="00CD418B">
              <w:rPr>
                <w:rFonts w:ascii="Calibri" w:eastAsia="Calibri" w:hAnsi="Calibri" w:cs="Calibri"/>
                <w:color w:val="000000" w:themeColor="text1"/>
                <w:szCs w:val="24"/>
              </w:rPr>
              <w:t>Retail Electricity Pricing Inquiry</w:t>
            </w:r>
          </w:p>
        </w:tc>
      </w:tr>
      <w:tr w:rsidR="00E366F5" w14:paraId="5FDE6424" w14:textId="77777777" w:rsidTr="00CC4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0078C8" w14:textId="71B49FA7" w:rsidR="00E366F5" w:rsidRPr="00CD418B" w:rsidRDefault="00E366F5" w:rsidP="00E366F5">
            <w:pPr>
              <w:rPr>
                <w:rFonts w:ascii="Calibri" w:eastAsia="Calibri" w:hAnsi="Calibri" w:cs="Calibri"/>
                <w:color w:val="000000" w:themeColor="text1"/>
                <w:szCs w:val="24"/>
              </w:rPr>
            </w:pPr>
            <w:r w:rsidRPr="00CD418B">
              <w:rPr>
                <w:rFonts w:ascii="Calibri" w:eastAsia="Calibri" w:hAnsi="Calibri" w:cs="Calibri"/>
                <w:color w:val="000000" w:themeColor="text1"/>
                <w:szCs w:val="24"/>
              </w:rPr>
              <w:t>VDO</w:t>
            </w:r>
          </w:p>
        </w:tc>
        <w:tc>
          <w:tcPr>
            <w:tcW w:w="7222" w:type="dxa"/>
          </w:tcPr>
          <w:p w14:paraId="75267834" w14:textId="395DBD0F" w:rsidR="00E366F5" w:rsidRPr="00CD418B" w:rsidRDefault="00E366F5" w:rsidP="00E366F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Cs w:val="24"/>
              </w:rPr>
            </w:pPr>
            <w:r w:rsidRPr="00CD418B">
              <w:rPr>
                <w:rFonts w:ascii="Calibri" w:eastAsia="Calibri" w:hAnsi="Calibri" w:cs="Calibri"/>
                <w:color w:val="000000" w:themeColor="text1"/>
                <w:szCs w:val="24"/>
              </w:rPr>
              <w:t>Victorian Default Offer</w:t>
            </w:r>
          </w:p>
        </w:tc>
      </w:tr>
    </w:tbl>
    <w:p w14:paraId="5A73FF4D" w14:textId="77777777" w:rsidR="00C31E9F" w:rsidRDefault="00C31E9F" w:rsidP="00C31E9F"/>
    <w:p w14:paraId="5F9A5EC2" w14:textId="77777777" w:rsidR="00E366F5" w:rsidRDefault="00E366F5" w:rsidP="00C31E9F"/>
    <w:p w14:paraId="0B90E190" w14:textId="2087F2C1" w:rsidR="00C31E9F" w:rsidRDefault="000A2992" w:rsidP="004977DB">
      <w:pPr>
        <w:pStyle w:val="Heading2"/>
      </w:pPr>
      <w:bookmarkStart w:id="57" w:name="_Toc201068951"/>
      <w:r w:rsidRPr="000A2992">
        <w:lastRenderedPageBreak/>
        <w:t>Glossary</w:t>
      </w:r>
      <w:bookmarkEnd w:id="57"/>
    </w:p>
    <w:p w14:paraId="162D2580" w14:textId="42EE235E" w:rsidR="000C70F1" w:rsidRDefault="000C70F1" w:rsidP="000C70F1">
      <w:pPr>
        <w:rPr>
          <w:rFonts w:ascii="ArialMT" w:eastAsia="Cambria" w:hAnsi="ArialMT" w:cs="ArialMT"/>
          <w:sz w:val="20"/>
          <w:szCs w:val="20"/>
          <w:lang w:eastAsia="en-AU"/>
        </w:rPr>
      </w:pPr>
      <w:r w:rsidRPr="00E74188">
        <w:rPr>
          <w:b/>
          <w:bCs/>
        </w:rPr>
        <w:t>Default Market Offer (DMO) –</w:t>
      </w:r>
      <w:r>
        <w:rPr>
          <w:rFonts w:ascii="ArialMT" w:eastAsia="Cambria" w:hAnsi="ArialMT" w:cs="ArialMT"/>
          <w:sz w:val="20"/>
          <w:szCs w:val="20"/>
          <w:lang w:eastAsia="en-AU"/>
        </w:rPr>
        <w:t xml:space="preserve"> </w:t>
      </w:r>
      <w:r w:rsidRPr="00E74188">
        <w:t xml:space="preserve">a federal government-initiated default electricity price for residential and small business customers in force in New South Wales, </w:t>
      </w:r>
      <w:proofErr w:type="gramStart"/>
      <w:r w:rsidRPr="00E74188">
        <w:t>South</w:t>
      </w:r>
      <w:r w:rsidR="003D7957">
        <w:t xml:space="preserve"> E</w:t>
      </w:r>
      <w:r w:rsidRPr="00E74188">
        <w:t>ast</w:t>
      </w:r>
      <w:proofErr w:type="gramEnd"/>
      <w:r w:rsidRPr="00E74188">
        <w:t xml:space="preserve"> Queensland and South</w:t>
      </w:r>
      <w:r>
        <w:rPr>
          <w:rFonts w:ascii="ArialMT" w:eastAsia="Cambria" w:hAnsi="ArialMT" w:cs="ArialMT"/>
          <w:sz w:val="20"/>
          <w:szCs w:val="20"/>
          <w:lang w:eastAsia="en-AU"/>
        </w:rPr>
        <w:t xml:space="preserve"> </w:t>
      </w:r>
      <w:r w:rsidRPr="0073695D">
        <w:t>Australia</w:t>
      </w:r>
      <w:r>
        <w:rPr>
          <w:rFonts w:ascii="ArialMT" w:eastAsia="Cambria" w:hAnsi="ArialMT" w:cs="ArialMT"/>
          <w:sz w:val="20"/>
          <w:szCs w:val="20"/>
          <w:lang w:eastAsia="en-AU"/>
        </w:rPr>
        <w:t>.</w:t>
      </w:r>
    </w:p>
    <w:p w14:paraId="5D046C4D" w14:textId="77777777" w:rsidR="000C70F1" w:rsidRDefault="000C70F1" w:rsidP="000C70F1">
      <w:r w:rsidRPr="00E74188">
        <w:rPr>
          <w:b/>
          <w:bCs/>
        </w:rPr>
        <w:t xml:space="preserve">Disengaged customer – </w:t>
      </w:r>
      <w:r w:rsidRPr="00E74188">
        <w:t>a residential or small business customer who is unable or unwilling to engage in the electricity retail market and is placed on a standing offer.</w:t>
      </w:r>
    </w:p>
    <w:p w14:paraId="0DBBA6C9" w14:textId="77777777" w:rsidR="000C70F1" w:rsidRDefault="000C70F1" w:rsidP="000C70F1">
      <w:r w:rsidRPr="005B0897">
        <w:rPr>
          <w:b/>
          <w:bCs/>
        </w:rPr>
        <w:t xml:space="preserve">Engaged customer – </w:t>
      </w:r>
      <w:r w:rsidRPr="005B0897">
        <w:t>a residential or small business customer who is able and willing to engage in the electricity retail market and regularly shops around for a better deal.</w:t>
      </w:r>
    </w:p>
    <w:p w14:paraId="72FA1434" w14:textId="77777777" w:rsidR="000C70F1" w:rsidRDefault="000C70F1" w:rsidP="000C70F1">
      <w:r w:rsidRPr="005B0897">
        <w:rPr>
          <w:b/>
          <w:bCs/>
        </w:rPr>
        <w:t xml:space="preserve">Headroom </w:t>
      </w:r>
      <w:r w:rsidRPr="005B0897">
        <w:t>– an allowance in a regulated price that does not reflect a cost borne by firms operating in the market, generally used to attract competitors when markets are in the process of being deregulated. A key difference between the DMO and VDO is that the DMO has an allowance for headroom.</w:t>
      </w:r>
    </w:p>
    <w:p w14:paraId="7EE60F04" w14:textId="77777777" w:rsidR="000C70F1" w:rsidRDefault="000C70F1" w:rsidP="000C70F1">
      <w:r w:rsidRPr="00313D71">
        <w:rPr>
          <w:b/>
          <w:bCs/>
        </w:rPr>
        <w:t xml:space="preserve">Market offer </w:t>
      </w:r>
      <w:r w:rsidRPr="00313D71">
        <w:t>– an offer that energy retailers set on a competitive basis by determining the tariff to be charged. They may offer a discount (or some other benefit) and can vary in length or be ongoing.</w:t>
      </w:r>
    </w:p>
    <w:p w14:paraId="5ADAFDAB" w14:textId="77777777" w:rsidR="000C70F1" w:rsidRDefault="000C70F1" w:rsidP="000C70F1">
      <w:r>
        <w:rPr>
          <w:b/>
          <w:bCs/>
        </w:rPr>
        <w:t xml:space="preserve">The </w:t>
      </w:r>
      <w:r w:rsidRPr="00283D30">
        <w:rPr>
          <w:b/>
          <w:bCs/>
        </w:rPr>
        <w:t>National Energy Customer Framework (NECF)</w:t>
      </w:r>
      <w:r w:rsidRPr="00283D30">
        <w:t> </w:t>
      </w:r>
      <w:r>
        <w:t xml:space="preserve">- </w:t>
      </w:r>
      <w:r w:rsidRPr="00283D30">
        <w:t xml:space="preserve">is a set of national laws, rules, and regulations that govern the sale and supply of electricity and gas to retail customers in participating Australian states and territories. </w:t>
      </w:r>
    </w:p>
    <w:p w14:paraId="1E4274A5" w14:textId="5D5ED765" w:rsidR="000C70F1" w:rsidRPr="004D6246" w:rsidRDefault="000C70F1" w:rsidP="000C70F1">
      <w:r w:rsidRPr="00837A9F">
        <w:rPr>
          <w:rFonts w:ascii="Calibri" w:eastAsia="Calibri" w:hAnsi="Calibri" w:cs="Calibri"/>
          <w:b/>
          <w:bCs/>
          <w:color w:val="000000" w:themeColor="text1"/>
          <w:szCs w:val="24"/>
        </w:rPr>
        <w:t>Retail Electricity Pricing Inquiry (REPI)</w:t>
      </w:r>
      <w:r>
        <w:rPr>
          <w:rFonts w:ascii="Calibri" w:eastAsia="Calibri" w:hAnsi="Calibri" w:cs="Calibri"/>
          <w:b/>
          <w:bCs/>
          <w:color w:val="000000" w:themeColor="text1"/>
          <w:szCs w:val="24"/>
        </w:rPr>
        <w:t xml:space="preserve"> - </w:t>
      </w:r>
      <w:r w:rsidRPr="004D6246">
        <w:rPr>
          <w:rFonts w:ascii="Calibri" w:eastAsia="Calibri" w:hAnsi="Calibri" w:cs="Calibri"/>
          <w:color w:val="000000" w:themeColor="text1"/>
          <w:szCs w:val="24"/>
        </w:rPr>
        <w:t>was conducted by the ACCC to investigate the causes of high electricity prices and recommend reforms. The final report, released in 2018, proposed measures to improve competition, simplify pricing, and protect consumers from misleading discounts</w:t>
      </w:r>
    </w:p>
    <w:p w14:paraId="7681AA84" w14:textId="77777777" w:rsidR="000C70F1" w:rsidRDefault="000C70F1" w:rsidP="000C70F1">
      <w:pPr>
        <w:rPr>
          <w:b/>
          <w:bCs/>
        </w:rPr>
      </w:pPr>
      <w:r>
        <w:rPr>
          <w:b/>
          <w:bCs/>
        </w:rPr>
        <w:t xml:space="preserve">Standing Offer </w:t>
      </w:r>
      <w:r w:rsidRPr="000E762D">
        <w:rPr>
          <w:b/>
          <w:bCs/>
        </w:rPr>
        <w:t>–</w:t>
      </w:r>
      <w:r>
        <w:rPr>
          <w:b/>
          <w:bCs/>
        </w:rPr>
        <w:t xml:space="preserve"> </w:t>
      </w:r>
      <w:r w:rsidRPr="007800AD">
        <w:t>a default electricity plan provided to customers who haven't actively chosen a market offer. It acts as a safety net, ensuring access to electricity at regulated prices set by government bodies</w:t>
      </w:r>
      <w:r>
        <w:t>.</w:t>
      </w:r>
    </w:p>
    <w:p w14:paraId="67777C37" w14:textId="77777777" w:rsidR="000C70F1" w:rsidRDefault="000C70F1" w:rsidP="000C70F1">
      <w:r w:rsidRPr="004628C5">
        <w:rPr>
          <w:b/>
          <w:bCs/>
        </w:rPr>
        <w:t xml:space="preserve">Tariff – </w:t>
      </w:r>
      <w:r w:rsidRPr="004628C5">
        <w:t>the total price charged for electricity or gas. Although tariff structures can vary, the tariff typically includes at least two parts:</w:t>
      </w:r>
    </w:p>
    <w:p w14:paraId="6DE54A55" w14:textId="77777777" w:rsidR="000C70F1" w:rsidRDefault="000C70F1" w:rsidP="000C70F1">
      <w:pPr>
        <w:pStyle w:val="ListParagraph"/>
        <w:numPr>
          <w:ilvl w:val="0"/>
          <w:numId w:val="30"/>
        </w:numPr>
      </w:pPr>
      <w:r w:rsidRPr="004628C5">
        <w:t>Fixed charge – also called the daily supply charge, or the service to property charg</w:t>
      </w:r>
      <w:r>
        <w:t>e.</w:t>
      </w:r>
    </w:p>
    <w:p w14:paraId="10617E7E" w14:textId="1A7A18F5" w:rsidR="000C70F1" w:rsidRDefault="000C70F1" w:rsidP="000C70F1">
      <w:pPr>
        <w:pStyle w:val="ListParagraph"/>
        <w:numPr>
          <w:ilvl w:val="0"/>
          <w:numId w:val="30"/>
        </w:numPr>
      </w:pPr>
      <w:r w:rsidRPr="004628C5">
        <w:t xml:space="preserve">Variable charge – </w:t>
      </w:r>
      <w:proofErr w:type="gramStart"/>
      <w:r w:rsidRPr="004628C5">
        <w:t>for the amount of</w:t>
      </w:r>
      <w:proofErr w:type="gramEnd"/>
      <w:r w:rsidRPr="004628C5">
        <w:t xml:space="preserve"> energy you use, also called the consumption charge</w:t>
      </w:r>
      <w:r w:rsidR="0073695D">
        <w:t>.</w:t>
      </w:r>
    </w:p>
    <w:p w14:paraId="073E5290" w14:textId="77777777" w:rsidR="000C70F1" w:rsidRDefault="000C70F1" w:rsidP="000C70F1">
      <w:pPr>
        <w:spacing w:after="0" w:line="240" w:lineRule="auto"/>
        <w:rPr>
          <w:b/>
          <w:bCs/>
        </w:rPr>
      </w:pPr>
    </w:p>
    <w:p w14:paraId="7CF206EC" w14:textId="77777777" w:rsidR="000C70F1" w:rsidRDefault="000C70F1" w:rsidP="000C70F1">
      <w:pPr>
        <w:spacing w:after="0"/>
      </w:pPr>
      <w:r w:rsidRPr="00AA5F3E">
        <w:rPr>
          <w:b/>
          <w:bCs/>
        </w:rPr>
        <w:t xml:space="preserve">Victorian Default Offer (VDO) – </w:t>
      </w:r>
      <w:r w:rsidRPr="00C74C19">
        <w:t>a regulated electricity price for residential and small business customers on electricity standing offers in Victoria.</w:t>
      </w:r>
    </w:p>
    <w:p w14:paraId="38F8169A" w14:textId="77777777" w:rsidR="000A2992" w:rsidRPr="000A2992" w:rsidRDefault="000A2992" w:rsidP="000A2992"/>
    <w:sectPr w:rsidR="000A2992" w:rsidRPr="000A2992" w:rsidSect="006712B7">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EC44" w14:textId="77777777" w:rsidR="00157777" w:rsidRDefault="00157777">
      <w:r>
        <w:separator/>
      </w:r>
    </w:p>
    <w:p w14:paraId="22AEF4A0" w14:textId="77777777" w:rsidR="00157777" w:rsidRDefault="00157777"/>
    <w:p w14:paraId="2CEB64C9" w14:textId="77777777" w:rsidR="00157777" w:rsidRDefault="00157777"/>
  </w:endnote>
  <w:endnote w:type="continuationSeparator" w:id="0">
    <w:p w14:paraId="002634CD" w14:textId="77777777" w:rsidR="00157777" w:rsidRDefault="00157777">
      <w:r>
        <w:continuationSeparator/>
      </w:r>
    </w:p>
    <w:p w14:paraId="54C45784" w14:textId="77777777" w:rsidR="00157777" w:rsidRDefault="00157777"/>
    <w:p w14:paraId="0B5E41E4" w14:textId="77777777" w:rsidR="00157777" w:rsidRDefault="00157777"/>
  </w:endnote>
  <w:endnote w:type="continuationNotice" w:id="1">
    <w:p w14:paraId="75052EFE" w14:textId="77777777" w:rsidR="00157777" w:rsidRDefault="00157777">
      <w:pPr>
        <w:pStyle w:val="Footer"/>
      </w:pPr>
    </w:p>
    <w:p w14:paraId="62E8BC5C" w14:textId="77777777" w:rsidR="00157777" w:rsidRDefault="00157777"/>
    <w:p w14:paraId="158EF974" w14:textId="77777777" w:rsidR="00157777" w:rsidRDefault="0015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1A1B" w14:textId="6996FBE6" w:rsidR="00940C75" w:rsidRDefault="00845F64">
    <w:pPr>
      <w:pStyle w:val="Footer"/>
    </w:pPr>
    <w:r>
      <w:rPr>
        <w:noProof/>
      </w:rPr>
      <mc:AlternateContent>
        <mc:Choice Requires="wps">
          <w:drawing>
            <wp:anchor distT="0" distB="0" distL="0" distR="0" simplePos="0" relativeHeight="251658244" behindDoc="0" locked="0" layoutInCell="1" allowOverlap="1" wp14:anchorId="604AA0E9" wp14:editId="06786411">
              <wp:simplePos x="635" y="635"/>
              <wp:positionH relativeFrom="page">
                <wp:align>center</wp:align>
              </wp:positionH>
              <wp:positionV relativeFrom="page">
                <wp:align>bottom</wp:align>
              </wp:positionV>
              <wp:extent cx="551815" cy="404495"/>
              <wp:effectExtent l="0" t="0" r="635" b="0"/>
              <wp:wrapNone/>
              <wp:docPr id="206246558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8D871B9" w14:textId="128F9D94"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AA0E9"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8D871B9" w14:textId="128F9D94"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B935" w14:textId="44338D0C" w:rsidR="00B861B4" w:rsidRDefault="00845F64">
    <w:pPr>
      <w:pStyle w:val="Footer"/>
    </w:pPr>
    <w:r>
      <w:rPr>
        <w:noProof/>
      </w:rPr>
      <mc:AlternateContent>
        <mc:Choice Requires="wps">
          <w:drawing>
            <wp:anchor distT="0" distB="0" distL="0" distR="0" simplePos="0" relativeHeight="251658245" behindDoc="0" locked="0" layoutInCell="1" allowOverlap="1" wp14:anchorId="08B6ED97" wp14:editId="04BAB6AA">
              <wp:simplePos x="904875" y="10048875"/>
              <wp:positionH relativeFrom="page">
                <wp:align>center</wp:align>
              </wp:positionH>
              <wp:positionV relativeFrom="page">
                <wp:align>bottom</wp:align>
              </wp:positionV>
              <wp:extent cx="551815" cy="404495"/>
              <wp:effectExtent l="0" t="0" r="635" b="0"/>
              <wp:wrapNone/>
              <wp:docPr id="143387691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B0EDDEC" w14:textId="3464969A"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B6ED97"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B0EDDEC" w14:textId="3464969A"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v:textbox>
              <w10:wrap anchorx="page" anchory="page"/>
            </v:shape>
          </w:pict>
        </mc:Fallback>
      </mc:AlternateContent>
    </w:r>
    <w:r w:rsidR="00D86640" w:rsidRPr="00D86640">
      <w:t>Department of Climate Change, Energy, the Environment and Water</w:t>
    </w:r>
  </w:p>
  <w:p w14:paraId="55CCFBD2" w14:textId="77777777" w:rsidR="00B861B4" w:rsidRDefault="00B861B4">
    <w:pPr>
      <w:pStyle w:val="Footer"/>
    </w:pPr>
    <w:r>
      <w:fldChar w:fldCharType="begin"/>
    </w:r>
    <w:r>
      <w:instrText xml:space="preserve"> PAGE   \* MERGEFORMAT </w:instrText>
    </w:r>
    <w:r>
      <w:fldChar w:fldCharType="separate"/>
    </w:r>
    <w:r w:rsidR="001B4A1A">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AF61" w14:textId="4D9B42F6" w:rsidR="00940C75" w:rsidRDefault="00845F64">
    <w:pPr>
      <w:pStyle w:val="Footer"/>
    </w:pPr>
    <w:r>
      <w:rPr>
        <w:noProof/>
      </w:rPr>
      <mc:AlternateContent>
        <mc:Choice Requires="wps">
          <w:drawing>
            <wp:anchor distT="0" distB="0" distL="0" distR="0" simplePos="0" relativeHeight="251658243" behindDoc="0" locked="0" layoutInCell="1" allowOverlap="1" wp14:anchorId="5864B793" wp14:editId="22E87AE0">
              <wp:simplePos x="904875" y="10277475"/>
              <wp:positionH relativeFrom="page">
                <wp:align>center</wp:align>
              </wp:positionH>
              <wp:positionV relativeFrom="page">
                <wp:align>bottom</wp:align>
              </wp:positionV>
              <wp:extent cx="551815" cy="404495"/>
              <wp:effectExtent l="0" t="0" r="635" b="0"/>
              <wp:wrapNone/>
              <wp:docPr id="25317706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A3F931" w14:textId="5D9BBADE"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4B793"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0A3F931" w14:textId="5D9BBADE"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1D313" w14:textId="77777777" w:rsidR="00157777" w:rsidRDefault="00157777">
      <w:r>
        <w:separator/>
      </w:r>
    </w:p>
    <w:p w14:paraId="2B7B789D" w14:textId="77777777" w:rsidR="00157777" w:rsidRDefault="00157777"/>
    <w:p w14:paraId="3ACEEA7D" w14:textId="77777777" w:rsidR="00157777" w:rsidRDefault="00157777"/>
  </w:footnote>
  <w:footnote w:type="continuationSeparator" w:id="0">
    <w:p w14:paraId="2A63E9BE" w14:textId="77777777" w:rsidR="00157777" w:rsidRDefault="00157777">
      <w:r>
        <w:continuationSeparator/>
      </w:r>
    </w:p>
    <w:p w14:paraId="560AF10B" w14:textId="77777777" w:rsidR="00157777" w:rsidRDefault="00157777"/>
    <w:p w14:paraId="7CCE16B9" w14:textId="77777777" w:rsidR="00157777" w:rsidRDefault="00157777"/>
  </w:footnote>
  <w:footnote w:type="continuationNotice" w:id="1">
    <w:p w14:paraId="110F389E" w14:textId="77777777" w:rsidR="00157777" w:rsidRDefault="00157777">
      <w:pPr>
        <w:pStyle w:val="Footer"/>
      </w:pPr>
    </w:p>
    <w:p w14:paraId="0FFBC64A" w14:textId="77777777" w:rsidR="00157777" w:rsidRDefault="00157777"/>
    <w:p w14:paraId="48F2C3E6" w14:textId="77777777" w:rsidR="00157777" w:rsidRDefault="00157777"/>
  </w:footnote>
  <w:footnote w:id="2">
    <w:p w14:paraId="2CBAF42D" w14:textId="70B176F3" w:rsidR="00B46BF9" w:rsidRDefault="00B46BF9">
      <w:pPr>
        <w:pStyle w:val="FootnoteText"/>
      </w:pPr>
      <w:r>
        <w:rPr>
          <w:rStyle w:val="FootnoteReference"/>
        </w:rPr>
        <w:footnoteRef/>
      </w:r>
      <w:r>
        <w:t xml:space="preserve"> Standing offers have a range of consumer protections set under the National Energy Retail Law that are not available to customers on a market offer.</w:t>
      </w:r>
    </w:p>
  </w:footnote>
  <w:footnote w:id="3">
    <w:p w14:paraId="7E36F2EC" w14:textId="73E53368" w:rsidR="00573975" w:rsidRPr="003E5A6A" w:rsidRDefault="00573975">
      <w:pPr>
        <w:pStyle w:val="FootnoteText"/>
      </w:pPr>
      <w:r w:rsidRPr="00E07FDD">
        <w:rPr>
          <w:rStyle w:val="FootnoteReference"/>
          <w:rFonts w:ascii="Calibri" w:eastAsia="Calibri" w:hAnsi="Calibri" w:cs="Calibri"/>
        </w:rPr>
        <w:footnoteRef/>
      </w:r>
      <w:r w:rsidRPr="00E07FDD">
        <w:rPr>
          <w:rFonts w:ascii="Calibri" w:eastAsia="Calibri" w:hAnsi="Calibri" w:cs="Calibri"/>
        </w:rPr>
        <w:t xml:space="preserve"> </w:t>
      </w:r>
      <w:r w:rsidR="00A623BD">
        <w:rPr>
          <w:rFonts w:ascii="Calibri" w:eastAsia="Calibri" w:hAnsi="Calibri" w:cs="Calibri"/>
        </w:rPr>
        <w:t>ACCC 2018</w:t>
      </w:r>
      <w:r w:rsidR="00D92382">
        <w:rPr>
          <w:rFonts w:ascii="Calibri" w:eastAsia="Calibri" w:hAnsi="Calibri" w:cs="Calibri"/>
        </w:rPr>
        <w:t xml:space="preserve">. </w:t>
      </w:r>
      <w:hyperlink r:id="rId1" w:history="1">
        <w:r w:rsidR="0032600D" w:rsidRPr="00B33379">
          <w:rPr>
            <w:rStyle w:val="Hyperlink"/>
            <w:rFonts w:ascii="Calibri" w:eastAsia="Calibri" w:hAnsi="Calibri" w:cs="Calibri"/>
            <w:i/>
            <w:iCs/>
          </w:rPr>
          <w:t>Restoring electricity affordability and Austra</w:t>
        </w:r>
        <w:r w:rsidR="00694D73" w:rsidRPr="00B33379">
          <w:rPr>
            <w:rStyle w:val="Hyperlink"/>
            <w:rFonts w:ascii="Calibri" w:eastAsia="Calibri" w:hAnsi="Calibri" w:cs="Calibri"/>
            <w:i/>
            <w:iCs/>
          </w:rPr>
          <w:t>lia’s competitive advantage: Retail Electricity Pricing Inquiry – Final Report</w:t>
        </w:r>
      </w:hyperlink>
      <w:r w:rsidR="003D0659">
        <w:rPr>
          <w:rFonts w:ascii="Calibri" w:eastAsia="Calibri" w:hAnsi="Calibri" w:cs="Calibri"/>
        </w:rPr>
        <w:t>.</w:t>
      </w:r>
      <w:r w:rsidR="00694D73">
        <w:rPr>
          <w:rFonts w:ascii="Calibri" w:eastAsia="Calibri" w:hAnsi="Calibri" w:cs="Calibri"/>
          <w:i/>
          <w:iCs/>
        </w:rPr>
        <w:t xml:space="preserve"> </w:t>
      </w:r>
      <w:r w:rsidR="003E5A6A">
        <w:rPr>
          <w:rFonts w:ascii="Calibri" w:eastAsia="Calibri" w:hAnsi="Calibri" w:cs="Calibri"/>
        </w:rPr>
        <w:t xml:space="preserve">June 2018. </w:t>
      </w:r>
    </w:p>
  </w:footnote>
  <w:footnote w:id="4">
    <w:p w14:paraId="6B17CE8C" w14:textId="77777777" w:rsidR="00D866BF" w:rsidRDefault="00D866BF" w:rsidP="00D866BF">
      <w:pPr>
        <w:pStyle w:val="FootnoteText"/>
        <w:rPr>
          <w:rFonts w:ascii="Calibri" w:eastAsia="Calibri" w:hAnsi="Calibri" w:cs="Calibri"/>
          <w:i/>
        </w:rPr>
      </w:pPr>
      <w:r w:rsidRPr="00E07FDD">
        <w:rPr>
          <w:rStyle w:val="FootnoteReference"/>
          <w:rFonts w:ascii="Calibri" w:eastAsia="Calibri" w:hAnsi="Calibri" w:cs="Calibri"/>
        </w:rPr>
        <w:footnoteRef/>
      </w:r>
      <w:r w:rsidRPr="00E07FDD">
        <w:rPr>
          <w:rFonts w:ascii="Calibri" w:eastAsia="Calibri" w:hAnsi="Calibri" w:cs="Calibri"/>
        </w:rPr>
        <w:t xml:space="preserve"> </w:t>
      </w:r>
      <w:r w:rsidRPr="00E07FDD">
        <w:rPr>
          <w:rFonts w:ascii="Calibri" w:eastAsia="Calibri" w:hAnsi="Calibri" w:cs="Calibri"/>
          <w:i/>
        </w:rPr>
        <w:t>Competition and Consumer (Industry Electricity Retail Code – Electricity Retail) Regulations 2019 (</w:t>
      </w:r>
      <w:proofErr w:type="spellStart"/>
      <w:r w:rsidRPr="00E07FDD">
        <w:rPr>
          <w:rFonts w:ascii="Calibri" w:eastAsia="Calibri" w:hAnsi="Calibri" w:cs="Calibri"/>
          <w:i/>
        </w:rPr>
        <w:t>Cth</w:t>
      </w:r>
      <w:proofErr w:type="spellEnd"/>
      <w:r w:rsidRPr="00E07FDD">
        <w:rPr>
          <w:rFonts w:ascii="Calibri" w:eastAsia="Calibri" w:hAnsi="Calibri" w:cs="Calibri"/>
          <w:i/>
        </w:rPr>
        <w:t>)</w:t>
      </w:r>
    </w:p>
  </w:footnote>
  <w:footnote w:id="5">
    <w:p w14:paraId="033FA6DD" w14:textId="4FAB8FE6" w:rsidR="00044FF7" w:rsidRDefault="00044FF7">
      <w:pPr>
        <w:pStyle w:val="FootnoteText"/>
      </w:pPr>
      <w:r w:rsidRPr="00E07FDD">
        <w:rPr>
          <w:rStyle w:val="FootnoteReference"/>
          <w:rFonts w:ascii="Calibri" w:eastAsia="Calibri" w:hAnsi="Calibri" w:cs="Calibri"/>
        </w:rPr>
        <w:footnoteRef/>
      </w:r>
      <w:r w:rsidRPr="00E07FDD">
        <w:rPr>
          <w:rFonts w:ascii="Calibri" w:eastAsia="Calibri" w:hAnsi="Calibri" w:cs="Calibri"/>
        </w:rPr>
        <w:t xml:space="preserve"> The DMO objectives are set out in several sources including: the ACCC Retail Electricity Pricing Inquiry final report, June 2018; the Explanatory Statement accompanying the DMO Regulations, 2019; Treasurer’s and Minister for Energy’s request to the AER to develop a DMO, 22 October 2018; and the Minister for Climate Change and Energy’s letter, 2024.</w:t>
      </w:r>
    </w:p>
  </w:footnote>
  <w:footnote w:id="6">
    <w:p w14:paraId="2A1DDFC2" w14:textId="1AD5B17F" w:rsidR="002E4003" w:rsidRDefault="002E4003">
      <w:pPr>
        <w:pStyle w:val="FootnoteText"/>
      </w:pPr>
      <w:r w:rsidRPr="00E07FDD">
        <w:rPr>
          <w:rStyle w:val="FootnoteReference"/>
          <w:rFonts w:ascii="Calibri" w:eastAsia="Calibri" w:hAnsi="Calibri" w:cs="Calibri"/>
        </w:rPr>
        <w:footnoteRef/>
      </w:r>
      <w:r w:rsidRPr="00E07FDD">
        <w:rPr>
          <w:rFonts w:ascii="Calibri" w:eastAsia="Calibri" w:hAnsi="Calibri" w:cs="Calibri"/>
        </w:rPr>
        <w:t xml:space="preserve"> </w:t>
      </w:r>
      <w:r w:rsidR="00761546">
        <w:rPr>
          <w:rFonts w:ascii="Calibri" w:eastAsia="Calibri" w:hAnsi="Calibri" w:cs="Calibri"/>
        </w:rPr>
        <w:t xml:space="preserve">ACCC 2021. </w:t>
      </w:r>
      <w:hyperlink r:id="rId2" w:history="1">
        <w:r w:rsidRPr="00761546">
          <w:rPr>
            <w:rStyle w:val="Hyperlink"/>
            <w:rFonts w:ascii="Calibri" w:eastAsia="Calibri" w:hAnsi="Calibri" w:cs="Calibri"/>
            <w:i/>
            <w:iCs/>
          </w:rPr>
          <w:t>Guide to the Electricity Retail Code</w:t>
        </w:r>
        <w:r w:rsidRPr="00761546">
          <w:rPr>
            <w:rStyle w:val="Hyperlink"/>
            <w:rFonts w:ascii="Calibri" w:eastAsia="Calibri" w:hAnsi="Calibri" w:cs="Calibri"/>
          </w:rPr>
          <w:t xml:space="preserve"> </w:t>
        </w:r>
        <w:r w:rsidR="00761546" w:rsidRPr="00761546">
          <w:rPr>
            <w:rStyle w:val="Hyperlink"/>
            <w:rFonts w:ascii="Calibri" w:eastAsia="Calibri" w:hAnsi="Calibri" w:cs="Calibri"/>
          </w:rPr>
          <w:t>–</w:t>
        </w:r>
        <w:r w:rsidRPr="00761546">
          <w:rPr>
            <w:rStyle w:val="Hyperlink"/>
            <w:rFonts w:ascii="Calibri" w:eastAsia="Calibri" w:hAnsi="Calibri" w:cs="Calibri"/>
          </w:rPr>
          <w:t xml:space="preserve"> </w:t>
        </w:r>
        <w:r w:rsidR="00761546" w:rsidRPr="00761546">
          <w:rPr>
            <w:rStyle w:val="Hyperlink"/>
            <w:rFonts w:ascii="Calibri" w:eastAsia="Calibri" w:hAnsi="Calibri" w:cs="Calibri"/>
            <w:i/>
            <w:iCs/>
          </w:rPr>
          <w:t>Version</w:t>
        </w:r>
        <w:r w:rsidR="00761546" w:rsidRPr="00761546">
          <w:rPr>
            <w:rStyle w:val="Hyperlink"/>
            <w:i/>
            <w:iCs/>
          </w:rPr>
          <w:t xml:space="preserve"> 3</w:t>
        </w:r>
      </w:hyperlink>
      <w:r w:rsidR="00761546">
        <w:t xml:space="preserve">. July 2021. </w:t>
      </w:r>
    </w:p>
  </w:footnote>
  <w:footnote w:id="7">
    <w:p w14:paraId="7C060851" w14:textId="513F9EFB" w:rsidR="00635DD3" w:rsidRPr="00DE74F8" w:rsidRDefault="00635DD3">
      <w:pPr>
        <w:pStyle w:val="FootnoteText"/>
      </w:pPr>
      <w:r>
        <w:rPr>
          <w:rStyle w:val="FootnoteReference"/>
        </w:rPr>
        <w:footnoteRef/>
      </w:r>
      <w:r>
        <w:t xml:space="preserve"> </w:t>
      </w:r>
      <w:r w:rsidR="00E37598">
        <w:t xml:space="preserve">Thwaites J, </w:t>
      </w:r>
      <w:r w:rsidR="003C2944">
        <w:t>Faulkner P, Mulder T, 2017</w:t>
      </w:r>
      <w:hyperlink r:id="rId3" w:history="1">
        <w:r w:rsidR="003C2944" w:rsidRPr="00CE11AC">
          <w:rPr>
            <w:rStyle w:val="Hyperlink"/>
          </w:rPr>
          <w:t xml:space="preserve">. </w:t>
        </w:r>
        <w:r w:rsidR="00DE74F8" w:rsidRPr="00CE11AC">
          <w:rPr>
            <w:rStyle w:val="Hyperlink"/>
            <w:i/>
            <w:iCs/>
          </w:rPr>
          <w:t>Independent review into the electricity &amp; gas retail markets in Victoria</w:t>
        </w:r>
      </w:hyperlink>
      <w:r w:rsidR="00DE74F8">
        <w:t xml:space="preserve">. August 2017. </w:t>
      </w:r>
    </w:p>
  </w:footnote>
  <w:footnote w:id="8">
    <w:p w14:paraId="09433FC7" w14:textId="3F33C100" w:rsidR="003F0DC2" w:rsidRDefault="003F0DC2">
      <w:pPr>
        <w:pStyle w:val="FootnoteText"/>
      </w:pPr>
      <w:r>
        <w:rPr>
          <w:rStyle w:val="FootnoteReference"/>
        </w:rPr>
        <w:footnoteRef/>
      </w:r>
      <w:r>
        <w:t xml:space="preserve"> </w:t>
      </w:r>
      <w:r w:rsidR="0072335F">
        <w:t>Essential Services Commission (</w:t>
      </w:r>
      <w:r w:rsidR="00687D12">
        <w:t xml:space="preserve">ESC) 2018, </w:t>
      </w:r>
      <w:hyperlink r:id="rId4" w:history="1">
        <w:r w:rsidR="00F12FD6" w:rsidRPr="00536B81">
          <w:rPr>
            <w:rStyle w:val="Hyperlink"/>
            <w:i/>
            <w:iCs/>
          </w:rPr>
          <w:t>Fair Pricing in the Energy Market: Terms of Reference for the Essential Services Commission</w:t>
        </w:r>
      </w:hyperlink>
      <w:r w:rsidR="00F12FD6">
        <w:t xml:space="preserve">. </w:t>
      </w:r>
      <w:r w:rsidR="00536B81">
        <w:t xml:space="preserve">December 2018. </w:t>
      </w:r>
    </w:p>
  </w:footnote>
  <w:footnote w:id="9">
    <w:p w14:paraId="63EB9ACE" w14:textId="0F265E55" w:rsidR="00BF3831" w:rsidRDefault="00BF3831">
      <w:pPr>
        <w:pStyle w:val="FootnoteText"/>
      </w:pPr>
      <w:r>
        <w:rPr>
          <w:rStyle w:val="FootnoteReference"/>
        </w:rPr>
        <w:footnoteRef/>
      </w:r>
      <w:r>
        <w:t xml:space="preserve"> Ibid</w:t>
      </w:r>
      <w:r w:rsidR="00B41B5F">
        <w:t xml:space="preserve">. </w:t>
      </w:r>
    </w:p>
  </w:footnote>
  <w:footnote w:id="10">
    <w:p w14:paraId="3580D973" w14:textId="77777777" w:rsidR="00283F5D" w:rsidRDefault="00283F5D" w:rsidP="00283F5D">
      <w:pPr>
        <w:pStyle w:val="FootnoteText"/>
      </w:pPr>
      <w:r>
        <w:rPr>
          <w:rStyle w:val="FootnoteReference"/>
        </w:rPr>
        <w:footnoteRef/>
      </w:r>
      <w:r>
        <w:t xml:space="preserve"> </w:t>
      </w:r>
      <w:r w:rsidRPr="00CC2AAF">
        <w:t xml:space="preserve">Specifically, the NECF prescribes model terms and conditions which standing offer contracts must contain. These include pricing protections for consumers such as limiting price variations to no more than once every six months and imposing information provision requirements on retailers in relation to these price variations. Market retail contracts do not have model terms and conditions under the NECF. </w:t>
      </w:r>
      <w:r>
        <w:t xml:space="preserve">Source: </w:t>
      </w:r>
      <w:hyperlink r:id="rId5" w:history="1">
        <w:r w:rsidRPr="00CE62CC">
          <w:rPr>
            <w:rStyle w:val="Hyperlink"/>
          </w:rPr>
          <w:t>Contract terms | AEMC</w:t>
        </w:r>
      </w:hyperlink>
    </w:p>
  </w:footnote>
  <w:footnote w:id="11">
    <w:p w14:paraId="65E2133F" w14:textId="453C6DAB" w:rsidR="00326FF1" w:rsidRPr="00326FF1" w:rsidRDefault="00326FF1">
      <w:pPr>
        <w:pStyle w:val="FootnoteText"/>
      </w:pPr>
      <w:r>
        <w:rPr>
          <w:rStyle w:val="FootnoteReference"/>
        </w:rPr>
        <w:footnoteRef/>
      </w:r>
      <w:r>
        <w:t xml:space="preserve"> Section 16(4), </w:t>
      </w:r>
      <w:r>
        <w:rPr>
          <w:i/>
          <w:iCs/>
        </w:rPr>
        <w:t>Competition and Consumer (Industry Code – Electricity Retail) Regulations 2019</w:t>
      </w:r>
    </w:p>
  </w:footnote>
  <w:footnote w:id="12">
    <w:p w14:paraId="178CD985" w14:textId="1C173ABE" w:rsidR="00DC6330" w:rsidRDefault="00DC6330">
      <w:pPr>
        <w:pStyle w:val="FootnoteText"/>
      </w:pPr>
      <w:r w:rsidRPr="00E07FDD">
        <w:rPr>
          <w:rStyle w:val="FootnoteReference"/>
          <w:rFonts w:ascii="Calibri" w:eastAsia="Calibri" w:hAnsi="Calibri" w:cs="Calibri"/>
        </w:rPr>
        <w:footnoteRef/>
      </w:r>
      <w:r w:rsidRPr="00E07FDD">
        <w:rPr>
          <w:rFonts w:ascii="Calibri" w:eastAsia="Calibri" w:hAnsi="Calibri" w:cs="Calibri"/>
        </w:rPr>
        <w:t xml:space="preserve"> </w:t>
      </w:r>
      <w:r w:rsidR="00A81302">
        <w:rPr>
          <w:rFonts w:ascii="Calibri" w:eastAsia="Calibri" w:hAnsi="Calibri" w:cs="Calibri"/>
        </w:rPr>
        <w:t xml:space="preserve">Ibid. </w:t>
      </w:r>
    </w:p>
  </w:footnote>
  <w:footnote w:id="13">
    <w:p w14:paraId="31266472" w14:textId="77777777" w:rsidR="004B7A02" w:rsidRDefault="004B7A02" w:rsidP="004B7A02">
      <w:pPr>
        <w:pStyle w:val="FootnoteText"/>
      </w:pPr>
      <w:r w:rsidRPr="00E07FDD">
        <w:rPr>
          <w:rStyle w:val="FootnoteReference"/>
          <w:rFonts w:ascii="Calibri" w:eastAsia="Calibri" w:hAnsi="Calibri" w:cs="Calibri"/>
        </w:rPr>
        <w:footnoteRef/>
      </w:r>
      <w:r w:rsidRPr="00E07FDD">
        <w:rPr>
          <w:rFonts w:ascii="Calibri" w:eastAsia="Calibri" w:hAnsi="Calibri" w:cs="Calibri"/>
        </w:rPr>
        <w:t xml:space="preserve"> Australian Energy Regulator. (2024). </w:t>
      </w:r>
      <w:r w:rsidRPr="00E07FDD">
        <w:rPr>
          <w:rFonts w:ascii="Calibri" w:eastAsia="Calibri" w:hAnsi="Calibri" w:cs="Calibri"/>
          <w:i/>
        </w:rPr>
        <w:t>Default Market Offer Prices 2024–25: Final Decision</w:t>
      </w:r>
      <w:r w:rsidRPr="00E07FDD">
        <w:rPr>
          <w:rFonts w:ascii="Calibri" w:eastAsia="Calibri" w:hAnsi="Calibri" w:cs="Calibri"/>
        </w:rPr>
        <w:t>.</w:t>
      </w:r>
    </w:p>
  </w:footnote>
  <w:footnote w:id="14">
    <w:p w14:paraId="4DA19D77" w14:textId="2736E773" w:rsidR="008555C0" w:rsidRDefault="008555C0">
      <w:pPr>
        <w:pStyle w:val="FootnoteText"/>
      </w:pPr>
      <w:r>
        <w:rPr>
          <w:rStyle w:val="FootnoteReference"/>
        </w:rPr>
        <w:footnoteRef/>
      </w:r>
      <w:r>
        <w:t xml:space="preserve"> </w:t>
      </w:r>
      <w:r w:rsidR="00D0634A">
        <w:t xml:space="preserve">AEMC, </w:t>
      </w:r>
      <w:r w:rsidR="00B07A02" w:rsidRPr="00B07A02">
        <w:t>The pricing review: Electricity pricing for a consumer-driven future</w:t>
      </w:r>
      <w:r w:rsidR="00F268D1">
        <w:t xml:space="preserve">. </w:t>
      </w:r>
      <w:r w:rsidR="00C52E67">
        <w:t xml:space="preserve">The AEMC initiated this review to address the role </w:t>
      </w:r>
      <w:r w:rsidR="00887E7C">
        <w:t>e</w:t>
      </w:r>
      <w:r w:rsidR="00887E7C" w:rsidRPr="00887E7C">
        <w:t>lectricity pricing, products, and services will play in supporting the diverse needs of customers, including delivering the consumer energy resources (CER) that is being acquired, and will continue to be acquired, for the energy transition.</w:t>
      </w:r>
    </w:p>
  </w:footnote>
  <w:footnote w:id="15">
    <w:p w14:paraId="0F3C9D94" w14:textId="3FCC2096" w:rsidR="005E2577" w:rsidRDefault="005E2577" w:rsidP="005E2577">
      <w:pPr>
        <w:pStyle w:val="FootnoteText"/>
      </w:pPr>
      <w:r>
        <w:rPr>
          <w:rStyle w:val="FootnoteReference"/>
        </w:rPr>
        <w:footnoteRef/>
      </w:r>
      <w:r>
        <w:t xml:space="preserve"> ACCC </w:t>
      </w:r>
      <w:r w:rsidR="00F36080">
        <w:t xml:space="preserve">2024. </w:t>
      </w:r>
      <w:r w:rsidR="0008329A">
        <w:rPr>
          <w:i/>
          <w:iCs/>
        </w:rPr>
        <w:t xml:space="preserve">Inquiry into the National Electricity Market – December 2024 </w:t>
      </w:r>
      <w:r w:rsidR="0008329A" w:rsidRPr="0008329A">
        <w:t>Report</w:t>
      </w:r>
      <w:r w:rsidR="0008329A">
        <w:t xml:space="preserve">. </w:t>
      </w:r>
      <w:r w:rsidRPr="0008329A">
        <w:t>December</w:t>
      </w:r>
      <w:r>
        <w:t xml:space="preserve"> 2024</w:t>
      </w:r>
      <w:r w:rsidR="0008329A">
        <w:t>, pg. 12.</w:t>
      </w:r>
    </w:p>
  </w:footnote>
  <w:footnote w:id="16">
    <w:p w14:paraId="4A05D945" w14:textId="181E2541" w:rsidR="00816841" w:rsidRPr="00816841" w:rsidRDefault="00816841">
      <w:pPr>
        <w:pStyle w:val="FootnoteText"/>
      </w:pPr>
      <w:r>
        <w:rPr>
          <w:rStyle w:val="FootnoteReference"/>
        </w:rPr>
        <w:footnoteRef/>
      </w:r>
      <w:r>
        <w:t xml:space="preserve"> Esplin, Davis, Rai &amp; Nelson (2019), </w:t>
      </w:r>
      <w:hyperlink r:id="rId6" w:history="1">
        <w:r w:rsidRPr="00816841">
          <w:rPr>
            <w:rStyle w:val="Hyperlink"/>
          </w:rPr>
          <w:t>The impacts of regulated pricing on price dispersion in Australia’s retail electricity markets</w:t>
        </w:r>
      </w:hyperlink>
      <w:r>
        <w:t xml:space="preserve">, page 2. Accessed 3 June 2025. </w:t>
      </w:r>
    </w:p>
  </w:footnote>
  <w:footnote w:id="17">
    <w:p w14:paraId="7ED4467A" w14:textId="1F05C44E" w:rsidR="005E3C52" w:rsidRPr="005E3C52" w:rsidRDefault="005E3C52">
      <w:pPr>
        <w:pStyle w:val="FootnoteText"/>
        <w:rPr>
          <w:lang w:val="en-US"/>
        </w:rPr>
      </w:pPr>
      <w:r w:rsidRPr="00E07FDD">
        <w:rPr>
          <w:rStyle w:val="FootnoteReference"/>
          <w:rFonts w:ascii="Calibri" w:eastAsia="Calibri" w:hAnsi="Calibri" w:cs="Calibri"/>
        </w:rPr>
        <w:footnoteRef/>
      </w:r>
      <w:r w:rsidRPr="00E07FDD">
        <w:rPr>
          <w:rFonts w:ascii="Calibri" w:eastAsia="Calibri" w:hAnsi="Calibri" w:cs="Calibri"/>
        </w:rPr>
        <w:t xml:space="preserve"> </w:t>
      </w:r>
      <w:r w:rsidRPr="00E07FDD">
        <w:rPr>
          <w:rFonts w:ascii="Calibri" w:eastAsia="Calibri" w:hAnsi="Calibri" w:cs="Calibri"/>
          <w:lang w:val="en-US"/>
        </w:rPr>
        <w:t>ACCC 2018</w:t>
      </w:r>
      <w:r w:rsidR="0008329A">
        <w:rPr>
          <w:rFonts w:ascii="Calibri" w:eastAsia="Calibri" w:hAnsi="Calibri" w:cs="Calibri"/>
          <w:lang w:val="en-US"/>
        </w:rPr>
        <w:t xml:space="preserve">. </w:t>
      </w:r>
      <w:r w:rsidRPr="00E07FDD">
        <w:rPr>
          <w:rFonts w:ascii="Calibri" w:eastAsia="Calibri" w:hAnsi="Calibri" w:cs="Calibri"/>
          <w:lang w:val="en-US"/>
        </w:rPr>
        <w:t xml:space="preserve"> </w:t>
      </w:r>
      <w:hyperlink r:id="rId7" w:history="1">
        <w:r w:rsidR="0008329A" w:rsidRPr="00B33379">
          <w:rPr>
            <w:rStyle w:val="Hyperlink"/>
            <w:rFonts w:ascii="Calibri" w:eastAsia="Calibri" w:hAnsi="Calibri" w:cs="Calibri"/>
            <w:i/>
            <w:iCs/>
          </w:rPr>
          <w:t>Restoring electricity affordability and Australia’s competitive advantage: Retail Electricity Pricing Inquiry – Final Report</w:t>
        </w:r>
      </w:hyperlink>
      <w:r w:rsidR="0008329A">
        <w:rPr>
          <w:rFonts w:ascii="Calibri" w:eastAsia="Calibri" w:hAnsi="Calibri" w:cs="Calibri"/>
        </w:rPr>
        <w:t>.</w:t>
      </w:r>
      <w:r w:rsidR="0008329A">
        <w:rPr>
          <w:rFonts w:ascii="Calibri" w:eastAsia="Calibri" w:hAnsi="Calibri" w:cs="Calibri"/>
          <w:i/>
          <w:iCs/>
        </w:rPr>
        <w:t xml:space="preserve"> </w:t>
      </w:r>
      <w:r w:rsidR="0008329A">
        <w:rPr>
          <w:rFonts w:ascii="Calibri" w:eastAsia="Calibri" w:hAnsi="Calibri" w:cs="Calibri"/>
        </w:rPr>
        <w:t xml:space="preserve">June 2018, </w:t>
      </w:r>
      <w:r w:rsidR="00540B55" w:rsidRPr="00E07FDD">
        <w:rPr>
          <w:rFonts w:ascii="Calibri" w:eastAsia="Calibri" w:hAnsi="Calibri" w:cs="Calibri"/>
          <w:lang w:val="en-US"/>
        </w:rPr>
        <w:t>pg</w:t>
      </w:r>
      <w:r w:rsidR="00A354DB">
        <w:rPr>
          <w:rFonts w:ascii="Calibri" w:eastAsia="Calibri" w:hAnsi="Calibri" w:cs="Calibri"/>
          <w:lang w:val="en-US"/>
        </w:rPr>
        <w:t>.</w:t>
      </w:r>
      <w:r w:rsidR="00540B55" w:rsidRPr="00E07FDD">
        <w:rPr>
          <w:rFonts w:ascii="Calibri" w:eastAsia="Calibri" w:hAnsi="Calibri" w:cs="Calibri"/>
          <w:lang w:val="en-US"/>
        </w:rPr>
        <w:t xml:space="preserve"> 134.</w:t>
      </w:r>
    </w:p>
  </w:footnote>
  <w:footnote w:id="18">
    <w:p w14:paraId="7E27F565" w14:textId="77777777" w:rsidR="007B124F" w:rsidRDefault="007B124F" w:rsidP="007B124F">
      <w:pPr>
        <w:pStyle w:val="FootnoteText"/>
      </w:pPr>
      <w:r>
        <w:rPr>
          <w:rStyle w:val="FootnoteReference"/>
        </w:rPr>
        <w:footnoteRef/>
      </w:r>
      <w:r>
        <w:t xml:space="preserve"> Ibid, page 59. </w:t>
      </w:r>
    </w:p>
  </w:footnote>
  <w:footnote w:id="19">
    <w:p w14:paraId="5DFE2EAF" w14:textId="6170DC83" w:rsidR="007B124F" w:rsidRDefault="007B124F" w:rsidP="007B124F">
      <w:pPr>
        <w:pStyle w:val="FootnoteText"/>
      </w:pPr>
      <w:r>
        <w:rPr>
          <w:rStyle w:val="FootnoteReference"/>
        </w:rPr>
        <w:footnoteRef/>
      </w:r>
      <w:r>
        <w:t xml:space="preserve"> </w:t>
      </w:r>
      <w:r w:rsidR="0008329A">
        <w:t xml:space="preserve">AER 2024. </w:t>
      </w:r>
      <w:hyperlink r:id="rId8" w:history="1">
        <w:r w:rsidRPr="0008329A">
          <w:rPr>
            <w:rStyle w:val="Hyperlink"/>
            <w:i/>
            <w:iCs/>
          </w:rPr>
          <w:t>Annual Retail Market Report 2023–24 - 30 November 2024</w:t>
        </w:r>
      </w:hyperlink>
      <w:r w:rsidR="0008329A">
        <w:t>. November 2024,</w:t>
      </w:r>
      <w:r>
        <w:t xml:space="preserve"> pg</w:t>
      </w:r>
      <w:r w:rsidR="00F50D24">
        <w:t>.</w:t>
      </w:r>
      <w:r>
        <w:t xml:space="preserve"> 13. </w:t>
      </w:r>
    </w:p>
  </w:footnote>
  <w:footnote w:id="20">
    <w:p w14:paraId="7B51C750" w14:textId="3B489843" w:rsidR="007B124F" w:rsidRDefault="007B124F" w:rsidP="007B124F">
      <w:pPr>
        <w:pStyle w:val="FootnoteText"/>
      </w:pPr>
      <w:r>
        <w:rPr>
          <w:rStyle w:val="FootnoteReference"/>
        </w:rPr>
        <w:footnoteRef/>
      </w:r>
      <w:r>
        <w:t xml:space="preserve"> </w:t>
      </w:r>
      <w:r w:rsidR="0008329A" w:rsidRPr="00E07FDD">
        <w:rPr>
          <w:rFonts w:ascii="Calibri" w:eastAsia="Calibri" w:hAnsi="Calibri" w:cs="Calibri"/>
          <w:lang w:val="en-US"/>
        </w:rPr>
        <w:t>ACCC 2018</w:t>
      </w:r>
      <w:r w:rsidR="0008329A">
        <w:rPr>
          <w:rFonts w:ascii="Calibri" w:eastAsia="Calibri" w:hAnsi="Calibri" w:cs="Calibri"/>
          <w:lang w:val="en-US"/>
        </w:rPr>
        <w:t xml:space="preserve">. </w:t>
      </w:r>
      <w:r w:rsidR="0008329A" w:rsidRPr="00E07FDD">
        <w:rPr>
          <w:rFonts w:ascii="Calibri" w:eastAsia="Calibri" w:hAnsi="Calibri" w:cs="Calibri"/>
          <w:lang w:val="en-US"/>
        </w:rPr>
        <w:t xml:space="preserve"> </w:t>
      </w:r>
      <w:hyperlink r:id="rId9" w:history="1">
        <w:r w:rsidR="0008329A" w:rsidRPr="00B33379">
          <w:rPr>
            <w:rStyle w:val="Hyperlink"/>
            <w:rFonts w:ascii="Calibri" w:eastAsia="Calibri" w:hAnsi="Calibri" w:cs="Calibri"/>
            <w:i/>
            <w:iCs/>
          </w:rPr>
          <w:t>Restoring electricity affordability and Australia’s competitive advantage: Retail Electricity Pricing Inquiry – Final Report</w:t>
        </w:r>
      </w:hyperlink>
      <w:r w:rsidR="0008329A">
        <w:rPr>
          <w:rFonts w:ascii="Calibri" w:eastAsia="Calibri" w:hAnsi="Calibri" w:cs="Calibri"/>
        </w:rPr>
        <w:t>.</w:t>
      </w:r>
      <w:r w:rsidR="0008329A">
        <w:rPr>
          <w:rFonts w:ascii="Calibri" w:eastAsia="Calibri" w:hAnsi="Calibri" w:cs="Calibri"/>
          <w:i/>
          <w:iCs/>
        </w:rPr>
        <w:t xml:space="preserve"> </w:t>
      </w:r>
      <w:r w:rsidR="0008329A">
        <w:rPr>
          <w:rFonts w:ascii="Calibri" w:eastAsia="Calibri" w:hAnsi="Calibri" w:cs="Calibri"/>
        </w:rPr>
        <w:t xml:space="preserve">June 2018, </w:t>
      </w:r>
      <w:r w:rsidR="0008329A" w:rsidRPr="00E07FDD">
        <w:rPr>
          <w:rFonts w:ascii="Calibri" w:eastAsia="Calibri" w:hAnsi="Calibri" w:cs="Calibri"/>
          <w:lang w:val="en-US"/>
        </w:rPr>
        <w:t>pg</w:t>
      </w:r>
      <w:r w:rsidR="00A354DB">
        <w:rPr>
          <w:rFonts w:ascii="Calibri" w:eastAsia="Calibri" w:hAnsi="Calibri" w:cs="Calibri"/>
          <w:lang w:val="en-US"/>
        </w:rPr>
        <w:t>.</w:t>
      </w:r>
      <w:r w:rsidR="0008329A" w:rsidRPr="00E07FDD">
        <w:rPr>
          <w:rFonts w:ascii="Calibri" w:eastAsia="Calibri" w:hAnsi="Calibri" w:cs="Calibri"/>
          <w:lang w:val="en-US"/>
        </w:rPr>
        <w:t xml:space="preserve"> </w:t>
      </w:r>
      <w:r>
        <w:t>145.</w:t>
      </w:r>
    </w:p>
  </w:footnote>
  <w:footnote w:id="21">
    <w:p w14:paraId="0B583CCE" w14:textId="77777777" w:rsidR="007B124F" w:rsidRDefault="007B124F" w:rsidP="007B124F">
      <w:pPr>
        <w:pStyle w:val="FootnoteText"/>
      </w:pPr>
      <w:r>
        <w:rPr>
          <w:rStyle w:val="FootnoteReference"/>
        </w:rPr>
        <w:footnoteRef/>
      </w:r>
      <w:r>
        <w:t xml:space="preserve"> Ibid, page 59. </w:t>
      </w:r>
    </w:p>
  </w:footnote>
  <w:footnote w:id="22">
    <w:p w14:paraId="422BF4BC" w14:textId="57357BE5" w:rsidR="007B124F" w:rsidRPr="00DA6753" w:rsidRDefault="007B124F" w:rsidP="007B124F">
      <w:pPr>
        <w:pStyle w:val="FootnoteText"/>
        <w:rPr>
          <w:lang w:val="en-US"/>
        </w:rPr>
      </w:pPr>
      <w:r>
        <w:rPr>
          <w:rStyle w:val="FootnoteReference"/>
        </w:rPr>
        <w:footnoteRef/>
      </w:r>
      <w:r>
        <w:t xml:space="preserve"> </w:t>
      </w:r>
      <w:r w:rsidR="0008329A">
        <w:t xml:space="preserve">ACCC 2024. </w:t>
      </w:r>
      <w:r w:rsidR="0008329A">
        <w:rPr>
          <w:i/>
          <w:iCs/>
        </w:rPr>
        <w:t xml:space="preserve">Inquiry into the National Electricity Market – December 2024 </w:t>
      </w:r>
      <w:r w:rsidR="0008329A" w:rsidRPr="0008329A">
        <w:t>Report</w:t>
      </w:r>
      <w:r w:rsidR="0008329A">
        <w:t xml:space="preserve">. </w:t>
      </w:r>
      <w:r w:rsidR="0008329A" w:rsidRPr="0008329A">
        <w:t>December</w:t>
      </w:r>
      <w:r w:rsidR="0008329A">
        <w:t xml:space="preserve"> 2024, pg. </w:t>
      </w:r>
      <w:r>
        <w:rPr>
          <w:lang w:val="en-US"/>
        </w:rPr>
        <w:t>27</w:t>
      </w:r>
    </w:p>
  </w:footnote>
  <w:footnote w:id="23">
    <w:p w14:paraId="2B58A9B0" w14:textId="3A24D7F0" w:rsidR="007B124F" w:rsidRDefault="007B124F" w:rsidP="007B124F">
      <w:pPr>
        <w:pStyle w:val="FootnoteText"/>
      </w:pPr>
      <w:r>
        <w:rPr>
          <w:rStyle w:val="FootnoteReference"/>
        </w:rPr>
        <w:footnoteRef/>
      </w:r>
      <w:r>
        <w:t xml:space="preserve"> </w:t>
      </w:r>
      <w:r w:rsidR="00B166E3" w:rsidRPr="00E07FDD">
        <w:rPr>
          <w:rFonts w:ascii="Calibri" w:eastAsia="Calibri" w:hAnsi="Calibri" w:cs="Calibri"/>
          <w:lang w:val="en-US"/>
        </w:rPr>
        <w:t>ACCC 2018</w:t>
      </w:r>
      <w:r w:rsidR="00B166E3">
        <w:rPr>
          <w:rFonts w:ascii="Calibri" w:eastAsia="Calibri" w:hAnsi="Calibri" w:cs="Calibri"/>
          <w:lang w:val="en-US"/>
        </w:rPr>
        <w:t xml:space="preserve">. </w:t>
      </w:r>
      <w:r w:rsidR="00B166E3" w:rsidRPr="00E07FDD">
        <w:rPr>
          <w:rFonts w:ascii="Calibri" w:eastAsia="Calibri" w:hAnsi="Calibri" w:cs="Calibri"/>
          <w:lang w:val="en-US"/>
        </w:rPr>
        <w:t xml:space="preserve"> </w:t>
      </w:r>
      <w:hyperlink r:id="rId10" w:history="1">
        <w:r w:rsidR="00B166E3" w:rsidRPr="00B33379">
          <w:rPr>
            <w:rStyle w:val="Hyperlink"/>
            <w:rFonts w:ascii="Calibri" w:eastAsia="Calibri" w:hAnsi="Calibri" w:cs="Calibri"/>
            <w:i/>
            <w:iCs/>
          </w:rPr>
          <w:t>Restoring electricity affordability and Australia’s competitive advantage: Retail Electricity Pricing Inquiry – Final Report</w:t>
        </w:r>
      </w:hyperlink>
      <w:r w:rsidR="00B166E3">
        <w:rPr>
          <w:rFonts w:ascii="Calibri" w:eastAsia="Calibri" w:hAnsi="Calibri" w:cs="Calibri"/>
        </w:rPr>
        <w:t>.</w:t>
      </w:r>
      <w:r w:rsidR="00B166E3">
        <w:rPr>
          <w:rFonts w:ascii="Calibri" w:eastAsia="Calibri" w:hAnsi="Calibri" w:cs="Calibri"/>
          <w:i/>
          <w:iCs/>
        </w:rPr>
        <w:t xml:space="preserve"> </w:t>
      </w:r>
      <w:r w:rsidR="00B166E3">
        <w:rPr>
          <w:rFonts w:ascii="Calibri" w:eastAsia="Calibri" w:hAnsi="Calibri" w:cs="Calibri"/>
        </w:rPr>
        <w:t>June 2018, pg. 112.</w:t>
      </w:r>
    </w:p>
  </w:footnote>
  <w:footnote w:id="24">
    <w:p w14:paraId="0372932B" w14:textId="7E83FC36" w:rsidR="007B124F" w:rsidRDefault="007B124F" w:rsidP="007B124F">
      <w:pPr>
        <w:pStyle w:val="FootnoteText"/>
      </w:pPr>
      <w:r>
        <w:rPr>
          <w:rStyle w:val="FootnoteReference"/>
        </w:rPr>
        <w:footnoteRef/>
      </w:r>
      <w:r>
        <w:t xml:space="preserve"> </w:t>
      </w:r>
      <w:r w:rsidR="00B166E3">
        <w:t xml:space="preserve">ACCC 2024. </w:t>
      </w:r>
      <w:r w:rsidR="00B166E3">
        <w:rPr>
          <w:i/>
          <w:iCs/>
        </w:rPr>
        <w:t xml:space="preserve">Inquiry into the National Electricity Market – December 2024 </w:t>
      </w:r>
      <w:r w:rsidR="00B166E3" w:rsidRPr="0008329A">
        <w:t>Report</w:t>
      </w:r>
      <w:r w:rsidR="00B166E3">
        <w:t xml:space="preserve">. </w:t>
      </w:r>
      <w:r w:rsidR="00B166E3" w:rsidRPr="0008329A">
        <w:t>December</w:t>
      </w:r>
      <w:r w:rsidR="00B166E3">
        <w:t xml:space="preserve"> 2024, pg. </w:t>
      </w:r>
      <w:r>
        <w:t>22</w:t>
      </w:r>
    </w:p>
  </w:footnote>
  <w:footnote w:id="25">
    <w:p w14:paraId="5DC98A88" w14:textId="64156422" w:rsidR="00857D2F" w:rsidRPr="003C14D1" w:rsidRDefault="00857D2F" w:rsidP="00857D2F">
      <w:pPr>
        <w:pStyle w:val="FootnoteText"/>
      </w:pPr>
      <w:r>
        <w:rPr>
          <w:rStyle w:val="FootnoteReference"/>
        </w:rPr>
        <w:footnoteRef/>
      </w:r>
      <w:r>
        <w:t xml:space="preserve"> </w:t>
      </w:r>
      <w:r w:rsidR="003C14D1">
        <w:t xml:space="preserve">AER 2025. </w:t>
      </w:r>
      <w:hyperlink r:id="rId11" w:history="1">
        <w:r w:rsidRPr="003C14D1">
          <w:rPr>
            <w:rStyle w:val="Hyperlink"/>
            <w:i/>
            <w:iCs/>
          </w:rPr>
          <w:t xml:space="preserve">Default market </w:t>
        </w:r>
        <w:proofErr w:type="gramStart"/>
        <w:r w:rsidRPr="003C14D1">
          <w:rPr>
            <w:rStyle w:val="Hyperlink"/>
            <w:i/>
            <w:iCs/>
          </w:rPr>
          <w:t>offer</w:t>
        </w:r>
        <w:proofErr w:type="gramEnd"/>
        <w:r w:rsidRPr="003C14D1">
          <w:rPr>
            <w:rStyle w:val="Hyperlink"/>
            <w:i/>
            <w:iCs/>
          </w:rPr>
          <w:t xml:space="preserve"> prices 2025–26: Final determination</w:t>
        </w:r>
      </w:hyperlink>
      <w:r w:rsidR="003C14D1">
        <w:t>. May 2025</w:t>
      </w:r>
      <w:r w:rsidR="003346B5">
        <w:t xml:space="preserve">, pg. 71. </w:t>
      </w:r>
    </w:p>
  </w:footnote>
  <w:footnote w:id="26">
    <w:p w14:paraId="556230AA" w14:textId="2CC2D694" w:rsidR="00625A46" w:rsidRDefault="00625A46">
      <w:pPr>
        <w:pStyle w:val="FootnoteText"/>
      </w:pPr>
      <w:r>
        <w:rPr>
          <w:rStyle w:val="FootnoteReference"/>
        </w:rPr>
        <w:footnoteRef/>
      </w:r>
      <w:r>
        <w:t xml:space="preserve"> </w:t>
      </w:r>
      <w:r w:rsidR="003346B5" w:rsidRPr="003346B5">
        <w:t>Ibid,</w:t>
      </w:r>
      <w:r w:rsidR="003346B5">
        <w:t xml:space="preserve"> pg. 79. </w:t>
      </w:r>
      <w:r w:rsidRPr="00625A46">
        <w:t xml:space="preserve"> </w:t>
      </w:r>
    </w:p>
  </w:footnote>
  <w:footnote w:id="27">
    <w:p w14:paraId="232DB6EC" w14:textId="36D71C2C" w:rsidR="0082657E" w:rsidRDefault="0082657E">
      <w:pPr>
        <w:pStyle w:val="FootnoteText"/>
      </w:pPr>
      <w:r>
        <w:rPr>
          <w:rStyle w:val="FootnoteReference"/>
        </w:rPr>
        <w:footnoteRef/>
      </w:r>
      <w:r>
        <w:t xml:space="preserve"> </w:t>
      </w:r>
      <w:r w:rsidR="00C33E5C" w:rsidRPr="00C33E5C">
        <w:t xml:space="preserve">Ibid, pg. 83. </w:t>
      </w:r>
    </w:p>
  </w:footnote>
  <w:footnote w:id="28">
    <w:p w14:paraId="3EE30511" w14:textId="53795E3D" w:rsidR="007B124F" w:rsidRDefault="007B124F" w:rsidP="007B124F">
      <w:pPr>
        <w:pStyle w:val="FootnoteText"/>
      </w:pPr>
      <w:r>
        <w:rPr>
          <w:rStyle w:val="FootnoteReference"/>
        </w:rPr>
        <w:footnoteRef/>
      </w:r>
      <w:r>
        <w:t xml:space="preserve"> </w:t>
      </w:r>
      <w:r w:rsidR="00C70C5A">
        <w:t xml:space="preserve">Ibid, pg. 81. </w:t>
      </w:r>
    </w:p>
  </w:footnote>
  <w:footnote w:id="29">
    <w:p w14:paraId="6D01D4FE" w14:textId="732AEDF3" w:rsidR="004F2B7B" w:rsidRDefault="004F2B7B" w:rsidP="004F2B7B">
      <w:pPr>
        <w:pStyle w:val="FootnoteText"/>
      </w:pPr>
      <w:r>
        <w:rPr>
          <w:rStyle w:val="FootnoteReference"/>
        </w:rPr>
        <w:footnoteRef/>
      </w:r>
      <w:r>
        <w:t xml:space="preserve"> </w:t>
      </w:r>
      <w:r w:rsidR="00C01F79">
        <w:t xml:space="preserve">ECA 2025. </w:t>
      </w:r>
      <w:hyperlink r:id="rId12" w:history="1">
        <w:r w:rsidR="00C01F79" w:rsidRPr="00E3145E">
          <w:rPr>
            <w:rStyle w:val="Hyperlink"/>
            <w:i/>
            <w:iCs/>
          </w:rPr>
          <w:t>Submission to AER Draft Determination on Default Market Offer Prices 2025-</w:t>
        </w:r>
        <w:r w:rsidR="00C01F79" w:rsidRPr="00E3145E">
          <w:rPr>
            <w:rStyle w:val="Hyperlink"/>
          </w:rPr>
          <w:t>26</w:t>
        </w:r>
      </w:hyperlink>
      <w:r w:rsidR="00C01F79">
        <w:t xml:space="preserve">. </w:t>
      </w:r>
      <w:r w:rsidR="00E3145E">
        <w:t xml:space="preserve">April 2025, pg. </w:t>
      </w:r>
      <w:r>
        <w:t>7</w:t>
      </w:r>
      <w:r w:rsidR="00E3145E">
        <w:t xml:space="preserve">. </w:t>
      </w:r>
      <w:r>
        <w:t xml:space="preserve"> </w:t>
      </w:r>
    </w:p>
  </w:footnote>
  <w:footnote w:id="30">
    <w:p w14:paraId="01A39962" w14:textId="519DFC30" w:rsidR="00D22800" w:rsidRDefault="00D22800" w:rsidP="00D22800">
      <w:pPr>
        <w:pStyle w:val="FootnoteText"/>
      </w:pPr>
      <w:r>
        <w:rPr>
          <w:rStyle w:val="FootnoteReference"/>
        </w:rPr>
        <w:footnoteRef/>
      </w:r>
      <w:r>
        <w:t xml:space="preserve"> </w:t>
      </w:r>
      <w:r w:rsidRPr="008934EE">
        <w:rPr>
          <w:rFonts w:ascii="Calibri" w:eastAsia="Calibri" w:hAnsi="Calibri" w:cs="Calibri"/>
        </w:rPr>
        <w:t>Essential Services Commission</w:t>
      </w:r>
      <w:r w:rsidR="00CD092D">
        <w:rPr>
          <w:rFonts w:ascii="Calibri" w:eastAsia="Calibri" w:hAnsi="Calibri" w:cs="Calibri"/>
        </w:rPr>
        <w:t xml:space="preserve"> (ESC) </w:t>
      </w:r>
      <w:r w:rsidRPr="008934EE">
        <w:rPr>
          <w:rFonts w:ascii="Calibri" w:eastAsia="Calibri" w:hAnsi="Calibri" w:cs="Calibri"/>
        </w:rPr>
        <w:t>2025. </w:t>
      </w:r>
      <w:r w:rsidRPr="008934EE">
        <w:rPr>
          <w:rFonts w:ascii="Calibri" w:eastAsia="Calibri" w:hAnsi="Calibri" w:cs="Calibri"/>
          <w:i/>
        </w:rPr>
        <w:t xml:space="preserve">Victorian Default Offer Price Review 2025–26: </w:t>
      </w:r>
      <w:r>
        <w:rPr>
          <w:rFonts w:ascii="Calibri" w:eastAsia="Calibri" w:hAnsi="Calibri" w:cs="Calibri"/>
          <w:i/>
        </w:rPr>
        <w:t>Final</w:t>
      </w:r>
      <w:r w:rsidRPr="008934EE">
        <w:rPr>
          <w:rFonts w:ascii="Calibri" w:eastAsia="Calibri" w:hAnsi="Calibri" w:cs="Calibri"/>
          <w:i/>
        </w:rPr>
        <w:t xml:space="preserve"> </w:t>
      </w:r>
      <w:r w:rsidRPr="00CD092D">
        <w:rPr>
          <w:rFonts w:ascii="Calibri" w:eastAsia="Calibri" w:hAnsi="Calibri" w:cs="Calibri"/>
          <w:iCs/>
        </w:rPr>
        <w:t>Decision</w:t>
      </w:r>
      <w:r w:rsidR="00CD092D">
        <w:rPr>
          <w:rFonts w:ascii="Calibri" w:eastAsia="Calibri" w:hAnsi="Calibri" w:cs="Calibri"/>
          <w:iCs/>
        </w:rPr>
        <w:t xml:space="preserve">. May 2025, </w:t>
      </w:r>
      <w:r w:rsidRPr="00CD092D">
        <w:rPr>
          <w:rFonts w:ascii="Calibri" w:eastAsia="Calibri" w:hAnsi="Calibri" w:cs="Calibri"/>
          <w:iCs/>
        </w:rPr>
        <w:t>pg</w:t>
      </w:r>
      <w:r w:rsidR="00CD092D">
        <w:rPr>
          <w:rFonts w:ascii="Calibri" w:eastAsia="Calibri" w:hAnsi="Calibri" w:cs="Calibri"/>
          <w:iCs/>
        </w:rPr>
        <w:t>.</w:t>
      </w:r>
      <w:r>
        <w:rPr>
          <w:rFonts w:ascii="Calibri" w:eastAsia="Calibri" w:hAnsi="Calibri" w:cs="Calibri"/>
          <w:i/>
        </w:rPr>
        <w:t xml:space="preserve"> </w:t>
      </w:r>
      <w:r w:rsidRPr="00CD092D">
        <w:rPr>
          <w:rFonts w:ascii="Calibri" w:eastAsia="Calibri" w:hAnsi="Calibri" w:cs="Calibri"/>
          <w:iCs/>
        </w:rPr>
        <w:t>76</w:t>
      </w:r>
      <w:r w:rsidR="00CD092D">
        <w:rPr>
          <w:rFonts w:ascii="Calibri" w:eastAsia="Calibri" w:hAnsi="Calibri" w:cs="Calibri"/>
          <w:iCs/>
        </w:rPr>
        <w:t xml:space="preserve">. </w:t>
      </w:r>
    </w:p>
  </w:footnote>
  <w:footnote w:id="31">
    <w:p w14:paraId="7C3FF155" w14:textId="600B14E9" w:rsidR="00D22800" w:rsidRDefault="00D22800" w:rsidP="00D22800">
      <w:pPr>
        <w:pStyle w:val="FootnoteText"/>
      </w:pPr>
      <w:r>
        <w:rPr>
          <w:rStyle w:val="FootnoteReference"/>
        </w:rPr>
        <w:footnoteRef/>
      </w:r>
      <w:r>
        <w:t xml:space="preserve"> </w:t>
      </w:r>
      <w:r w:rsidR="002C5B9B">
        <w:t>Essential Services Commission (</w:t>
      </w:r>
      <w:r>
        <w:t>ESC</w:t>
      </w:r>
      <w:r w:rsidR="002C5B9B">
        <w:t>)</w:t>
      </w:r>
      <w:r>
        <w:t xml:space="preserve"> 2019</w:t>
      </w:r>
      <w:r w:rsidR="002C5B9B">
        <w:t>.</w:t>
      </w:r>
      <w:r>
        <w:t xml:space="preserve"> </w:t>
      </w:r>
      <w:hyperlink r:id="rId13" w:history="1">
        <w:r w:rsidRPr="002C5B9B">
          <w:rPr>
            <w:rStyle w:val="Hyperlink"/>
            <w:i/>
            <w:iCs/>
          </w:rPr>
          <w:t>Victorian Default Offer to apply from 1 July 2019: Advice to Victorian Government</w:t>
        </w:r>
      </w:hyperlink>
      <w:r>
        <w:t>, 3 May</w:t>
      </w:r>
      <w:r w:rsidR="00EB62C8">
        <w:t>, pg. 8.</w:t>
      </w:r>
    </w:p>
  </w:footnote>
  <w:footnote w:id="32">
    <w:p w14:paraId="3C1A3494" w14:textId="7257A779" w:rsidR="00D22800" w:rsidRDefault="00D22800" w:rsidP="00D22800">
      <w:pPr>
        <w:pStyle w:val="FootnoteText"/>
      </w:pPr>
      <w:r>
        <w:rPr>
          <w:rStyle w:val="FootnoteReference"/>
        </w:rPr>
        <w:footnoteRef/>
      </w:r>
      <w:r>
        <w:t xml:space="preserve"> </w:t>
      </w:r>
      <w:r w:rsidR="00EB62C8">
        <w:t xml:space="preserve">Ibid. </w:t>
      </w:r>
    </w:p>
  </w:footnote>
  <w:footnote w:id="33">
    <w:p w14:paraId="545FE9F5" w14:textId="1095B318" w:rsidR="00D22800" w:rsidRPr="00AA2393" w:rsidRDefault="00D22800" w:rsidP="00D22800">
      <w:pPr>
        <w:pStyle w:val="FootnoteText"/>
      </w:pPr>
      <w:r>
        <w:rPr>
          <w:rStyle w:val="FootnoteReference"/>
        </w:rPr>
        <w:footnoteRef/>
      </w:r>
      <w:r>
        <w:t xml:space="preserve"> </w:t>
      </w:r>
      <w:r w:rsidR="00182209">
        <w:t xml:space="preserve">Department of Environment, Land, Water and Planning 2022. </w:t>
      </w:r>
      <w:hyperlink r:id="rId14" w:history="1">
        <w:r w:rsidR="00182209" w:rsidRPr="00BB6288">
          <w:rPr>
            <w:rStyle w:val="Hyperlink"/>
            <w:i/>
            <w:iCs/>
          </w:rPr>
          <w:t xml:space="preserve">Review of the Victorian Default Offer Order </w:t>
        </w:r>
        <w:proofErr w:type="gramStart"/>
        <w:r w:rsidR="00182209" w:rsidRPr="00BB6288">
          <w:rPr>
            <w:rStyle w:val="Hyperlink"/>
            <w:i/>
            <w:iCs/>
          </w:rPr>
          <w:t>In</w:t>
        </w:r>
        <w:proofErr w:type="gramEnd"/>
        <w:r w:rsidR="00182209" w:rsidRPr="00BB6288">
          <w:rPr>
            <w:rStyle w:val="Hyperlink"/>
            <w:i/>
            <w:iCs/>
          </w:rPr>
          <w:t xml:space="preserve"> Council – Final Report</w:t>
        </w:r>
      </w:hyperlink>
      <w:r w:rsidR="00AA2393">
        <w:t>. October 2022, pg. 13.</w:t>
      </w:r>
    </w:p>
  </w:footnote>
  <w:footnote w:id="34">
    <w:p w14:paraId="70ED4024" w14:textId="5CFA529A" w:rsidR="00322083" w:rsidRDefault="00322083">
      <w:pPr>
        <w:pStyle w:val="FootnoteText"/>
      </w:pPr>
      <w:r w:rsidRPr="00E07FDD">
        <w:rPr>
          <w:rStyle w:val="FootnoteReference"/>
          <w:rFonts w:ascii="Calibri" w:eastAsia="Calibri" w:hAnsi="Calibri" w:cs="Calibri"/>
        </w:rPr>
        <w:footnoteRef/>
      </w:r>
      <w:r w:rsidRPr="00E07FDD">
        <w:rPr>
          <w:rFonts w:ascii="Calibri" w:eastAsia="Calibri" w:hAnsi="Calibri" w:cs="Calibri"/>
        </w:rPr>
        <w:t xml:space="preserve"> Australian Energy Market Commission</w:t>
      </w:r>
      <w:r w:rsidR="00CB1708" w:rsidRPr="00E07FDD">
        <w:rPr>
          <w:rFonts w:ascii="Calibri" w:eastAsia="Calibri" w:hAnsi="Calibri" w:cs="Calibri"/>
        </w:rPr>
        <w:t xml:space="preserve"> 2018, </w:t>
      </w:r>
      <w:hyperlink r:id="rId15" w:history="1">
        <w:r w:rsidR="00CB1708" w:rsidRPr="00E07FDD">
          <w:rPr>
            <w:rStyle w:val="Hyperlink"/>
            <w:rFonts w:ascii="Calibri" w:eastAsia="Calibri" w:hAnsi="Calibri" w:cs="Calibri"/>
          </w:rPr>
          <w:t>Advice to COAG Energy Council: Customer and Competition Impacts of a Default Offer</w:t>
        </w:r>
      </w:hyperlink>
      <w:r w:rsidR="002F232E" w:rsidRPr="00E07FDD">
        <w:rPr>
          <w:rFonts w:ascii="Calibri" w:eastAsia="Calibri" w:hAnsi="Calibri" w:cs="Calibri"/>
        </w:rPr>
        <w:t>.</w:t>
      </w:r>
      <w:r w:rsidR="006B3EBC">
        <w:rPr>
          <w:rFonts w:ascii="Calibri" w:eastAsia="Calibri" w:hAnsi="Calibri" w:cs="Calibri"/>
        </w:rPr>
        <w:t xml:space="preserve"> December 2018, pg. 28</w:t>
      </w:r>
      <w:r w:rsidR="00BB6288">
        <w:rPr>
          <w:rFonts w:ascii="Calibri" w:eastAsia="Calibri" w:hAnsi="Calibri" w:cs="Calibri"/>
        </w:rPr>
        <w:t>, 43.</w:t>
      </w:r>
    </w:p>
  </w:footnote>
  <w:footnote w:id="35">
    <w:p w14:paraId="707915A8" w14:textId="10D4F408" w:rsidR="002311AA" w:rsidRDefault="002311AA">
      <w:pPr>
        <w:pStyle w:val="FootnoteText"/>
      </w:pPr>
      <w:r w:rsidRPr="00E07FDD">
        <w:rPr>
          <w:rStyle w:val="FootnoteReference"/>
          <w:rFonts w:ascii="Calibri" w:eastAsia="Calibri" w:hAnsi="Calibri" w:cs="Calibri"/>
        </w:rPr>
        <w:footnoteRef/>
      </w:r>
      <w:r w:rsidR="1818410E" w:rsidRPr="00E07FDD">
        <w:rPr>
          <w:rFonts w:ascii="Calibri" w:eastAsia="Calibri" w:hAnsi="Calibri" w:cs="Calibri"/>
        </w:rPr>
        <w:t xml:space="preserve"> </w:t>
      </w:r>
      <w:r w:rsidR="00F256E0">
        <w:t xml:space="preserve">ACCC 2023. </w:t>
      </w:r>
      <w:r w:rsidR="00F256E0">
        <w:rPr>
          <w:i/>
          <w:iCs/>
        </w:rPr>
        <w:t xml:space="preserve">Inquiry into the National Electricity Market – December 2023 </w:t>
      </w:r>
      <w:r w:rsidR="00F256E0" w:rsidRPr="0008329A">
        <w:t>Report</w:t>
      </w:r>
      <w:r w:rsidR="00F256E0">
        <w:t xml:space="preserve">. </w:t>
      </w:r>
      <w:r w:rsidR="00F256E0" w:rsidRPr="0008329A">
        <w:t>December</w:t>
      </w:r>
      <w:r w:rsidR="00F256E0">
        <w:t xml:space="preserve"> 2023, pg.</w:t>
      </w:r>
      <w:r w:rsidR="1818410E" w:rsidRPr="00E07FDD">
        <w:rPr>
          <w:rFonts w:ascii="Calibri" w:eastAsia="Calibri" w:hAnsi="Calibri" w:cs="Calibri"/>
        </w:rPr>
        <w:t>51.</w:t>
      </w:r>
    </w:p>
  </w:footnote>
  <w:footnote w:id="36">
    <w:p w14:paraId="151E8E90" w14:textId="3BAC70D1" w:rsidR="003A60EE" w:rsidRPr="007A4FFA" w:rsidRDefault="003A60EE" w:rsidP="003A60EE">
      <w:pPr>
        <w:pStyle w:val="FootnoteText"/>
        <w:rPr>
          <w:lang w:val="en-US"/>
        </w:rPr>
      </w:pPr>
      <w:r w:rsidRPr="00E07FDD">
        <w:rPr>
          <w:rStyle w:val="FootnoteReference"/>
          <w:rFonts w:ascii="Calibri" w:eastAsia="Calibri" w:hAnsi="Calibri" w:cs="Calibri"/>
        </w:rPr>
        <w:footnoteRef/>
      </w:r>
      <w:r w:rsidRPr="00E07FDD">
        <w:rPr>
          <w:rFonts w:ascii="Calibri" w:eastAsia="Calibri" w:hAnsi="Calibri" w:cs="Calibri"/>
        </w:rPr>
        <w:t xml:space="preserve"> </w:t>
      </w:r>
      <w:r w:rsidR="00F50D24">
        <w:rPr>
          <w:rFonts w:ascii="Calibri" w:eastAsia="Calibri" w:hAnsi="Calibri" w:cs="Calibri"/>
        </w:rPr>
        <w:t xml:space="preserve">Ibid, pg. 71. </w:t>
      </w:r>
    </w:p>
  </w:footnote>
  <w:footnote w:id="37">
    <w:p w14:paraId="4FD8E396" w14:textId="0D7FD757" w:rsidR="00402BF4" w:rsidRDefault="00402BF4">
      <w:pPr>
        <w:pStyle w:val="FootnoteText"/>
      </w:pPr>
      <w:r w:rsidRPr="00E07FDD">
        <w:rPr>
          <w:rStyle w:val="FootnoteReference"/>
          <w:rFonts w:ascii="Calibri" w:eastAsia="Calibri" w:hAnsi="Calibri" w:cs="Calibri"/>
        </w:rPr>
        <w:footnoteRef/>
      </w:r>
      <w:r w:rsidRPr="00E07FDD">
        <w:rPr>
          <w:rFonts w:ascii="Calibri" w:eastAsia="Calibri" w:hAnsi="Calibri" w:cs="Calibri"/>
        </w:rPr>
        <w:t xml:space="preserve"> </w:t>
      </w:r>
      <w:r w:rsidR="00F50D24">
        <w:t xml:space="preserve">AER 2024. </w:t>
      </w:r>
      <w:hyperlink r:id="rId16" w:history="1">
        <w:r w:rsidR="00F50D24" w:rsidRPr="0008329A">
          <w:rPr>
            <w:rStyle w:val="Hyperlink"/>
            <w:i/>
            <w:iCs/>
          </w:rPr>
          <w:t>Annual Retail Market Report 2023–24 - 30 November 2024</w:t>
        </w:r>
      </w:hyperlink>
      <w:r w:rsidR="00F50D24">
        <w:t xml:space="preserve">. November 2024, pg. </w:t>
      </w:r>
      <w:r w:rsidR="008257EF" w:rsidRPr="00E07FDD">
        <w:rPr>
          <w:rFonts w:ascii="Calibri" w:eastAsia="Calibri" w:hAnsi="Calibri" w:cs="Calibri"/>
        </w:rPr>
        <w:t>33.</w:t>
      </w:r>
    </w:p>
  </w:footnote>
  <w:footnote w:id="38">
    <w:p w14:paraId="0AF11AFF" w14:textId="0F60BAAA" w:rsidR="00C7587B" w:rsidRDefault="00C7587B" w:rsidP="00C7587B">
      <w:pPr>
        <w:pStyle w:val="FootnoteText"/>
      </w:pPr>
      <w:r>
        <w:rPr>
          <w:rStyle w:val="FootnoteReference"/>
        </w:rPr>
        <w:footnoteRef/>
      </w:r>
      <w:r>
        <w:t xml:space="preserve"> </w:t>
      </w:r>
      <w:r w:rsidR="005B4811">
        <w:t>Adams, J</w:t>
      </w:r>
      <w:r w:rsidR="00631F74">
        <w:t xml:space="preserve"> 2023. </w:t>
      </w:r>
      <w:hyperlink r:id="rId17" w:history="1">
        <w:r w:rsidR="00631F74" w:rsidRPr="00C42D14">
          <w:rPr>
            <w:rStyle w:val="Hyperlink"/>
            <w:i/>
            <w:iCs/>
          </w:rPr>
          <w:t>Price Dispersion after a Price Cap: Evidence from the Australian Electricity Retail Market</w:t>
        </w:r>
      </w:hyperlink>
      <w:r w:rsidR="00631F74">
        <w:t xml:space="preserve">. </w:t>
      </w:r>
      <w:r w:rsidR="00D914D9">
        <w:t xml:space="preserve">October 2023, pg. 1. </w:t>
      </w:r>
    </w:p>
  </w:footnote>
  <w:footnote w:id="39">
    <w:p w14:paraId="035040F9" w14:textId="77777777" w:rsidR="00AE3729" w:rsidRDefault="00AE3729" w:rsidP="00AE3729">
      <w:pPr>
        <w:pStyle w:val="FootnoteText"/>
      </w:pPr>
      <w:r w:rsidRPr="00E07FDD">
        <w:rPr>
          <w:rStyle w:val="FootnoteReference"/>
          <w:rFonts w:ascii="Calibri" w:eastAsia="Calibri" w:hAnsi="Calibri" w:cs="Calibri"/>
        </w:rPr>
        <w:footnoteRef/>
      </w:r>
      <w:r w:rsidRPr="00E07FDD">
        <w:rPr>
          <w:rFonts w:ascii="Calibri" w:eastAsia="Calibri" w:hAnsi="Calibri" w:cs="Calibri"/>
        </w:rPr>
        <w:t xml:space="preserve">Department of Climate Change, Energy, the Environment and Water. (2022). Post-Implementation Review of the Competition and Consumer (Industry Code – Electricity Retail) Regulations 2019: Review Outcomes. </w:t>
      </w:r>
      <w:hyperlink r:id="rId18" w:history="1">
        <w:r w:rsidRPr="00E07FDD">
          <w:rPr>
            <w:rStyle w:val="Hyperlink"/>
            <w:rFonts w:ascii="Calibri" w:eastAsia="Calibri" w:hAnsi="Calibri" w:cs="Calibri"/>
          </w:rPr>
          <w:t>code-review-outcomes.pdf</w:t>
        </w:r>
      </w:hyperlink>
    </w:p>
  </w:footnote>
  <w:footnote w:id="40">
    <w:p w14:paraId="1F183C98" w14:textId="77777777" w:rsidR="00045F79" w:rsidRDefault="00045F79" w:rsidP="00045F79">
      <w:pPr>
        <w:pStyle w:val="FootnoteText"/>
      </w:pPr>
      <w:r>
        <w:rPr>
          <w:rStyle w:val="FootnoteReference"/>
        </w:rPr>
        <w:footnoteRef/>
      </w:r>
      <w:r>
        <w:t xml:space="preserve"> Standing offers have a range of consumer protections set under the National Energy Retail Law that are not available to customers on a market offer.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D6B9" w14:textId="41A81940" w:rsidR="00940C75" w:rsidRDefault="00845F64">
    <w:pPr>
      <w:pStyle w:val="Header"/>
    </w:pPr>
    <w:r>
      <w:rPr>
        <w:noProof/>
      </w:rPr>
      <mc:AlternateContent>
        <mc:Choice Requires="wps">
          <w:drawing>
            <wp:anchor distT="0" distB="0" distL="0" distR="0" simplePos="0" relativeHeight="251658241" behindDoc="0" locked="0" layoutInCell="1" allowOverlap="1" wp14:anchorId="68DD77ED" wp14:editId="6729D041">
              <wp:simplePos x="635" y="635"/>
              <wp:positionH relativeFrom="page">
                <wp:align>center</wp:align>
              </wp:positionH>
              <wp:positionV relativeFrom="page">
                <wp:align>top</wp:align>
              </wp:positionV>
              <wp:extent cx="551815" cy="404495"/>
              <wp:effectExtent l="0" t="0" r="635" b="14605"/>
              <wp:wrapNone/>
              <wp:docPr id="19284934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BEEA299" w14:textId="1CE09BBB"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D77ED"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BEEA299" w14:textId="1CE09BBB"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07771" w14:textId="7D28C668" w:rsidR="00B861B4" w:rsidRDefault="00845F64" w:rsidP="006712B7">
    <w:pPr>
      <w:pStyle w:val="Header"/>
    </w:pPr>
    <w:r>
      <w:rPr>
        <w:noProof/>
      </w:rPr>
      <mc:AlternateContent>
        <mc:Choice Requires="wps">
          <w:drawing>
            <wp:anchor distT="0" distB="0" distL="0" distR="0" simplePos="0" relativeHeight="251658242" behindDoc="0" locked="0" layoutInCell="1" allowOverlap="1" wp14:anchorId="0A1D5270" wp14:editId="02F65275">
              <wp:simplePos x="904875" y="361950"/>
              <wp:positionH relativeFrom="page">
                <wp:align>center</wp:align>
              </wp:positionH>
              <wp:positionV relativeFrom="page">
                <wp:align>top</wp:align>
              </wp:positionV>
              <wp:extent cx="551815" cy="404495"/>
              <wp:effectExtent l="0" t="0" r="635" b="14605"/>
              <wp:wrapNone/>
              <wp:docPr id="10232094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9842DA6" w14:textId="7ED7F625"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D5270"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9842DA6" w14:textId="7ED7F625"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v:textbox>
              <w10:wrap anchorx="page" anchory="page"/>
            </v:shape>
          </w:pict>
        </mc:Fallback>
      </mc:AlternateContent>
    </w:r>
    <w:r w:rsidR="0035683E" w:rsidRPr="0035683E">
      <w:t xml:space="preserve">2025 </w:t>
    </w:r>
    <w:r w:rsidR="009625D2">
      <w:t>Reforms</w:t>
    </w:r>
    <w:r w:rsidR="0014308A">
      <w:t xml:space="preserve"> </w:t>
    </w:r>
    <w:r w:rsidR="009625D2">
      <w:t xml:space="preserve">to </w:t>
    </w:r>
    <w:r w:rsidR="00F44987">
      <w:t>the</w:t>
    </w:r>
    <w:r w:rsidR="0014308A">
      <w:t xml:space="preserve"> Default Market Offer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C3F4" w14:textId="3522884D" w:rsidR="00B861B4" w:rsidRDefault="00845F64">
    <w:pPr>
      <w:pStyle w:val="Header"/>
      <w:jc w:val="left"/>
    </w:pPr>
    <w:r>
      <w:rPr>
        <w:noProof/>
        <w:lang w:eastAsia="en-AU"/>
      </w:rPr>
      <mc:AlternateContent>
        <mc:Choice Requires="wps">
          <w:drawing>
            <wp:anchor distT="0" distB="0" distL="0" distR="0" simplePos="0" relativeHeight="251658240" behindDoc="0" locked="0" layoutInCell="1" allowOverlap="1" wp14:anchorId="08D3D2B5" wp14:editId="7DC31EBC">
              <wp:simplePos x="904875" y="361950"/>
              <wp:positionH relativeFrom="page">
                <wp:align>center</wp:align>
              </wp:positionH>
              <wp:positionV relativeFrom="page">
                <wp:align>top</wp:align>
              </wp:positionV>
              <wp:extent cx="551815" cy="404495"/>
              <wp:effectExtent l="0" t="0" r="635" b="14605"/>
              <wp:wrapNone/>
              <wp:docPr id="9993686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3163120" w14:textId="65678951"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D3D2B5"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3163120" w14:textId="65678951" w:rsidR="00845F64" w:rsidRPr="00845F64" w:rsidRDefault="00845F64" w:rsidP="00845F64">
                    <w:pPr>
                      <w:spacing w:after="0"/>
                      <w:rPr>
                        <w:rFonts w:ascii="Calibri" w:eastAsia="Calibri" w:hAnsi="Calibri" w:cs="Calibri"/>
                        <w:noProof/>
                        <w:color w:val="FF0000"/>
                        <w:szCs w:val="24"/>
                      </w:rPr>
                    </w:pPr>
                    <w:r w:rsidRPr="00845F64">
                      <w:rPr>
                        <w:rFonts w:ascii="Calibri" w:eastAsia="Calibri" w:hAnsi="Calibri" w:cs="Calibri"/>
                        <w:noProof/>
                        <w:color w:val="FF0000"/>
                        <w:szCs w:val="24"/>
                      </w:rPr>
                      <w:t>OFFICIAL</w:t>
                    </w:r>
                  </w:p>
                </w:txbxContent>
              </v:textbox>
              <w10:wrap anchorx="page" anchory="page"/>
            </v:shape>
          </w:pict>
        </mc:Fallback>
      </mc:AlternateContent>
    </w:r>
    <w:r w:rsidR="00D60B6F">
      <w:rPr>
        <w:noProof/>
        <w:lang w:eastAsia="en-AU"/>
      </w:rPr>
      <w:drawing>
        <wp:inline distT="0" distB="0" distL="0" distR="0" wp14:anchorId="544DF6A1" wp14:editId="4DFB52EF">
          <wp:extent cx="3224791" cy="676657"/>
          <wp:effectExtent l="0" t="0" r="0" b="9525"/>
          <wp:docPr id="9" name="Picture 9"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26FD"/>
    <w:multiLevelType w:val="hybridMultilevel"/>
    <w:tmpl w:val="A204E0D4"/>
    <w:lvl w:ilvl="0" w:tplc="FFFFFFFF">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3A02669"/>
    <w:multiLevelType w:val="hybridMultilevel"/>
    <w:tmpl w:val="65D643E6"/>
    <w:lvl w:ilvl="0" w:tplc="6BE6C7C4">
      <w:start w:val="48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1DB85FC9"/>
    <w:multiLevelType w:val="hybridMultilevel"/>
    <w:tmpl w:val="A204E0D4"/>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07D1E0D"/>
    <w:multiLevelType w:val="hybridMultilevel"/>
    <w:tmpl w:val="1CF2E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A328D5"/>
    <w:multiLevelType w:val="multilevel"/>
    <w:tmpl w:val="BE78A4F8"/>
    <w:numStyleLink w:val="Numberlist"/>
  </w:abstractNum>
  <w:abstractNum w:abstractNumId="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8725AB"/>
    <w:multiLevelType w:val="multilevel"/>
    <w:tmpl w:val="6608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A0C7C"/>
    <w:multiLevelType w:val="hybridMultilevel"/>
    <w:tmpl w:val="2EA2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E650E1"/>
    <w:multiLevelType w:val="hybridMultilevel"/>
    <w:tmpl w:val="A204E0D4"/>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3782EE1"/>
    <w:multiLevelType w:val="hybridMultilevel"/>
    <w:tmpl w:val="659A5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713BA5"/>
    <w:multiLevelType w:val="hybridMultilevel"/>
    <w:tmpl w:val="8158B266"/>
    <w:lvl w:ilvl="0" w:tplc="6532CDE0">
      <w:start w:val="2025"/>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F97AFB"/>
    <w:multiLevelType w:val="multilevel"/>
    <w:tmpl w:val="6608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A15FE"/>
    <w:multiLevelType w:val="multilevel"/>
    <w:tmpl w:val="8CF4E40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F346B8A"/>
    <w:multiLevelType w:val="hybridMultilevel"/>
    <w:tmpl w:val="9384A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412C45"/>
    <w:multiLevelType w:val="hybridMultilevel"/>
    <w:tmpl w:val="A5DED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AB66CF9"/>
    <w:multiLevelType w:val="hybridMultilevel"/>
    <w:tmpl w:val="37A401CA"/>
    <w:lvl w:ilvl="0" w:tplc="21EE2FE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8D244E"/>
    <w:multiLevelType w:val="hybridMultilevel"/>
    <w:tmpl w:val="1C2E8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9E4629"/>
    <w:multiLevelType w:val="hybridMultilevel"/>
    <w:tmpl w:val="A420F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004733"/>
    <w:multiLevelType w:val="hybridMultilevel"/>
    <w:tmpl w:val="86A4DC0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5D6C43ED"/>
    <w:multiLevelType w:val="multilevel"/>
    <w:tmpl w:val="2960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3F3D23"/>
    <w:multiLevelType w:val="multilevel"/>
    <w:tmpl w:val="36527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64EDBB"/>
    <w:multiLevelType w:val="hybridMultilevel"/>
    <w:tmpl w:val="FFFFFFFF"/>
    <w:lvl w:ilvl="0" w:tplc="5C7C8D08">
      <w:start w:val="1"/>
      <w:numFmt w:val="bullet"/>
      <w:lvlText w:val="·"/>
      <w:lvlJc w:val="left"/>
      <w:pPr>
        <w:ind w:left="720" w:hanging="360"/>
      </w:pPr>
      <w:rPr>
        <w:rFonts w:ascii="Symbol" w:hAnsi="Symbol" w:hint="default"/>
      </w:rPr>
    </w:lvl>
    <w:lvl w:ilvl="1" w:tplc="EA601720">
      <w:start w:val="1"/>
      <w:numFmt w:val="bullet"/>
      <w:lvlText w:val="o"/>
      <w:lvlJc w:val="left"/>
      <w:pPr>
        <w:ind w:left="1440" w:hanging="360"/>
      </w:pPr>
      <w:rPr>
        <w:rFonts w:ascii="Courier New" w:hAnsi="Courier New" w:hint="default"/>
      </w:rPr>
    </w:lvl>
    <w:lvl w:ilvl="2" w:tplc="AD4E2004">
      <w:start w:val="1"/>
      <w:numFmt w:val="bullet"/>
      <w:lvlText w:val=""/>
      <w:lvlJc w:val="left"/>
      <w:pPr>
        <w:ind w:left="2160" w:hanging="360"/>
      </w:pPr>
      <w:rPr>
        <w:rFonts w:ascii="Wingdings" w:hAnsi="Wingdings" w:hint="default"/>
      </w:rPr>
    </w:lvl>
    <w:lvl w:ilvl="3" w:tplc="849E11CC">
      <w:start w:val="1"/>
      <w:numFmt w:val="bullet"/>
      <w:lvlText w:val=""/>
      <w:lvlJc w:val="left"/>
      <w:pPr>
        <w:ind w:left="2880" w:hanging="360"/>
      </w:pPr>
      <w:rPr>
        <w:rFonts w:ascii="Symbol" w:hAnsi="Symbol" w:hint="default"/>
      </w:rPr>
    </w:lvl>
    <w:lvl w:ilvl="4" w:tplc="1CF4168C">
      <w:start w:val="1"/>
      <w:numFmt w:val="bullet"/>
      <w:lvlText w:val="o"/>
      <w:lvlJc w:val="left"/>
      <w:pPr>
        <w:ind w:left="3600" w:hanging="360"/>
      </w:pPr>
      <w:rPr>
        <w:rFonts w:ascii="Courier New" w:hAnsi="Courier New" w:hint="default"/>
      </w:rPr>
    </w:lvl>
    <w:lvl w:ilvl="5" w:tplc="757A3270">
      <w:start w:val="1"/>
      <w:numFmt w:val="bullet"/>
      <w:lvlText w:val=""/>
      <w:lvlJc w:val="left"/>
      <w:pPr>
        <w:ind w:left="4320" w:hanging="360"/>
      </w:pPr>
      <w:rPr>
        <w:rFonts w:ascii="Wingdings" w:hAnsi="Wingdings" w:hint="default"/>
      </w:rPr>
    </w:lvl>
    <w:lvl w:ilvl="6" w:tplc="593CA77A">
      <w:start w:val="1"/>
      <w:numFmt w:val="bullet"/>
      <w:lvlText w:val=""/>
      <w:lvlJc w:val="left"/>
      <w:pPr>
        <w:ind w:left="5040" w:hanging="360"/>
      </w:pPr>
      <w:rPr>
        <w:rFonts w:ascii="Symbol" w:hAnsi="Symbol" w:hint="default"/>
      </w:rPr>
    </w:lvl>
    <w:lvl w:ilvl="7" w:tplc="651A20E8">
      <w:start w:val="1"/>
      <w:numFmt w:val="bullet"/>
      <w:lvlText w:val="o"/>
      <w:lvlJc w:val="left"/>
      <w:pPr>
        <w:ind w:left="5760" w:hanging="360"/>
      </w:pPr>
      <w:rPr>
        <w:rFonts w:ascii="Courier New" w:hAnsi="Courier New" w:hint="default"/>
      </w:rPr>
    </w:lvl>
    <w:lvl w:ilvl="8" w:tplc="B43A8D12">
      <w:start w:val="1"/>
      <w:numFmt w:val="bullet"/>
      <w:lvlText w:val=""/>
      <w:lvlJc w:val="left"/>
      <w:pPr>
        <w:ind w:left="6480" w:hanging="360"/>
      </w:pPr>
      <w:rPr>
        <w:rFonts w:ascii="Wingdings" w:hAnsi="Wingdings" w:hint="default"/>
      </w:rPr>
    </w:lvl>
  </w:abstractNum>
  <w:abstractNum w:abstractNumId="29" w15:restartNumberingAfterBreak="0">
    <w:nsid w:val="70AB28B3"/>
    <w:multiLevelType w:val="hybridMultilevel"/>
    <w:tmpl w:val="2D3E2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336F5C"/>
    <w:multiLevelType w:val="hybridMultilevel"/>
    <w:tmpl w:val="F4086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4516596">
    <w:abstractNumId w:val="17"/>
  </w:num>
  <w:num w:numId="2" w16cid:durableId="311757663">
    <w:abstractNumId w:val="3"/>
  </w:num>
  <w:num w:numId="3" w16cid:durableId="923993530">
    <w:abstractNumId w:val="23"/>
  </w:num>
  <w:num w:numId="4" w16cid:durableId="1582594599">
    <w:abstractNumId w:val="25"/>
  </w:num>
  <w:num w:numId="5" w16cid:durableId="1501509714">
    <w:abstractNumId w:val="7"/>
  </w:num>
  <w:num w:numId="6" w16cid:durableId="1251498854">
    <w:abstractNumId w:val="22"/>
  </w:num>
  <w:num w:numId="7" w16cid:durableId="230704161">
    <w:abstractNumId w:val="6"/>
  </w:num>
  <w:num w:numId="8" w16cid:durableId="1288270850">
    <w:abstractNumId w:val="19"/>
  </w:num>
  <w:num w:numId="9" w16cid:durableId="1684237379">
    <w:abstractNumId w:val="1"/>
  </w:num>
  <w:num w:numId="10" w16cid:durableId="986977727">
    <w:abstractNumId w:val="30"/>
  </w:num>
  <w:num w:numId="11" w16cid:durableId="968319518">
    <w:abstractNumId w:val="29"/>
  </w:num>
  <w:num w:numId="12" w16cid:durableId="870799097">
    <w:abstractNumId w:val="20"/>
  </w:num>
  <w:num w:numId="13" w16cid:durableId="746924882">
    <w:abstractNumId w:val="12"/>
  </w:num>
  <w:num w:numId="14" w16cid:durableId="375203458">
    <w:abstractNumId w:val="28"/>
  </w:num>
  <w:num w:numId="15" w16cid:durableId="2088333580">
    <w:abstractNumId w:val="11"/>
  </w:num>
  <w:num w:numId="16" w16cid:durableId="1004288542">
    <w:abstractNumId w:val="16"/>
  </w:num>
  <w:num w:numId="17" w16cid:durableId="1116221543">
    <w:abstractNumId w:val="14"/>
  </w:num>
  <w:num w:numId="18" w16cid:durableId="1091270617">
    <w:abstractNumId w:val="5"/>
  </w:num>
  <w:num w:numId="19" w16cid:durableId="1094666708">
    <w:abstractNumId w:val="27"/>
  </w:num>
  <w:num w:numId="20" w16cid:durableId="191042669">
    <w:abstractNumId w:val="24"/>
  </w:num>
  <w:num w:numId="21" w16cid:durableId="1327246724">
    <w:abstractNumId w:val="26"/>
  </w:num>
  <w:num w:numId="22" w16cid:durableId="110436634">
    <w:abstractNumId w:val="9"/>
  </w:num>
  <w:num w:numId="23" w16cid:durableId="474298698">
    <w:abstractNumId w:val="18"/>
  </w:num>
  <w:num w:numId="24" w16cid:durableId="334117698">
    <w:abstractNumId w:val="0"/>
  </w:num>
  <w:num w:numId="25" w16cid:durableId="834154309">
    <w:abstractNumId w:val="2"/>
  </w:num>
  <w:num w:numId="26" w16cid:durableId="1860969606">
    <w:abstractNumId w:val="4"/>
  </w:num>
  <w:num w:numId="27" w16cid:durableId="229268509">
    <w:abstractNumId w:val="10"/>
  </w:num>
  <w:num w:numId="28" w16cid:durableId="12611275">
    <w:abstractNumId w:val="13"/>
  </w:num>
  <w:num w:numId="29" w16cid:durableId="1357930368">
    <w:abstractNumId w:val="8"/>
  </w:num>
  <w:num w:numId="30" w16cid:durableId="1824471582">
    <w:abstractNumId w:val="15"/>
  </w:num>
  <w:num w:numId="31" w16cid:durableId="192324869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CE"/>
    <w:rsid w:val="000004FC"/>
    <w:rsid w:val="000007D5"/>
    <w:rsid w:val="00000827"/>
    <w:rsid w:val="00000A6D"/>
    <w:rsid w:val="00000B4C"/>
    <w:rsid w:val="000010AD"/>
    <w:rsid w:val="000012E4"/>
    <w:rsid w:val="000014BC"/>
    <w:rsid w:val="000017BC"/>
    <w:rsid w:val="00001A47"/>
    <w:rsid w:val="00001F15"/>
    <w:rsid w:val="000022A4"/>
    <w:rsid w:val="000031C4"/>
    <w:rsid w:val="00003A2E"/>
    <w:rsid w:val="00003A36"/>
    <w:rsid w:val="00003A8F"/>
    <w:rsid w:val="00003C9F"/>
    <w:rsid w:val="00004073"/>
    <w:rsid w:val="00004A8B"/>
    <w:rsid w:val="00004AA3"/>
    <w:rsid w:val="00004C07"/>
    <w:rsid w:val="00004E5C"/>
    <w:rsid w:val="00004FE9"/>
    <w:rsid w:val="00005402"/>
    <w:rsid w:val="000057B0"/>
    <w:rsid w:val="00005E31"/>
    <w:rsid w:val="00005E3C"/>
    <w:rsid w:val="00005F97"/>
    <w:rsid w:val="000060A0"/>
    <w:rsid w:val="000062A8"/>
    <w:rsid w:val="0000637A"/>
    <w:rsid w:val="0000652E"/>
    <w:rsid w:val="00006B62"/>
    <w:rsid w:val="00006B9E"/>
    <w:rsid w:val="0000723C"/>
    <w:rsid w:val="000072BB"/>
    <w:rsid w:val="00007360"/>
    <w:rsid w:val="0000756E"/>
    <w:rsid w:val="0000794B"/>
    <w:rsid w:val="00007C80"/>
    <w:rsid w:val="0001061F"/>
    <w:rsid w:val="00010779"/>
    <w:rsid w:val="00010885"/>
    <w:rsid w:val="00010890"/>
    <w:rsid w:val="00010C92"/>
    <w:rsid w:val="00010F29"/>
    <w:rsid w:val="00011234"/>
    <w:rsid w:val="0001153B"/>
    <w:rsid w:val="00011863"/>
    <w:rsid w:val="00011AC0"/>
    <w:rsid w:val="00011B67"/>
    <w:rsid w:val="00011C82"/>
    <w:rsid w:val="00012219"/>
    <w:rsid w:val="000127A6"/>
    <w:rsid w:val="00012D11"/>
    <w:rsid w:val="00013556"/>
    <w:rsid w:val="00013710"/>
    <w:rsid w:val="00013BA7"/>
    <w:rsid w:val="00013EBB"/>
    <w:rsid w:val="00013ECB"/>
    <w:rsid w:val="00014A24"/>
    <w:rsid w:val="00014D5B"/>
    <w:rsid w:val="000151E2"/>
    <w:rsid w:val="0001534F"/>
    <w:rsid w:val="00015372"/>
    <w:rsid w:val="00015382"/>
    <w:rsid w:val="0001542F"/>
    <w:rsid w:val="000156A0"/>
    <w:rsid w:val="000156CC"/>
    <w:rsid w:val="000156E8"/>
    <w:rsid w:val="00015753"/>
    <w:rsid w:val="00015972"/>
    <w:rsid w:val="00015F4D"/>
    <w:rsid w:val="00015FDF"/>
    <w:rsid w:val="0001606F"/>
    <w:rsid w:val="000166B5"/>
    <w:rsid w:val="00016A46"/>
    <w:rsid w:val="00016E97"/>
    <w:rsid w:val="00017189"/>
    <w:rsid w:val="00017668"/>
    <w:rsid w:val="00017E9B"/>
    <w:rsid w:val="00020636"/>
    <w:rsid w:val="00020AFA"/>
    <w:rsid w:val="00020E64"/>
    <w:rsid w:val="00021277"/>
    <w:rsid w:val="000215ED"/>
    <w:rsid w:val="0002160E"/>
    <w:rsid w:val="000217CE"/>
    <w:rsid w:val="00021972"/>
    <w:rsid w:val="00021AC7"/>
    <w:rsid w:val="00021B66"/>
    <w:rsid w:val="00021E69"/>
    <w:rsid w:val="00021EFC"/>
    <w:rsid w:val="00022201"/>
    <w:rsid w:val="000223DA"/>
    <w:rsid w:val="00022600"/>
    <w:rsid w:val="00022EE8"/>
    <w:rsid w:val="00023203"/>
    <w:rsid w:val="00023547"/>
    <w:rsid w:val="0002356A"/>
    <w:rsid w:val="000238AE"/>
    <w:rsid w:val="00023E3E"/>
    <w:rsid w:val="00023EE0"/>
    <w:rsid w:val="00024333"/>
    <w:rsid w:val="00024510"/>
    <w:rsid w:val="000246DC"/>
    <w:rsid w:val="000247C2"/>
    <w:rsid w:val="00024803"/>
    <w:rsid w:val="00024ABD"/>
    <w:rsid w:val="00024B93"/>
    <w:rsid w:val="00024C13"/>
    <w:rsid w:val="00024E87"/>
    <w:rsid w:val="00024E8B"/>
    <w:rsid w:val="0002502B"/>
    <w:rsid w:val="000251BA"/>
    <w:rsid w:val="0002546D"/>
    <w:rsid w:val="000255C6"/>
    <w:rsid w:val="0002591D"/>
    <w:rsid w:val="000259AE"/>
    <w:rsid w:val="00025E0C"/>
    <w:rsid w:val="000260FC"/>
    <w:rsid w:val="00026AB6"/>
    <w:rsid w:val="00026C16"/>
    <w:rsid w:val="000270DE"/>
    <w:rsid w:val="00027852"/>
    <w:rsid w:val="000278D4"/>
    <w:rsid w:val="00027924"/>
    <w:rsid w:val="00027F6C"/>
    <w:rsid w:val="0003059C"/>
    <w:rsid w:val="000305D6"/>
    <w:rsid w:val="000308B4"/>
    <w:rsid w:val="00030AA4"/>
    <w:rsid w:val="00030B4F"/>
    <w:rsid w:val="00030E43"/>
    <w:rsid w:val="00030F3E"/>
    <w:rsid w:val="00031072"/>
    <w:rsid w:val="000310C9"/>
    <w:rsid w:val="000311D4"/>
    <w:rsid w:val="0003178D"/>
    <w:rsid w:val="00031A37"/>
    <w:rsid w:val="00031D6D"/>
    <w:rsid w:val="00031F59"/>
    <w:rsid w:val="0003204E"/>
    <w:rsid w:val="00032087"/>
    <w:rsid w:val="00032172"/>
    <w:rsid w:val="000321EA"/>
    <w:rsid w:val="00032554"/>
    <w:rsid w:val="00032760"/>
    <w:rsid w:val="00032791"/>
    <w:rsid w:val="00032A96"/>
    <w:rsid w:val="00033057"/>
    <w:rsid w:val="00033487"/>
    <w:rsid w:val="00033775"/>
    <w:rsid w:val="000337F3"/>
    <w:rsid w:val="00033F8E"/>
    <w:rsid w:val="000342F7"/>
    <w:rsid w:val="00034A45"/>
    <w:rsid w:val="000350A4"/>
    <w:rsid w:val="0003534A"/>
    <w:rsid w:val="000356B5"/>
    <w:rsid w:val="000357D5"/>
    <w:rsid w:val="00035A01"/>
    <w:rsid w:val="00035F6A"/>
    <w:rsid w:val="00036291"/>
    <w:rsid w:val="0003633D"/>
    <w:rsid w:val="0003673C"/>
    <w:rsid w:val="00036BBA"/>
    <w:rsid w:val="00036E83"/>
    <w:rsid w:val="0003753A"/>
    <w:rsid w:val="000375BE"/>
    <w:rsid w:val="00037BD5"/>
    <w:rsid w:val="00040097"/>
    <w:rsid w:val="00040648"/>
    <w:rsid w:val="00040D0C"/>
    <w:rsid w:val="0004162E"/>
    <w:rsid w:val="000419AD"/>
    <w:rsid w:val="00041AB0"/>
    <w:rsid w:val="000429CE"/>
    <w:rsid w:val="00042A03"/>
    <w:rsid w:val="00042C47"/>
    <w:rsid w:val="00042CB8"/>
    <w:rsid w:val="00042CD5"/>
    <w:rsid w:val="000430C9"/>
    <w:rsid w:val="00043213"/>
    <w:rsid w:val="000433B1"/>
    <w:rsid w:val="0004340E"/>
    <w:rsid w:val="00043514"/>
    <w:rsid w:val="00043E15"/>
    <w:rsid w:val="000443FF"/>
    <w:rsid w:val="0004458B"/>
    <w:rsid w:val="00044872"/>
    <w:rsid w:val="00044939"/>
    <w:rsid w:val="0004497E"/>
    <w:rsid w:val="00044E66"/>
    <w:rsid w:val="00044F2A"/>
    <w:rsid w:val="00044FF7"/>
    <w:rsid w:val="00045073"/>
    <w:rsid w:val="000454E1"/>
    <w:rsid w:val="0004556E"/>
    <w:rsid w:val="00045958"/>
    <w:rsid w:val="00045D52"/>
    <w:rsid w:val="00045F79"/>
    <w:rsid w:val="000462B1"/>
    <w:rsid w:val="00046464"/>
    <w:rsid w:val="00046B32"/>
    <w:rsid w:val="00046D7F"/>
    <w:rsid w:val="00046E05"/>
    <w:rsid w:val="00046FC0"/>
    <w:rsid w:val="000470E1"/>
    <w:rsid w:val="00047BCA"/>
    <w:rsid w:val="00047CEA"/>
    <w:rsid w:val="00047E41"/>
    <w:rsid w:val="00047F0D"/>
    <w:rsid w:val="00050006"/>
    <w:rsid w:val="000502B9"/>
    <w:rsid w:val="0005056C"/>
    <w:rsid w:val="000506BD"/>
    <w:rsid w:val="00050A4C"/>
    <w:rsid w:val="00050BD4"/>
    <w:rsid w:val="00050C0A"/>
    <w:rsid w:val="00050DD8"/>
    <w:rsid w:val="000511C7"/>
    <w:rsid w:val="000514BF"/>
    <w:rsid w:val="00051775"/>
    <w:rsid w:val="0005192B"/>
    <w:rsid w:val="00051AB5"/>
    <w:rsid w:val="00051EEB"/>
    <w:rsid w:val="000520F8"/>
    <w:rsid w:val="00052554"/>
    <w:rsid w:val="00052734"/>
    <w:rsid w:val="00052AAB"/>
    <w:rsid w:val="00053371"/>
    <w:rsid w:val="000533C2"/>
    <w:rsid w:val="000537DC"/>
    <w:rsid w:val="00053B07"/>
    <w:rsid w:val="00053DC1"/>
    <w:rsid w:val="000548CC"/>
    <w:rsid w:val="00054E29"/>
    <w:rsid w:val="00055072"/>
    <w:rsid w:val="00055431"/>
    <w:rsid w:val="00055495"/>
    <w:rsid w:val="00055524"/>
    <w:rsid w:val="00055711"/>
    <w:rsid w:val="000557EB"/>
    <w:rsid w:val="00055DBF"/>
    <w:rsid w:val="00055E53"/>
    <w:rsid w:val="00055E82"/>
    <w:rsid w:val="00056197"/>
    <w:rsid w:val="0005630F"/>
    <w:rsid w:val="0005647A"/>
    <w:rsid w:val="000565B0"/>
    <w:rsid w:val="0005696E"/>
    <w:rsid w:val="00056A35"/>
    <w:rsid w:val="00056B0F"/>
    <w:rsid w:val="00056B67"/>
    <w:rsid w:val="00056B8D"/>
    <w:rsid w:val="00056C32"/>
    <w:rsid w:val="00057683"/>
    <w:rsid w:val="0005794B"/>
    <w:rsid w:val="00057BE4"/>
    <w:rsid w:val="00057C83"/>
    <w:rsid w:val="0006002B"/>
    <w:rsid w:val="0006011B"/>
    <w:rsid w:val="00060539"/>
    <w:rsid w:val="000606C8"/>
    <w:rsid w:val="000607FC"/>
    <w:rsid w:val="00060CD6"/>
    <w:rsid w:val="00060ED2"/>
    <w:rsid w:val="000616CF"/>
    <w:rsid w:val="00061FBE"/>
    <w:rsid w:val="0006212F"/>
    <w:rsid w:val="00062316"/>
    <w:rsid w:val="00062404"/>
    <w:rsid w:val="00062833"/>
    <w:rsid w:val="00062B32"/>
    <w:rsid w:val="00062B45"/>
    <w:rsid w:val="0006307E"/>
    <w:rsid w:val="00063252"/>
    <w:rsid w:val="000633FF"/>
    <w:rsid w:val="00063913"/>
    <w:rsid w:val="00063A34"/>
    <w:rsid w:val="0006401B"/>
    <w:rsid w:val="00064134"/>
    <w:rsid w:val="00064525"/>
    <w:rsid w:val="000647C2"/>
    <w:rsid w:val="00064858"/>
    <w:rsid w:val="000657C5"/>
    <w:rsid w:val="00065BC1"/>
    <w:rsid w:val="00065BFC"/>
    <w:rsid w:val="000660B7"/>
    <w:rsid w:val="00066182"/>
    <w:rsid w:val="000662B0"/>
    <w:rsid w:val="00066329"/>
    <w:rsid w:val="00066812"/>
    <w:rsid w:val="00066B40"/>
    <w:rsid w:val="0006730A"/>
    <w:rsid w:val="00067A87"/>
    <w:rsid w:val="00067C87"/>
    <w:rsid w:val="00067D57"/>
    <w:rsid w:val="00070D7D"/>
    <w:rsid w:val="00070F14"/>
    <w:rsid w:val="00071540"/>
    <w:rsid w:val="000718F0"/>
    <w:rsid w:val="00071ADF"/>
    <w:rsid w:val="00071D86"/>
    <w:rsid w:val="00071DAA"/>
    <w:rsid w:val="00071DF6"/>
    <w:rsid w:val="00071E70"/>
    <w:rsid w:val="00072012"/>
    <w:rsid w:val="00072092"/>
    <w:rsid w:val="00072249"/>
    <w:rsid w:val="000723B8"/>
    <w:rsid w:val="00072403"/>
    <w:rsid w:val="0007244D"/>
    <w:rsid w:val="000724A5"/>
    <w:rsid w:val="000725AC"/>
    <w:rsid w:val="00072697"/>
    <w:rsid w:val="00072840"/>
    <w:rsid w:val="000728F4"/>
    <w:rsid w:val="00072936"/>
    <w:rsid w:val="00072C82"/>
    <w:rsid w:val="0007358A"/>
    <w:rsid w:val="00073643"/>
    <w:rsid w:val="0007393B"/>
    <w:rsid w:val="0007395F"/>
    <w:rsid w:val="00073EE8"/>
    <w:rsid w:val="00073EF2"/>
    <w:rsid w:val="00074556"/>
    <w:rsid w:val="0007458B"/>
    <w:rsid w:val="0007476A"/>
    <w:rsid w:val="00074861"/>
    <w:rsid w:val="00074B5A"/>
    <w:rsid w:val="00074B88"/>
    <w:rsid w:val="00074F3A"/>
    <w:rsid w:val="000752C7"/>
    <w:rsid w:val="0007598C"/>
    <w:rsid w:val="00075DC3"/>
    <w:rsid w:val="00075F04"/>
    <w:rsid w:val="0007615E"/>
    <w:rsid w:val="000763F0"/>
    <w:rsid w:val="0007643F"/>
    <w:rsid w:val="00076AFD"/>
    <w:rsid w:val="000771ED"/>
    <w:rsid w:val="00077328"/>
    <w:rsid w:val="00077800"/>
    <w:rsid w:val="00077D1F"/>
    <w:rsid w:val="00077FEE"/>
    <w:rsid w:val="00080222"/>
    <w:rsid w:val="0008031A"/>
    <w:rsid w:val="00080345"/>
    <w:rsid w:val="00080611"/>
    <w:rsid w:val="00080917"/>
    <w:rsid w:val="000812F8"/>
    <w:rsid w:val="00081418"/>
    <w:rsid w:val="0008157E"/>
    <w:rsid w:val="000827FF"/>
    <w:rsid w:val="0008286D"/>
    <w:rsid w:val="00082E65"/>
    <w:rsid w:val="000830D3"/>
    <w:rsid w:val="0008324B"/>
    <w:rsid w:val="0008329A"/>
    <w:rsid w:val="00083354"/>
    <w:rsid w:val="000838E5"/>
    <w:rsid w:val="00083B21"/>
    <w:rsid w:val="00083DD4"/>
    <w:rsid w:val="00083E27"/>
    <w:rsid w:val="00084304"/>
    <w:rsid w:val="000849B8"/>
    <w:rsid w:val="00084A7F"/>
    <w:rsid w:val="00084B1A"/>
    <w:rsid w:val="00084B8E"/>
    <w:rsid w:val="00084DE4"/>
    <w:rsid w:val="000857AE"/>
    <w:rsid w:val="00085959"/>
    <w:rsid w:val="00085D26"/>
    <w:rsid w:val="00086377"/>
    <w:rsid w:val="000863D3"/>
    <w:rsid w:val="0008668E"/>
    <w:rsid w:val="00086934"/>
    <w:rsid w:val="000869AB"/>
    <w:rsid w:val="00086C78"/>
    <w:rsid w:val="00086E68"/>
    <w:rsid w:val="00086E72"/>
    <w:rsid w:val="00087009"/>
    <w:rsid w:val="000875E9"/>
    <w:rsid w:val="00087636"/>
    <w:rsid w:val="00087D83"/>
    <w:rsid w:val="00090B42"/>
    <w:rsid w:val="00090F32"/>
    <w:rsid w:val="00091554"/>
    <w:rsid w:val="00091F5B"/>
    <w:rsid w:val="00092392"/>
    <w:rsid w:val="000924C3"/>
    <w:rsid w:val="00092813"/>
    <w:rsid w:val="00092A28"/>
    <w:rsid w:val="00092B00"/>
    <w:rsid w:val="00093353"/>
    <w:rsid w:val="0009344C"/>
    <w:rsid w:val="0009348B"/>
    <w:rsid w:val="000936D0"/>
    <w:rsid w:val="00093B02"/>
    <w:rsid w:val="00093E5D"/>
    <w:rsid w:val="000941FC"/>
    <w:rsid w:val="0009431B"/>
    <w:rsid w:val="000943B6"/>
    <w:rsid w:val="000943E6"/>
    <w:rsid w:val="00094611"/>
    <w:rsid w:val="00095458"/>
    <w:rsid w:val="0009549F"/>
    <w:rsid w:val="0009582A"/>
    <w:rsid w:val="00095912"/>
    <w:rsid w:val="00095C6F"/>
    <w:rsid w:val="000962E6"/>
    <w:rsid w:val="000963A7"/>
    <w:rsid w:val="000963F4"/>
    <w:rsid w:val="00096577"/>
    <w:rsid w:val="0009657D"/>
    <w:rsid w:val="000968B1"/>
    <w:rsid w:val="00096DBD"/>
    <w:rsid w:val="00097338"/>
    <w:rsid w:val="00097751"/>
    <w:rsid w:val="00097846"/>
    <w:rsid w:val="00097E36"/>
    <w:rsid w:val="00097FA8"/>
    <w:rsid w:val="00097FC0"/>
    <w:rsid w:val="000A053B"/>
    <w:rsid w:val="000A06E3"/>
    <w:rsid w:val="000A0888"/>
    <w:rsid w:val="000A101A"/>
    <w:rsid w:val="000A1040"/>
    <w:rsid w:val="000A1121"/>
    <w:rsid w:val="000A19DE"/>
    <w:rsid w:val="000A219A"/>
    <w:rsid w:val="000A2294"/>
    <w:rsid w:val="000A2400"/>
    <w:rsid w:val="000A2485"/>
    <w:rsid w:val="000A263D"/>
    <w:rsid w:val="000A2992"/>
    <w:rsid w:val="000A2A6E"/>
    <w:rsid w:val="000A2AC4"/>
    <w:rsid w:val="000A2D80"/>
    <w:rsid w:val="000A2DCC"/>
    <w:rsid w:val="000A2FD5"/>
    <w:rsid w:val="000A3214"/>
    <w:rsid w:val="000A35CE"/>
    <w:rsid w:val="000A361C"/>
    <w:rsid w:val="000A363D"/>
    <w:rsid w:val="000A371B"/>
    <w:rsid w:val="000A3A15"/>
    <w:rsid w:val="000A45F2"/>
    <w:rsid w:val="000A4C5D"/>
    <w:rsid w:val="000A4C8B"/>
    <w:rsid w:val="000A5695"/>
    <w:rsid w:val="000A5BF0"/>
    <w:rsid w:val="000A5EB5"/>
    <w:rsid w:val="000A6CD0"/>
    <w:rsid w:val="000A7095"/>
    <w:rsid w:val="000A7099"/>
    <w:rsid w:val="000A7414"/>
    <w:rsid w:val="000A7451"/>
    <w:rsid w:val="000A762A"/>
    <w:rsid w:val="000A7864"/>
    <w:rsid w:val="000A78E9"/>
    <w:rsid w:val="000A795C"/>
    <w:rsid w:val="000A7A02"/>
    <w:rsid w:val="000A7AAF"/>
    <w:rsid w:val="000B0826"/>
    <w:rsid w:val="000B0AE5"/>
    <w:rsid w:val="000B0BD8"/>
    <w:rsid w:val="000B0D6E"/>
    <w:rsid w:val="000B101F"/>
    <w:rsid w:val="000B1169"/>
    <w:rsid w:val="000B1451"/>
    <w:rsid w:val="000B1452"/>
    <w:rsid w:val="000B1A15"/>
    <w:rsid w:val="000B1AD0"/>
    <w:rsid w:val="000B1BB4"/>
    <w:rsid w:val="000B1F4B"/>
    <w:rsid w:val="000B1FB8"/>
    <w:rsid w:val="000B21C3"/>
    <w:rsid w:val="000B23A5"/>
    <w:rsid w:val="000B2BA4"/>
    <w:rsid w:val="000B2CE9"/>
    <w:rsid w:val="000B3109"/>
    <w:rsid w:val="000B339B"/>
    <w:rsid w:val="000B3453"/>
    <w:rsid w:val="000B3677"/>
    <w:rsid w:val="000B372F"/>
    <w:rsid w:val="000B3910"/>
    <w:rsid w:val="000B3982"/>
    <w:rsid w:val="000B399F"/>
    <w:rsid w:val="000B3C15"/>
    <w:rsid w:val="000B3DC0"/>
    <w:rsid w:val="000B4002"/>
    <w:rsid w:val="000B41BB"/>
    <w:rsid w:val="000B431C"/>
    <w:rsid w:val="000B4792"/>
    <w:rsid w:val="000B4875"/>
    <w:rsid w:val="000B48E7"/>
    <w:rsid w:val="000B4C3A"/>
    <w:rsid w:val="000B4CD6"/>
    <w:rsid w:val="000B5147"/>
    <w:rsid w:val="000B5894"/>
    <w:rsid w:val="000B590E"/>
    <w:rsid w:val="000B5AE9"/>
    <w:rsid w:val="000B5B34"/>
    <w:rsid w:val="000B5D52"/>
    <w:rsid w:val="000B60A1"/>
    <w:rsid w:val="000B61A1"/>
    <w:rsid w:val="000B61ED"/>
    <w:rsid w:val="000B6329"/>
    <w:rsid w:val="000B663D"/>
    <w:rsid w:val="000B6C13"/>
    <w:rsid w:val="000B6D13"/>
    <w:rsid w:val="000B7807"/>
    <w:rsid w:val="000B7A9E"/>
    <w:rsid w:val="000B7AE4"/>
    <w:rsid w:val="000B7B13"/>
    <w:rsid w:val="000B7E32"/>
    <w:rsid w:val="000C114C"/>
    <w:rsid w:val="000C11C4"/>
    <w:rsid w:val="000C1744"/>
    <w:rsid w:val="000C1D33"/>
    <w:rsid w:val="000C1D7B"/>
    <w:rsid w:val="000C2385"/>
    <w:rsid w:val="000C267C"/>
    <w:rsid w:val="000C2706"/>
    <w:rsid w:val="000C2A31"/>
    <w:rsid w:val="000C2F51"/>
    <w:rsid w:val="000C326A"/>
    <w:rsid w:val="000C37CE"/>
    <w:rsid w:val="000C385A"/>
    <w:rsid w:val="000C3EC5"/>
    <w:rsid w:val="000C4512"/>
    <w:rsid w:val="000C521D"/>
    <w:rsid w:val="000C52F8"/>
    <w:rsid w:val="000C59BA"/>
    <w:rsid w:val="000C5F44"/>
    <w:rsid w:val="000C5F79"/>
    <w:rsid w:val="000C627D"/>
    <w:rsid w:val="000C6322"/>
    <w:rsid w:val="000C63A3"/>
    <w:rsid w:val="000C6431"/>
    <w:rsid w:val="000C658F"/>
    <w:rsid w:val="000C676F"/>
    <w:rsid w:val="000C6C5C"/>
    <w:rsid w:val="000C6DE2"/>
    <w:rsid w:val="000C701D"/>
    <w:rsid w:val="000C70F1"/>
    <w:rsid w:val="000C7108"/>
    <w:rsid w:val="000C7426"/>
    <w:rsid w:val="000C7485"/>
    <w:rsid w:val="000C7516"/>
    <w:rsid w:val="000C77C6"/>
    <w:rsid w:val="000C78A8"/>
    <w:rsid w:val="000C78AC"/>
    <w:rsid w:val="000C7C51"/>
    <w:rsid w:val="000C7C83"/>
    <w:rsid w:val="000D00B6"/>
    <w:rsid w:val="000D01C1"/>
    <w:rsid w:val="000D0D2E"/>
    <w:rsid w:val="000D0EEB"/>
    <w:rsid w:val="000D10E5"/>
    <w:rsid w:val="000D12AA"/>
    <w:rsid w:val="000D1540"/>
    <w:rsid w:val="000D1962"/>
    <w:rsid w:val="000D1EDC"/>
    <w:rsid w:val="000D23C8"/>
    <w:rsid w:val="000D2848"/>
    <w:rsid w:val="000D2F0F"/>
    <w:rsid w:val="000D3557"/>
    <w:rsid w:val="000D3A27"/>
    <w:rsid w:val="000D3C09"/>
    <w:rsid w:val="000D3EAF"/>
    <w:rsid w:val="000D462B"/>
    <w:rsid w:val="000D4CD1"/>
    <w:rsid w:val="000D4DF7"/>
    <w:rsid w:val="000D4DFA"/>
    <w:rsid w:val="000D50FA"/>
    <w:rsid w:val="000D52A9"/>
    <w:rsid w:val="000D5CEA"/>
    <w:rsid w:val="000D5F55"/>
    <w:rsid w:val="000D608C"/>
    <w:rsid w:val="000D6B80"/>
    <w:rsid w:val="000D6CB6"/>
    <w:rsid w:val="000D6CDC"/>
    <w:rsid w:val="000D6D21"/>
    <w:rsid w:val="000D6F0B"/>
    <w:rsid w:val="000D75D0"/>
    <w:rsid w:val="000D779F"/>
    <w:rsid w:val="000D77E9"/>
    <w:rsid w:val="000D78CE"/>
    <w:rsid w:val="000D7A3B"/>
    <w:rsid w:val="000D7FA2"/>
    <w:rsid w:val="000D7FA3"/>
    <w:rsid w:val="000E0255"/>
    <w:rsid w:val="000E033F"/>
    <w:rsid w:val="000E0B8D"/>
    <w:rsid w:val="000E0C94"/>
    <w:rsid w:val="000E175E"/>
    <w:rsid w:val="000E19E4"/>
    <w:rsid w:val="000E1E10"/>
    <w:rsid w:val="000E2087"/>
    <w:rsid w:val="000E2125"/>
    <w:rsid w:val="000E22DA"/>
    <w:rsid w:val="000E22F7"/>
    <w:rsid w:val="000E24C0"/>
    <w:rsid w:val="000E283A"/>
    <w:rsid w:val="000E29ED"/>
    <w:rsid w:val="000E2B7C"/>
    <w:rsid w:val="000E2EFA"/>
    <w:rsid w:val="000E305B"/>
    <w:rsid w:val="000E3078"/>
    <w:rsid w:val="000E3252"/>
    <w:rsid w:val="000E3523"/>
    <w:rsid w:val="000E3688"/>
    <w:rsid w:val="000E41CB"/>
    <w:rsid w:val="000E420E"/>
    <w:rsid w:val="000E435A"/>
    <w:rsid w:val="000E4424"/>
    <w:rsid w:val="000E46AC"/>
    <w:rsid w:val="000E4D3D"/>
    <w:rsid w:val="000E4D43"/>
    <w:rsid w:val="000E51D7"/>
    <w:rsid w:val="000E52E0"/>
    <w:rsid w:val="000E5A0C"/>
    <w:rsid w:val="000E5D2A"/>
    <w:rsid w:val="000E60D0"/>
    <w:rsid w:val="000E60DE"/>
    <w:rsid w:val="000E61DC"/>
    <w:rsid w:val="000E6672"/>
    <w:rsid w:val="000E67DB"/>
    <w:rsid w:val="000E6A34"/>
    <w:rsid w:val="000E6DFE"/>
    <w:rsid w:val="000E73F0"/>
    <w:rsid w:val="000E764C"/>
    <w:rsid w:val="000E799B"/>
    <w:rsid w:val="000E7B51"/>
    <w:rsid w:val="000E7E25"/>
    <w:rsid w:val="000F0346"/>
    <w:rsid w:val="000F0717"/>
    <w:rsid w:val="000F0BBC"/>
    <w:rsid w:val="000F0CDA"/>
    <w:rsid w:val="000F10BB"/>
    <w:rsid w:val="000F1471"/>
    <w:rsid w:val="000F160E"/>
    <w:rsid w:val="000F1A2A"/>
    <w:rsid w:val="000F1A52"/>
    <w:rsid w:val="000F1CB8"/>
    <w:rsid w:val="000F1D02"/>
    <w:rsid w:val="000F2194"/>
    <w:rsid w:val="000F21DF"/>
    <w:rsid w:val="000F241B"/>
    <w:rsid w:val="000F2770"/>
    <w:rsid w:val="000F280D"/>
    <w:rsid w:val="000F2873"/>
    <w:rsid w:val="000F2D2B"/>
    <w:rsid w:val="000F32AA"/>
    <w:rsid w:val="000F34BF"/>
    <w:rsid w:val="000F3597"/>
    <w:rsid w:val="000F394A"/>
    <w:rsid w:val="000F3B7D"/>
    <w:rsid w:val="000F401D"/>
    <w:rsid w:val="000F485A"/>
    <w:rsid w:val="000F4BBB"/>
    <w:rsid w:val="000F4CED"/>
    <w:rsid w:val="000F5073"/>
    <w:rsid w:val="000F51F6"/>
    <w:rsid w:val="000F5207"/>
    <w:rsid w:val="000F5ACF"/>
    <w:rsid w:val="000F5D35"/>
    <w:rsid w:val="000F5EB4"/>
    <w:rsid w:val="000F6022"/>
    <w:rsid w:val="000F6069"/>
    <w:rsid w:val="000F61F6"/>
    <w:rsid w:val="000F632E"/>
    <w:rsid w:val="000F63FD"/>
    <w:rsid w:val="000F6916"/>
    <w:rsid w:val="000F6A30"/>
    <w:rsid w:val="000F6B4B"/>
    <w:rsid w:val="000F6BB4"/>
    <w:rsid w:val="000F6F99"/>
    <w:rsid w:val="000F6FC5"/>
    <w:rsid w:val="000F710B"/>
    <w:rsid w:val="000F73D9"/>
    <w:rsid w:val="000F73DC"/>
    <w:rsid w:val="000F73DD"/>
    <w:rsid w:val="000F763C"/>
    <w:rsid w:val="000F7829"/>
    <w:rsid w:val="000F783A"/>
    <w:rsid w:val="000F7B2C"/>
    <w:rsid w:val="000F7CA3"/>
    <w:rsid w:val="001000D9"/>
    <w:rsid w:val="001001E6"/>
    <w:rsid w:val="00100310"/>
    <w:rsid w:val="00100707"/>
    <w:rsid w:val="0010091A"/>
    <w:rsid w:val="001013AA"/>
    <w:rsid w:val="001020A5"/>
    <w:rsid w:val="001020D6"/>
    <w:rsid w:val="001026C2"/>
    <w:rsid w:val="00102D9A"/>
    <w:rsid w:val="001030D3"/>
    <w:rsid w:val="001031D4"/>
    <w:rsid w:val="0010347E"/>
    <w:rsid w:val="00103488"/>
    <w:rsid w:val="0010353B"/>
    <w:rsid w:val="001035D7"/>
    <w:rsid w:val="00103790"/>
    <w:rsid w:val="00103C02"/>
    <w:rsid w:val="001040CB"/>
    <w:rsid w:val="001041BD"/>
    <w:rsid w:val="00104904"/>
    <w:rsid w:val="00104BDB"/>
    <w:rsid w:val="00104F69"/>
    <w:rsid w:val="00105061"/>
    <w:rsid w:val="001050C4"/>
    <w:rsid w:val="001050CA"/>
    <w:rsid w:val="0010516A"/>
    <w:rsid w:val="0010519F"/>
    <w:rsid w:val="00105647"/>
    <w:rsid w:val="00105651"/>
    <w:rsid w:val="00105C44"/>
    <w:rsid w:val="001062D5"/>
    <w:rsid w:val="0010631D"/>
    <w:rsid w:val="0010633D"/>
    <w:rsid w:val="001063F9"/>
    <w:rsid w:val="00106863"/>
    <w:rsid w:val="00106D0F"/>
    <w:rsid w:val="00107073"/>
    <w:rsid w:val="001072A7"/>
    <w:rsid w:val="00107348"/>
    <w:rsid w:val="00107522"/>
    <w:rsid w:val="00107AEB"/>
    <w:rsid w:val="00107C5E"/>
    <w:rsid w:val="00110022"/>
    <w:rsid w:val="001101F9"/>
    <w:rsid w:val="00110CFA"/>
    <w:rsid w:val="00110D73"/>
    <w:rsid w:val="00110FD6"/>
    <w:rsid w:val="001110A6"/>
    <w:rsid w:val="001111E7"/>
    <w:rsid w:val="001112F4"/>
    <w:rsid w:val="001117C0"/>
    <w:rsid w:val="00111D01"/>
    <w:rsid w:val="001120EA"/>
    <w:rsid w:val="00112432"/>
    <w:rsid w:val="001124B3"/>
    <w:rsid w:val="00112839"/>
    <w:rsid w:val="00112932"/>
    <w:rsid w:val="00112AFC"/>
    <w:rsid w:val="00112C27"/>
    <w:rsid w:val="00113039"/>
    <w:rsid w:val="001130DA"/>
    <w:rsid w:val="00113AB3"/>
    <w:rsid w:val="00113B2C"/>
    <w:rsid w:val="00113CF3"/>
    <w:rsid w:val="0011421B"/>
    <w:rsid w:val="00114CCB"/>
    <w:rsid w:val="00114EFB"/>
    <w:rsid w:val="00114EFC"/>
    <w:rsid w:val="00115032"/>
    <w:rsid w:val="001154CE"/>
    <w:rsid w:val="00115A3A"/>
    <w:rsid w:val="00115CB5"/>
    <w:rsid w:val="00115CCC"/>
    <w:rsid w:val="00115E72"/>
    <w:rsid w:val="0011649F"/>
    <w:rsid w:val="0011660A"/>
    <w:rsid w:val="00116630"/>
    <w:rsid w:val="001167FA"/>
    <w:rsid w:val="00116890"/>
    <w:rsid w:val="00116924"/>
    <w:rsid w:val="00116ED4"/>
    <w:rsid w:val="00116F6F"/>
    <w:rsid w:val="00117149"/>
    <w:rsid w:val="001175F0"/>
    <w:rsid w:val="00117649"/>
    <w:rsid w:val="00117867"/>
    <w:rsid w:val="00117B13"/>
    <w:rsid w:val="00117B75"/>
    <w:rsid w:val="00117B98"/>
    <w:rsid w:val="00117C0A"/>
    <w:rsid w:val="00117DF6"/>
    <w:rsid w:val="00117E38"/>
    <w:rsid w:val="00117FDB"/>
    <w:rsid w:val="0012102A"/>
    <w:rsid w:val="001212AF"/>
    <w:rsid w:val="00121840"/>
    <w:rsid w:val="00121ADD"/>
    <w:rsid w:val="00121B52"/>
    <w:rsid w:val="00121C10"/>
    <w:rsid w:val="0012206C"/>
    <w:rsid w:val="001220AF"/>
    <w:rsid w:val="00122136"/>
    <w:rsid w:val="001224D5"/>
    <w:rsid w:val="00122797"/>
    <w:rsid w:val="00122A0F"/>
    <w:rsid w:val="00122ABF"/>
    <w:rsid w:val="00122B9B"/>
    <w:rsid w:val="00122FE4"/>
    <w:rsid w:val="00123033"/>
    <w:rsid w:val="0012324B"/>
    <w:rsid w:val="001232A7"/>
    <w:rsid w:val="00123788"/>
    <w:rsid w:val="00124306"/>
    <w:rsid w:val="00124A17"/>
    <w:rsid w:val="00124E82"/>
    <w:rsid w:val="001253DC"/>
    <w:rsid w:val="0012550B"/>
    <w:rsid w:val="0012555D"/>
    <w:rsid w:val="001257FA"/>
    <w:rsid w:val="00125F05"/>
    <w:rsid w:val="00126040"/>
    <w:rsid w:val="001262EF"/>
    <w:rsid w:val="00126AB5"/>
    <w:rsid w:val="00126C8C"/>
    <w:rsid w:val="001270BF"/>
    <w:rsid w:val="00127222"/>
    <w:rsid w:val="00127465"/>
    <w:rsid w:val="0012756E"/>
    <w:rsid w:val="0012758D"/>
    <w:rsid w:val="00127854"/>
    <w:rsid w:val="001278B7"/>
    <w:rsid w:val="001278E0"/>
    <w:rsid w:val="00127A9F"/>
    <w:rsid w:val="00127AEB"/>
    <w:rsid w:val="00127F2B"/>
    <w:rsid w:val="0013038A"/>
    <w:rsid w:val="00130528"/>
    <w:rsid w:val="00130686"/>
    <w:rsid w:val="001306D5"/>
    <w:rsid w:val="001306F1"/>
    <w:rsid w:val="0013071C"/>
    <w:rsid w:val="001308F6"/>
    <w:rsid w:val="0013094E"/>
    <w:rsid w:val="00130958"/>
    <w:rsid w:val="00130A11"/>
    <w:rsid w:val="00130C60"/>
    <w:rsid w:val="001310F0"/>
    <w:rsid w:val="00131107"/>
    <w:rsid w:val="0013118C"/>
    <w:rsid w:val="00131416"/>
    <w:rsid w:val="00131575"/>
    <w:rsid w:val="00131791"/>
    <w:rsid w:val="0013196F"/>
    <w:rsid w:val="00131B7C"/>
    <w:rsid w:val="00131BCC"/>
    <w:rsid w:val="00131F8F"/>
    <w:rsid w:val="00132450"/>
    <w:rsid w:val="00132993"/>
    <w:rsid w:val="00132BCD"/>
    <w:rsid w:val="00132F33"/>
    <w:rsid w:val="0013371E"/>
    <w:rsid w:val="001339D5"/>
    <w:rsid w:val="001343A4"/>
    <w:rsid w:val="0013449C"/>
    <w:rsid w:val="00134664"/>
    <w:rsid w:val="001347BF"/>
    <w:rsid w:val="00134B32"/>
    <w:rsid w:val="00134C41"/>
    <w:rsid w:val="00134D0B"/>
    <w:rsid w:val="00134F17"/>
    <w:rsid w:val="00135248"/>
    <w:rsid w:val="00135745"/>
    <w:rsid w:val="00135BE8"/>
    <w:rsid w:val="00135C2E"/>
    <w:rsid w:val="00135D7D"/>
    <w:rsid w:val="00135D87"/>
    <w:rsid w:val="00136102"/>
    <w:rsid w:val="0013619A"/>
    <w:rsid w:val="001361CB"/>
    <w:rsid w:val="00136771"/>
    <w:rsid w:val="001368D3"/>
    <w:rsid w:val="0013750D"/>
    <w:rsid w:val="00137FA0"/>
    <w:rsid w:val="00140255"/>
    <w:rsid w:val="00140DCD"/>
    <w:rsid w:val="00141075"/>
    <w:rsid w:val="0014128C"/>
    <w:rsid w:val="00141783"/>
    <w:rsid w:val="0014182A"/>
    <w:rsid w:val="00141974"/>
    <w:rsid w:val="00142094"/>
    <w:rsid w:val="00142205"/>
    <w:rsid w:val="0014240A"/>
    <w:rsid w:val="001425DC"/>
    <w:rsid w:val="001428AD"/>
    <w:rsid w:val="00142E70"/>
    <w:rsid w:val="00142FC4"/>
    <w:rsid w:val="0014308A"/>
    <w:rsid w:val="001431F4"/>
    <w:rsid w:val="0014346C"/>
    <w:rsid w:val="001434F8"/>
    <w:rsid w:val="0014375A"/>
    <w:rsid w:val="00143807"/>
    <w:rsid w:val="00143AC4"/>
    <w:rsid w:val="00143FAD"/>
    <w:rsid w:val="00144435"/>
    <w:rsid w:val="001446A5"/>
    <w:rsid w:val="0014473D"/>
    <w:rsid w:val="001447AD"/>
    <w:rsid w:val="00144890"/>
    <w:rsid w:val="0014493E"/>
    <w:rsid w:val="00144985"/>
    <w:rsid w:val="00145149"/>
    <w:rsid w:val="001453D3"/>
    <w:rsid w:val="00145534"/>
    <w:rsid w:val="001456FA"/>
    <w:rsid w:val="00145803"/>
    <w:rsid w:val="00145AA6"/>
    <w:rsid w:val="00145C76"/>
    <w:rsid w:val="00145D67"/>
    <w:rsid w:val="00145FDD"/>
    <w:rsid w:val="001462C6"/>
    <w:rsid w:val="0014640B"/>
    <w:rsid w:val="001464A0"/>
    <w:rsid w:val="0014650C"/>
    <w:rsid w:val="00146830"/>
    <w:rsid w:val="00146C0A"/>
    <w:rsid w:val="00146E3D"/>
    <w:rsid w:val="00146E43"/>
    <w:rsid w:val="001471C9"/>
    <w:rsid w:val="00147534"/>
    <w:rsid w:val="001478A9"/>
    <w:rsid w:val="001478AD"/>
    <w:rsid w:val="0014797B"/>
    <w:rsid w:val="00147ABC"/>
    <w:rsid w:val="00147BCC"/>
    <w:rsid w:val="00147EA1"/>
    <w:rsid w:val="00147EF8"/>
    <w:rsid w:val="001503F9"/>
    <w:rsid w:val="001507B1"/>
    <w:rsid w:val="001507EC"/>
    <w:rsid w:val="00150B3D"/>
    <w:rsid w:val="00150B57"/>
    <w:rsid w:val="00150BC4"/>
    <w:rsid w:val="00150CBE"/>
    <w:rsid w:val="00150F1E"/>
    <w:rsid w:val="00151162"/>
    <w:rsid w:val="00151256"/>
    <w:rsid w:val="00151435"/>
    <w:rsid w:val="00151479"/>
    <w:rsid w:val="001516D5"/>
    <w:rsid w:val="001517C9"/>
    <w:rsid w:val="00151D94"/>
    <w:rsid w:val="0015218B"/>
    <w:rsid w:val="001521A8"/>
    <w:rsid w:val="00152220"/>
    <w:rsid w:val="00152326"/>
    <w:rsid w:val="001526BF"/>
    <w:rsid w:val="00152743"/>
    <w:rsid w:val="001527AE"/>
    <w:rsid w:val="00152E3E"/>
    <w:rsid w:val="00152FFF"/>
    <w:rsid w:val="00153814"/>
    <w:rsid w:val="001538EB"/>
    <w:rsid w:val="00153AC6"/>
    <w:rsid w:val="0015424E"/>
    <w:rsid w:val="00154669"/>
    <w:rsid w:val="001547D9"/>
    <w:rsid w:val="001549E4"/>
    <w:rsid w:val="00154AAC"/>
    <w:rsid w:val="00154BB5"/>
    <w:rsid w:val="00154E32"/>
    <w:rsid w:val="00154E6F"/>
    <w:rsid w:val="00154ED2"/>
    <w:rsid w:val="0015544F"/>
    <w:rsid w:val="001555EB"/>
    <w:rsid w:val="00155603"/>
    <w:rsid w:val="0015594D"/>
    <w:rsid w:val="00155B69"/>
    <w:rsid w:val="00155CF2"/>
    <w:rsid w:val="0015605A"/>
    <w:rsid w:val="001560CB"/>
    <w:rsid w:val="00156196"/>
    <w:rsid w:val="001563B1"/>
    <w:rsid w:val="00156414"/>
    <w:rsid w:val="00156608"/>
    <w:rsid w:val="0015676D"/>
    <w:rsid w:val="00156C42"/>
    <w:rsid w:val="0015715A"/>
    <w:rsid w:val="00157682"/>
    <w:rsid w:val="00157777"/>
    <w:rsid w:val="001604CE"/>
    <w:rsid w:val="00160615"/>
    <w:rsid w:val="00160D3B"/>
    <w:rsid w:val="00161502"/>
    <w:rsid w:val="001617E8"/>
    <w:rsid w:val="0016183A"/>
    <w:rsid w:val="001619DD"/>
    <w:rsid w:val="00161BC5"/>
    <w:rsid w:val="00162083"/>
    <w:rsid w:val="00162288"/>
    <w:rsid w:val="0016233D"/>
    <w:rsid w:val="00162444"/>
    <w:rsid w:val="001626A6"/>
    <w:rsid w:val="00162C4D"/>
    <w:rsid w:val="00162EEF"/>
    <w:rsid w:val="00163108"/>
    <w:rsid w:val="001631B6"/>
    <w:rsid w:val="001637C7"/>
    <w:rsid w:val="00163E65"/>
    <w:rsid w:val="00163E87"/>
    <w:rsid w:val="00164451"/>
    <w:rsid w:val="001645CF"/>
    <w:rsid w:val="001645D3"/>
    <w:rsid w:val="00164B8A"/>
    <w:rsid w:val="00164BA2"/>
    <w:rsid w:val="00164C7A"/>
    <w:rsid w:val="00164CB8"/>
    <w:rsid w:val="001650D8"/>
    <w:rsid w:val="001652B4"/>
    <w:rsid w:val="0016550B"/>
    <w:rsid w:val="001655AC"/>
    <w:rsid w:val="00165BFC"/>
    <w:rsid w:val="00165DB7"/>
    <w:rsid w:val="00165E21"/>
    <w:rsid w:val="0016619B"/>
    <w:rsid w:val="001662E0"/>
    <w:rsid w:val="001662E3"/>
    <w:rsid w:val="00166403"/>
    <w:rsid w:val="0016688B"/>
    <w:rsid w:val="00166BA8"/>
    <w:rsid w:val="00166E15"/>
    <w:rsid w:val="00167155"/>
    <w:rsid w:val="00167384"/>
    <w:rsid w:val="00167492"/>
    <w:rsid w:val="00167781"/>
    <w:rsid w:val="001677A3"/>
    <w:rsid w:val="001677F8"/>
    <w:rsid w:val="00167880"/>
    <w:rsid w:val="00167B52"/>
    <w:rsid w:val="00167BAB"/>
    <w:rsid w:val="00167EB3"/>
    <w:rsid w:val="00167EBD"/>
    <w:rsid w:val="0017033D"/>
    <w:rsid w:val="00170450"/>
    <w:rsid w:val="001704C8"/>
    <w:rsid w:val="00170594"/>
    <w:rsid w:val="001705E6"/>
    <w:rsid w:val="001708C1"/>
    <w:rsid w:val="00170934"/>
    <w:rsid w:val="00170AD9"/>
    <w:rsid w:val="00170D5D"/>
    <w:rsid w:val="00170E73"/>
    <w:rsid w:val="001710CB"/>
    <w:rsid w:val="0017148C"/>
    <w:rsid w:val="001718D0"/>
    <w:rsid w:val="00171BA1"/>
    <w:rsid w:val="00172105"/>
    <w:rsid w:val="001724F1"/>
    <w:rsid w:val="001734FC"/>
    <w:rsid w:val="001735B9"/>
    <w:rsid w:val="001736EC"/>
    <w:rsid w:val="00173AA9"/>
    <w:rsid w:val="00173E68"/>
    <w:rsid w:val="00173F2E"/>
    <w:rsid w:val="00174208"/>
    <w:rsid w:val="00174422"/>
    <w:rsid w:val="0017482E"/>
    <w:rsid w:val="00174A7D"/>
    <w:rsid w:val="00174AB9"/>
    <w:rsid w:val="00174BE9"/>
    <w:rsid w:val="00174C25"/>
    <w:rsid w:val="00174D49"/>
    <w:rsid w:val="00175397"/>
    <w:rsid w:val="00175539"/>
    <w:rsid w:val="00175A5C"/>
    <w:rsid w:val="00175DA8"/>
    <w:rsid w:val="00175DCA"/>
    <w:rsid w:val="001761D2"/>
    <w:rsid w:val="001762EE"/>
    <w:rsid w:val="001763FA"/>
    <w:rsid w:val="00176548"/>
    <w:rsid w:val="00176594"/>
    <w:rsid w:val="00176634"/>
    <w:rsid w:val="0017699C"/>
    <w:rsid w:val="00176A72"/>
    <w:rsid w:val="00176C93"/>
    <w:rsid w:val="00176CA2"/>
    <w:rsid w:val="00177531"/>
    <w:rsid w:val="001806BC"/>
    <w:rsid w:val="001808A9"/>
    <w:rsid w:val="001808B6"/>
    <w:rsid w:val="00180986"/>
    <w:rsid w:val="00180A9B"/>
    <w:rsid w:val="00180BB9"/>
    <w:rsid w:val="00180C58"/>
    <w:rsid w:val="00180CBD"/>
    <w:rsid w:val="00180CE0"/>
    <w:rsid w:val="0018111F"/>
    <w:rsid w:val="0018118E"/>
    <w:rsid w:val="001814F5"/>
    <w:rsid w:val="00181736"/>
    <w:rsid w:val="00181D22"/>
    <w:rsid w:val="00182124"/>
    <w:rsid w:val="00182209"/>
    <w:rsid w:val="001822D4"/>
    <w:rsid w:val="0018237F"/>
    <w:rsid w:val="001826D2"/>
    <w:rsid w:val="00182AE1"/>
    <w:rsid w:val="00182D8A"/>
    <w:rsid w:val="00182E74"/>
    <w:rsid w:val="001831A1"/>
    <w:rsid w:val="0018369D"/>
    <w:rsid w:val="00183878"/>
    <w:rsid w:val="001839F7"/>
    <w:rsid w:val="00183C90"/>
    <w:rsid w:val="00183D7D"/>
    <w:rsid w:val="00183F1D"/>
    <w:rsid w:val="001840B2"/>
    <w:rsid w:val="00184441"/>
    <w:rsid w:val="00184626"/>
    <w:rsid w:val="00184761"/>
    <w:rsid w:val="00184AF0"/>
    <w:rsid w:val="00184B52"/>
    <w:rsid w:val="00184C90"/>
    <w:rsid w:val="00184EB4"/>
    <w:rsid w:val="00184F6B"/>
    <w:rsid w:val="001850F7"/>
    <w:rsid w:val="001855B6"/>
    <w:rsid w:val="00185636"/>
    <w:rsid w:val="00185959"/>
    <w:rsid w:val="00185963"/>
    <w:rsid w:val="001859EF"/>
    <w:rsid w:val="00185AD9"/>
    <w:rsid w:val="0018633F"/>
    <w:rsid w:val="001865F7"/>
    <w:rsid w:val="00186CA9"/>
    <w:rsid w:val="00186D67"/>
    <w:rsid w:val="001870F7"/>
    <w:rsid w:val="0018740C"/>
    <w:rsid w:val="001875B9"/>
    <w:rsid w:val="0018764C"/>
    <w:rsid w:val="00187810"/>
    <w:rsid w:val="00187F3A"/>
    <w:rsid w:val="00187F72"/>
    <w:rsid w:val="001906BB"/>
    <w:rsid w:val="00190774"/>
    <w:rsid w:val="00190B61"/>
    <w:rsid w:val="00190C2E"/>
    <w:rsid w:val="00190D7D"/>
    <w:rsid w:val="00190F05"/>
    <w:rsid w:val="00191331"/>
    <w:rsid w:val="00191338"/>
    <w:rsid w:val="00191366"/>
    <w:rsid w:val="0019140B"/>
    <w:rsid w:val="0019154E"/>
    <w:rsid w:val="001916FC"/>
    <w:rsid w:val="0019183E"/>
    <w:rsid w:val="00191AFA"/>
    <w:rsid w:val="00191E4A"/>
    <w:rsid w:val="00191ED1"/>
    <w:rsid w:val="00191EDB"/>
    <w:rsid w:val="001921BA"/>
    <w:rsid w:val="0019226C"/>
    <w:rsid w:val="001923F0"/>
    <w:rsid w:val="00192426"/>
    <w:rsid w:val="0019247E"/>
    <w:rsid w:val="001924FA"/>
    <w:rsid w:val="00192AEB"/>
    <w:rsid w:val="00192D80"/>
    <w:rsid w:val="001930FA"/>
    <w:rsid w:val="00194111"/>
    <w:rsid w:val="0019460D"/>
    <w:rsid w:val="0019498A"/>
    <w:rsid w:val="00194BDF"/>
    <w:rsid w:val="00195311"/>
    <w:rsid w:val="0019537B"/>
    <w:rsid w:val="001956FA"/>
    <w:rsid w:val="00195B42"/>
    <w:rsid w:val="00195C43"/>
    <w:rsid w:val="00195EC0"/>
    <w:rsid w:val="001961A3"/>
    <w:rsid w:val="0019643D"/>
    <w:rsid w:val="001969DA"/>
    <w:rsid w:val="001969E5"/>
    <w:rsid w:val="00196B74"/>
    <w:rsid w:val="00196C20"/>
    <w:rsid w:val="00196E07"/>
    <w:rsid w:val="00196E39"/>
    <w:rsid w:val="00196EFF"/>
    <w:rsid w:val="001973C1"/>
    <w:rsid w:val="0019747A"/>
    <w:rsid w:val="001A0FE6"/>
    <w:rsid w:val="001A1032"/>
    <w:rsid w:val="001A12A3"/>
    <w:rsid w:val="001A16D8"/>
    <w:rsid w:val="001A17D0"/>
    <w:rsid w:val="001A187A"/>
    <w:rsid w:val="001A1EB4"/>
    <w:rsid w:val="001A1F66"/>
    <w:rsid w:val="001A2151"/>
    <w:rsid w:val="001A2587"/>
    <w:rsid w:val="001A25ED"/>
    <w:rsid w:val="001A26A4"/>
    <w:rsid w:val="001A2801"/>
    <w:rsid w:val="001A29E4"/>
    <w:rsid w:val="001A2B97"/>
    <w:rsid w:val="001A2D31"/>
    <w:rsid w:val="001A32C2"/>
    <w:rsid w:val="001A32DF"/>
    <w:rsid w:val="001A332C"/>
    <w:rsid w:val="001A33F6"/>
    <w:rsid w:val="001A3442"/>
    <w:rsid w:val="001A34B9"/>
    <w:rsid w:val="001A3AEB"/>
    <w:rsid w:val="001A4459"/>
    <w:rsid w:val="001A50D8"/>
    <w:rsid w:val="001A5518"/>
    <w:rsid w:val="001A55FD"/>
    <w:rsid w:val="001A5700"/>
    <w:rsid w:val="001A5B20"/>
    <w:rsid w:val="001A60EA"/>
    <w:rsid w:val="001A6240"/>
    <w:rsid w:val="001A63A1"/>
    <w:rsid w:val="001A64C0"/>
    <w:rsid w:val="001A6AB3"/>
    <w:rsid w:val="001A6C3A"/>
    <w:rsid w:val="001A6DE5"/>
    <w:rsid w:val="001A6EA8"/>
    <w:rsid w:val="001A719A"/>
    <w:rsid w:val="001A72B2"/>
    <w:rsid w:val="001A77B2"/>
    <w:rsid w:val="001A7A04"/>
    <w:rsid w:val="001A7DD1"/>
    <w:rsid w:val="001B05D6"/>
    <w:rsid w:val="001B0997"/>
    <w:rsid w:val="001B0CE4"/>
    <w:rsid w:val="001B111E"/>
    <w:rsid w:val="001B1245"/>
    <w:rsid w:val="001B138E"/>
    <w:rsid w:val="001B14A8"/>
    <w:rsid w:val="001B14CF"/>
    <w:rsid w:val="001B1646"/>
    <w:rsid w:val="001B1A3E"/>
    <w:rsid w:val="001B2325"/>
    <w:rsid w:val="001B273A"/>
    <w:rsid w:val="001B29BD"/>
    <w:rsid w:val="001B2A15"/>
    <w:rsid w:val="001B2F05"/>
    <w:rsid w:val="001B3AE4"/>
    <w:rsid w:val="001B3C1A"/>
    <w:rsid w:val="001B3E95"/>
    <w:rsid w:val="001B417B"/>
    <w:rsid w:val="001B4293"/>
    <w:rsid w:val="001B492B"/>
    <w:rsid w:val="001B4A1A"/>
    <w:rsid w:val="001B4B68"/>
    <w:rsid w:val="001B4E91"/>
    <w:rsid w:val="001B4E98"/>
    <w:rsid w:val="001B4FA4"/>
    <w:rsid w:val="001B5170"/>
    <w:rsid w:val="001B51F0"/>
    <w:rsid w:val="001B530B"/>
    <w:rsid w:val="001B6304"/>
    <w:rsid w:val="001B6896"/>
    <w:rsid w:val="001B6940"/>
    <w:rsid w:val="001B69DB"/>
    <w:rsid w:val="001B7047"/>
    <w:rsid w:val="001B766F"/>
    <w:rsid w:val="001B78BA"/>
    <w:rsid w:val="001B78CE"/>
    <w:rsid w:val="001B7B67"/>
    <w:rsid w:val="001B7BE2"/>
    <w:rsid w:val="001B7D2D"/>
    <w:rsid w:val="001B7E38"/>
    <w:rsid w:val="001B7EC7"/>
    <w:rsid w:val="001C00E9"/>
    <w:rsid w:val="001C0124"/>
    <w:rsid w:val="001C0508"/>
    <w:rsid w:val="001C0926"/>
    <w:rsid w:val="001C104B"/>
    <w:rsid w:val="001C1129"/>
    <w:rsid w:val="001C1191"/>
    <w:rsid w:val="001C178D"/>
    <w:rsid w:val="001C1A17"/>
    <w:rsid w:val="001C1B32"/>
    <w:rsid w:val="001C1C95"/>
    <w:rsid w:val="001C2170"/>
    <w:rsid w:val="001C22F0"/>
    <w:rsid w:val="001C2308"/>
    <w:rsid w:val="001C24F7"/>
    <w:rsid w:val="001C2506"/>
    <w:rsid w:val="001C2594"/>
    <w:rsid w:val="001C2804"/>
    <w:rsid w:val="001C2AC8"/>
    <w:rsid w:val="001C2C8D"/>
    <w:rsid w:val="001C311D"/>
    <w:rsid w:val="001C3199"/>
    <w:rsid w:val="001C31B5"/>
    <w:rsid w:val="001C395B"/>
    <w:rsid w:val="001C43BB"/>
    <w:rsid w:val="001C46ED"/>
    <w:rsid w:val="001C4B08"/>
    <w:rsid w:val="001C4D27"/>
    <w:rsid w:val="001C4E8F"/>
    <w:rsid w:val="001C5A11"/>
    <w:rsid w:val="001C61AC"/>
    <w:rsid w:val="001C62B1"/>
    <w:rsid w:val="001C6577"/>
    <w:rsid w:val="001C6730"/>
    <w:rsid w:val="001C6DB5"/>
    <w:rsid w:val="001C7484"/>
    <w:rsid w:val="001C7929"/>
    <w:rsid w:val="001C7B38"/>
    <w:rsid w:val="001C7CAA"/>
    <w:rsid w:val="001C7E3F"/>
    <w:rsid w:val="001D0019"/>
    <w:rsid w:val="001D006E"/>
    <w:rsid w:val="001D03F4"/>
    <w:rsid w:val="001D0475"/>
    <w:rsid w:val="001D091C"/>
    <w:rsid w:val="001D0D77"/>
    <w:rsid w:val="001D13D0"/>
    <w:rsid w:val="001D17EF"/>
    <w:rsid w:val="001D19F4"/>
    <w:rsid w:val="001D2075"/>
    <w:rsid w:val="001D219D"/>
    <w:rsid w:val="001D28F1"/>
    <w:rsid w:val="001D3096"/>
    <w:rsid w:val="001D3973"/>
    <w:rsid w:val="001D3C5E"/>
    <w:rsid w:val="001D3E8E"/>
    <w:rsid w:val="001D3F04"/>
    <w:rsid w:val="001D4C31"/>
    <w:rsid w:val="001D511E"/>
    <w:rsid w:val="001D5299"/>
    <w:rsid w:val="001D5415"/>
    <w:rsid w:val="001D5485"/>
    <w:rsid w:val="001D54CA"/>
    <w:rsid w:val="001D553D"/>
    <w:rsid w:val="001D5CF3"/>
    <w:rsid w:val="001D5DF4"/>
    <w:rsid w:val="001D60B3"/>
    <w:rsid w:val="001D6175"/>
    <w:rsid w:val="001D61C1"/>
    <w:rsid w:val="001D6375"/>
    <w:rsid w:val="001D68F3"/>
    <w:rsid w:val="001D6A75"/>
    <w:rsid w:val="001D6D0C"/>
    <w:rsid w:val="001D6DEE"/>
    <w:rsid w:val="001D6F25"/>
    <w:rsid w:val="001D702C"/>
    <w:rsid w:val="001D7184"/>
    <w:rsid w:val="001D788C"/>
    <w:rsid w:val="001E0278"/>
    <w:rsid w:val="001E02C4"/>
    <w:rsid w:val="001E02D2"/>
    <w:rsid w:val="001E087D"/>
    <w:rsid w:val="001E08EB"/>
    <w:rsid w:val="001E0DA8"/>
    <w:rsid w:val="001E16AB"/>
    <w:rsid w:val="001E16E7"/>
    <w:rsid w:val="001E17B5"/>
    <w:rsid w:val="001E1B60"/>
    <w:rsid w:val="001E1DD4"/>
    <w:rsid w:val="001E2214"/>
    <w:rsid w:val="001E2482"/>
    <w:rsid w:val="001E2707"/>
    <w:rsid w:val="001E293C"/>
    <w:rsid w:val="001E2AA9"/>
    <w:rsid w:val="001E3058"/>
    <w:rsid w:val="001E3695"/>
    <w:rsid w:val="001E3AEF"/>
    <w:rsid w:val="001E3B18"/>
    <w:rsid w:val="001E3BE9"/>
    <w:rsid w:val="001E3ECB"/>
    <w:rsid w:val="001E3F69"/>
    <w:rsid w:val="001E3FD8"/>
    <w:rsid w:val="001E5502"/>
    <w:rsid w:val="001E58A8"/>
    <w:rsid w:val="001E617F"/>
    <w:rsid w:val="001E6292"/>
    <w:rsid w:val="001E65C6"/>
    <w:rsid w:val="001E673C"/>
    <w:rsid w:val="001E6F06"/>
    <w:rsid w:val="001E73F8"/>
    <w:rsid w:val="001E75EC"/>
    <w:rsid w:val="001E76B5"/>
    <w:rsid w:val="001F04A4"/>
    <w:rsid w:val="001F0727"/>
    <w:rsid w:val="001F076B"/>
    <w:rsid w:val="001F0897"/>
    <w:rsid w:val="001F0C80"/>
    <w:rsid w:val="001F13DC"/>
    <w:rsid w:val="001F1480"/>
    <w:rsid w:val="001F1A95"/>
    <w:rsid w:val="001F1D72"/>
    <w:rsid w:val="001F1E82"/>
    <w:rsid w:val="001F2278"/>
    <w:rsid w:val="001F2617"/>
    <w:rsid w:val="001F2825"/>
    <w:rsid w:val="001F28AC"/>
    <w:rsid w:val="001F2B09"/>
    <w:rsid w:val="001F3562"/>
    <w:rsid w:val="001F38EF"/>
    <w:rsid w:val="001F4498"/>
    <w:rsid w:val="001F4764"/>
    <w:rsid w:val="001F4864"/>
    <w:rsid w:val="001F4C50"/>
    <w:rsid w:val="001F5BBD"/>
    <w:rsid w:val="001F5C15"/>
    <w:rsid w:val="001F63F9"/>
    <w:rsid w:val="001F678D"/>
    <w:rsid w:val="001F67D8"/>
    <w:rsid w:val="001F6DD2"/>
    <w:rsid w:val="001F6F5C"/>
    <w:rsid w:val="001F6F64"/>
    <w:rsid w:val="001F70FB"/>
    <w:rsid w:val="001F7182"/>
    <w:rsid w:val="001F7390"/>
    <w:rsid w:val="001F7449"/>
    <w:rsid w:val="001F765E"/>
    <w:rsid w:val="001F7733"/>
    <w:rsid w:val="001F783C"/>
    <w:rsid w:val="001F7E0C"/>
    <w:rsid w:val="00200302"/>
    <w:rsid w:val="00200483"/>
    <w:rsid w:val="00200768"/>
    <w:rsid w:val="002009DC"/>
    <w:rsid w:val="00200C93"/>
    <w:rsid w:val="00201182"/>
    <w:rsid w:val="00201282"/>
    <w:rsid w:val="0020137A"/>
    <w:rsid w:val="00201483"/>
    <w:rsid w:val="00201DA0"/>
    <w:rsid w:val="00201EB5"/>
    <w:rsid w:val="00201F73"/>
    <w:rsid w:val="002026D7"/>
    <w:rsid w:val="00202926"/>
    <w:rsid w:val="00202EC8"/>
    <w:rsid w:val="00202F65"/>
    <w:rsid w:val="0020371B"/>
    <w:rsid w:val="00203966"/>
    <w:rsid w:val="00203E6D"/>
    <w:rsid w:val="00204082"/>
    <w:rsid w:val="002046A2"/>
    <w:rsid w:val="0020475F"/>
    <w:rsid w:val="002047D8"/>
    <w:rsid w:val="002049C9"/>
    <w:rsid w:val="00204A27"/>
    <w:rsid w:val="002052D0"/>
    <w:rsid w:val="002054FE"/>
    <w:rsid w:val="00206319"/>
    <w:rsid w:val="002066E4"/>
    <w:rsid w:val="00206746"/>
    <w:rsid w:val="002068F0"/>
    <w:rsid w:val="00206BA8"/>
    <w:rsid w:val="00206D77"/>
    <w:rsid w:val="002071F4"/>
    <w:rsid w:val="00207255"/>
    <w:rsid w:val="00207597"/>
    <w:rsid w:val="00207862"/>
    <w:rsid w:val="00207889"/>
    <w:rsid w:val="00207AA6"/>
    <w:rsid w:val="00207CB8"/>
    <w:rsid w:val="00207FF1"/>
    <w:rsid w:val="002100BA"/>
    <w:rsid w:val="00210AF4"/>
    <w:rsid w:val="00210CD8"/>
    <w:rsid w:val="00210D38"/>
    <w:rsid w:val="002113E6"/>
    <w:rsid w:val="002113FC"/>
    <w:rsid w:val="002116B0"/>
    <w:rsid w:val="00211A99"/>
    <w:rsid w:val="00211B3C"/>
    <w:rsid w:val="002121E7"/>
    <w:rsid w:val="002123B7"/>
    <w:rsid w:val="0021258B"/>
    <w:rsid w:val="002125DF"/>
    <w:rsid w:val="00212862"/>
    <w:rsid w:val="00212971"/>
    <w:rsid w:val="002129AF"/>
    <w:rsid w:val="00212B6A"/>
    <w:rsid w:val="00212C0D"/>
    <w:rsid w:val="00212E8F"/>
    <w:rsid w:val="00213764"/>
    <w:rsid w:val="0021389E"/>
    <w:rsid w:val="00213A03"/>
    <w:rsid w:val="00213B3B"/>
    <w:rsid w:val="00213CB7"/>
    <w:rsid w:val="00213E9D"/>
    <w:rsid w:val="00214479"/>
    <w:rsid w:val="00214866"/>
    <w:rsid w:val="00214969"/>
    <w:rsid w:val="00214C25"/>
    <w:rsid w:val="00214D51"/>
    <w:rsid w:val="00215090"/>
    <w:rsid w:val="002153FB"/>
    <w:rsid w:val="002157A5"/>
    <w:rsid w:val="00215BBF"/>
    <w:rsid w:val="00215D11"/>
    <w:rsid w:val="002160A4"/>
    <w:rsid w:val="0021629F"/>
    <w:rsid w:val="002162C9"/>
    <w:rsid w:val="002165A8"/>
    <w:rsid w:val="00216D64"/>
    <w:rsid w:val="002172D5"/>
    <w:rsid w:val="00217480"/>
    <w:rsid w:val="002177EE"/>
    <w:rsid w:val="00217A4F"/>
    <w:rsid w:val="00217FE3"/>
    <w:rsid w:val="002200E8"/>
    <w:rsid w:val="00220270"/>
    <w:rsid w:val="00220727"/>
    <w:rsid w:val="002207AC"/>
    <w:rsid w:val="00220C90"/>
    <w:rsid w:val="00220CB1"/>
    <w:rsid w:val="002212D0"/>
    <w:rsid w:val="002214B6"/>
    <w:rsid w:val="00221573"/>
    <w:rsid w:val="00221BC0"/>
    <w:rsid w:val="00222046"/>
    <w:rsid w:val="00222137"/>
    <w:rsid w:val="0022214A"/>
    <w:rsid w:val="002225EB"/>
    <w:rsid w:val="002227FD"/>
    <w:rsid w:val="002228E6"/>
    <w:rsid w:val="00223013"/>
    <w:rsid w:val="00223075"/>
    <w:rsid w:val="0022309E"/>
    <w:rsid w:val="00223472"/>
    <w:rsid w:val="0022360D"/>
    <w:rsid w:val="00223846"/>
    <w:rsid w:val="00223859"/>
    <w:rsid w:val="00223B92"/>
    <w:rsid w:val="00223C0E"/>
    <w:rsid w:val="0022463A"/>
    <w:rsid w:val="0022466F"/>
    <w:rsid w:val="00224A14"/>
    <w:rsid w:val="00225AD6"/>
    <w:rsid w:val="00225C43"/>
    <w:rsid w:val="00225D2D"/>
    <w:rsid w:val="00225E60"/>
    <w:rsid w:val="00225FA1"/>
    <w:rsid w:val="002261A6"/>
    <w:rsid w:val="0022651B"/>
    <w:rsid w:val="002265B8"/>
    <w:rsid w:val="00226795"/>
    <w:rsid w:val="002267C7"/>
    <w:rsid w:val="00226E81"/>
    <w:rsid w:val="00226E87"/>
    <w:rsid w:val="00226EB9"/>
    <w:rsid w:val="00226FF7"/>
    <w:rsid w:val="002275CB"/>
    <w:rsid w:val="0022774A"/>
    <w:rsid w:val="002277D9"/>
    <w:rsid w:val="00227C44"/>
    <w:rsid w:val="002303AD"/>
    <w:rsid w:val="00230426"/>
    <w:rsid w:val="0023086A"/>
    <w:rsid w:val="00230D48"/>
    <w:rsid w:val="00230DCD"/>
    <w:rsid w:val="002311AA"/>
    <w:rsid w:val="00231384"/>
    <w:rsid w:val="002314A5"/>
    <w:rsid w:val="00231758"/>
    <w:rsid w:val="00231765"/>
    <w:rsid w:val="002317CB"/>
    <w:rsid w:val="002320DC"/>
    <w:rsid w:val="00232209"/>
    <w:rsid w:val="00232CB8"/>
    <w:rsid w:val="00233164"/>
    <w:rsid w:val="0023328C"/>
    <w:rsid w:val="00233384"/>
    <w:rsid w:val="00233584"/>
    <w:rsid w:val="00233794"/>
    <w:rsid w:val="002338AE"/>
    <w:rsid w:val="00233B1C"/>
    <w:rsid w:val="00233DB4"/>
    <w:rsid w:val="00233F3F"/>
    <w:rsid w:val="00233FCD"/>
    <w:rsid w:val="00233FE7"/>
    <w:rsid w:val="0023410B"/>
    <w:rsid w:val="002341DD"/>
    <w:rsid w:val="00234237"/>
    <w:rsid w:val="0023438F"/>
    <w:rsid w:val="00234682"/>
    <w:rsid w:val="002349F8"/>
    <w:rsid w:val="00234A80"/>
    <w:rsid w:val="00234C0D"/>
    <w:rsid w:val="00234D61"/>
    <w:rsid w:val="00235022"/>
    <w:rsid w:val="002353AE"/>
    <w:rsid w:val="00235423"/>
    <w:rsid w:val="00235728"/>
    <w:rsid w:val="0023589D"/>
    <w:rsid w:val="00235B90"/>
    <w:rsid w:val="0023625B"/>
    <w:rsid w:val="00236AE8"/>
    <w:rsid w:val="00236B11"/>
    <w:rsid w:val="00236C04"/>
    <w:rsid w:val="0023766B"/>
    <w:rsid w:val="00237734"/>
    <w:rsid w:val="00237832"/>
    <w:rsid w:val="002378B1"/>
    <w:rsid w:val="00237CF2"/>
    <w:rsid w:val="00237DD0"/>
    <w:rsid w:val="00237EE7"/>
    <w:rsid w:val="002400E8"/>
    <w:rsid w:val="00240437"/>
    <w:rsid w:val="00240871"/>
    <w:rsid w:val="00240AEB"/>
    <w:rsid w:val="00240DF1"/>
    <w:rsid w:val="00241783"/>
    <w:rsid w:val="00241B54"/>
    <w:rsid w:val="00241F1E"/>
    <w:rsid w:val="002420E4"/>
    <w:rsid w:val="00242642"/>
    <w:rsid w:val="0024280B"/>
    <w:rsid w:val="00242BAC"/>
    <w:rsid w:val="00242C79"/>
    <w:rsid w:val="00242C7F"/>
    <w:rsid w:val="00242CAB"/>
    <w:rsid w:val="00242EC6"/>
    <w:rsid w:val="00243356"/>
    <w:rsid w:val="002433EC"/>
    <w:rsid w:val="002434FF"/>
    <w:rsid w:val="00243D9E"/>
    <w:rsid w:val="00243F42"/>
    <w:rsid w:val="00244005"/>
    <w:rsid w:val="00244055"/>
    <w:rsid w:val="0024431C"/>
    <w:rsid w:val="002446DC"/>
    <w:rsid w:val="002449B7"/>
    <w:rsid w:val="00244AB2"/>
    <w:rsid w:val="00244BAB"/>
    <w:rsid w:val="00244C32"/>
    <w:rsid w:val="00244E5A"/>
    <w:rsid w:val="002450FE"/>
    <w:rsid w:val="002451AF"/>
    <w:rsid w:val="00245238"/>
    <w:rsid w:val="002452CF"/>
    <w:rsid w:val="00245670"/>
    <w:rsid w:val="00245852"/>
    <w:rsid w:val="00245ACC"/>
    <w:rsid w:val="00245DE3"/>
    <w:rsid w:val="00245DE8"/>
    <w:rsid w:val="002461B9"/>
    <w:rsid w:val="002461DA"/>
    <w:rsid w:val="002465F4"/>
    <w:rsid w:val="002468AD"/>
    <w:rsid w:val="00246D10"/>
    <w:rsid w:val="00247287"/>
    <w:rsid w:val="0024730F"/>
    <w:rsid w:val="002473D4"/>
    <w:rsid w:val="00247463"/>
    <w:rsid w:val="00247A5D"/>
    <w:rsid w:val="002500E9"/>
    <w:rsid w:val="00250351"/>
    <w:rsid w:val="002505B5"/>
    <w:rsid w:val="002506E4"/>
    <w:rsid w:val="002508D2"/>
    <w:rsid w:val="00250BA1"/>
    <w:rsid w:val="00250D8E"/>
    <w:rsid w:val="00250F9F"/>
    <w:rsid w:val="00251002"/>
    <w:rsid w:val="002510D9"/>
    <w:rsid w:val="002514D3"/>
    <w:rsid w:val="0025159A"/>
    <w:rsid w:val="00251D5F"/>
    <w:rsid w:val="00251E7C"/>
    <w:rsid w:val="002521DE"/>
    <w:rsid w:val="002525E4"/>
    <w:rsid w:val="00252709"/>
    <w:rsid w:val="00252791"/>
    <w:rsid w:val="00252897"/>
    <w:rsid w:val="00252995"/>
    <w:rsid w:val="00252BA0"/>
    <w:rsid w:val="00252EC6"/>
    <w:rsid w:val="0025395C"/>
    <w:rsid w:val="00253AF0"/>
    <w:rsid w:val="00254213"/>
    <w:rsid w:val="002542C5"/>
    <w:rsid w:val="00254377"/>
    <w:rsid w:val="00254CCB"/>
    <w:rsid w:val="00254DE4"/>
    <w:rsid w:val="002554D7"/>
    <w:rsid w:val="00255727"/>
    <w:rsid w:val="0025581C"/>
    <w:rsid w:val="00255EEE"/>
    <w:rsid w:val="002560CD"/>
    <w:rsid w:val="002562BF"/>
    <w:rsid w:val="00256A62"/>
    <w:rsid w:val="00256ACB"/>
    <w:rsid w:val="00256C03"/>
    <w:rsid w:val="00256F38"/>
    <w:rsid w:val="00256F58"/>
    <w:rsid w:val="00256FF7"/>
    <w:rsid w:val="002577CE"/>
    <w:rsid w:val="00257BA7"/>
    <w:rsid w:val="00257E87"/>
    <w:rsid w:val="00257F01"/>
    <w:rsid w:val="00260AB0"/>
    <w:rsid w:val="00260B0D"/>
    <w:rsid w:val="00260CDB"/>
    <w:rsid w:val="002615F9"/>
    <w:rsid w:val="00261743"/>
    <w:rsid w:val="00261A4A"/>
    <w:rsid w:val="00261B0C"/>
    <w:rsid w:val="00261DB9"/>
    <w:rsid w:val="002620E7"/>
    <w:rsid w:val="002622E5"/>
    <w:rsid w:val="00262718"/>
    <w:rsid w:val="00262727"/>
    <w:rsid w:val="00262784"/>
    <w:rsid w:val="00262B66"/>
    <w:rsid w:val="00262C2B"/>
    <w:rsid w:val="0026353E"/>
    <w:rsid w:val="00263BF7"/>
    <w:rsid w:val="00263E48"/>
    <w:rsid w:val="00264232"/>
    <w:rsid w:val="00264CBC"/>
    <w:rsid w:val="00264E8C"/>
    <w:rsid w:val="00264F9E"/>
    <w:rsid w:val="0026550D"/>
    <w:rsid w:val="002656A2"/>
    <w:rsid w:val="002658EA"/>
    <w:rsid w:val="00265A13"/>
    <w:rsid w:val="002660C4"/>
    <w:rsid w:val="0026617D"/>
    <w:rsid w:val="0026644A"/>
    <w:rsid w:val="00266742"/>
    <w:rsid w:val="0026685C"/>
    <w:rsid w:val="00266C85"/>
    <w:rsid w:val="00266EA8"/>
    <w:rsid w:val="00267277"/>
    <w:rsid w:val="0026760B"/>
    <w:rsid w:val="0026763B"/>
    <w:rsid w:val="002678E4"/>
    <w:rsid w:val="00267E27"/>
    <w:rsid w:val="00267EEA"/>
    <w:rsid w:val="00267FE3"/>
    <w:rsid w:val="00270526"/>
    <w:rsid w:val="00270B23"/>
    <w:rsid w:val="00270C67"/>
    <w:rsid w:val="00270D7A"/>
    <w:rsid w:val="00270E2E"/>
    <w:rsid w:val="00271153"/>
    <w:rsid w:val="00271186"/>
    <w:rsid w:val="002713AF"/>
    <w:rsid w:val="00271539"/>
    <w:rsid w:val="00271652"/>
    <w:rsid w:val="00271A13"/>
    <w:rsid w:val="00271B45"/>
    <w:rsid w:val="00271E4D"/>
    <w:rsid w:val="002722DE"/>
    <w:rsid w:val="00272411"/>
    <w:rsid w:val="00272438"/>
    <w:rsid w:val="0027262E"/>
    <w:rsid w:val="0027289C"/>
    <w:rsid w:val="002728C6"/>
    <w:rsid w:val="00272A13"/>
    <w:rsid w:val="00272E5F"/>
    <w:rsid w:val="00272EFA"/>
    <w:rsid w:val="002730B5"/>
    <w:rsid w:val="002730EC"/>
    <w:rsid w:val="00273716"/>
    <w:rsid w:val="002739F8"/>
    <w:rsid w:val="00273BAD"/>
    <w:rsid w:val="00273BC8"/>
    <w:rsid w:val="00273DAC"/>
    <w:rsid w:val="00273E65"/>
    <w:rsid w:val="00273FDB"/>
    <w:rsid w:val="002745C0"/>
    <w:rsid w:val="002747EC"/>
    <w:rsid w:val="00274859"/>
    <w:rsid w:val="00274950"/>
    <w:rsid w:val="00274E2A"/>
    <w:rsid w:val="0027510F"/>
    <w:rsid w:val="0027540E"/>
    <w:rsid w:val="00275478"/>
    <w:rsid w:val="002755C0"/>
    <w:rsid w:val="002755EF"/>
    <w:rsid w:val="00275764"/>
    <w:rsid w:val="00275A20"/>
    <w:rsid w:val="00275AC1"/>
    <w:rsid w:val="00275D5F"/>
    <w:rsid w:val="0027602C"/>
    <w:rsid w:val="00276387"/>
    <w:rsid w:val="00276B81"/>
    <w:rsid w:val="00276E38"/>
    <w:rsid w:val="002773A7"/>
    <w:rsid w:val="002777A5"/>
    <w:rsid w:val="00277885"/>
    <w:rsid w:val="00277B3C"/>
    <w:rsid w:val="0028080D"/>
    <w:rsid w:val="00280EBA"/>
    <w:rsid w:val="00281335"/>
    <w:rsid w:val="00281BB6"/>
    <w:rsid w:val="00281C6B"/>
    <w:rsid w:val="0028231E"/>
    <w:rsid w:val="002823ED"/>
    <w:rsid w:val="0028269B"/>
    <w:rsid w:val="00282A13"/>
    <w:rsid w:val="00282A18"/>
    <w:rsid w:val="00282B37"/>
    <w:rsid w:val="00282B81"/>
    <w:rsid w:val="0028302C"/>
    <w:rsid w:val="002830FD"/>
    <w:rsid w:val="002836EF"/>
    <w:rsid w:val="00283791"/>
    <w:rsid w:val="002837A2"/>
    <w:rsid w:val="00283993"/>
    <w:rsid w:val="00283A93"/>
    <w:rsid w:val="00283F5D"/>
    <w:rsid w:val="00284372"/>
    <w:rsid w:val="0028438B"/>
    <w:rsid w:val="002845C3"/>
    <w:rsid w:val="002847A9"/>
    <w:rsid w:val="002848E1"/>
    <w:rsid w:val="0028492E"/>
    <w:rsid w:val="00284B40"/>
    <w:rsid w:val="00284B87"/>
    <w:rsid w:val="00284BA1"/>
    <w:rsid w:val="00284C5A"/>
    <w:rsid w:val="00284D14"/>
    <w:rsid w:val="00284DDD"/>
    <w:rsid w:val="00284DFE"/>
    <w:rsid w:val="00284E02"/>
    <w:rsid w:val="0028529D"/>
    <w:rsid w:val="002852BD"/>
    <w:rsid w:val="00285B04"/>
    <w:rsid w:val="00285BF3"/>
    <w:rsid w:val="00285D8D"/>
    <w:rsid w:val="00285FBE"/>
    <w:rsid w:val="00285FE8"/>
    <w:rsid w:val="002860C6"/>
    <w:rsid w:val="002862C6"/>
    <w:rsid w:val="00286307"/>
    <w:rsid w:val="002863FF"/>
    <w:rsid w:val="002864C5"/>
    <w:rsid w:val="002864E6"/>
    <w:rsid w:val="00286D28"/>
    <w:rsid w:val="00286DDD"/>
    <w:rsid w:val="00286EE1"/>
    <w:rsid w:val="00287027"/>
    <w:rsid w:val="002870A4"/>
    <w:rsid w:val="002871A3"/>
    <w:rsid w:val="00287409"/>
    <w:rsid w:val="00287631"/>
    <w:rsid w:val="00287991"/>
    <w:rsid w:val="00287A6B"/>
    <w:rsid w:val="00287E60"/>
    <w:rsid w:val="00287EAF"/>
    <w:rsid w:val="0029043C"/>
    <w:rsid w:val="0029077E"/>
    <w:rsid w:val="00290BA6"/>
    <w:rsid w:val="00290CE6"/>
    <w:rsid w:val="00290E39"/>
    <w:rsid w:val="0029115D"/>
    <w:rsid w:val="00291BBC"/>
    <w:rsid w:val="00291BCA"/>
    <w:rsid w:val="002920C6"/>
    <w:rsid w:val="002921EE"/>
    <w:rsid w:val="002921F2"/>
    <w:rsid w:val="002922E0"/>
    <w:rsid w:val="002924E2"/>
    <w:rsid w:val="002925BC"/>
    <w:rsid w:val="002929DE"/>
    <w:rsid w:val="00292E43"/>
    <w:rsid w:val="00293DF9"/>
    <w:rsid w:val="002940D0"/>
    <w:rsid w:val="00294853"/>
    <w:rsid w:val="00294947"/>
    <w:rsid w:val="0029496C"/>
    <w:rsid w:val="00294B8C"/>
    <w:rsid w:val="00294F86"/>
    <w:rsid w:val="002954F9"/>
    <w:rsid w:val="00295B84"/>
    <w:rsid w:val="00295E69"/>
    <w:rsid w:val="002962D1"/>
    <w:rsid w:val="002963A7"/>
    <w:rsid w:val="002963B3"/>
    <w:rsid w:val="00296789"/>
    <w:rsid w:val="002967FC"/>
    <w:rsid w:val="00296929"/>
    <w:rsid w:val="0029697A"/>
    <w:rsid w:val="002969B5"/>
    <w:rsid w:val="00296ACC"/>
    <w:rsid w:val="00296EEE"/>
    <w:rsid w:val="00297270"/>
    <w:rsid w:val="002972A1"/>
    <w:rsid w:val="002972F9"/>
    <w:rsid w:val="00297649"/>
    <w:rsid w:val="00297BFE"/>
    <w:rsid w:val="002A0029"/>
    <w:rsid w:val="002A003C"/>
    <w:rsid w:val="002A037F"/>
    <w:rsid w:val="002A0B52"/>
    <w:rsid w:val="002A11DD"/>
    <w:rsid w:val="002A13F4"/>
    <w:rsid w:val="002A165E"/>
    <w:rsid w:val="002A1839"/>
    <w:rsid w:val="002A1876"/>
    <w:rsid w:val="002A194C"/>
    <w:rsid w:val="002A1B96"/>
    <w:rsid w:val="002A1C98"/>
    <w:rsid w:val="002A1EC8"/>
    <w:rsid w:val="002A20E3"/>
    <w:rsid w:val="002A2272"/>
    <w:rsid w:val="002A2696"/>
    <w:rsid w:val="002A2ABA"/>
    <w:rsid w:val="002A2CA9"/>
    <w:rsid w:val="002A2E71"/>
    <w:rsid w:val="002A315C"/>
    <w:rsid w:val="002A36F6"/>
    <w:rsid w:val="002A3961"/>
    <w:rsid w:val="002A3C9A"/>
    <w:rsid w:val="002A3D12"/>
    <w:rsid w:val="002A3D32"/>
    <w:rsid w:val="002A3DFF"/>
    <w:rsid w:val="002A447C"/>
    <w:rsid w:val="002A44F1"/>
    <w:rsid w:val="002A4AD0"/>
    <w:rsid w:val="002A4AF3"/>
    <w:rsid w:val="002A4C78"/>
    <w:rsid w:val="002A4D89"/>
    <w:rsid w:val="002A4F11"/>
    <w:rsid w:val="002A5148"/>
    <w:rsid w:val="002A521E"/>
    <w:rsid w:val="002A523B"/>
    <w:rsid w:val="002A56F0"/>
    <w:rsid w:val="002A5735"/>
    <w:rsid w:val="002A5C65"/>
    <w:rsid w:val="002A65F1"/>
    <w:rsid w:val="002A6A2F"/>
    <w:rsid w:val="002A6F98"/>
    <w:rsid w:val="002A76C8"/>
    <w:rsid w:val="002A77C7"/>
    <w:rsid w:val="002A77CA"/>
    <w:rsid w:val="002A77F6"/>
    <w:rsid w:val="002A78F5"/>
    <w:rsid w:val="002A7965"/>
    <w:rsid w:val="002A7A8C"/>
    <w:rsid w:val="002A7C46"/>
    <w:rsid w:val="002B02AB"/>
    <w:rsid w:val="002B03DB"/>
    <w:rsid w:val="002B05A6"/>
    <w:rsid w:val="002B06C4"/>
    <w:rsid w:val="002B080F"/>
    <w:rsid w:val="002B089A"/>
    <w:rsid w:val="002B0AAB"/>
    <w:rsid w:val="002B0B62"/>
    <w:rsid w:val="002B0DE8"/>
    <w:rsid w:val="002B0DEC"/>
    <w:rsid w:val="002B1A26"/>
    <w:rsid w:val="002B1ADE"/>
    <w:rsid w:val="002B1B9A"/>
    <w:rsid w:val="002B21B0"/>
    <w:rsid w:val="002B22F2"/>
    <w:rsid w:val="002B249F"/>
    <w:rsid w:val="002B24BE"/>
    <w:rsid w:val="002B26A0"/>
    <w:rsid w:val="002B2A5C"/>
    <w:rsid w:val="002B2B4A"/>
    <w:rsid w:val="002B3A8A"/>
    <w:rsid w:val="002B3C61"/>
    <w:rsid w:val="002B3F37"/>
    <w:rsid w:val="002B4298"/>
    <w:rsid w:val="002B44C3"/>
    <w:rsid w:val="002B4A0A"/>
    <w:rsid w:val="002B4B8A"/>
    <w:rsid w:val="002B4B99"/>
    <w:rsid w:val="002B53F6"/>
    <w:rsid w:val="002B5409"/>
    <w:rsid w:val="002B5DF6"/>
    <w:rsid w:val="002B5E00"/>
    <w:rsid w:val="002B5E87"/>
    <w:rsid w:val="002B5ED3"/>
    <w:rsid w:val="002B6008"/>
    <w:rsid w:val="002B63CC"/>
    <w:rsid w:val="002B66B0"/>
    <w:rsid w:val="002B67D1"/>
    <w:rsid w:val="002B68B0"/>
    <w:rsid w:val="002B68DE"/>
    <w:rsid w:val="002B6CE2"/>
    <w:rsid w:val="002B6CEE"/>
    <w:rsid w:val="002B6F40"/>
    <w:rsid w:val="002B7D67"/>
    <w:rsid w:val="002B7F07"/>
    <w:rsid w:val="002C0038"/>
    <w:rsid w:val="002C0361"/>
    <w:rsid w:val="002C04F7"/>
    <w:rsid w:val="002C07C8"/>
    <w:rsid w:val="002C0998"/>
    <w:rsid w:val="002C0B54"/>
    <w:rsid w:val="002C1253"/>
    <w:rsid w:val="002C1372"/>
    <w:rsid w:val="002C19AE"/>
    <w:rsid w:val="002C1EF4"/>
    <w:rsid w:val="002C2371"/>
    <w:rsid w:val="002C2525"/>
    <w:rsid w:val="002C2B01"/>
    <w:rsid w:val="002C2F66"/>
    <w:rsid w:val="002C30F9"/>
    <w:rsid w:val="002C32E2"/>
    <w:rsid w:val="002C3329"/>
    <w:rsid w:val="002C3535"/>
    <w:rsid w:val="002C39EF"/>
    <w:rsid w:val="002C3A60"/>
    <w:rsid w:val="002C4013"/>
    <w:rsid w:val="002C41A1"/>
    <w:rsid w:val="002C452A"/>
    <w:rsid w:val="002C50BC"/>
    <w:rsid w:val="002C51CD"/>
    <w:rsid w:val="002C55B7"/>
    <w:rsid w:val="002C5735"/>
    <w:rsid w:val="002C5927"/>
    <w:rsid w:val="002C5B39"/>
    <w:rsid w:val="002C5B9B"/>
    <w:rsid w:val="002C63BD"/>
    <w:rsid w:val="002C6933"/>
    <w:rsid w:val="002C6E40"/>
    <w:rsid w:val="002C7431"/>
    <w:rsid w:val="002C78D5"/>
    <w:rsid w:val="002C7D63"/>
    <w:rsid w:val="002D00C9"/>
    <w:rsid w:val="002D0198"/>
    <w:rsid w:val="002D099C"/>
    <w:rsid w:val="002D1400"/>
    <w:rsid w:val="002D1BB8"/>
    <w:rsid w:val="002D1C60"/>
    <w:rsid w:val="002D1D7F"/>
    <w:rsid w:val="002D2C78"/>
    <w:rsid w:val="002D2EE6"/>
    <w:rsid w:val="002D30D9"/>
    <w:rsid w:val="002D3217"/>
    <w:rsid w:val="002D337E"/>
    <w:rsid w:val="002D376C"/>
    <w:rsid w:val="002D3864"/>
    <w:rsid w:val="002D3F3B"/>
    <w:rsid w:val="002D4200"/>
    <w:rsid w:val="002D4307"/>
    <w:rsid w:val="002D45E7"/>
    <w:rsid w:val="002D4CAB"/>
    <w:rsid w:val="002D4CD0"/>
    <w:rsid w:val="002D4D52"/>
    <w:rsid w:val="002D50CF"/>
    <w:rsid w:val="002D514E"/>
    <w:rsid w:val="002D53FF"/>
    <w:rsid w:val="002D5B0A"/>
    <w:rsid w:val="002D5B89"/>
    <w:rsid w:val="002D61B1"/>
    <w:rsid w:val="002D6373"/>
    <w:rsid w:val="002D639F"/>
    <w:rsid w:val="002D6722"/>
    <w:rsid w:val="002D6D04"/>
    <w:rsid w:val="002D6D4A"/>
    <w:rsid w:val="002D6E63"/>
    <w:rsid w:val="002D721D"/>
    <w:rsid w:val="002D74AC"/>
    <w:rsid w:val="002D751A"/>
    <w:rsid w:val="002D7883"/>
    <w:rsid w:val="002D78E9"/>
    <w:rsid w:val="002D7C5A"/>
    <w:rsid w:val="002D7DA4"/>
    <w:rsid w:val="002E004E"/>
    <w:rsid w:val="002E0356"/>
    <w:rsid w:val="002E0422"/>
    <w:rsid w:val="002E049B"/>
    <w:rsid w:val="002E062D"/>
    <w:rsid w:val="002E0ABA"/>
    <w:rsid w:val="002E1318"/>
    <w:rsid w:val="002E158F"/>
    <w:rsid w:val="002E182E"/>
    <w:rsid w:val="002E19F7"/>
    <w:rsid w:val="002E1CFE"/>
    <w:rsid w:val="002E1DBC"/>
    <w:rsid w:val="002E1DD2"/>
    <w:rsid w:val="002E20C9"/>
    <w:rsid w:val="002E216B"/>
    <w:rsid w:val="002E23EC"/>
    <w:rsid w:val="002E29B0"/>
    <w:rsid w:val="002E2A49"/>
    <w:rsid w:val="002E2F9A"/>
    <w:rsid w:val="002E3359"/>
    <w:rsid w:val="002E3BC8"/>
    <w:rsid w:val="002E3BF5"/>
    <w:rsid w:val="002E3DCD"/>
    <w:rsid w:val="002E3E1B"/>
    <w:rsid w:val="002E4003"/>
    <w:rsid w:val="002E4550"/>
    <w:rsid w:val="002E484D"/>
    <w:rsid w:val="002E49A5"/>
    <w:rsid w:val="002E4CD5"/>
    <w:rsid w:val="002E4DAC"/>
    <w:rsid w:val="002E5368"/>
    <w:rsid w:val="002E53D2"/>
    <w:rsid w:val="002E563F"/>
    <w:rsid w:val="002E5EF6"/>
    <w:rsid w:val="002E60B2"/>
    <w:rsid w:val="002E6270"/>
    <w:rsid w:val="002E641B"/>
    <w:rsid w:val="002E66C7"/>
    <w:rsid w:val="002E68CB"/>
    <w:rsid w:val="002E7073"/>
    <w:rsid w:val="002E7623"/>
    <w:rsid w:val="002F034B"/>
    <w:rsid w:val="002F05FC"/>
    <w:rsid w:val="002F06B9"/>
    <w:rsid w:val="002F07A0"/>
    <w:rsid w:val="002F0AEF"/>
    <w:rsid w:val="002F0F5F"/>
    <w:rsid w:val="002F1198"/>
    <w:rsid w:val="002F11B4"/>
    <w:rsid w:val="002F1275"/>
    <w:rsid w:val="002F185E"/>
    <w:rsid w:val="002F188E"/>
    <w:rsid w:val="002F1994"/>
    <w:rsid w:val="002F1DDE"/>
    <w:rsid w:val="002F22A6"/>
    <w:rsid w:val="002F232E"/>
    <w:rsid w:val="002F2888"/>
    <w:rsid w:val="002F29A0"/>
    <w:rsid w:val="002F2F50"/>
    <w:rsid w:val="002F3117"/>
    <w:rsid w:val="002F3486"/>
    <w:rsid w:val="002F3527"/>
    <w:rsid w:val="002F367D"/>
    <w:rsid w:val="002F3933"/>
    <w:rsid w:val="002F394F"/>
    <w:rsid w:val="002F39EF"/>
    <w:rsid w:val="002F3E8B"/>
    <w:rsid w:val="002F3EB7"/>
    <w:rsid w:val="002F406D"/>
    <w:rsid w:val="002F4401"/>
    <w:rsid w:val="002F46DE"/>
    <w:rsid w:val="002F4792"/>
    <w:rsid w:val="002F495D"/>
    <w:rsid w:val="002F4F12"/>
    <w:rsid w:val="002F50A5"/>
    <w:rsid w:val="002F50C5"/>
    <w:rsid w:val="002F5AF8"/>
    <w:rsid w:val="002F5DF0"/>
    <w:rsid w:val="002F6023"/>
    <w:rsid w:val="002F6034"/>
    <w:rsid w:val="002F606A"/>
    <w:rsid w:val="002F607F"/>
    <w:rsid w:val="002F6364"/>
    <w:rsid w:val="002F646F"/>
    <w:rsid w:val="002F6601"/>
    <w:rsid w:val="002F667E"/>
    <w:rsid w:val="002F6F1A"/>
    <w:rsid w:val="002F70E3"/>
    <w:rsid w:val="002F7325"/>
    <w:rsid w:val="002F7A6E"/>
    <w:rsid w:val="002F7C09"/>
    <w:rsid w:val="00300460"/>
    <w:rsid w:val="0030054B"/>
    <w:rsid w:val="0030086D"/>
    <w:rsid w:val="00300998"/>
    <w:rsid w:val="00300A6E"/>
    <w:rsid w:val="00300B73"/>
    <w:rsid w:val="00300D08"/>
    <w:rsid w:val="00300E44"/>
    <w:rsid w:val="00300EA8"/>
    <w:rsid w:val="00301259"/>
    <w:rsid w:val="0030155B"/>
    <w:rsid w:val="00301959"/>
    <w:rsid w:val="0030233B"/>
    <w:rsid w:val="003024BD"/>
    <w:rsid w:val="00302F0B"/>
    <w:rsid w:val="00302F2D"/>
    <w:rsid w:val="003032DD"/>
    <w:rsid w:val="0030364F"/>
    <w:rsid w:val="00303717"/>
    <w:rsid w:val="00303D41"/>
    <w:rsid w:val="00303E73"/>
    <w:rsid w:val="003041B8"/>
    <w:rsid w:val="0030429B"/>
    <w:rsid w:val="003043AA"/>
    <w:rsid w:val="00304744"/>
    <w:rsid w:val="00304810"/>
    <w:rsid w:val="003048CE"/>
    <w:rsid w:val="00304946"/>
    <w:rsid w:val="00305441"/>
    <w:rsid w:val="003054F5"/>
    <w:rsid w:val="00305636"/>
    <w:rsid w:val="0030572B"/>
    <w:rsid w:val="0030587D"/>
    <w:rsid w:val="003058F4"/>
    <w:rsid w:val="00306463"/>
    <w:rsid w:val="00306FDA"/>
    <w:rsid w:val="00307140"/>
    <w:rsid w:val="0030714B"/>
    <w:rsid w:val="0030722C"/>
    <w:rsid w:val="00307622"/>
    <w:rsid w:val="00307866"/>
    <w:rsid w:val="003079A9"/>
    <w:rsid w:val="00307B14"/>
    <w:rsid w:val="00307C59"/>
    <w:rsid w:val="00307D15"/>
    <w:rsid w:val="00307E41"/>
    <w:rsid w:val="003107FB"/>
    <w:rsid w:val="00310868"/>
    <w:rsid w:val="003108D7"/>
    <w:rsid w:val="00310BD2"/>
    <w:rsid w:val="00310E5C"/>
    <w:rsid w:val="003110F7"/>
    <w:rsid w:val="00311711"/>
    <w:rsid w:val="00312413"/>
    <w:rsid w:val="003126B9"/>
    <w:rsid w:val="003126EF"/>
    <w:rsid w:val="0031283F"/>
    <w:rsid w:val="003128A1"/>
    <w:rsid w:val="003130D5"/>
    <w:rsid w:val="00313189"/>
    <w:rsid w:val="0031348E"/>
    <w:rsid w:val="00313677"/>
    <w:rsid w:val="00313F23"/>
    <w:rsid w:val="00314091"/>
    <w:rsid w:val="003142B1"/>
    <w:rsid w:val="0031436D"/>
    <w:rsid w:val="0031445B"/>
    <w:rsid w:val="00314660"/>
    <w:rsid w:val="00314850"/>
    <w:rsid w:val="0031489F"/>
    <w:rsid w:val="00314C27"/>
    <w:rsid w:val="00314F3D"/>
    <w:rsid w:val="003150D1"/>
    <w:rsid w:val="00315AD0"/>
    <w:rsid w:val="0031625D"/>
    <w:rsid w:val="00316C69"/>
    <w:rsid w:val="00316F89"/>
    <w:rsid w:val="00317508"/>
    <w:rsid w:val="003175A6"/>
    <w:rsid w:val="00317E45"/>
    <w:rsid w:val="0032014B"/>
    <w:rsid w:val="00320C22"/>
    <w:rsid w:val="00320CB0"/>
    <w:rsid w:val="00320D66"/>
    <w:rsid w:val="00320D70"/>
    <w:rsid w:val="0032139C"/>
    <w:rsid w:val="003214B3"/>
    <w:rsid w:val="00321B1C"/>
    <w:rsid w:val="00321CE7"/>
    <w:rsid w:val="00321FB2"/>
    <w:rsid w:val="00322083"/>
    <w:rsid w:val="00322090"/>
    <w:rsid w:val="003221FD"/>
    <w:rsid w:val="003229F5"/>
    <w:rsid w:val="00322AF4"/>
    <w:rsid w:val="00322C96"/>
    <w:rsid w:val="00322D22"/>
    <w:rsid w:val="00322D8E"/>
    <w:rsid w:val="00323348"/>
    <w:rsid w:val="003234DF"/>
    <w:rsid w:val="00323AF1"/>
    <w:rsid w:val="00323CC0"/>
    <w:rsid w:val="00323E4B"/>
    <w:rsid w:val="00324222"/>
    <w:rsid w:val="0032454F"/>
    <w:rsid w:val="00324723"/>
    <w:rsid w:val="00324BD0"/>
    <w:rsid w:val="00324DE9"/>
    <w:rsid w:val="00325913"/>
    <w:rsid w:val="00325B38"/>
    <w:rsid w:val="0032600D"/>
    <w:rsid w:val="0032620E"/>
    <w:rsid w:val="0032672C"/>
    <w:rsid w:val="00326917"/>
    <w:rsid w:val="00326B2D"/>
    <w:rsid w:val="00326FF1"/>
    <w:rsid w:val="003274BE"/>
    <w:rsid w:val="0032779E"/>
    <w:rsid w:val="00327845"/>
    <w:rsid w:val="003301F2"/>
    <w:rsid w:val="0033039B"/>
    <w:rsid w:val="00330CDC"/>
    <w:rsid w:val="00331125"/>
    <w:rsid w:val="0033127F"/>
    <w:rsid w:val="00331400"/>
    <w:rsid w:val="0033144C"/>
    <w:rsid w:val="0033188A"/>
    <w:rsid w:val="003318CD"/>
    <w:rsid w:val="00331A5B"/>
    <w:rsid w:val="00331AB9"/>
    <w:rsid w:val="00331C00"/>
    <w:rsid w:val="00331D63"/>
    <w:rsid w:val="00331EA8"/>
    <w:rsid w:val="00332008"/>
    <w:rsid w:val="00332300"/>
    <w:rsid w:val="003323E0"/>
    <w:rsid w:val="00332832"/>
    <w:rsid w:val="00332B94"/>
    <w:rsid w:val="00332C38"/>
    <w:rsid w:val="00332E30"/>
    <w:rsid w:val="00333158"/>
    <w:rsid w:val="0033366B"/>
    <w:rsid w:val="003338F9"/>
    <w:rsid w:val="0033396B"/>
    <w:rsid w:val="003339CA"/>
    <w:rsid w:val="00333C23"/>
    <w:rsid w:val="003346B5"/>
    <w:rsid w:val="00334B9E"/>
    <w:rsid w:val="00334C14"/>
    <w:rsid w:val="00334C5C"/>
    <w:rsid w:val="00334CDA"/>
    <w:rsid w:val="00334D65"/>
    <w:rsid w:val="00334F1A"/>
    <w:rsid w:val="00335342"/>
    <w:rsid w:val="0033537D"/>
    <w:rsid w:val="00335E4B"/>
    <w:rsid w:val="00336196"/>
    <w:rsid w:val="00336432"/>
    <w:rsid w:val="00336D77"/>
    <w:rsid w:val="00337683"/>
    <w:rsid w:val="00337937"/>
    <w:rsid w:val="00337C5C"/>
    <w:rsid w:val="00337C8C"/>
    <w:rsid w:val="00337DD2"/>
    <w:rsid w:val="003401D6"/>
    <w:rsid w:val="0034052C"/>
    <w:rsid w:val="003407B9"/>
    <w:rsid w:val="00340981"/>
    <w:rsid w:val="00340D36"/>
    <w:rsid w:val="00340F67"/>
    <w:rsid w:val="00341111"/>
    <w:rsid w:val="00341264"/>
    <w:rsid w:val="0034181D"/>
    <w:rsid w:val="00341F96"/>
    <w:rsid w:val="0034206B"/>
    <w:rsid w:val="003425FD"/>
    <w:rsid w:val="003429E4"/>
    <w:rsid w:val="00342C50"/>
    <w:rsid w:val="00342CA5"/>
    <w:rsid w:val="00342FE2"/>
    <w:rsid w:val="00343735"/>
    <w:rsid w:val="0034392D"/>
    <w:rsid w:val="00343B86"/>
    <w:rsid w:val="00343CAF"/>
    <w:rsid w:val="0034455E"/>
    <w:rsid w:val="003447FB"/>
    <w:rsid w:val="00344C5D"/>
    <w:rsid w:val="003450A2"/>
    <w:rsid w:val="00345237"/>
    <w:rsid w:val="003454AF"/>
    <w:rsid w:val="003454BF"/>
    <w:rsid w:val="00345AE4"/>
    <w:rsid w:val="003464A4"/>
    <w:rsid w:val="00346551"/>
    <w:rsid w:val="0034772C"/>
    <w:rsid w:val="003504EC"/>
    <w:rsid w:val="00350584"/>
    <w:rsid w:val="0035058C"/>
    <w:rsid w:val="003508D1"/>
    <w:rsid w:val="003509D3"/>
    <w:rsid w:val="00350F2B"/>
    <w:rsid w:val="00351198"/>
    <w:rsid w:val="003513D2"/>
    <w:rsid w:val="0035152B"/>
    <w:rsid w:val="00351B72"/>
    <w:rsid w:val="003524CA"/>
    <w:rsid w:val="0035278D"/>
    <w:rsid w:val="0035376A"/>
    <w:rsid w:val="003537AD"/>
    <w:rsid w:val="00353C08"/>
    <w:rsid w:val="00353CE9"/>
    <w:rsid w:val="00353D0A"/>
    <w:rsid w:val="00353E51"/>
    <w:rsid w:val="00353F12"/>
    <w:rsid w:val="00353F27"/>
    <w:rsid w:val="00353F50"/>
    <w:rsid w:val="00354BC7"/>
    <w:rsid w:val="00354CA0"/>
    <w:rsid w:val="00354DBA"/>
    <w:rsid w:val="00354E49"/>
    <w:rsid w:val="003552FB"/>
    <w:rsid w:val="003553D1"/>
    <w:rsid w:val="003555D4"/>
    <w:rsid w:val="00355B0B"/>
    <w:rsid w:val="00355B50"/>
    <w:rsid w:val="00355B72"/>
    <w:rsid w:val="00355D42"/>
    <w:rsid w:val="00355FFE"/>
    <w:rsid w:val="00356831"/>
    <w:rsid w:val="0035683E"/>
    <w:rsid w:val="00356851"/>
    <w:rsid w:val="00356CBC"/>
    <w:rsid w:val="00356D8B"/>
    <w:rsid w:val="00357226"/>
    <w:rsid w:val="0035733C"/>
    <w:rsid w:val="0035736F"/>
    <w:rsid w:val="00357492"/>
    <w:rsid w:val="00357F19"/>
    <w:rsid w:val="00360545"/>
    <w:rsid w:val="003608C4"/>
    <w:rsid w:val="00360921"/>
    <w:rsid w:val="00360E65"/>
    <w:rsid w:val="00361065"/>
    <w:rsid w:val="00361154"/>
    <w:rsid w:val="0036162C"/>
    <w:rsid w:val="00361D87"/>
    <w:rsid w:val="00361F76"/>
    <w:rsid w:val="00361FD4"/>
    <w:rsid w:val="00362034"/>
    <w:rsid w:val="00362071"/>
    <w:rsid w:val="00362158"/>
    <w:rsid w:val="00362398"/>
    <w:rsid w:val="003623E2"/>
    <w:rsid w:val="003626FE"/>
    <w:rsid w:val="0036334F"/>
    <w:rsid w:val="0036339A"/>
    <w:rsid w:val="003639AC"/>
    <w:rsid w:val="00363AA8"/>
    <w:rsid w:val="0036403F"/>
    <w:rsid w:val="00364081"/>
    <w:rsid w:val="00364324"/>
    <w:rsid w:val="0036470C"/>
    <w:rsid w:val="00364A4A"/>
    <w:rsid w:val="00364BA1"/>
    <w:rsid w:val="00365088"/>
    <w:rsid w:val="003653E7"/>
    <w:rsid w:val="00365501"/>
    <w:rsid w:val="0036552E"/>
    <w:rsid w:val="0036590B"/>
    <w:rsid w:val="00365E64"/>
    <w:rsid w:val="00365F49"/>
    <w:rsid w:val="00366175"/>
    <w:rsid w:val="0036629D"/>
    <w:rsid w:val="003664C2"/>
    <w:rsid w:val="0036663D"/>
    <w:rsid w:val="003666CB"/>
    <w:rsid w:val="00367185"/>
    <w:rsid w:val="003673FA"/>
    <w:rsid w:val="003677CD"/>
    <w:rsid w:val="0036787C"/>
    <w:rsid w:val="00367C40"/>
    <w:rsid w:val="00367D3F"/>
    <w:rsid w:val="00367D56"/>
    <w:rsid w:val="00370088"/>
    <w:rsid w:val="0037087A"/>
    <w:rsid w:val="003708C9"/>
    <w:rsid w:val="00370A07"/>
    <w:rsid w:val="00371837"/>
    <w:rsid w:val="00371900"/>
    <w:rsid w:val="0037195F"/>
    <w:rsid w:val="00371A55"/>
    <w:rsid w:val="00371DCD"/>
    <w:rsid w:val="003721CC"/>
    <w:rsid w:val="00372670"/>
    <w:rsid w:val="003731DB"/>
    <w:rsid w:val="0037359A"/>
    <w:rsid w:val="003735BF"/>
    <w:rsid w:val="003738CF"/>
    <w:rsid w:val="00373C1E"/>
    <w:rsid w:val="00373D11"/>
    <w:rsid w:val="00374192"/>
    <w:rsid w:val="003741F5"/>
    <w:rsid w:val="003741F6"/>
    <w:rsid w:val="0037426D"/>
    <w:rsid w:val="0037483F"/>
    <w:rsid w:val="00374951"/>
    <w:rsid w:val="00374E37"/>
    <w:rsid w:val="00375476"/>
    <w:rsid w:val="00375653"/>
    <w:rsid w:val="0037575B"/>
    <w:rsid w:val="00375767"/>
    <w:rsid w:val="003758CB"/>
    <w:rsid w:val="00375957"/>
    <w:rsid w:val="00375B3C"/>
    <w:rsid w:val="00375CB7"/>
    <w:rsid w:val="00375FF2"/>
    <w:rsid w:val="00376BF4"/>
    <w:rsid w:val="00376D9A"/>
    <w:rsid w:val="00376E89"/>
    <w:rsid w:val="003770A1"/>
    <w:rsid w:val="0037713F"/>
    <w:rsid w:val="00377271"/>
    <w:rsid w:val="00377621"/>
    <w:rsid w:val="00377B08"/>
    <w:rsid w:val="00377D92"/>
    <w:rsid w:val="00377F5E"/>
    <w:rsid w:val="003807AC"/>
    <w:rsid w:val="00380922"/>
    <w:rsid w:val="00380B30"/>
    <w:rsid w:val="00380FD8"/>
    <w:rsid w:val="003810C5"/>
    <w:rsid w:val="00381477"/>
    <w:rsid w:val="00381911"/>
    <w:rsid w:val="003819CB"/>
    <w:rsid w:val="00381A67"/>
    <w:rsid w:val="00381B01"/>
    <w:rsid w:val="00381E15"/>
    <w:rsid w:val="00382256"/>
    <w:rsid w:val="003822F2"/>
    <w:rsid w:val="00382843"/>
    <w:rsid w:val="003829F5"/>
    <w:rsid w:val="00382B25"/>
    <w:rsid w:val="00382BAF"/>
    <w:rsid w:val="00383076"/>
    <w:rsid w:val="0038309B"/>
    <w:rsid w:val="00383640"/>
    <w:rsid w:val="00383EAA"/>
    <w:rsid w:val="00384476"/>
    <w:rsid w:val="00384A1D"/>
    <w:rsid w:val="00384F34"/>
    <w:rsid w:val="00385161"/>
    <w:rsid w:val="003851F4"/>
    <w:rsid w:val="00385225"/>
    <w:rsid w:val="00385441"/>
    <w:rsid w:val="00385546"/>
    <w:rsid w:val="00385A3F"/>
    <w:rsid w:val="00385DDF"/>
    <w:rsid w:val="00386176"/>
    <w:rsid w:val="003861BC"/>
    <w:rsid w:val="003862B8"/>
    <w:rsid w:val="0038672C"/>
    <w:rsid w:val="0038684C"/>
    <w:rsid w:val="00386C26"/>
    <w:rsid w:val="00386DE9"/>
    <w:rsid w:val="00387647"/>
    <w:rsid w:val="00387E55"/>
    <w:rsid w:val="00390000"/>
    <w:rsid w:val="003901E2"/>
    <w:rsid w:val="003905F0"/>
    <w:rsid w:val="003909B0"/>
    <w:rsid w:val="00390D36"/>
    <w:rsid w:val="003911D8"/>
    <w:rsid w:val="00391894"/>
    <w:rsid w:val="0039192B"/>
    <w:rsid w:val="00391DCE"/>
    <w:rsid w:val="00391E31"/>
    <w:rsid w:val="00392228"/>
    <w:rsid w:val="00392624"/>
    <w:rsid w:val="0039292E"/>
    <w:rsid w:val="00392DBB"/>
    <w:rsid w:val="00392DF4"/>
    <w:rsid w:val="00392E22"/>
    <w:rsid w:val="00393010"/>
    <w:rsid w:val="0039328D"/>
    <w:rsid w:val="00393500"/>
    <w:rsid w:val="003936D8"/>
    <w:rsid w:val="00393844"/>
    <w:rsid w:val="00393A47"/>
    <w:rsid w:val="00393CEB"/>
    <w:rsid w:val="00393E89"/>
    <w:rsid w:val="0039439C"/>
    <w:rsid w:val="0039459B"/>
    <w:rsid w:val="0039463B"/>
    <w:rsid w:val="003949F6"/>
    <w:rsid w:val="00394E1B"/>
    <w:rsid w:val="00394E8A"/>
    <w:rsid w:val="00395189"/>
    <w:rsid w:val="003953E7"/>
    <w:rsid w:val="003955BF"/>
    <w:rsid w:val="00395736"/>
    <w:rsid w:val="003957DA"/>
    <w:rsid w:val="003959B1"/>
    <w:rsid w:val="00395A63"/>
    <w:rsid w:val="00395C5D"/>
    <w:rsid w:val="00395C77"/>
    <w:rsid w:val="00395D3F"/>
    <w:rsid w:val="00395F15"/>
    <w:rsid w:val="00395FB6"/>
    <w:rsid w:val="003963D4"/>
    <w:rsid w:val="003965FF"/>
    <w:rsid w:val="003968F0"/>
    <w:rsid w:val="00396979"/>
    <w:rsid w:val="003969A5"/>
    <w:rsid w:val="00396AD8"/>
    <w:rsid w:val="00396DC6"/>
    <w:rsid w:val="003973F3"/>
    <w:rsid w:val="003974CB"/>
    <w:rsid w:val="00397539"/>
    <w:rsid w:val="00397662"/>
    <w:rsid w:val="00397C11"/>
    <w:rsid w:val="00397D4F"/>
    <w:rsid w:val="00397F34"/>
    <w:rsid w:val="003A03A9"/>
    <w:rsid w:val="003A0A46"/>
    <w:rsid w:val="003A0A93"/>
    <w:rsid w:val="003A0B18"/>
    <w:rsid w:val="003A10D6"/>
    <w:rsid w:val="003A128B"/>
    <w:rsid w:val="003A1744"/>
    <w:rsid w:val="003A1B3C"/>
    <w:rsid w:val="003A1E18"/>
    <w:rsid w:val="003A1E6A"/>
    <w:rsid w:val="003A1ECE"/>
    <w:rsid w:val="003A1ED4"/>
    <w:rsid w:val="003A2123"/>
    <w:rsid w:val="003A2789"/>
    <w:rsid w:val="003A27E2"/>
    <w:rsid w:val="003A28AA"/>
    <w:rsid w:val="003A35E2"/>
    <w:rsid w:val="003A3B59"/>
    <w:rsid w:val="003A3FA8"/>
    <w:rsid w:val="003A431F"/>
    <w:rsid w:val="003A43D2"/>
    <w:rsid w:val="003A5711"/>
    <w:rsid w:val="003A60EE"/>
    <w:rsid w:val="003A68A5"/>
    <w:rsid w:val="003A6CB1"/>
    <w:rsid w:val="003A7319"/>
    <w:rsid w:val="003A747C"/>
    <w:rsid w:val="003A75AF"/>
    <w:rsid w:val="003A761F"/>
    <w:rsid w:val="003B02E6"/>
    <w:rsid w:val="003B098E"/>
    <w:rsid w:val="003B0B23"/>
    <w:rsid w:val="003B0E74"/>
    <w:rsid w:val="003B13FD"/>
    <w:rsid w:val="003B1860"/>
    <w:rsid w:val="003B1E6B"/>
    <w:rsid w:val="003B25DF"/>
    <w:rsid w:val="003B2655"/>
    <w:rsid w:val="003B281C"/>
    <w:rsid w:val="003B293C"/>
    <w:rsid w:val="003B2A07"/>
    <w:rsid w:val="003B2A51"/>
    <w:rsid w:val="003B2AE8"/>
    <w:rsid w:val="003B2F67"/>
    <w:rsid w:val="003B35A7"/>
    <w:rsid w:val="003B3634"/>
    <w:rsid w:val="003B3AA2"/>
    <w:rsid w:val="003B3D07"/>
    <w:rsid w:val="003B3EB7"/>
    <w:rsid w:val="003B40CA"/>
    <w:rsid w:val="003B42C9"/>
    <w:rsid w:val="003B440F"/>
    <w:rsid w:val="003B49C6"/>
    <w:rsid w:val="003B4C8A"/>
    <w:rsid w:val="003B4CAB"/>
    <w:rsid w:val="003B4DF4"/>
    <w:rsid w:val="003B514D"/>
    <w:rsid w:val="003B54F2"/>
    <w:rsid w:val="003B570B"/>
    <w:rsid w:val="003B59A7"/>
    <w:rsid w:val="003B5ECE"/>
    <w:rsid w:val="003B6426"/>
    <w:rsid w:val="003B645D"/>
    <w:rsid w:val="003B6464"/>
    <w:rsid w:val="003B6491"/>
    <w:rsid w:val="003B649D"/>
    <w:rsid w:val="003B64F1"/>
    <w:rsid w:val="003B693B"/>
    <w:rsid w:val="003B6A8D"/>
    <w:rsid w:val="003B6C9A"/>
    <w:rsid w:val="003B755E"/>
    <w:rsid w:val="003B763F"/>
    <w:rsid w:val="003B7A5C"/>
    <w:rsid w:val="003B7A9D"/>
    <w:rsid w:val="003B7BC0"/>
    <w:rsid w:val="003B7CD8"/>
    <w:rsid w:val="003C035B"/>
    <w:rsid w:val="003C05DF"/>
    <w:rsid w:val="003C073F"/>
    <w:rsid w:val="003C0758"/>
    <w:rsid w:val="003C08B0"/>
    <w:rsid w:val="003C0C81"/>
    <w:rsid w:val="003C0DE6"/>
    <w:rsid w:val="003C12AE"/>
    <w:rsid w:val="003C1334"/>
    <w:rsid w:val="003C1358"/>
    <w:rsid w:val="003C14D1"/>
    <w:rsid w:val="003C16DA"/>
    <w:rsid w:val="003C179F"/>
    <w:rsid w:val="003C1876"/>
    <w:rsid w:val="003C1888"/>
    <w:rsid w:val="003C2554"/>
    <w:rsid w:val="003C2792"/>
    <w:rsid w:val="003C2944"/>
    <w:rsid w:val="003C2A19"/>
    <w:rsid w:val="003C2CBB"/>
    <w:rsid w:val="003C2D85"/>
    <w:rsid w:val="003C2E36"/>
    <w:rsid w:val="003C3567"/>
    <w:rsid w:val="003C36A7"/>
    <w:rsid w:val="003C3762"/>
    <w:rsid w:val="003C3770"/>
    <w:rsid w:val="003C3950"/>
    <w:rsid w:val="003C3C33"/>
    <w:rsid w:val="003C4310"/>
    <w:rsid w:val="003C4593"/>
    <w:rsid w:val="003C4795"/>
    <w:rsid w:val="003C4F0E"/>
    <w:rsid w:val="003C513A"/>
    <w:rsid w:val="003C5471"/>
    <w:rsid w:val="003C57DE"/>
    <w:rsid w:val="003C57F4"/>
    <w:rsid w:val="003C59D6"/>
    <w:rsid w:val="003C5C85"/>
    <w:rsid w:val="003C5E39"/>
    <w:rsid w:val="003C5ED5"/>
    <w:rsid w:val="003C5F25"/>
    <w:rsid w:val="003C5FEA"/>
    <w:rsid w:val="003C62E1"/>
    <w:rsid w:val="003C6397"/>
    <w:rsid w:val="003C6588"/>
    <w:rsid w:val="003C68B3"/>
    <w:rsid w:val="003C6E11"/>
    <w:rsid w:val="003C6FCC"/>
    <w:rsid w:val="003C7406"/>
    <w:rsid w:val="003C7439"/>
    <w:rsid w:val="003C7840"/>
    <w:rsid w:val="003C7A55"/>
    <w:rsid w:val="003D00B4"/>
    <w:rsid w:val="003D01E8"/>
    <w:rsid w:val="003D0446"/>
    <w:rsid w:val="003D0452"/>
    <w:rsid w:val="003D0659"/>
    <w:rsid w:val="003D072F"/>
    <w:rsid w:val="003D079D"/>
    <w:rsid w:val="003D0976"/>
    <w:rsid w:val="003D09F9"/>
    <w:rsid w:val="003D0B23"/>
    <w:rsid w:val="003D0CBE"/>
    <w:rsid w:val="003D10C2"/>
    <w:rsid w:val="003D10FB"/>
    <w:rsid w:val="003D1483"/>
    <w:rsid w:val="003D160E"/>
    <w:rsid w:val="003D17EE"/>
    <w:rsid w:val="003D1ACA"/>
    <w:rsid w:val="003D1B34"/>
    <w:rsid w:val="003D1B85"/>
    <w:rsid w:val="003D20AE"/>
    <w:rsid w:val="003D2180"/>
    <w:rsid w:val="003D27F9"/>
    <w:rsid w:val="003D2C90"/>
    <w:rsid w:val="003D2E04"/>
    <w:rsid w:val="003D3337"/>
    <w:rsid w:val="003D33C5"/>
    <w:rsid w:val="003D33C9"/>
    <w:rsid w:val="003D3715"/>
    <w:rsid w:val="003D391E"/>
    <w:rsid w:val="003D3A0F"/>
    <w:rsid w:val="003D3B1D"/>
    <w:rsid w:val="003D3B82"/>
    <w:rsid w:val="003D3C8B"/>
    <w:rsid w:val="003D464B"/>
    <w:rsid w:val="003D47B0"/>
    <w:rsid w:val="003D47D1"/>
    <w:rsid w:val="003D48D8"/>
    <w:rsid w:val="003D49F7"/>
    <w:rsid w:val="003D4C61"/>
    <w:rsid w:val="003D4DEB"/>
    <w:rsid w:val="003D5544"/>
    <w:rsid w:val="003D5AA5"/>
    <w:rsid w:val="003D5AD9"/>
    <w:rsid w:val="003D5D4C"/>
    <w:rsid w:val="003D5F42"/>
    <w:rsid w:val="003D61D5"/>
    <w:rsid w:val="003D6AFE"/>
    <w:rsid w:val="003D6C41"/>
    <w:rsid w:val="003D7014"/>
    <w:rsid w:val="003D71B9"/>
    <w:rsid w:val="003D7356"/>
    <w:rsid w:val="003D752C"/>
    <w:rsid w:val="003D7813"/>
    <w:rsid w:val="003D7957"/>
    <w:rsid w:val="003D7B1F"/>
    <w:rsid w:val="003D7CA0"/>
    <w:rsid w:val="003D7FB2"/>
    <w:rsid w:val="003E00E8"/>
    <w:rsid w:val="003E0B47"/>
    <w:rsid w:val="003E0CC0"/>
    <w:rsid w:val="003E0D4E"/>
    <w:rsid w:val="003E0E27"/>
    <w:rsid w:val="003E0EE1"/>
    <w:rsid w:val="003E1481"/>
    <w:rsid w:val="003E15FC"/>
    <w:rsid w:val="003E17B0"/>
    <w:rsid w:val="003E197F"/>
    <w:rsid w:val="003E19C9"/>
    <w:rsid w:val="003E1A14"/>
    <w:rsid w:val="003E1AF3"/>
    <w:rsid w:val="003E1D5B"/>
    <w:rsid w:val="003E2277"/>
    <w:rsid w:val="003E242F"/>
    <w:rsid w:val="003E26DE"/>
    <w:rsid w:val="003E2EC9"/>
    <w:rsid w:val="003E2F82"/>
    <w:rsid w:val="003E31F5"/>
    <w:rsid w:val="003E324E"/>
    <w:rsid w:val="003E35BF"/>
    <w:rsid w:val="003E3680"/>
    <w:rsid w:val="003E3A34"/>
    <w:rsid w:val="003E3EAF"/>
    <w:rsid w:val="003E4677"/>
    <w:rsid w:val="003E4A11"/>
    <w:rsid w:val="003E4F4C"/>
    <w:rsid w:val="003E5016"/>
    <w:rsid w:val="003E579C"/>
    <w:rsid w:val="003E5A6A"/>
    <w:rsid w:val="003E5F77"/>
    <w:rsid w:val="003E5FAF"/>
    <w:rsid w:val="003E6000"/>
    <w:rsid w:val="003E6171"/>
    <w:rsid w:val="003E63C9"/>
    <w:rsid w:val="003E6D9D"/>
    <w:rsid w:val="003E6FCE"/>
    <w:rsid w:val="003E76B2"/>
    <w:rsid w:val="003E7810"/>
    <w:rsid w:val="003E7AA0"/>
    <w:rsid w:val="003E7C5C"/>
    <w:rsid w:val="003E7FF7"/>
    <w:rsid w:val="003F05F3"/>
    <w:rsid w:val="003F067B"/>
    <w:rsid w:val="003F09EC"/>
    <w:rsid w:val="003F0A31"/>
    <w:rsid w:val="003F0AE1"/>
    <w:rsid w:val="003F0DC2"/>
    <w:rsid w:val="003F10D9"/>
    <w:rsid w:val="003F1174"/>
    <w:rsid w:val="003F1314"/>
    <w:rsid w:val="003F1486"/>
    <w:rsid w:val="003F14F3"/>
    <w:rsid w:val="003F1897"/>
    <w:rsid w:val="003F18C2"/>
    <w:rsid w:val="003F18E6"/>
    <w:rsid w:val="003F1BDE"/>
    <w:rsid w:val="003F1EA0"/>
    <w:rsid w:val="003F21C4"/>
    <w:rsid w:val="003F23AD"/>
    <w:rsid w:val="003F23DD"/>
    <w:rsid w:val="003F23FA"/>
    <w:rsid w:val="003F2440"/>
    <w:rsid w:val="003F25C9"/>
    <w:rsid w:val="003F3095"/>
    <w:rsid w:val="003F3196"/>
    <w:rsid w:val="003F31EA"/>
    <w:rsid w:val="003F3465"/>
    <w:rsid w:val="003F3594"/>
    <w:rsid w:val="003F3AF7"/>
    <w:rsid w:val="003F3CA0"/>
    <w:rsid w:val="003F47A6"/>
    <w:rsid w:val="003F480A"/>
    <w:rsid w:val="003F5173"/>
    <w:rsid w:val="003F53B0"/>
    <w:rsid w:val="003F53F0"/>
    <w:rsid w:val="003F5810"/>
    <w:rsid w:val="003F5A2F"/>
    <w:rsid w:val="003F5A63"/>
    <w:rsid w:val="003F5CFA"/>
    <w:rsid w:val="003F6322"/>
    <w:rsid w:val="003F6441"/>
    <w:rsid w:val="003F68BF"/>
    <w:rsid w:val="003F6D0F"/>
    <w:rsid w:val="003F6EB9"/>
    <w:rsid w:val="003F703F"/>
    <w:rsid w:val="003F71DF"/>
    <w:rsid w:val="003F75E5"/>
    <w:rsid w:val="003F7679"/>
    <w:rsid w:val="003F78FA"/>
    <w:rsid w:val="003F7AAE"/>
    <w:rsid w:val="003F7BE0"/>
    <w:rsid w:val="0040009A"/>
    <w:rsid w:val="00400C6F"/>
    <w:rsid w:val="00400C9A"/>
    <w:rsid w:val="00401625"/>
    <w:rsid w:val="00401AEB"/>
    <w:rsid w:val="00401EF4"/>
    <w:rsid w:val="00401F94"/>
    <w:rsid w:val="0040224D"/>
    <w:rsid w:val="004025D4"/>
    <w:rsid w:val="00402A63"/>
    <w:rsid w:val="00402BF4"/>
    <w:rsid w:val="004033F8"/>
    <w:rsid w:val="004035BA"/>
    <w:rsid w:val="00403950"/>
    <w:rsid w:val="00403AEE"/>
    <w:rsid w:val="00403B81"/>
    <w:rsid w:val="00403C57"/>
    <w:rsid w:val="004040EA"/>
    <w:rsid w:val="004043C7"/>
    <w:rsid w:val="00404673"/>
    <w:rsid w:val="004046AD"/>
    <w:rsid w:val="00404740"/>
    <w:rsid w:val="00404741"/>
    <w:rsid w:val="0040565E"/>
    <w:rsid w:val="004056A1"/>
    <w:rsid w:val="00405852"/>
    <w:rsid w:val="00405BC8"/>
    <w:rsid w:val="00405CA3"/>
    <w:rsid w:val="00406574"/>
    <w:rsid w:val="0040658C"/>
    <w:rsid w:val="00406C4F"/>
    <w:rsid w:val="00406DC9"/>
    <w:rsid w:val="00407290"/>
    <w:rsid w:val="0040749E"/>
    <w:rsid w:val="00407889"/>
    <w:rsid w:val="00407C7A"/>
    <w:rsid w:val="00407D7E"/>
    <w:rsid w:val="004102FA"/>
    <w:rsid w:val="00410692"/>
    <w:rsid w:val="004108CD"/>
    <w:rsid w:val="00410B27"/>
    <w:rsid w:val="00410E14"/>
    <w:rsid w:val="00410E79"/>
    <w:rsid w:val="004112B6"/>
    <w:rsid w:val="00411594"/>
    <w:rsid w:val="004119A5"/>
    <w:rsid w:val="00411F21"/>
    <w:rsid w:val="00411FC1"/>
    <w:rsid w:val="004123B0"/>
    <w:rsid w:val="004124CE"/>
    <w:rsid w:val="0041266C"/>
    <w:rsid w:val="004126E5"/>
    <w:rsid w:val="004128C1"/>
    <w:rsid w:val="004129BF"/>
    <w:rsid w:val="00412C99"/>
    <w:rsid w:val="0041328F"/>
    <w:rsid w:val="00413809"/>
    <w:rsid w:val="00413B69"/>
    <w:rsid w:val="00413BE5"/>
    <w:rsid w:val="00413C37"/>
    <w:rsid w:val="00414982"/>
    <w:rsid w:val="0041519F"/>
    <w:rsid w:val="00415234"/>
    <w:rsid w:val="00415821"/>
    <w:rsid w:val="00415B38"/>
    <w:rsid w:val="00415B8C"/>
    <w:rsid w:val="00415CEE"/>
    <w:rsid w:val="00415DA4"/>
    <w:rsid w:val="00415E65"/>
    <w:rsid w:val="00415F6E"/>
    <w:rsid w:val="00416564"/>
    <w:rsid w:val="004167AE"/>
    <w:rsid w:val="00416BBA"/>
    <w:rsid w:val="00416E10"/>
    <w:rsid w:val="00416E95"/>
    <w:rsid w:val="00417782"/>
    <w:rsid w:val="004177D1"/>
    <w:rsid w:val="00417DAD"/>
    <w:rsid w:val="00417F44"/>
    <w:rsid w:val="00420068"/>
    <w:rsid w:val="004200BB"/>
    <w:rsid w:val="004200D1"/>
    <w:rsid w:val="00420519"/>
    <w:rsid w:val="0042068C"/>
    <w:rsid w:val="004206AC"/>
    <w:rsid w:val="004206F4"/>
    <w:rsid w:val="00420BFA"/>
    <w:rsid w:val="00420CE4"/>
    <w:rsid w:val="00420FF7"/>
    <w:rsid w:val="00421811"/>
    <w:rsid w:val="00421896"/>
    <w:rsid w:val="00421A7E"/>
    <w:rsid w:val="00421ADA"/>
    <w:rsid w:val="0042211A"/>
    <w:rsid w:val="0042224B"/>
    <w:rsid w:val="004224BD"/>
    <w:rsid w:val="00422835"/>
    <w:rsid w:val="00422AF3"/>
    <w:rsid w:val="00422E56"/>
    <w:rsid w:val="00422EC7"/>
    <w:rsid w:val="00422F69"/>
    <w:rsid w:val="00423349"/>
    <w:rsid w:val="00423691"/>
    <w:rsid w:val="004237DB"/>
    <w:rsid w:val="0042399B"/>
    <w:rsid w:val="004239D5"/>
    <w:rsid w:val="00423C5E"/>
    <w:rsid w:val="00423CCA"/>
    <w:rsid w:val="004242BC"/>
    <w:rsid w:val="00424544"/>
    <w:rsid w:val="00424949"/>
    <w:rsid w:val="00424FBF"/>
    <w:rsid w:val="0042528C"/>
    <w:rsid w:val="0042572F"/>
    <w:rsid w:val="00425942"/>
    <w:rsid w:val="00425B4F"/>
    <w:rsid w:val="00425CCA"/>
    <w:rsid w:val="00425EA7"/>
    <w:rsid w:val="004261FD"/>
    <w:rsid w:val="0042695C"/>
    <w:rsid w:val="00426AAD"/>
    <w:rsid w:val="00426B05"/>
    <w:rsid w:val="00426B74"/>
    <w:rsid w:val="00426E71"/>
    <w:rsid w:val="0042704A"/>
    <w:rsid w:val="00427080"/>
    <w:rsid w:val="0042733E"/>
    <w:rsid w:val="004273F2"/>
    <w:rsid w:val="00427BC4"/>
    <w:rsid w:val="00427C69"/>
    <w:rsid w:val="00427F0B"/>
    <w:rsid w:val="00427FBA"/>
    <w:rsid w:val="004300D2"/>
    <w:rsid w:val="004301F1"/>
    <w:rsid w:val="00430615"/>
    <w:rsid w:val="00430B65"/>
    <w:rsid w:val="004311EA"/>
    <w:rsid w:val="00431290"/>
    <w:rsid w:val="0043149A"/>
    <w:rsid w:val="00431693"/>
    <w:rsid w:val="00431DD3"/>
    <w:rsid w:val="00431E07"/>
    <w:rsid w:val="00431FEF"/>
    <w:rsid w:val="00432019"/>
    <w:rsid w:val="004320C9"/>
    <w:rsid w:val="004322C4"/>
    <w:rsid w:val="0043267D"/>
    <w:rsid w:val="004328DF"/>
    <w:rsid w:val="004329DB"/>
    <w:rsid w:val="00432A93"/>
    <w:rsid w:val="00432D08"/>
    <w:rsid w:val="004331A6"/>
    <w:rsid w:val="0043325E"/>
    <w:rsid w:val="00433477"/>
    <w:rsid w:val="00433B8E"/>
    <w:rsid w:val="00433D55"/>
    <w:rsid w:val="00434190"/>
    <w:rsid w:val="00434621"/>
    <w:rsid w:val="00434789"/>
    <w:rsid w:val="00434B29"/>
    <w:rsid w:val="00434D37"/>
    <w:rsid w:val="004351EE"/>
    <w:rsid w:val="00435288"/>
    <w:rsid w:val="00435407"/>
    <w:rsid w:val="00435680"/>
    <w:rsid w:val="00435B2D"/>
    <w:rsid w:val="00435B67"/>
    <w:rsid w:val="00435D80"/>
    <w:rsid w:val="00435EE9"/>
    <w:rsid w:val="00435F44"/>
    <w:rsid w:val="004360A5"/>
    <w:rsid w:val="0043653B"/>
    <w:rsid w:val="0043658E"/>
    <w:rsid w:val="00436A24"/>
    <w:rsid w:val="00436D70"/>
    <w:rsid w:val="00437940"/>
    <w:rsid w:val="00437A5D"/>
    <w:rsid w:val="0044142F"/>
    <w:rsid w:val="00441670"/>
    <w:rsid w:val="00441C9C"/>
    <w:rsid w:val="00441D61"/>
    <w:rsid w:val="00441ED4"/>
    <w:rsid w:val="00441F3F"/>
    <w:rsid w:val="00442205"/>
    <w:rsid w:val="0044275C"/>
    <w:rsid w:val="00442FA2"/>
    <w:rsid w:val="004432CC"/>
    <w:rsid w:val="004437BA"/>
    <w:rsid w:val="004437F4"/>
    <w:rsid w:val="0044414F"/>
    <w:rsid w:val="0044440E"/>
    <w:rsid w:val="004445C2"/>
    <w:rsid w:val="00444630"/>
    <w:rsid w:val="00444C1A"/>
    <w:rsid w:val="00444C85"/>
    <w:rsid w:val="00444D76"/>
    <w:rsid w:val="00445092"/>
    <w:rsid w:val="00445093"/>
    <w:rsid w:val="004457F0"/>
    <w:rsid w:val="00445C05"/>
    <w:rsid w:val="00445ED1"/>
    <w:rsid w:val="00446220"/>
    <w:rsid w:val="004463F9"/>
    <w:rsid w:val="0044679B"/>
    <w:rsid w:val="0044697B"/>
    <w:rsid w:val="00446BAE"/>
    <w:rsid w:val="00446E72"/>
    <w:rsid w:val="00446E73"/>
    <w:rsid w:val="00446F99"/>
    <w:rsid w:val="00447482"/>
    <w:rsid w:val="00447C65"/>
    <w:rsid w:val="00447ED0"/>
    <w:rsid w:val="00447F3C"/>
    <w:rsid w:val="00450037"/>
    <w:rsid w:val="004505FA"/>
    <w:rsid w:val="004506F0"/>
    <w:rsid w:val="00450A7D"/>
    <w:rsid w:val="00450B6C"/>
    <w:rsid w:val="00450D4F"/>
    <w:rsid w:val="00450D67"/>
    <w:rsid w:val="00450F4F"/>
    <w:rsid w:val="00450F55"/>
    <w:rsid w:val="00451192"/>
    <w:rsid w:val="004513C9"/>
    <w:rsid w:val="00451762"/>
    <w:rsid w:val="00451A9D"/>
    <w:rsid w:val="00451C41"/>
    <w:rsid w:val="004522E2"/>
    <w:rsid w:val="004523EF"/>
    <w:rsid w:val="004523F9"/>
    <w:rsid w:val="00452426"/>
    <w:rsid w:val="004524B9"/>
    <w:rsid w:val="004525CF"/>
    <w:rsid w:val="00452861"/>
    <w:rsid w:val="00452B96"/>
    <w:rsid w:val="00452BBE"/>
    <w:rsid w:val="00452C7F"/>
    <w:rsid w:val="00452DA2"/>
    <w:rsid w:val="00452FB6"/>
    <w:rsid w:val="00453289"/>
    <w:rsid w:val="004533E4"/>
    <w:rsid w:val="00453974"/>
    <w:rsid w:val="00453EA3"/>
    <w:rsid w:val="00453FF7"/>
    <w:rsid w:val="0045436E"/>
    <w:rsid w:val="004543DA"/>
    <w:rsid w:val="004544E0"/>
    <w:rsid w:val="00454634"/>
    <w:rsid w:val="00454800"/>
    <w:rsid w:val="004548EC"/>
    <w:rsid w:val="004549A0"/>
    <w:rsid w:val="00454ADA"/>
    <w:rsid w:val="00454AF3"/>
    <w:rsid w:val="00454B7F"/>
    <w:rsid w:val="00454DC4"/>
    <w:rsid w:val="00455248"/>
    <w:rsid w:val="00455289"/>
    <w:rsid w:val="004553A8"/>
    <w:rsid w:val="004556C6"/>
    <w:rsid w:val="004559E7"/>
    <w:rsid w:val="00455C04"/>
    <w:rsid w:val="00455DE7"/>
    <w:rsid w:val="004561CC"/>
    <w:rsid w:val="00456373"/>
    <w:rsid w:val="0045681A"/>
    <w:rsid w:val="0045698F"/>
    <w:rsid w:val="00456B04"/>
    <w:rsid w:val="0045733C"/>
    <w:rsid w:val="0045755E"/>
    <w:rsid w:val="00457862"/>
    <w:rsid w:val="004578A1"/>
    <w:rsid w:val="004606F2"/>
    <w:rsid w:val="00460713"/>
    <w:rsid w:val="0046076A"/>
    <w:rsid w:val="00460809"/>
    <w:rsid w:val="00460918"/>
    <w:rsid w:val="00460923"/>
    <w:rsid w:val="00460F4E"/>
    <w:rsid w:val="0046107F"/>
    <w:rsid w:val="00461957"/>
    <w:rsid w:val="00461A5D"/>
    <w:rsid w:val="00461B46"/>
    <w:rsid w:val="00461BFE"/>
    <w:rsid w:val="00461D11"/>
    <w:rsid w:val="00461FF0"/>
    <w:rsid w:val="004623A2"/>
    <w:rsid w:val="004624C2"/>
    <w:rsid w:val="004629CE"/>
    <w:rsid w:val="00462CF2"/>
    <w:rsid w:val="00463064"/>
    <w:rsid w:val="00463166"/>
    <w:rsid w:val="004631E8"/>
    <w:rsid w:val="00463211"/>
    <w:rsid w:val="00463CBB"/>
    <w:rsid w:val="00463D19"/>
    <w:rsid w:val="00463DA0"/>
    <w:rsid w:val="00463FEA"/>
    <w:rsid w:val="004640A7"/>
    <w:rsid w:val="0046429B"/>
    <w:rsid w:val="004643B1"/>
    <w:rsid w:val="00464523"/>
    <w:rsid w:val="0046491E"/>
    <w:rsid w:val="004649FE"/>
    <w:rsid w:val="00464ACC"/>
    <w:rsid w:val="00464E73"/>
    <w:rsid w:val="00464FE1"/>
    <w:rsid w:val="004650FE"/>
    <w:rsid w:val="0046532D"/>
    <w:rsid w:val="004658B7"/>
    <w:rsid w:val="00465B23"/>
    <w:rsid w:val="00465BEA"/>
    <w:rsid w:val="00465BFF"/>
    <w:rsid w:val="0046608B"/>
    <w:rsid w:val="00466300"/>
    <w:rsid w:val="004664A2"/>
    <w:rsid w:val="00466C27"/>
    <w:rsid w:val="00466CA4"/>
    <w:rsid w:val="00466CF2"/>
    <w:rsid w:val="00466E2D"/>
    <w:rsid w:val="00466F69"/>
    <w:rsid w:val="0046787C"/>
    <w:rsid w:val="004678A7"/>
    <w:rsid w:val="00470226"/>
    <w:rsid w:val="0047040E"/>
    <w:rsid w:val="004706E4"/>
    <w:rsid w:val="004715FC"/>
    <w:rsid w:val="00471602"/>
    <w:rsid w:val="00471C70"/>
    <w:rsid w:val="0047239E"/>
    <w:rsid w:val="004725DE"/>
    <w:rsid w:val="004726EF"/>
    <w:rsid w:val="004727B8"/>
    <w:rsid w:val="004729CA"/>
    <w:rsid w:val="00472B76"/>
    <w:rsid w:val="00472D70"/>
    <w:rsid w:val="00472FD3"/>
    <w:rsid w:val="00473871"/>
    <w:rsid w:val="004738D3"/>
    <w:rsid w:val="004738E8"/>
    <w:rsid w:val="00473A09"/>
    <w:rsid w:val="00473AF9"/>
    <w:rsid w:val="00473FAE"/>
    <w:rsid w:val="00473FB1"/>
    <w:rsid w:val="00474035"/>
    <w:rsid w:val="00474120"/>
    <w:rsid w:val="00474274"/>
    <w:rsid w:val="004742F4"/>
    <w:rsid w:val="00474FB5"/>
    <w:rsid w:val="004752A5"/>
    <w:rsid w:val="004755B2"/>
    <w:rsid w:val="004756DE"/>
    <w:rsid w:val="00475918"/>
    <w:rsid w:val="004759FE"/>
    <w:rsid w:val="00475A15"/>
    <w:rsid w:val="00475C97"/>
    <w:rsid w:val="00475D3F"/>
    <w:rsid w:val="00475EF0"/>
    <w:rsid w:val="0047645A"/>
    <w:rsid w:val="004771B2"/>
    <w:rsid w:val="0047786E"/>
    <w:rsid w:val="00477923"/>
    <w:rsid w:val="00477ECB"/>
    <w:rsid w:val="00477F85"/>
    <w:rsid w:val="004800A3"/>
    <w:rsid w:val="00480212"/>
    <w:rsid w:val="0048092A"/>
    <w:rsid w:val="00480A13"/>
    <w:rsid w:val="00480AF3"/>
    <w:rsid w:val="00481109"/>
    <w:rsid w:val="0048177D"/>
    <w:rsid w:val="0048185F"/>
    <w:rsid w:val="00481A04"/>
    <w:rsid w:val="00481BEC"/>
    <w:rsid w:val="00481D31"/>
    <w:rsid w:val="00482B12"/>
    <w:rsid w:val="00483284"/>
    <w:rsid w:val="00483429"/>
    <w:rsid w:val="004834C1"/>
    <w:rsid w:val="004836F1"/>
    <w:rsid w:val="00483B44"/>
    <w:rsid w:val="00483FC5"/>
    <w:rsid w:val="004843E5"/>
    <w:rsid w:val="004845F3"/>
    <w:rsid w:val="0048501D"/>
    <w:rsid w:val="0048501F"/>
    <w:rsid w:val="0048624B"/>
    <w:rsid w:val="00486260"/>
    <w:rsid w:val="0048631F"/>
    <w:rsid w:val="00486923"/>
    <w:rsid w:val="00486AC8"/>
    <w:rsid w:val="00486D76"/>
    <w:rsid w:val="00486FA5"/>
    <w:rsid w:val="004870BC"/>
    <w:rsid w:val="00487994"/>
    <w:rsid w:val="00487AF9"/>
    <w:rsid w:val="00487BE6"/>
    <w:rsid w:val="00487D62"/>
    <w:rsid w:val="00487DDC"/>
    <w:rsid w:val="00487F02"/>
    <w:rsid w:val="004900AF"/>
    <w:rsid w:val="00490108"/>
    <w:rsid w:val="004901B7"/>
    <w:rsid w:val="00490ACE"/>
    <w:rsid w:val="00490CE1"/>
    <w:rsid w:val="00490D5E"/>
    <w:rsid w:val="00490D90"/>
    <w:rsid w:val="004910FB"/>
    <w:rsid w:val="0049158B"/>
    <w:rsid w:val="00491AB7"/>
    <w:rsid w:val="00491C0F"/>
    <w:rsid w:val="00491E5F"/>
    <w:rsid w:val="0049216A"/>
    <w:rsid w:val="0049217E"/>
    <w:rsid w:val="004924A5"/>
    <w:rsid w:val="00492B49"/>
    <w:rsid w:val="00492DEA"/>
    <w:rsid w:val="004932A2"/>
    <w:rsid w:val="00493649"/>
    <w:rsid w:val="00493807"/>
    <w:rsid w:val="00493812"/>
    <w:rsid w:val="0049435E"/>
    <w:rsid w:val="004946D7"/>
    <w:rsid w:val="00494700"/>
    <w:rsid w:val="00495444"/>
    <w:rsid w:val="00495653"/>
    <w:rsid w:val="004959FB"/>
    <w:rsid w:val="00495E39"/>
    <w:rsid w:val="00495EA2"/>
    <w:rsid w:val="00496507"/>
    <w:rsid w:val="00496951"/>
    <w:rsid w:val="00496A4E"/>
    <w:rsid w:val="00496C2F"/>
    <w:rsid w:val="00496D1F"/>
    <w:rsid w:val="00497683"/>
    <w:rsid w:val="004977DB"/>
    <w:rsid w:val="00497AFC"/>
    <w:rsid w:val="00497C3B"/>
    <w:rsid w:val="004A0989"/>
    <w:rsid w:val="004A0E6A"/>
    <w:rsid w:val="004A13D2"/>
    <w:rsid w:val="004A13F5"/>
    <w:rsid w:val="004A14E7"/>
    <w:rsid w:val="004A1501"/>
    <w:rsid w:val="004A18DD"/>
    <w:rsid w:val="004A1AD6"/>
    <w:rsid w:val="004A1CA7"/>
    <w:rsid w:val="004A1F06"/>
    <w:rsid w:val="004A216C"/>
    <w:rsid w:val="004A24FB"/>
    <w:rsid w:val="004A260D"/>
    <w:rsid w:val="004A2675"/>
    <w:rsid w:val="004A3369"/>
    <w:rsid w:val="004A33A9"/>
    <w:rsid w:val="004A3551"/>
    <w:rsid w:val="004A3998"/>
    <w:rsid w:val="004A3BC6"/>
    <w:rsid w:val="004A3C6B"/>
    <w:rsid w:val="004A3EA7"/>
    <w:rsid w:val="004A48F8"/>
    <w:rsid w:val="004A4C19"/>
    <w:rsid w:val="004A50ED"/>
    <w:rsid w:val="004A5105"/>
    <w:rsid w:val="004A5A18"/>
    <w:rsid w:val="004A5A48"/>
    <w:rsid w:val="004A5C1C"/>
    <w:rsid w:val="004A60AC"/>
    <w:rsid w:val="004A6468"/>
    <w:rsid w:val="004A658A"/>
    <w:rsid w:val="004A66B8"/>
    <w:rsid w:val="004A678F"/>
    <w:rsid w:val="004A68B5"/>
    <w:rsid w:val="004A6A6E"/>
    <w:rsid w:val="004A6C32"/>
    <w:rsid w:val="004A6CD4"/>
    <w:rsid w:val="004A7426"/>
    <w:rsid w:val="004A7504"/>
    <w:rsid w:val="004A7A0C"/>
    <w:rsid w:val="004A7D2C"/>
    <w:rsid w:val="004A7E2B"/>
    <w:rsid w:val="004B0531"/>
    <w:rsid w:val="004B053B"/>
    <w:rsid w:val="004B05C5"/>
    <w:rsid w:val="004B060E"/>
    <w:rsid w:val="004B061B"/>
    <w:rsid w:val="004B06D3"/>
    <w:rsid w:val="004B0735"/>
    <w:rsid w:val="004B0958"/>
    <w:rsid w:val="004B0A93"/>
    <w:rsid w:val="004B0D7E"/>
    <w:rsid w:val="004B0E53"/>
    <w:rsid w:val="004B11B2"/>
    <w:rsid w:val="004B14C6"/>
    <w:rsid w:val="004B1739"/>
    <w:rsid w:val="004B17B3"/>
    <w:rsid w:val="004B17B9"/>
    <w:rsid w:val="004B1BFA"/>
    <w:rsid w:val="004B1D54"/>
    <w:rsid w:val="004B1D7A"/>
    <w:rsid w:val="004B1E4C"/>
    <w:rsid w:val="004B25DC"/>
    <w:rsid w:val="004B2841"/>
    <w:rsid w:val="004B2D33"/>
    <w:rsid w:val="004B2ED9"/>
    <w:rsid w:val="004B307E"/>
    <w:rsid w:val="004B311B"/>
    <w:rsid w:val="004B3450"/>
    <w:rsid w:val="004B4029"/>
    <w:rsid w:val="004B4345"/>
    <w:rsid w:val="004B488C"/>
    <w:rsid w:val="004B488D"/>
    <w:rsid w:val="004B48EE"/>
    <w:rsid w:val="004B525F"/>
    <w:rsid w:val="004B5265"/>
    <w:rsid w:val="004B55E2"/>
    <w:rsid w:val="004B5824"/>
    <w:rsid w:val="004B5926"/>
    <w:rsid w:val="004B59A1"/>
    <w:rsid w:val="004B5AF7"/>
    <w:rsid w:val="004B5C2E"/>
    <w:rsid w:val="004B5D93"/>
    <w:rsid w:val="004B6268"/>
    <w:rsid w:val="004B65F2"/>
    <w:rsid w:val="004B6616"/>
    <w:rsid w:val="004B6797"/>
    <w:rsid w:val="004B6EBE"/>
    <w:rsid w:val="004B7583"/>
    <w:rsid w:val="004B76F9"/>
    <w:rsid w:val="004B7A02"/>
    <w:rsid w:val="004B7A52"/>
    <w:rsid w:val="004B7ACC"/>
    <w:rsid w:val="004B7DFD"/>
    <w:rsid w:val="004C098B"/>
    <w:rsid w:val="004C0BF6"/>
    <w:rsid w:val="004C0C12"/>
    <w:rsid w:val="004C0CF2"/>
    <w:rsid w:val="004C0F3C"/>
    <w:rsid w:val="004C1313"/>
    <w:rsid w:val="004C146B"/>
    <w:rsid w:val="004C1667"/>
    <w:rsid w:val="004C19A4"/>
    <w:rsid w:val="004C19C4"/>
    <w:rsid w:val="004C1D55"/>
    <w:rsid w:val="004C1D69"/>
    <w:rsid w:val="004C211C"/>
    <w:rsid w:val="004C213B"/>
    <w:rsid w:val="004C24D6"/>
    <w:rsid w:val="004C26BE"/>
    <w:rsid w:val="004C30C6"/>
    <w:rsid w:val="004C34A5"/>
    <w:rsid w:val="004C3B9F"/>
    <w:rsid w:val="004C4404"/>
    <w:rsid w:val="004C461D"/>
    <w:rsid w:val="004C479F"/>
    <w:rsid w:val="004C47D1"/>
    <w:rsid w:val="004C4902"/>
    <w:rsid w:val="004C4AB4"/>
    <w:rsid w:val="004C4B41"/>
    <w:rsid w:val="004C516B"/>
    <w:rsid w:val="004C536A"/>
    <w:rsid w:val="004C5471"/>
    <w:rsid w:val="004C54DC"/>
    <w:rsid w:val="004C5607"/>
    <w:rsid w:val="004C5859"/>
    <w:rsid w:val="004C5BE4"/>
    <w:rsid w:val="004C5D67"/>
    <w:rsid w:val="004C5F12"/>
    <w:rsid w:val="004C5F9E"/>
    <w:rsid w:val="004C64F3"/>
    <w:rsid w:val="004C6540"/>
    <w:rsid w:val="004C686D"/>
    <w:rsid w:val="004C69E2"/>
    <w:rsid w:val="004C6DF1"/>
    <w:rsid w:val="004C6EC7"/>
    <w:rsid w:val="004C6FFB"/>
    <w:rsid w:val="004C710B"/>
    <w:rsid w:val="004C7246"/>
    <w:rsid w:val="004C7349"/>
    <w:rsid w:val="004C73DB"/>
    <w:rsid w:val="004C7539"/>
    <w:rsid w:val="004C7551"/>
    <w:rsid w:val="004C7610"/>
    <w:rsid w:val="004C77B1"/>
    <w:rsid w:val="004C7ACF"/>
    <w:rsid w:val="004C7C2C"/>
    <w:rsid w:val="004C7EB4"/>
    <w:rsid w:val="004D0098"/>
    <w:rsid w:val="004D0335"/>
    <w:rsid w:val="004D0897"/>
    <w:rsid w:val="004D10DB"/>
    <w:rsid w:val="004D1269"/>
    <w:rsid w:val="004D15F1"/>
    <w:rsid w:val="004D1775"/>
    <w:rsid w:val="004D1975"/>
    <w:rsid w:val="004D1F1E"/>
    <w:rsid w:val="004D1F43"/>
    <w:rsid w:val="004D2D66"/>
    <w:rsid w:val="004D3D8E"/>
    <w:rsid w:val="004D3F18"/>
    <w:rsid w:val="004D403C"/>
    <w:rsid w:val="004D40E2"/>
    <w:rsid w:val="004D41F5"/>
    <w:rsid w:val="004D4985"/>
    <w:rsid w:val="004D4A22"/>
    <w:rsid w:val="004D4BED"/>
    <w:rsid w:val="004D4D97"/>
    <w:rsid w:val="004D4EBF"/>
    <w:rsid w:val="004D510C"/>
    <w:rsid w:val="004D59AA"/>
    <w:rsid w:val="004D5B37"/>
    <w:rsid w:val="004D5E1B"/>
    <w:rsid w:val="004D60EA"/>
    <w:rsid w:val="004D664E"/>
    <w:rsid w:val="004D67C1"/>
    <w:rsid w:val="004D67E0"/>
    <w:rsid w:val="004D6C8F"/>
    <w:rsid w:val="004D6D4D"/>
    <w:rsid w:val="004D6D78"/>
    <w:rsid w:val="004D6E63"/>
    <w:rsid w:val="004D7262"/>
    <w:rsid w:val="004D739E"/>
    <w:rsid w:val="004D7468"/>
    <w:rsid w:val="004D76AB"/>
    <w:rsid w:val="004D7A22"/>
    <w:rsid w:val="004D7A25"/>
    <w:rsid w:val="004E0669"/>
    <w:rsid w:val="004E0D1C"/>
    <w:rsid w:val="004E0DD3"/>
    <w:rsid w:val="004E1300"/>
    <w:rsid w:val="004E163C"/>
    <w:rsid w:val="004E16E0"/>
    <w:rsid w:val="004E18B3"/>
    <w:rsid w:val="004E19ED"/>
    <w:rsid w:val="004E1A64"/>
    <w:rsid w:val="004E1A74"/>
    <w:rsid w:val="004E1B34"/>
    <w:rsid w:val="004E1BA1"/>
    <w:rsid w:val="004E1DC2"/>
    <w:rsid w:val="004E1E2D"/>
    <w:rsid w:val="004E22E5"/>
    <w:rsid w:val="004E2537"/>
    <w:rsid w:val="004E2EBA"/>
    <w:rsid w:val="004E31A4"/>
    <w:rsid w:val="004E31B5"/>
    <w:rsid w:val="004E34AF"/>
    <w:rsid w:val="004E34C2"/>
    <w:rsid w:val="004E3AFF"/>
    <w:rsid w:val="004E3B44"/>
    <w:rsid w:val="004E3C3D"/>
    <w:rsid w:val="004E3D36"/>
    <w:rsid w:val="004E40C5"/>
    <w:rsid w:val="004E46C8"/>
    <w:rsid w:val="004E4767"/>
    <w:rsid w:val="004E4768"/>
    <w:rsid w:val="004E4D1D"/>
    <w:rsid w:val="004E4D30"/>
    <w:rsid w:val="004E4ED4"/>
    <w:rsid w:val="004E4F23"/>
    <w:rsid w:val="004E5105"/>
    <w:rsid w:val="004E531E"/>
    <w:rsid w:val="004E54AD"/>
    <w:rsid w:val="004E54BD"/>
    <w:rsid w:val="004E5712"/>
    <w:rsid w:val="004E5A8B"/>
    <w:rsid w:val="004E5C70"/>
    <w:rsid w:val="004E605C"/>
    <w:rsid w:val="004E6958"/>
    <w:rsid w:val="004E6F06"/>
    <w:rsid w:val="004E7689"/>
    <w:rsid w:val="004E7E35"/>
    <w:rsid w:val="004E7E3F"/>
    <w:rsid w:val="004E7EDF"/>
    <w:rsid w:val="004E7FF0"/>
    <w:rsid w:val="004F0173"/>
    <w:rsid w:val="004F0244"/>
    <w:rsid w:val="004F05CE"/>
    <w:rsid w:val="004F0624"/>
    <w:rsid w:val="004F0711"/>
    <w:rsid w:val="004F0A44"/>
    <w:rsid w:val="004F0CBD"/>
    <w:rsid w:val="004F0FCF"/>
    <w:rsid w:val="004F101F"/>
    <w:rsid w:val="004F114C"/>
    <w:rsid w:val="004F11E6"/>
    <w:rsid w:val="004F12CF"/>
    <w:rsid w:val="004F12F8"/>
    <w:rsid w:val="004F146D"/>
    <w:rsid w:val="004F1471"/>
    <w:rsid w:val="004F152D"/>
    <w:rsid w:val="004F1678"/>
    <w:rsid w:val="004F1902"/>
    <w:rsid w:val="004F1DC4"/>
    <w:rsid w:val="004F1F93"/>
    <w:rsid w:val="004F2157"/>
    <w:rsid w:val="004F26DE"/>
    <w:rsid w:val="004F28A4"/>
    <w:rsid w:val="004F295E"/>
    <w:rsid w:val="004F2B19"/>
    <w:rsid w:val="004F2B7B"/>
    <w:rsid w:val="004F2D9A"/>
    <w:rsid w:val="004F30B6"/>
    <w:rsid w:val="004F328D"/>
    <w:rsid w:val="004F3804"/>
    <w:rsid w:val="004F3945"/>
    <w:rsid w:val="004F3A7D"/>
    <w:rsid w:val="004F3F3C"/>
    <w:rsid w:val="004F440E"/>
    <w:rsid w:val="004F4736"/>
    <w:rsid w:val="004F4796"/>
    <w:rsid w:val="004F4B1F"/>
    <w:rsid w:val="004F532D"/>
    <w:rsid w:val="004F5418"/>
    <w:rsid w:val="004F541E"/>
    <w:rsid w:val="004F55EB"/>
    <w:rsid w:val="004F580F"/>
    <w:rsid w:val="004F5C8E"/>
    <w:rsid w:val="004F5CB9"/>
    <w:rsid w:val="004F5D0D"/>
    <w:rsid w:val="004F5D4A"/>
    <w:rsid w:val="004F5F29"/>
    <w:rsid w:val="004F60DC"/>
    <w:rsid w:val="004F6467"/>
    <w:rsid w:val="004F6DF6"/>
    <w:rsid w:val="004F7001"/>
    <w:rsid w:val="004F700A"/>
    <w:rsid w:val="004F75DE"/>
    <w:rsid w:val="004F7707"/>
    <w:rsid w:val="004F78BD"/>
    <w:rsid w:val="004F79FF"/>
    <w:rsid w:val="004F7AFD"/>
    <w:rsid w:val="004F7B0B"/>
    <w:rsid w:val="004F7B3E"/>
    <w:rsid w:val="004F7E17"/>
    <w:rsid w:val="00500064"/>
    <w:rsid w:val="005000A2"/>
    <w:rsid w:val="005000E1"/>
    <w:rsid w:val="00500103"/>
    <w:rsid w:val="0050036D"/>
    <w:rsid w:val="0050046B"/>
    <w:rsid w:val="00500512"/>
    <w:rsid w:val="0050066C"/>
    <w:rsid w:val="00500BCD"/>
    <w:rsid w:val="00500E24"/>
    <w:rsid w:val="00500F45"/>
    <w:rsid w:val="005010D4"/>
    <w:rsid w:val="0050110E"/>
    <w:rsid w:val="0050120C"/>
    <w:rsid w:val="00501265"/>
    <w:rsid w:val="0050138C"/>
    <w:rsid w:val="005017AB"/>
    <w:rsid w:val="00501903"/>
    <w:rsid w:val="00501E94"/>
    <w:rsid w:val="005021EE"/>
    <w:rsid w:val="00502571"/>
    <w:rsid w:val="005028FF"/>
    <w:rsid w:val="00502929"/>
    <w:rsid w:val="00502AFA"/>
    <w:rsid w:val="00502E11"/>
    <w:rsid w:val="00502FBF"/>
    <w:rsid w:val="00503347"/>
    <w:rsid w:val="00503894"/>
    <w:rsid w:val="0050396F"/>
    <w:rsid w:val="005039DB"/>
    <w:rsid w:val="0050404F"/>
    <w:rsid w:val="005040BA"/>
    <w:rsid w:val="00504176"/>
    <w:rsid w:val="0050417D"/>
    <w:rsid w:val="005043EB"/>
    <w:rsid w:val="00504528"/>
    <w:rsid w:val="005045CD"/>
    <w:rsid w:val="0050479E"/>
    <w:rsid w:val="005049CA"/>
    <w:rsid w:val="00504D3F"/>
    <w:rsid w:val="00504EB2"/>
    <w:rsid w:val="00505028"/>
    <w:rsid w:val="00505334"/>
    <w:rsid w:val="00505B2D"/>
    <w:rsid w:val="00505CAC"/>
    <w:rsid w:val="00506E42"/>
    <w:rsid w:val="00507044"/>
    <w:rsid w:val="00507C76"/>
    <w:rsid w:val="0051042A"/>
    <w:rsid w:val="0051070A"/>
    <w:rsid w:val="0051092B"/>
    <w:rsid w:val="00510A68"/>
    <w:rsid w:val="00510C4C"/>
    <w:rsid w:val="00510C66"/>
    <w:rsid w:val="0051132E"/>
    <w:rsid w:val="005117DB"/>
    <w:rsid w:val="005119D9"/>
    <w:rsid w:val="00511A7A"/>
    <w:rsid w:val="00511AF6"/>
    <w:rsid w:val="00511CDC"/>
    <w:rsid w:val="00511F34"/>
    <w:rsid w:val="00511F83"/>
    <w:rsid w:val="00511F9C"/>
    <w:rsid w:val="00511FCC"/>
    <w:rsid w:val="00512664"/>
    <w:rsid w:val="00512932"/>
    <w:rsid w:val="00512A16"/>
    <w:rsid w:val="00512CBF"/>
    <w:rsid w:val="00512E6C"/>
    <w:rsid w:val="005131C2"/>
    <w:rsid w:val="0051347E"/>
    <w:rsid w:val="005134BA"/>
    <w:rsid w:val="00513A8E"/>
    <w:rsid w:val="00513B0F"/>
    <w:rsid w:val="00513E5B"/>
    <w:rsid w:val="00514172"/>
    <w:rsid w:val="005146CE"/>
    <w:rsid w:val="0051477D"/>
    <w:rsid w:val="00514A87"/>
    <w:rsid w:val="00514BFF"/>
    <w:rsid w:val="00514DC4"/>
    <w:rsid w:val="00514E7E"/>
    <w:rsid w:val="00514E88"/>
    <w:rsid w:val="00515CB0"/>
    <w:rsid w:val="00515EAC"/>
    <w:rsid w:val="00516030"/>
    <w:rsid w:val="005160DD"/>
    <w:rsid w:val="0051637B"/>
    <w:rsid w:val="00516407"/>
    <w:rsid w:val="005168D9"/>
    <w:rsid w:val="00516BCB"/>
    <w:rsid w:val="00516E32"/>
    <w:rsid w:val="00516E37"/>
    <w:rsid w:val="00517323"/>
    <w:rsid w:val="00517342"/>
    <w:rsid w:val="00517A68"/>
    <w:rsid w:val="00517F00"/>
    <w:rsid w:val="00520026"/>
    <w:rsid w:val="0052010C"/>
    <w:rsid w:val="00520376"/>
    <w:rsid w:val="00520DFD"/>
    <w:rsid w:val="00520FDF"/>
    <w:rsid w:val="00521029"/>
    <w:rsid w:val="00521404"/>
    <w:rsid w:val="0052198B"/>
    <w:rsid w:val="00521C2C"/>
    <w:rsid w:val="00522152"/>
    <w:rsid w:val="005222C4"/>
    <w:rsid w:val="0052272A"/>
    <w:rsid w:val="005229F2"/>
    <w:rsid w:val="00522BE9"/>
    <w:rsid w:val="00522E3F"/>
    <w:rsid w:val="00522F45"/>
    <w:rsid w:val="00523456"/>
    <w:rsid w:val="00523AF6"/>
    <w:rsid w:val="00523B4C"/>
    <w:rsid w:val="00523DAC"/>
    <w:rsid w:val="00523EB1"/>
    <w:rsid w:val="00523F69"/>
    <w:rsid w:val="005246B0"/>
    <w:rsid w:val="0052497B"/>
    <w:rsid w:val="005249E4"/>
    <w:rsid w:val="00524C38"/>
    <w:rsid w:val="005252B9"/>
    <w:rsid w:val="005254F0"/>
    <w:rsid w:val="00525608"/>
    <w:rsid w:val="00525989"/>
    <w:rsid w:val="00525B4A"/>
    <w:rsid w:val="00525E44"/>
    <w:rsid w:val="00525F15"/>
    <w:rsid w:val="0052621D"/>
    <w:rsid w:val="0052663B"/>
    <w:rsid w:val="005266EA"/>
    <w:rsid w:val="0052683C"/>
    <w:rsid w:val="00526911"/>
    <w:rsid w:val="00526ED3"/>
    <w:rsid w:val="00526FB5"/>
    <w:rsid w:val="00527017"/>
    <w:rsid w:val="005273BF"/>
    <w:rsid w:val="0052769B"/>
    <w:rsid w:val="00527A53"/>
    <w:rsid w:val="00527B06"/>
    <w:rsid w:val="00527E04"/>
    <w:rsid w:val="00527E46"/>
    <w:rsid w:val="00530263"/>
    <w:rsid w:val="005306B6"/>
    <w:rsid w:val="00530BA3"/>
    <w:rsid w:val="00530D34"/>
    <w:rsid w:val="00531CCB"/>
    <w:rsid w:val="00531D3D"/>
    <w:rsid w:val="00532471"/>
    <w:rsid w:val="00532713"/>
    <w:rsid w:val="0053283E"/>
    <w:rsid w:val="0053288D"/>
    <w:rsid w:val="00532CE1"/>
    <w:rsid w:val="00532E26"/>
    <w:rsid w:val="00533922"/>
    <w:rsid w:val="00533AAF"/>
    <w:rsid w:val="00533B70"/>
    <w:rsid w:val="00533D2E"/>
    <w:rsid w:val="00533F47"/>
    <w:rsid w:val="005343A1"/>
    <w:rsid w:val="0053462A"/>
    <w:rsid w:val="0053465D"/>
    <w:rsid w:val="00534B3E"/>
    <w:rsid w:val="00534BFC"/>
    <w:rsid w:val="00534E4F"/>
    <w:rsid w:val="0053588E"/>
    <w:rsid w:val="005358E0"/>
    <w:rsid w:val="00535990"/>
    <w:rsid w:val="00535A98"/>
    <w:rsid w:val="00535AD2"/>
    <w:rsid w:val="00535B2C"/>
    <w:rsid w:val="00535BA0"/>
    <w:rsid w:val="00535C07"/>
    <w:rsid w:val="00535C44"/>
    <w:rsid w:val="00536058"/>
    <w:rsid w:val="00536867"/>
    <w:rsid w:val="00536B81"/>
    <w:rsid w:val="005370DE"/>
    <w:rsid w:val="005372D2"/>
    <w:rsid w:val="00537402"/>
    <w:rsid w:val="005376AF"/>
    <w:rsid w:val="00537705"/>
    <w:rsid w:val="005403FB"/>
    <w:rsid w:val="00540B49"/>
    <w:rsid w:val="00540B55"/>
    <w:rsid w:val="00540BAC"/>
    <w:rsid w:val="00540BC8"/>
    <w:rsid w:val="005410B1"/>
    <w:rsid w:val="005410D2"/>
    <w:rsid w:val="0054124B"/>
    <w:rsid w:val="00541816"/>
    <w:rsid w:val="00541E0B"/>
    <w:rsid w:val="00542334"/>
    <w:rsid w:val="0054295F"/>
    <w:rsid w:val="00542BE9"/>
    <w:rsid w:val="005430BD"/>
    <w:rsid w:val="0054321E"/>
    <w:rsid w:val="00543728"/>
    <w:rsid w:val="00543814"/>
    <w:rsid w:val="00543836"/>
    <w:rsid w:val="00543B56"/>
    <w:rsid w:val="00543ECE"/>
    <w:rsid w:val="00543FFA"/>
    <w:rsid w:val="00544247"/>
    <w:rsid w:val="005443C7"/>
    <w:rsid w:val="00544858"/>
    <w:rsid w:val="005448C1"/>
    <w:rsid w:val="00544E21"/>
    <w:rsid w:val="005456BF"/>
    <w:rsid w:val="005457C9"/>
    <w:rsid w:val="00545A84"/>
    <w:rsid w:val="00545BB2"/>
    <w:rsid w:val="00546567"/>
    <w:rsid w:val="00546A2D"/>
    <w:rsid w:val="00546F51"/>
    <w:rsid w:val="0054773B"/>
    <w:rsid w:val="00547AC4"/>
    <w:rsid w:val="00547E56"/>
    <w:rsid w:val="00550002"/>
    <w:rsid w:val="005502A8"/>
    <w:rsid w:val="005506A9"/>
    <w:rsid w:val="00550A37"/>
    <w:rsid w:val="00550C5F"/>
    <w:rsid w:val="00550F7F"/>
    <w:rsid w:val="0055113D"/>
    <w:rsid w:val="00551146"/>
    <w:rsid w:val="005512BC"/>
    <w:rsid w:val="0055135E"/>
    <w:rsid w:val="005515A3"/>
    <w:rsid w:val="00551674"/>
    <w:rsid w:val="00551A11"/>
    <w:rsid w:val="00551F48"/>
    <w:rsid w:val="005521B8"/>
    <w:rsid w:val="00552239"/>
    <w:rsid w:val="0055288A"/>
    <w:rsid w:val="0055311B"/>
    <w:rsid w:val="00553244"/>
    <w:rsid w:val="00553477"/>
    <w:rsid w:val="00553481"/>
    <w:rsid w:val="00553537"/>
    <w:rsid w:val="00553C87"/>
    <w:rsid w:val="00553CD0"/>
    <w:rsid w:val="00553EF0"/>
    <w:rsid w:val="005542D0"/>
    <w:rsid w:val="00554409"/>
    <w:rsid w:val="00554444"/>
    <w:rsid w:val="00554E7A"/>
    <w:rsid w:val="00554ED4"/>
    <w:rsid w:val="00555328"/>
    <w:rsid w:val="0055558A"/>
    <w:rsid w:val="00555807"/>
    <w:rsid w:val="0055594D"/>
    <w:rsid w:val="00555C13"/>
    <w:rsid w:val="00555D8E"/>
    <w:rsid w:val="005560B7"/>
    <w:rsid w:val="005564DB"/>
    <w:rsid w:val="00556E1A"/>
    <w:rsid w:val="0055726D"/>
    <w:rsid w:val="00557380"/>
    <w:rsid w:val="00557496"/>
    <w:rsid w:val="005575F0"/>
    <w:rsid w:val="00557C45"/>
    <w:rsid w:val="00557F90"/>
    <w:rsid w:val="00560111"/>
    <w:rsid w:val="00560334"/>
    <w:rsid w:val="005603F5"/>
    <w:rsid w:val="005605E4"/>
    <w:rsid w:val="0056061B"/>
    <w:rsid w:val="00560957"/>
    <w:rsid w:val="00560A95"/>
    <w:rsid w:val="00561002"/>
    <w:rsid w:val="00561294"/>
    <w:rsid w:val="00561345"/>
    <w:rsid w:val="0056159A"/>
    <w:rsid w:val="005615A8"/>
    <w:rsid w:val="005618F7"/>
    <w:rsid w:val="005619AC"/>
    <w:rsid w:val="00561AF6"/>
    <w:rsid w:val="00561B32"/>
    <w:rsid w:val="00561C34"/>
    <w:rsid w:val="00561C63"/>
    <w:rsid w:val="00562572"/>
    <w:rsid w:val="0056258B"/>
    <w:rsid w:val="00562A40"/>
    <w:rsid w:val="00562B10"/>
    <w:rsid w:val="00562CFE"/>
    <w:rsid w:val="00562E72"/>
    <w:rsid w:val="00562F66"/>
    <w:rsid w:val="00562FD5"/>
    <w:rsid w:val="005633A8"/>
    <w:rsid w:val="0056362B"/>
    <w:rsid w:val="00564BC0"/>
    <w:rsid w:val="00564CBE"/>
    <w:rsid w:val="00564F1B"/>
    <w:rsid w:val="0056559C"/>
    <w:rsid w:val="00565658"/>
    <w:rsid w:val="00565A05"/>
    <w:rsid w:val="00565DFC"/>
    <w:rsid w:val="00565EE6"/>
    <w:rsid w:val="005660D9"/>
    <w:rsid w:val="00566873"/>
    <w:rsid w:val="00566A2E"/>
    <w:rsid w:val="00566B90"/>
    <w:rsid w:val="00566C0F"/>
    <w:rsid w:val="005670E0"/>
    <w:rsid w:val="00567301"/>
    <w:rsid w:val="0057004C"/>
    <w:rsid w:val="005702EF"/>
    <w:rsid w:val="0057054F"/>
    <w:rsid w:val="005709C2"/>
    <w:rsid w:val="00570D0E"/>
    <w:rsid w:val="00572113"/>
    <w:rsid w:val="0057235F"/>
    <w:rsid w:val="00572EE6"/>
    <w:rsid w:val="0057318B"/>
    <w:rsid w:val="00573430"/>
    <w:rsid w:val="005735F8"/>
    <w:rsid w:val="0057373E"/>
    <w:rsid w:val="0057386B"/>
    <w:rsid w:val="00573975"/>
    <w:rsid w:val="005739E1"/>
    <w:rsid w:val="00573ED1"/>
    <w:rsid w:val="0057425A"/>
    <w:rsid w:val="00574442"/>
    <w:rsid w:val="005745E2"/>
    <w:rsid w:val="00574618"/>
    <w:rsid w:val="0057476A"/>
    <w:rsid w:val="0057495C"/>
    <w:rsid w:val="00574DAD"/>
    <w:rsid w:val="005750C5"/>
    <w:rsid w:val="005753A7"/>
    <w:rsid w:val="00575C43"/>
    <w:rsid w:val="00575D25"/>
    <w:rsid w:val="00575E93"/>
    <w:rsid w:val="00575F63"/>
    <w:rsid w:val="005760C3"/>
    <w:rsid w:val="005763D6"/>
    <w:rsid w:val="0057676E"/>
    <w:rsid w:val="00576824"/>
    <w:rsid w:val="00576BBC"/>
    <w:rsid w:val="00576C19"/>
    <w:rsid w:val="00576D00"/>
    <w:rsid w:val="005770B7"/>
    <w:rsid w:val="00577101"/>
    <w:rsid w:val="00577294"/>
    <w:rsid w:val="005773BD"/>
    <w:rsid w:val="00577621"/>
    <w:rsid w:val="00577BE7"/>
    <w:rsid w:val="00577F18"/>
    <w:rsid w:val="0058033B"/>
    <w:rsid w:val="00580404"/>
    <w:rsid w:val="0058053C"/>
    <w:rsid w:val="00580555"/>
    <w:rsid w:val="005807C7"/>
    <w:rsid w:val="005807DA"/>
    <w:rsid w:val="00580EA9"/>
    <w:rsid w:val="0058194D"/>
    <w:rsid w:val="00581CE9"/>
    <w:rsid w:val="00581EDE"/>
    <w:rsid w:val="0058212E"/>
    <w:rsid w:val="00582325"/>
    <w:rsid w:val="00582A02"/>
    <w:rsid w:val="00582AA0"/>
    <w:rsid w:val="005831E7"/>
    <w:rsid w:val="00583230"/>
    <w:rsid w:val="00583414"/>
    <w:rsid w:val="0058345B"/>
    <w:rsid w:val="00583E81"/>
    <w:rsid w:val="00583F04"/>
    <w:rsid w:val="005841B3"/>
    <w:rsid w:val="005842E6"/>
    <w:rsid w:val="0058495D"/>
    <w:rsid w:val="00584A35"/>
    <w:rsid w:val="005851D4"/>
    <w:rsid w:val="0058548B"/>
    <w:rsid w:val="005856D7"/>
    <w:rsid w:val="00585A28"/>
    <w:rsid w:val="0058623C"/>
    <w:rsid w:val="005862D0"/>
    <w:rsid w:val="0058645B"/>
    <w:rsid w:val="005865FE"/>
    <w:rsid w:val="0058665F"/>
    <w:rsid w:val="005867B1"/>
    <w:rsid w:val="00586802"/>
    <w:rsid w:val="00586886"/>
    <w:rsid w:val="00586913"/>
    <w:rsid w:val="00586948"/>
    <w:rsid w:val="00586CEB"/>
    <w:rsid w:val="00586F3D"/>
    <w:rsid w:val="00586F78"/>
    <w:rsid w:val="005870D4"/>
    <w:rsid w:val="005877CE"/>
    <w:rsid w:val="00590692"/>
    <w:rsid w:val="005906AE"/>
    <w:rsid w:val="0059088D"/>
    <w:rsid w:val="00590A25"/>
    <w:rsid w:val="00590EE0"/>
    <w:rsid w:val="00590F97"/>
    <w:rsid w:val="00590FCE"/>
    <w:rsid w:val="005910C4"/>
    <w:rsid w:val="00591C79"/>
    <w:rsid w:val="00592988"/>
    <w:rsid w:val="00592ADA"/>
    <w:rsid w:val="0059347E"/>
    <w:rsid w:val="00593761"/>
    <w:rsid w:val="00593858"/>
    <w:rsid w:val="0059388A"/>
    <w:rsid w:val="00594205"/>
    <w:rsid w:val="00594422"/>
    <w:rsid w:val="00594D61"/>
    <w:rsid w:val="00594E4E"/>
    <w:rsid w:val="00594E9F"/>
    <w:rsid w:val="00595A94"/>
    <w:rsid w:val="005963D6"/>
    <w:rsid w:val="0059640F"/>
    <w:rsid w:val="0059672C"/>
    <w:rsid w:val="005967EA"/>
    <w:rsid w:val="005968A7"/>
    <w:rsid w:val="005968E7"/>
    <w:rsid w:val="005969F3"/>
    <w:rsid w:val="00596DD9"/>
    <w:rsid w:val="0059707A"/>
    <w:rsid w:val="0059709C"/>
    <w:rsid w:val="00597229"/>
    <w:rsid w:val="0059747C"/>
    <w:rsid w:val="00597F15"/>
    <w:rsid w:val="005A0315"/>
    <w:rsid w:val="005A0356"/>
    <w:rsid w:val="005A03D1"/>
    <w:rsid w:val="005A0A77"/>
    <w:rsid w:val="005A101C"/>
    <w:rsid w:val="005A1167"/>
    <w:rsid w:val="005A118B"/>
    <w:rsid w:val="005A17B7"/>
    <w:rsid w:val="005A19E5"/>
    <w:rsid w:val="005A1B65"/>
    <w:rsid w:val="005A1C3C"/>
    <w:rsid w:val="005A2000"/>
    <w:rsid w:val="005A235D"/>
    <w:rsid w:val="005A2670"/>
    <w:rsid w:val="005A27B0"/>
    <w:rsid w:val="005A28E3"/>
    <w:rsid w:val="005A2A56"/>
    <w:rsid w:val="005A2D78"/>
    <w:rsid w:val="005A314B"/>
    <w:rsid w:val="005A37C7"/>
    <w:rsid w:val="005A392F"/>
    <w:rsid w:val="005A42C0"/>
    <w:rsid w:val="005A45A7"/>
    <w:rsid w:val="005A466D"/>
    <w:rsid w:val="005A4B35"/>
    <w:rsid w:val="005A5003"/>
    <w:rsid w:val="005A500E"/>
    <w:rsid w:val="005A51EB"/>
    <w:rsid w:val="005A5206"/>
    <w:rsid w:val="005A5225"/>
    <w:rsid w:val="005A59C0"/>
    <w:rsid w:val="005A59E4"/>
    <w:rsid w:val="005A6185"/>
    <w:rsid w:val="005A6728"/>
    <w:rsid w:val="005A678C"/>
    <w:rsid w:val="005A6E63"/>
    <w:rsid w:val="005A715B"/>
    <w:rsid w:val="005A7193"/>
    <w:rsid w:val="005A7380"/>
    <w:rsid w:val="005A7D22"/>
    <w:rsid w:val="005A7EC4"/>
    <w:rsid w:val="005B0361"/>
    <w:rsid w:val="005B079E"/>
    <w:rsid w:val="005B093E"/>
    <w:rsid w:val="005B0A76"/>
    <w:rsid w:val="005B0AF6"/>
    <w:rsid w:val="005B0D92"/>
    <w:rsid w:val="005B0E07"/>
    <w:rsid w:val="005B0E39"/>
    <w:rsid w:val="005B0FAC"/>
    <w:rsid w:val="005B18D4"/>
    <w:rsid w:val="005B2780"/>
    <w:rsid w:val="005B2BD9"/>
    <w:rsid w:val="005B2C1D"/>
    <w:rsid w:val="005B31E4"/>
    <w:rsid w:val="005B34F6"/>
    <w:rsid w:val="005B35BE"/>
    <w:rsid w:val="005B410D"/>
    <w:rsid w:val="005B4122"/>
    <w:rsid w:val="005B4357"/>
    <w:rsid w:val="005B4714"/>
    <w:rsid w:val="005B4811"/>
    <w:rsid w:val="005B57C3"/>
    <w:rsid w:val="005B5A17"/>
    <w:rsid w:val="005B5CD5"/>
    <w:rsid w:val="005B5D02"/>
    <w:rsid w:val="005B6477"/>
    <w:rsid w:val="005B64F1"/>
    <w:rsid w:val="005B686B"/>
    <w:rsid w:val="005B6ADD"/>
    <w:rsid w:val="005B704A"/>
    <w:rsid w:val="005B74FA"/>
    <w:rsid w:val="005B7BC9"/>
    <w:rsid w:val="005C031E"/>
    <w:rsid w:val="005C04C4"/>
    <w:rsid w:val="005C0BB6"/>
    <w:rsid w:val="005C1030"/>
    <w:rsid w:val="005C1058"/>
    <w:rsid w:val="005C1464"/>
    <w:rsid w:val="005C1833"/>
    <w:rsid w:val="005C1922"/>
    <w:rsid w:val="005C1CAB"/>
    <w:rsid w:val="005C1CFE"/>
    <w:rsid w:val="005C22F8"/>
    <w:rsid w:val="005C2572"/>
    <w:rsid w:val="005C26C7"/>
    <w:rsid w:val="005C2971"/>
    <w:rsid w:val="005C2DBB"/>
    <w:rsid w:val="005C2E14"/>
    <w:rsid w:val="005C2FBA"/>
    <w:rsid w:val="005C3005"/>
    <w:rsid w:val="005C3055"/>
    <w:rsid w:val="005C3171"/>
    <w:rsid w:val="005C34CC"/>
    <w:rsid w:val="005C363E"/>
    <w:rsid w:val="005C390B"/>
    <w:rsid w:val="005C3BE9"/>
    <w:rsid w:val="005C3D99"/>
    <w:rsid w:val="005C3E71"/>
    <w:rsid w:val="005C3F20"/>
    <w:rsid w:val="005C4217"/>
    <w:rsid w:val="005C42B0"/>
    <w:rsid w:val="005C42C7"/>
    <w:rsid w:val="005C433F"/>
    <w:rsid w:val="005C4709"/>
    <w:rsid w:val="005C4A65"/>
    <w:rsid w:val="005C4B60"/>
    <w:rsid w:val="005C5399"/>
    <w:rsid w:val="005C545C"/>
    <w:rsid w:val="005C5C42"/>
    <w:rsid w:val="005C6348"/>
    <w:rsid w:val="005C6864"/>
    <w:rsid w:val="005C6AB7"/>
    <w:rsid w:val="005C6AD6"/>
    <w:rsid w:val="005C6B2A"/>
    <w:rsid w:val="005C6D90"/>
    <w:rsid w:val="005C6F64"/>
    <w:rsid w:val="005C737E"/>
    <w:rsid w:val="005C7C11"/>
    <w:rsid w:val="005D01C5"/>
    <w:rsid w:val="005D034D"/>
    <w:rsid w:val="005D05A6"/>
    <w:rsid w:val="005D071B"/>
    <w:rsid w:val="005D0A8E"/>
    <w:rsid w:val="005D0D1E"/>
    <w:rsid w:val="005D1023"/>
    <w:rsid w:val="005D1056"/>
    <w:rsid w:val="005D13B0"/>
    <w:rsid w:val="005D1587"/>
    <w:rsid w:val="005D19E0"/>
    <w:rsid w:val="005D1CDE"/>
    <w:rsid w:val="005D1F14"/>
    <w:rsid w:val="005D22E2"/>
    <w:rsid w:val="005D246E"/>
    <w:rsid w:val="005D25A7"/>
    <w:rsid w:val="005D262C"/>
    <w:rsid w:val="005D2635"/>
    <w:rsid w:val="005D2808"/>
    <w:rsid w:val="005D2B14"/>
    <w:rsid w:val="005D2DB3"/>
    <w:rsid w:val="005D3082"/>
    <w:rsid w:val="005D31E2"/>
    <w:rsid w:val="005D33C8"/>
    <w:rsid w:val="005D33F7"/>
    <w:rsid w:val="005D351D"/>
    <w:rsid w:val="005D3790"/>
    <w:rsid w:val="005D3A62"/>
    <w:rsid w:val="005D3DC3"/>
    <w:rsid w:val="005D3FDB"/>
    <w:rsid w:val="005D40B6"/>
    <w:rsid w:val="005D4113"/>
    <w:rsid w:val="005D4190"/>
    <w:rsid w:val="005D4261"/>
    <w:rsid w:val="005D44C6"/>
    <w:rsid w:val="005D4561"/>
    <w:rsid w:val="005D484D"/>
    <w:rsid w:val="005D48AC"/>
    <w:rsid w:val="005D4997"/>
    <w:rsid w:val="005D4A0B"/>
    <w:rsid w:val="005D4D1D"/>
    <w:rsid w:val="005D50DE"/>
    <w:rsid w:val="005D518B"/>
    <w:rsid w:val="005D56EE"/>
    <w:rsid w:val="005D570E"/>
    <w:rsid w:val="005D598A"/>
    <w:rsid w:val="005D5B48"/>
    <w:rsid w:val="005D5C9F"/>
    <w:rsid w:val="005D5F9D"/>
    <w:rsid w:val="005D6006"/>
    <w:rsid w:val="005D601A"/>
    <w:rsid w:val="005D61D3"/>
    <w:rsid w:val="005D6E07"/>
    <w:rsid w:val="005D6FF9"/>
    <w:rsid w:val="005D720A"/>
    <w:rsid w:val="005D737A"/>
    <w:rsid w:val="005D73DF"/>
    <w:rsid w:val="005D751A"/>
    <w:rsid w:val="005D75D1"/>
    <w:rsid w:val="005D77AB"/>
    <w:rsid w:val="005D77E0"/>
    <w:rsid w:val="005D78D0"/>
    <w:rsid w:val="005D7DC8"/>
    <w:rsid w:val="005D7F90"/>
    <w:rsid w:val="005E049F"/>
    <w:rsid w:val="005E07F8"/>
    <w:rsid w:val="005E0B95"/>
    <w:rsid w:val="005E11A2"/>
    <w:rsid w:val="005E1269"/>
    <w:rsid w:val="005E1404"/>
    <w:rsid w:val="005E14CF"/>
    <w:rsid w:val="005E1559"/>
    <w:rsid w:val="005E16DD"/>
    <w:rsid w:val="005E18EA"/>
    <w:rsid w:val="005E2323"/>
    <w:rsid w:val="005E2577"/>
    <w:rsid w:val="005E25BD"/>
    <w:rsid w:val="005E2E7F"/>
    <w:rsid w:val="005E2F3B"/>
    <w:rsid w:val="005E2F57"/>
    <w:rsid w:val="005E378B"/>
    <w:rsid w:val="005E390E"/>
    <w:rsid w:val="005E39A8"/>
    <w:rsid w:val="005E3C52"/>
    <w:rsid w:val="005E3FA8"/>
    <w:rsid w:val="005E3FAE"/>
    <w:rsid w:val="005E3FB4"/>
    <w:rsid w:val="005E5159"/>
    <w:rsid w:val="005E5378"/>
    <w:rsid w:val="005E5691"/>
    <w:rsid w:val="005E6328"/>
    <w:rsid w:val="005E65EC"/>
    <w:rsid w:val="005E685F"/>
    <w:rsid w:val="005E6BBE"/>
    <w:rsid w:val="005E6D9B"/>
    <w:rsid w:val="005E721B"/>
    <w:rsid w:val="005E7335"/>
    <w:rsid w:val="005E736F"/>
    <w:rsid w:val="005E7C96"/>
    <w:rsid w:val="005F00A5"/>
    <w:rsid w:val="005F0418"/>
    <w:rsid w:val="005F0426"/>
    <w:rsid w:val="005F0439"/>
    <w:rsid w:val="005F05C4"/>
    <w:rsid w:val="005F098E"/>
    <w:rsid w:val="005F0A38"/>
    <w:rsid w:val="005F0B3F"/>
    <w:rsid w:val="005F0E64"/>
    <w:rsid w:val="005F11F0"/>
    <w:rsid w:val="005F1471"/>
    <w:rsid w:val="005F1772"/>
    <w:rsid w:val="005F1C67"/>
    <w:rsid w:val="005F1D7D"/>
    <w:rsid w:val="005F1F5D"/>
    <w:rsid w:val="005F2292"/>
    <w:rsid w:val="005F2973"/>
    <w:rsid w:val="005F2F2F"/>
    <w:rsid w:val="005F32DC"/>
    <w:rsid w:val="005F37C6"/>
    <w:rsid w:val="005F3BE2"/>
    <w:rsid w:val="005F3D72"/>
    <w:rsid w:val="005F415A"/>
    <w:rsid w:val="005F4397"/>
    <w:rsid w:val="005F4568"/>
    <w:rsid w:val="005F46D5"/>
    <w:rsid w:val="005F47B6"/>
    <w:rsid w:val="005F4910"/>
    <w:rsid w:val="005F4B1C"/>
    <w:rsid w:val="005F4DEC"/>
    <w:rsid w:val="005F4E8C"/>
    <w:rsid w:val="005F5289"/>
    <w:rsid w:val="005F534B"/>
    <w:rsid w:val="005F5439"/>
    <w:rsid w:val="005F59B4"/>
    <w:rsid w:val="005F59CF"/>
    <w:rsid w:val="005F628E"/>
    <w:rsid w:val="005F662B"/>
    <w:rsid w:val="005F6B89"/>
    <w:rsid w:val="005F736C"/>
    <w:rsid w:val="005F77E4"/>
    <w:rsid w:val="0060009C"/>
    <w:rsid w:val="00600230"/>
    <w:rsid w:val="00600353"/>
    <w:rsid w:val="0060043A"/>
    <w:rsid w:val="0060067A"/>
    <w:rsid w:val="006007B1"/>
    <w:rsid w:val="00600859"/>
    <w:rsid w:val="00600B1E"/>
    <w:rsid w:val="00600B94"/>
    <w:rsid w:val="00600DF0"/>
    <w:rsid w:val="00600E74"/>
    <w:rsid w:val="00600F7C"/>
    <w:rsid w:val="0060120D"/>
    <w:rsid w:val="00601B2F"/>
    <w:rsid w:val="00601BF4"/>
    <w:rsid w:val="006021AF"/>
    <w:rsid w:val="00602426"/>
    <w:rsid w:val="00602611"/>
    <w:rsid w:val="00602614"/>
    <w:rsid w:val="00602627"/>
    <w:rsid w:val="0060289B"/>
    <w:rsid w:val="00602A84"/>
    <w:rsid w:val="00602B47"/>
    <w:rsid w:val="00602CFA"/>
    <w:rsid w:val="00602E91"/>
    <w:rsid w:val="00603041"/>
    <w:rsid w:val="0060316F"/>
    <w:rsid w:val="006035D4"/>
    <w:rsid w:val="006037B9"/>
    <w:rsid w:val="00603EC4"/>
    <w:rsid w:val="006043C4"/>
    <w:rsid w:val="006052BA"/>
    <w:rsid w:val="00605647"/>
    <w:rsid w:val="00605AF6"/>
    <w:rsid w:val="00605C3C"/>
    <w:rsid w:val="00605D5F"/>
    <w:rsid w:val="00605EDE"/>
    <w:rsid w:val="00605F4C"/>
    <w:rsid w:val="0060681A"/>
    <w:rsid w:val="00606CA9"/>
    <w:rsid w:val="0060756D"/>
    <w:rsid w:val="0060786F"/>
    <w:rsid w:val="00607A1D"/>
    <w:rsid w:val="00607B1B"/>
    <w:rsid w:val="00607DFA"/>
    <w:rsid w:val="00607E45"/>
    <w:rsid w:val="00610846"/>
    <w:rsid w:val="0061085D"/>
    <w:rsid w:val="006109AC"/>
    <w:rsid w:val="00610A5E"/>
    <w:rsid w:val="00610D56"/>
    <w:rsid w:val="00610DA6"/>
    <w:rsid w:val="00611923"/>
    <w:rsid w:val="00611AEA"/>
    <w:rsid w:val="006120E2"/>
    <w:rsid w:val="0061224E"/>
    <w:rsid w:val="006124BC"/>
    <w:rsid w:val="00612792"/>
    <w:rsid w:val="00612797"/>
    <w:rsid w:val="00612823"/>
    <w:rsid w:val="006128D6"/>
    <w:rsid w:val="00612905"/>
    <w:rsid w:val="00612CA2"/>
    <w:rsid w:val="006132BD"/>
    <w:rsid w:val="006138D1"/>
    <w:rsid w:val="00613ABE"/>
    <w:rsid w:val="00613C42"/>
    <w:rsid w:val="00613E1B"/>
    <w:rsid w:val="006141C2"/>
    <w:rsid w:val="00614241"/>
    <w:rsid w:val="006144BC"/>
    <w:rsid w:val="00614629"/>
    <w:rsid w:val="00614843"/>
    <w:rsid w:val="006149ED"/>
    <w:rsid w:val="00614DB0"/>
    <w:rsid w:val="00614DE8"/>
    <w:rsid w:val="00614E95"/>
    <w:rsid w:val="00615124"/>
    <w:rsid w:val="006151FF"/>
    <w:rsid w:val="00615B8D"/>
    <w:rsid w:val="00615C50"/>
    <w:rsid w:val="00615DB3"/>
    <w:rsid w:val="00615E33"/>
    <w:rsid w:val="00615E88"/>
    <w:rsid w:val="006161AB"/>
    <w:rsid w:val="006165F3"/>
    <w:rsid w:val="0061660B"/>
    <w:rsid w:val="00616B2A"/>
    <w:rsid w:val="00616F1E"/>
    <w:rsid w:val="00617B40"/>
    <w:rsid w:val="00617D3C"/>
    <w:rsid w:val="006200C4"/>
    <w:rsid w:val="006200D8"/>
    <w:rsid w:val="00620217"/>
    <w:rsid w:val="00620628"/>
    <w:rsid w:val="00620812"/>
    <w:rsid w:val="00620A2E"/>
    <w:rsid w:val="00620BEE"/>
    <w:rsid w:val="00620CAA"/>
    <w:rsid w:val="00621074"/>
    <w:rsid w:val="0062192B"/>
    <w:rsid w:val="0062194B"/>
    <w:rsid w:val="00621ABF"/>
    <w:rsid w:val="00621DF1"/>
    <w:rsid w:val="00622199"/>
    <w:rsid w:val="006221EE"/>
    <w:rsid w:val="00622A22"/>
    <w:rsid w:val="00622CC8"/>
    <w:rsid w:val="00622DD2"/>
    <w:rsid w:val="006233AC"/>
    <w:rsid w:val="006238CE"/>
    <w:rsid w:val="006239F3"/>
    <w:rsid w:val="00623D9B"/>
    <w:rsid w:val="00623E5A"/>
    <w:rsid w:val="0062435A"/>
    <w:rsid w:val="0062469E"/>
    <w:rsid w:val="006248AB"/>
    <w:rsid w:val="00624DF4"/>
    <w:rsid w:val="00624E75"/>
    <w:rsid w:val="00624FB5"/>
    <w:rsid w:val="00624FE9"/>
    <w:rsid w:val="006256B8"/>
    <w:rsid w:val="00625A46"/>
    <w:rsid w:val="00625B08"/>
    <w:rsid w:val="00625B4D"/>
    <w:rsid w:val="00625E40"/>
    <w:rsid w:val="00625E69"/>
    <w:rsid w:val="00626149"/>
    <w:rsid w:val="006265A5"/>
    <w:rsid w:val="006268E9"/>
    <w:rsid w:val="00626B40"/>
    <w:rsid w:val="00626B6C"/>
    <w:rsid w:val="00626E04"/>
    <w:rsid w:val="00626E5E"/>
    <w:rsid w:val="0062725A"/>
    <w:rsid w:val="006272F8"/>
    <w:rsid w:val="006273A1"/>
    <w:rsid w:val="0062749C"/>
    <w:rsid w:val="00627A3A"/>
    <w:rsid w:val="00627D29"/>
    <w:rsid w:val="0063055A"/>
    <w:rsid w:val="00630C3A"/>
    <w:rsid w:val="00630F78"/>
    <w:rsid w:val="006318CD"/>
    <w:rsid w:val="00631A4E"/>
    <w:rsid w:val="00631C86"/>
    <w:rsid w:val="00631E77"/>
    <w:rsid w:val="00631F74"/>
    <w:rsid w:val="006320FD"/>
    <w:rsid w:val="00632179"/>
    <w:rsid w:val="00632325"/>
    <w:rsid w:val="0063238B"/>
    <w:rsid w:val="0063267A"/>
    <w:rsid w:val="00632D8A"/>
    <w:rsid w:val="00632DA0"/>
    <w:rsid w:val="00633081"/>
    <w:rsid w:val="00633245"/>
    <w:rsid w:val="006334ED"/>
    <w:rsid w:val="006334F1"/>
    <w:rsid w:val="006344EC"/>
    <w:rsid w:val="006345E0"/>
    <w:rsid w:val="006347C8"/>
    <w:rsid w:val="00634AA8"/>
    <w:rsid w:val="00634B9B"/>
    <w:rsid w:val="00634C48"/>
    <w:rsid w:val="00634C60"/>
    <w:rsid w:val="00634CE3"/>
    <w:rsid w:val="00634D26"/>
    <w:rsid w:val="0063524C"/>
    <w:rsid w:val="006353EA"/>
    <w:rsid w:val="0063573F"/>
    <w:rsid w:val="00635850"/>
    <w:rsid w:val="0063587E"/>
    <w:rsid w:val="00635B7B"/>
    <w:rsid w:val="00635BB5"/>
    <w:rsid w:val="00635BE4"/>
    <w:rsid w:val="00635DD3"/>
    <w:rsid w:val="00635F45"/>
    <w:rsid w:val="00636605"/>
    <w:rsid w:val="00636A3E"/>
    <w:rsid w:val="00636B0F"/>
    <w:rsid w:val="00636C21"/>
    <w:rsid w:val="0063746C"/>
    <w:rsid w:val="006375BE"/>
    <w:rsid w:val="006405F0"/>
    <w:rsid w:val="0064066A"/>
    <w:rsid w:val="006409AC"/>
    <w:rsid w:val="00641266"/>
    <w:rsid w:val="0064142C"/>
    <w:rsid w:val="00641AE2"/>
    <w:rsid w:val="00641ED0"/>
    <w:rsid w:val="0064224F"/>
    <w:rsid w:val="00642453"/>
    <w:rsid w:val="00642672"/>
    <w:rsid w:val="00642BA4"/>
    <w:rsid w:val="00642BE6"/>
    <w:rsid w:val="00642D0A"/>
    <w:rsid w:val="00642F89"/>
    <w:rsid w:val="006432D2"/>
    <w:rsid w:val="006436A8"/>
    <w:rsid w:val="0064379F"/>
    <w:rsid w:val="006438F9"/>
    <w:rsid w:val="006439B6"/>
    <w:rsid w:val="00643C78"/>
    <w:rsid w:val="0064408E"/>
    <w:rsid w:val="006440A9"/>
    <w:rsid w:val="006442A3"/>
    <w:rsid w:val="006442DE"/>
    <w:rsid w:val="00644345"/>
    <w:rsid w:val="006444F7"/>
    <w:rsid w:val="00644568"/>
    <w:rsid w:val="00644B4A"/>
    <w:rsid w:val="00644B51"/>
    <w:rsid w:val="00644B79"/>
    <w:rsid w:val="00644C3F"/>
    <w:rsid w:val="00644F71"/>
    <w:rsid w:val="00645170"/>
    <w:rsid w:val="0064572A"/>
    <w:rsid w:val="0064586A"/>
    <w:rsid w:val="00645A09"/>
    <w:rsid w:val="00645E17"/>
    <w:rsid w:val="00645FC6"/>
    <w:rsid w:val="006467FD"/>
    <w:rsid w:val="00646936"/>
    <w:rsid w:val="00646AC6"/>
    <w:rsid w:val="00646B3C"/>
    <w:rsid w:val="00646E69"/>
    <w:rsid w:val="00647080"/>
    <w:rsid w:val="006473B1"/>
    <w:rsid w:val="006474C9"/>
    <w:rsid w:val="006475CA"/>
    <w:rsid w:val="00647665"/>
    <w:rsid w:val="00647989"/>
    <w:rsid w:val="00647A87"/>
    <w:rsid w:val="00650210"/>
    <w:rsid w:val="0065053B"/>
    <w:rsid w:val="006507B8"/>
    <w:rsid w:val="006507E2"/>
    <w:rsid w:val="00650916"/>
    <w:rsid w:val="00650EAC"/>
    <w:rsid w:val="00650F5A"/>
    <w:rsid w:val="00651135"/>
    <w:rsid w:val="0065175A"/>
    <w:rsid w:val="00651877"/>
    <w:rsid w:val="00651B95"/>
    <w:rsid w:val="00651EBE"/>
    <w:rsid w:val="00651F6D"/>
    <w:rsid w:val="006522BB"/>
    <w:rsid w:val="006524E0"/>
    <w:rsid w:val="00652BA9"/>
    <w:rsid w:val="00652D31"/>
    <w:rsid w:val="00652FEF"/>
    <w:rsid w:val="00653609"/>
    <w:rsid w:val="006536C6"/>
    <w:rsid w:val="00653827"/>
    <w:rsid w:val="00653E6E"/>
    <w:rsid w:val="006541AB"/>
    <w:rsid w:val="00654504"/>
    <w:rsid w:val="00654516"/>
    <w:rsid w:val="006545C8"/>
    <w:rsid w:val="00654BC4"/>
    <w:rsid w:val="00654FB2"/>
    <w:rsid w:val="006554D4"/>
    <w:rsid w:val="006556B0"/>
    <w:rsid w:val="0065573F"/>
    <w:rsid w:val="00655A04"/>
    <w:rsid w:val="00655A1C"/>
    <w:rsid w:val="00655AF4"/>
    <w:rsid w:val="00655BD5"/>
    <w:rsid w:val="00655BE1"/>
    <w:rsid w:val="00655E1C"/>
    <w:rsid w:val="00655F80"/>
    <w:rsid w:val="00655FE7"/>
    <w:rsid w:val="00656288"/>
    <w:rsid w:val="006562B1"/>
    <w:rsid w:val="0065640E"/>
    <w:rsid w:val="00656B44"/>
    <w:rsid w:val="00657B50"/>
    <w:rsid w:val="00657E31"/>
    <w:rsid w:val="006607B5"/>
    <w:rsid w:val="00660D71"/>
    <w:rsid w:val="00661208"/>
    <w:rsid w:val="006619A8"/>
    <w:rsid w:val="00661BB2"/>
    <w:rsid w:val="00661CED"/>
    <w:rsid w:val="00661E07"/>
    <w:rsid w:val="00661EBE"/>
    <w:rsid w:val="006620C7"/>
    <w:rsid w:val="006621DA"/>
    <w:rsid w:val="00662847"/>
    <w:rsid w:val="00662A4A"/>
    <w:rsid w:val="00662E6B"/>
    <w:rsid w:val="00663157"/>
    <w:rsid w:val="00663965"/>
    <w:rsid w:val="00663B77"/>
    <w:rsid w:val="00663C05"/>
    <w:rsid w:val="0066441B"/>
    <w:rsid w:val="006649AB"/>
    <w:rsid w:val="006649FC"/>
    <w:rsid w:val="00664D5F"/>
    <w:rsid w:val="006650A2"/>
    <w:rsid w:val="00665550"/>
    <w:rsid w:val="00665733"/>
    <w:rsid w:val="00665881"/>
    <w:rsid w:val="00665894"/>
    <w:rsid w:val="00665A61"/>
    <w:rsid w:val="00665D9D"/>
    <w:rsid w:val="006661A4"/>
    <w:rsid w:val="0066647B"/>
    <w:rsid w:val="00666AA9"/>
    <w:rsid w:val="00666AD4"/>
    <w:rsid w:val="00666B83"/>
    <w:rsid w:val="00666C70"/>
    <w:rsid w:val="00666F1C"/>
    <w:rsid w:val="006673EF"/>
    <w:rsid w:val="00667A1C"/>
    <w:rsid w:val="00667BC4"/>
    <w:rsid w:val="00667CC9"/>
    <w:rsid w:val="006707C0"/>
    <w:rsid w:val="006708AE"/>
    <w:rsid w:val="00670D08"/>
    <w:rsid w:val="0067105E"/>
    <w:rsid w:val="006712B7"/>
    <w:rsid w:val="00671F47"/>
    <w:rsid w:val="00672509"/>
    <w:rsid w:val="00672AAB"/>
    <w:rsid w:val="00672C4C"/>
    <w:rsid w:val="00672D66"/>
    <w:rsid w:val="00672E48"/>
    <w:rsid w:val="006737ED"/>
    <w:rsid w:val="00673857"/>
    <w:rsid w:val="00673A7B"/>
    <w:rsid w:val="00673B5D"/>
    <w:rsid w:val="00673D30"/>
    <w:rsid w:val="00673F76"/>
    <w:rsid w:val="00674346"/>
    <w:rsid w:val="00674E96"/>
    <w:rsid w:val="00674EF8"/>
    <w:rsid w:val="00674F85"/>
    <w:rsid w:val="0067538B"/>
    <w:rsid w:val="00675456"/>
    <w:rsid w:val="00675776"/>
    <w:rsid w:val="0067579C"/>
    <w:rsid w:val="00675979"/>
    <w:rsid w:val="00675BE7"/>
    <w:rsid w:val="00675CF7"/>
    <w:rsid w:val="00675D5E"/>
    <w:rsid w:val="00675F40"/>
    <w:rsid w:val="00675F6F"/>
    <w:rsid w:val="006762E3"/>
    <w:rsid w:val="00676741"/>
    <w:rsid w:val="00676866"/>
    <w:rsid w:val="00676989"/>
    <w:rsid w:val="00676BCF"/>
    <w:rsid w:val="00676ED1"/>
    <w:rsid w:val="00676F4D"/>
    <w:rsid w:val="006770EB"/>
    <w:rsid w:val="00677295"/>
    <w:rsid w:val="00677B0D"/>
    <w:rsid w:val="00677D59"/>
    <w:rsid w:val="00680099"/>
    <w:rsid w:val="00680158"/>
    <w:rsid w:val="00680490"/>
    <w:rsid w:val="0068075D"/>
    <w:rsid w:val="00680970"/>
    <w:rsid w:val="00680D90"/>
    <w:rsid w:val="00680DC7"/>
    <w:rsid w:val="00681701"/>
    <w:rsid w:val="00681A6E"/>
    <w:rsid w:val="00681C46"/>
    <w:rsid w:val="0068217D"/>
    <w:rsid w:val="006823E4"/>
    <w:rsid w:val="0068242D"/>
    <w:rsid w:val="00682BF8"/>
    <w:rsid w:val="00682F22"/>
    <w:rsid w:val="0068328B"/>
    <w:rsid w:val="00683359"/>
    <w:rsid w:val="006833C6"/>
    <w:rsid w:val="006833FF"/>
    <w:rsid w:val="00683743"/>
    <w:rsid w:val="00683951"/>
    <w:rsid w:val="00684941"/>
    <w:rsid w:val="00684A20"/>
    <w:rsid w:val="00684B30"/>
    <w:rsid w:val="00684B34"/>
    <w:rsid w:val="00684F0B"/>
    <w:rsid w:val="006854C6"/>
    <w:rsid w:val="0068555C"/>
    <w:rsid w:val="00685B53"/>
    <w:rsid w:val="00685D91"/>
    <w:rsid w:val="006863BC"/>
    <w:rsid w:val="006866CE"/>
    <w:rsid w:val="00686713"/>
    <w:rsid w:val="00686AC0"/>
    <w:rsid w:val="00686C24"/>
    <w:rsid w:val="00686CC5"/>
    <w:rsid w:val="006870E5"/>
    <w:rsid w:val="006872B4"/>
    <w:rsid w:val="00687AD5"/>
    <w:rsid w:val="00687BA0"/>
    <w:rsid w:val="00687D03"/>
    <w:rsid w:val="00687D12"/>
    <w:rsid w:val="006903C5"/>
    <w:rsid w:val="00690590"/>
    <w:rsid w:val="00690A31"/>
    <w:rsid w:val="00690AC4"/>
    <w:rsid w:val="00690FF3"/>
    <w:rsid w:val="006912DC"/>
    <w:rsid w:val="00691509"/>
    <w:rsid w:val="00691510"/>
    <w:rsid w:val="00691955"/>
    <w:rsid w:val="00691B03"/>
    <w:rsid w:val="00692051"/>
    <w:rsid w:val="00692367"/>
    <w:rsid w:val="006925E7"/>
    <w:rsid w:val="0069262B"/>
    <w:rsid w:val="00692744"/>
    <w:rsid w:val="00692997"/>
    <w:rsid w:val="006929DA"/>
    <w:rsid w:val="00692CE0"/>
    <w:rsid w:val="00692FC7"/>
    <w:rsid w:val="0069345C"/>
    <w:rsid w:val="00693540"/>
    <w:rsid w:val="00693B04"/>
    <w:rsid w:val="00693C44"/>
    <w:rsid w:val="00693E51"/>
    <w:rsid w:val="00693EA9"/>
    <w:rsid w:val="00694067"/>
    <w:rsid w:val="00694107"/>
    <w:rsid w:val="00694237"/>
    <w:rsid w:val="0069475C"/>
    <w:rsid w:val="006948C7"/>
    <w:rsid w:val="00694AF8"/>
    <w:rsid w:val="00694D73"/>
    <w:rsid w:val="00695803"/>
    <w:rsid w:val="006958BD"/>
    <w:rsid w:val="00695905"/>
    <w:rsid w:val="00695C67"/>
    <w:rsid w:val="00695D7B"/>
    <w:rsid w:val="0069679F"/>
    <w:rsid w:val="006971C3"/>
    <w:rsid w:val="006978CE"/>
    <w:rsid w:val="006979DF"/>
    <w:rsid w:val="00697B83"/>
    <w:rsid w:val="00697BCF"/>
    <w:rsid w:val="00697F5D"/>
    <w:rsid w:val="006A00F4"/>
    <w:rsid w:val="006A01B7"/>
    <w:rsid w:val="006A035C"/>
    <w:rsid w:val="006A03F5"/>
    <w:rsid w:val="006A0780"/>
    <w:rsid w:val="006A0B76"/>
    <w:rsid w:val="006A0B95"/>
    <w:rsid w:val="006A0DE4"/>
    <w:rsid w:val="006A0EEE"/>
    <w:rsid w:val="006A0F2F"/>
    <w:rsid w:val="006A10AF"/>
    <w:rsid w:val="006A1206"/>
    <w:rsid w:val="006A123E"/>
    <w:rsid w:val="006A1553"/>
    <w:rsid w:val="006A1655"/>
    <w:rsid w:val="006A17F3"/>
    <w:rsid w:val="006A1F4B"/>
    <w:rsid w:val="006A23BF"/>
    <w:rsid w:val="006A24B5"/>
    <w:rsid w:val="006A2556"/>
    <w:rsid w:val="006A2894"/>
    <w:rsid w:val="006A30BF"/>
    <w:rsid w:val="006A3190"/>
    <w:rsid w:val="006A3608"/>
    <w:rsid w:val="006A3699"/>
    <w:rsid w:val="006A3CCC"/>
    <w:rsid w:val="006A3FE7"/>
    <w:rsid w:val="006A41BA"/>
    <w:rsid w:val="006A42E5"/>
    <w:rsid w:val="006A499B"/>
    <w:rsid w:val="006A4A08"/>
    <w:rsid w:val="006A4B5C"/>
    <w:rsid w:val="006A4CCB"/>
    <w:rsid w:val="006A4CE1"/>
    <w:rsid w:val="006A4E62"/>
    <w:rsid w:val="006A4E66"/>
    <w:rsid w:val="006A4EB4"/>
    <w:rsid w:val="006A4FA0"/>
    <w:rsid w:val="006A500B"/>
    <w:rsid w:val="006A5227"/>
    <w:rsid w:val="006A5321"/>
    <w:rsid w:val="006A5716"/>
    <w:rsid w:val="006A579A"/>
    <w:rsid w:val="006A5998"/>
    <w:rsid w:val="006A5B1D"/>
    <w:rsid w:val="006A5FF5"/>
    <w:rsid w:val="006A641D"/>
    <w:rsid w:val="006A6450"/>
    <w:rsid w:val="006A6553"/>
    <w:rsid w:val="006A6A0A"/>
    <w:rsid w:val="006A6D50"/>
    <w:rsid w:val="006A7182"/>
    <w:rsid w:val="006A74E1"/>
    <w:rsid w:val="006A7D11"/>
    <w:rsid w:val="006A7EF6"/>
    <w:rsid w:val="006A7F0C"/>
    <w:rsid w:val="006B03CC"/>
    <w:rsid w:val="006B061D"/>
    <w:rsid w:val="006B0B91"/>
    <w:rsid w:val="006B0E09"/>
    <w:rsid w:val="006B14D2"/>
    <w:rsid w:val="006B153D"/>
    <w:rsid w:val="006B17E4"/>
    <w:rsid w:val="006B191F"/>
    <w:rsid w:val="006B1931"/>
    <w:rsid w:val="006B1976"/>
    <w:rsid w:val="006B1A7C"/>
    <w:rsid w:val="006B1DBC"/>
    <w:rsid w:val="006B222A"/>
    <w:rsid w:val="006B2308"/>
    <w:rsid w:val="006B25BA"/>
    <w:rsid w:val="006B2729"/>
    <w:rsid w:val="006B28A7"/>
    <w:rsid w:val="006B28E4"/>
    <w:rsid w:val="006B325F"/>
    <w:rsid w:val="006B3309"/>
    <w:rsid w:val="006B35AF"/>
    <w:rsid w:val="006B3602"/>
    <w:rsid w:val="006B360F"/>
    <w:rsid w:val="006B36CB"/>
    <w:rsid w:val="006B38CD"/>
    <w:rsid w:val="006B3E75"/>
    <w:rsid w:val="006B3EBC"/>
    <w:rsid w:val="006B40B6"/>
    <w:rsid w:val="006B42C0"/>
    <w:rsid w:val="006B4831"/>
    <w:rsid w:val="006B4E33"/>
    <w:rsid w:val="006B4E5E"/>
    <w:rsid w:val="006B4EDB"/>
    <w:rsid w:val="006B551C"/>
    <w:rsid w:val="006B5892"/>
    <w:rsid w:val="006B5974"/>
    <w:rsid w:val="006B5A5C"/>
    <w:rsid w:val="006B5C89"/>
    <w:rsid w:val="006B5D0C"/>
    <w:rsid w:val="006B62B5"/>
    <w:rsid w:val="006B6717"/>
    <w:rsid w:val="006B682E"/>
    <w:rsid w:val="006B6A2F"/>
    <w:rsid w:val="006B767A"/>
    <w:rsid w:val="006B7713"/>
    <w:rsid w:val="006B7934"/>
    <w:rsid w:val="006B7A3B"/>
    <w:rsid w:val="006B7C26"/>
    <w:rsid w:val="006B7CEC"/>
    <w:rsid w:val="006C032C"/>
    <w:rsid w:val="006C0380"/>
    <w:rsid w:val="006C04F2"/>
    <w:rsid w:val="006C0F47"/>
    <w:rsid w:val="006C16FF"/>
    <w:rsid w:val="006C1717"/>
    <w:rsid w:val="006C1E67"/>
    <w:rsid w:val="006C1FF4"/>
    <w:rsid w:val="006C2025"/>
    <w:rsid w:val="006C261F"/>
    <w:rsid w:val="006C2F8B"/>
    <w:rsid w:val="006C30CE"/>
    <w:rsid w:val="006C32A1"/>
    <w:rsid w:val="006C34F9"/>
    <w:rsid w:val="006C36E2"/>
    <w:rsid w:val="006C38C0"/>
    <w:rsid w:val="006C3A93"/>
    <w:rsid w:val="006C3BFC"/>
    <w:rsid w:val="006C489E"/>
    <w:rsid w:val="006C4ACF"/>
    <w:rsid w:val="006C4B50"/>
    <w:rsid w:val="006C4DFE"/>
    <w:rsid w:val="006C5143"/>
    <w:rsid w:val="006C5145"/>
    <w:rsid w:val="006C51F6"/>
    <w:rsid w:val="006C52AA"/>
    <w:rsid w:val="006C54F1"/>
    <w:rsid w:val="006C5559"/>
    <w:rsid w:val="006C5A9E"/>
    <w:rsid w:val="006C5B59"/>
    <w:rsid w:val="006C5BCA"/>
    <w:rsid w:val="006C5E78"/>
    <w:rsid w:val="006C5EED"/>
    <w:rsid w:val="006C65C5"/>
    <w:rsid w:val="006C66F4"/>
    <w:rsid w:val="006C6C1E"/>
    <w:rsid w:val="006C6FE9"/>
    <w:rsid w:val="006C7019"/>
    <w:rsid w:val="006C70D7"/>
    <w:rsid w:val="006C7114"/>
    <w:rsid w:val="006C7918"/>
    <w:rsid w:val="006C7E24"/>
    <w:rsid w:val="006D007D"/>
    <w:rsid w:val="006D017D"/>
    <w:rsid w:val="006D01D1"/>
    <w:rsid w:val="006D0293"/>
    <w:rsid w:val="006D02BA"/>
    <w:rsid w:val="006D0727"/>
    <w:rsid w:val="006D08D4"/>
    <w:rsid w:val="006D0A05"/>
    <w:rsid w:val="006D0C98"/>
    <w:rsid w:val="006D0DE8"/>
    <w:rsid w:val="006D10FE"/>
    <w:rsid w:val="006D1515"/>
    <w:rsid w:val="006D1602"/>
    <w:rsid w:val="006D1AF9"/>
    <w:rsid w:val="006D1D24"/>
    <w:rsid w:val="006D1D38"/>
    <w:rsid w:val="006D1D61"/>
    <w:rsid w:val="006D1FB1"/>
    <w:rsid w:val="006D20D9"/>
    <w:rsid w:val="006D241D"/>
    <w:rsid w:val="006D25C4"/>
    <w:rsid w:val="006D2933"/>
    <w:rsid w:val="006D2A73"/>
    <w:rsid w:val="006D2B40"/>
    <w:rsid w:val="006D2BF9"/>
    <w:rsid w:val="006D2D8E"/>
    <w:rsid w:val="006D31B5"/>
    <w:rsid w:val="006D343B"/>
    <w:rsid w:val="006D3A7B"/>
    <w:rsid w:val="006D3D34"/>
    <w:rsid w:val="006D44E8"/>
    <w:rsid w:val="006D47E2"/>
    <w:rsid w:val="006D5148"/>
    <w:rsid w:val="006D51E7"/>
    <w:rsid w:val="006D522E"/>
    <w:rsid w:val="006D5340"/>
    <w:rsid w:val="006D5445"/>
    <w:rsid w:val="006D57A5"/>
    <w:rsid w:val="006D57DF"/>
    <w:rsid w:val="006D5D3A"/>
    <w:rsid w:val="006D5D40"/>
    <w:rsid w:val="006D6C33"/>
    <w:rsid w:val="006D6F5B"/>
    <w:rsid w:val="006D75DB"/>
    <w:rsid w:val="006D76BA"/>
    <w:rsid w:val="006D76D3"/>
    <w:rsid w:val="006E0100"/>
    <w:rsid w:val="006E0200"/>
    <w:rsid w:val="006E05E4"/>
    <w:rsid w:val="006E0634"/>
    <w:rsid w:val="006E0D5F"/>
    <w:rsid w:val="006E0F83"/>
    <w:rsid w:val="006E155F"/>
    <w:rsid w:val="006E1698"/>
    <w:rsid w:val="006E194E"/>
    <w:rsid w:val="006E1B01"/>
    <w:rsid w:val="006E1FC9"/>
    <w:rsid w:val="006E1FF2"/>
    <w:rsid w:val="006E240C"/>
    <w:rsid w:val="006E27DE"/>
    <w:rsid w:val="006E2869"/>
    <w:rsid w:val="006E2A80"/>
    <w:rsid w:val="006E2EF2"/>
    <w:rsid w:val="006E2F79"/>
    <w:rsid w:val="006E2FE9"/>
    <w:rsid w:val="006E31B6"/>
    <w:rsid w:val="006E3261"/>
    <w:rsid w:val="006E32C8"/>
    <w:rsid w:val="006E34B1"/>
    <w:rsid w:val="006E36EE"/>
    <w:rsid w:val="006E3782"/>
    <w:rsid w:val="006E3AF1"/>
    <w:rsid w:val="006E3B9E"/>
    <w:rsid w:val="006E3E90"/>
    <w:rsid w:val="006E424E"/>
    <w:rsid w:val="006E434B"/>
    <w:rsid w:val="006E4508"/>
    <w:rsid w:val="006E485B"/>
    <w:rsid w:val="006E4F68"/>
    <w:rsid w:val="006E5603"/>
    <w:rsid w:val="006E56EB"/>
    <w:rsid w:val="006E5CED"/>
    <w:rsid w:val="006E5D47"/>
    <w:rsid w:val="006E6083"/>
    <w:rsid w:val="006E60EF"/>
    <w:rsid w:val="006E61BD"/>
    <w:rsid w:val="006E61DD"/>
    <w:rsid w:val="006E631E"/>
    <w:rsid w:val="006E6A18"/>
    <w:rsid w:val="006E6A59"/>
    <w:rsid w:val="006E706C"/>
    <w:rsid w:val="006E7142"/>
    <w:rsid w:val="006E7296"/>
    <w:rsid w:val="006E7551"/>
    <w:rsid w:val="006E7854"/>
    <w:rsid w:val="006E7BCC"/>
    <w:rsid w:val="006E7E40"/>
    <w:rsid w:val="006F065B"/>
    <w:rsid w:val="006F071C"/>
    <w:rsid w:val="006F088B"/>
    <w:rsid w:val="006F0F8E"/>
    <w:rsid w:val="006F12D6"/>
    <w:rsid w:val="006F12D8"/>
    <w:rsid w:val="006F131A"/>
    <w:rsid w:val="006F14AE"/>
    <w:rsid w:val="006F1514"/>
    <w:rsid w:val="006F16FA"/>
    <w:rsid w:val="006F1FF7"/>
    <w:rsid w:val="006F20E4"/>
    <w:rsid w:val="006F20EA"/>
    <w:rsid w:val="006F2432"/>
    <w:rsid w:val="006F24CB"/>
    <w:rsid w:val="006F25C5"/>
    <w:rsid w:val="006F2617"/>
    <w:rsid w:val="006F2C7F"/>
    <w:rsid w:val="006F2C90"/>
    <w:rsid w:val="006F3076"/>
    <w:rsid w:val="006F3177"/>
    <w:rsid w:val="006F327F"/>
    <w:rsid w:val="006F363B"/>
    <w:rsid w:val="006F37FF"/>
    <w:rsid w:val="006F39EA"/>
    <w:rsid w:val="006F3B09"/>
    <w:rsid w:val="006F3BB4"/>
    <w:rsid w:val="006F3DC1"/>
    <w:rsid w:val="006F3E98"/>
    <w:rsid w:val="006F3FE1"/>
    <w:rsid w:val="006F43B0"/>
    <w:rsid w:val="006F43E2"/>
    <w:rsid w:val="006F450C"/>
    <w:rsid w:val="006F474E"/>
    <w:rsid w:val="006F49E9"/>
    <w:rsid w:val="006F4C95"/>
    <w:rsid w:val="006F52F3"/>
    <w:rsid w:val="006F53C9"/>
    <w:rsid w:val="006F585C"/>
    <w:rsid w:val="006F5866"/>
    <w:rsid w:val="006F58DA"/>
    <w:rsid w:val="006F5BAB"/>
    <w:rsid w:val="006F5EBE"/>
    <w:rsid w:val="006F6360"/>
    <w:rsid w:val="006F641D"/>
    <w:rsid w:val="006F69E1"/>
    <w:rsid w:val="006F6AFA"/>
    <w:rsid w:val="006F6D17"/>
    <w:rsid w:val="006F6D7E"/>
    <w:rsid w:val="006F7D0F"/>
    <w:rsid w:val="006F7E08"/>
    <w:rsid w:val="007009FD"/>
    <w:rsid w:val="00700A25"/>
    <w:rsid w:val="00700D32"/>
    <w:rsid w:val="0070128C"/>
    <w:rsid w:val="00701359"/>
    <w:rsid w:val="00701B64"/>
    <w:rsid w:val="00702432"/>
    <w:rsid w:val="007025E5"/>
    <w:rsid w:val="00702816"/>
    <w:rsid w:val="00702853"/>
    <w:rsid w:val="0070288A"/>
    <w:rsid w:val="00702B9D"/>
    <w:rsid w:val="00702D2B"/>
    <w:rsid w:val="00703264"/>
    <w:rsid w:val="0070338C"/>
    <w:rsid w:val="00703392"/>
    <w:rsid w:val="00703851"/>
    <w:rsid w:val="00703B40"/>
    <w:rsid w:val="00703DA6"/>
    <w:rsid w:val="0070409D"/>
    <w:rsid w:val="007040C2"/>
    <w:rsid w:val="00704357"/>
    <w:rsid w:val="0070440D"/>
    <w:rsid w:val="007044F4"/>
    <w:rsid w:val="00704587"/>
    <w:rsid w:val="007047CE"/>
    <w:rsid w:val="007049D0"/>
    <w:rsid w:val="00704AD1"/>
    <w:rsid w:val="00704C96"/>
    <w:rsid w:val="00704D35"/>
    <w:rsid w:val="00704F12"/>
    <w:rsid w:val="00704F61"/>
    <w:rsid w:val="0070510C"/>
    <w:rsid w:val="0070524B"/>
    <w:rsid w:val="00705481"/>
    <w:rsid w:val="00705570"/>
    <w:rsid w:val="007057B1"/>
    <w:rsid w:val="0070594C"/>
    <w:rsid w:val="00706A56"/>
    <w:rsid w:val="00706B14"/>
    <w:rsid w:val="00706E6B"/>
    <w:rsid w:val="007072AF"/>
    <w:rsid w:val="007074FE"/>
    <w:rsid w:val="007075A4"/>
    <w:rsid w:val="00707648"/>
    <w:rsid w:val="007077C9"/>
    <w:rsid w:val="007079EF"/>
    <w:rsid w:val="00707A1D"/>
    <w:rsid w:val="00707B61"/>
    <w:rsid w:val="00707B9D"/>
    <w:rsid w:val="00707E3C"/>
    <w:rsid w:val="00707E63"/>
    <w:rsid w:val="00707EFD"/>
    <w:rsid w:val="00707FE7"/>
    <w:rsid w:val="007103BD"/>
    <w:rsid w:val="007106A8"/>
    <w:rsid w:val="00710E3C"/>
    <w:rsid w:val="007114B4"/>
    <w:rsid w:val="007116D8"/>
    <w:rsid w:val="007118F2"/>
    <w:rsid w:val="00711C14"/>
    <w:rsid w:val="00712081"/>
    <w:rsid w:val="0071226A"/>
    <w:rsid w:val="00712AAF"/>
    <w:rsid w:val="00712E49"/>
    <w:rsid w:val="00712FCB"/>
    <w:rsid w:val="0071316D"/>
    <w:rsid w:val="0071337E"/>
    <w:rsid w:val="007134F1"/>
    <w:rsid w:val="00713544"/>
    <w:rsid w:val="00713799"/>
    <w:rsid w:val="007139B4"/>
    <w:rsid w:val="00713A2C"/>
    <w:rsid w:val="00713EC3"/>
    <w:rsid w:val="00713F18"/>
    <w:rsid w:val="00714116"/>
    <w:rsid w:val="007147DC"/>
    <w:rsid w:val="00715366"/>
    <w:rsid w:val="0071543A"/>
    <w:rsid w:val="0071553A"/>
    <w:rsid w:val="00715914"/>
    <w:rsid w:val="007159E8"/>
    <w:rsid w:val="00715ADC"/>
    <w:rsid w:val="00715F83"/>
    <w:rsid w:val="007161A4"/>
    <w:rsid w:val="00716299"/>
    <w:rsid w:val="00716885"/>
    <w:rsid w:val="00716D99"/>
    <w:rsid w:val="007170EE"/>
    <w:rsid w:val="00717108"/>
    <w:rsid w:val="0071754C"/>
    <w:rsid w:val="00717675"/>
    <w:rsid w:val="007176D5"/>
    <w:rsid w:val="00717A2C"/>
    <w:rsid w:val="00717A8E"/>
    <w:rsid w:val="00717BD8"/>
    <w:rsid w:val="00717DF2"/>
    <w:rsid w:val="00720035"/>
    <w:rsid w:val="007201B5"/>
    <w:rsid w:val="007205F6"/>
    <w:rsid w:val="007208BE"/>
    <w:rsid w:val="00720AFB"/>
    <w:rsid w:val="00720F9B"/>
    <w:rsid w:val="007211FD"/>
    <w:rsid w:val="0072129D"/>
    <w:rsid w:val="00721504"/>
    <w:rsid w:val="00721702"/>
    <w:rsid w:val="00721752"/>
    <w:rsid w:val="007219FD"/>
    <w:rsid w:val="00721AAC"/>
    <w:rsid w:val="00721AF7"/>
    <w:rsid w:val="00722160"/>
    <w:rsid w:val="007222D0"/>
    <w:rsid w:val="007224BF"/>
    <w:rsid w:val="007225D8"/>
    <w:rsid w:val="00722719"/>
    <w:rsid w:val="00722900"/>
    <w:rsid w:val="0072295A"/>
    <w:rsid w:val="00722F44"/>
    <w:rsid w:val="0072324B"/>
    <w:rsid w:val="0072335F"/>
    <w:rsid w:val="0072350C"/>
    <w:rsid w:val="007236CE"/>
    <w:rsid w:val="00723774"/>
    <w:rsid w:val="00723790"/>
    <w:rsid w:val="00723AD8"/>
    <w:rsid w:val="00723E1E"/>
    <w:rsid w:val="0072423E"/>
    <w:rsid w:val="00724B5F"/>
    <w:rsid w:val="0072509E"/>
    <w:rsid w:val="0072516C"/>
    <w:rsid w:val="00725369"/>
    <w:rsid w:val="00725568"/>
    <w:rsid w:val="00725610"/>
    <w:rsid w:val="00725785"/>
    <w:rsid w:val="007257BC"/>
    <w:rsid w:val="00725F0F"/>
    <w:rsid w:val="00726155"/>
    <w:rsid w:val="00726387"/>
    <w:rsid w:val="00726468"/>
    <w:rsid w:val="00726B99"/>
    <w:rsid w:val="00726C71"/>
    <w:rsid w:val="00726E69"/>
    <w:rsid w:val="0072700C"/>
    <w:rsid w:val="00727238"/>
    <w:rsid w:val="00727B0B"/>
    <w:rsid w:val="00727E45"/>
    <w:rsid w:val="007303B2"/>
    <w:rsid w:val="007306C3"/>
    <w:rsid w:val="00730792"/>
    <w:rsid w:val="00730AA4"/>
    <w:rsid w:val="00730C26"/>
    <w:rsid w:val="0073111D"/>
    <w:rsid w:val="007312DC"/>
    <w:rsid w:val="0073147D"/>
    <w:rsid w:val="007315DF"/>
    <w:rsid w:val="0073180E"/>
    <w:rsid w:val="00731D88"/>
    <w:rsid w:val="007320D6"/>
    <w:rsid w:val="0073226E"/>
    <w:rsid w:val="007323A2"/>
    <w:rsid w:val="00732524"/>
    <w:rsid w:val="0073259C"/>
    <w:rsid w:val="00732A39"/>
    <w:rsid w:val="00732B2C"/>
    <w:rsid w:val="00732EED"/>
    <w:rsid w:val="00733371"/>
    <w:rsid w:val="0073350F"/>
    <w:rsid w:val="007336DE"/>
    <w:rsid w:val="00733C4D"/>
    <w:rsid w:val="00733E02"/>
    <w:rsid w:val="00734056"/>
    <w:rsid w:val="007344CF"/>
    <w:rsid w:val="007346A4"/>
    <w:rsid w:val="007349F9"/>
    <w:rsid w:val="007350C3"/>
    <w:rsid w:val="00735215"/>
    <w:rsid w:val="0073543B"/>
    <w:rsid w:val="00735A26"/>
    <w:rsid w:val="00735A63"/>
    <w:rsid w:val="007362CB"/>
    <w:rsid w:val="007366ED"/>
    <w:rsid w:val="0073695D"/>
    <w:rsid w:val="00736B4A"/>
    <w:rsid w:val="00736D5B"/>
    <w:rsid w:val="00736DF1"/>
    <w:rsid w:val="00736E8C"/>
    <w:rsid w:val="007372BA"/>
    <w:rsid w:val="007374C7"/>
    <w:rsid w:val="007376BD"/>
    <w:rsid w:val="00737754"/>
    <w:rsid w:val="00737A16"/>
    <w:rsid w:val="00737A5B"/>
    <w:rsid w:val="00737BA3"/>
    <w:rsid w:val="00737CDD"/>
    <w:rsid w:val="00737DF3"/>
    <w:rsid w:val="00737E6C"/>
    <w:rsid w:val="007403BD"/>
    <w:rsid w:val="007404C5"/>
    <w:rsid w:val="007405EC"/>
    <w:rsid w:val="00740712"/>
    <w:rsid w:val="00740784"/>
    <w:rsid w:val="007408EB"/>
    <w:rsid w:val="00740E63"/>
    <w:rsid w:val="007412B7"/>
    <w:rsid w:val="00741515"/>
    <w:rsid w:val="0074157D"/>
    <w:rsid w:val="0074159C"/>
    <w:rsid w:val="00741F49"/>
    <w:rsid w:val="0074208A"/>
    <w:rsid w:val="00742386"/>
    <w:rsid w:val="00742539"/>
    <w:rsid w:val="00742596"/>
    <w:rsid w:val="0074296C"/>
    <w:rsid w:val="00742B3F"/>
    <w:rsid w:val="007439FC"/>
    <w:rsid w:val="0074420B"/>
    <w:rsid w:val="007445DE"/>
    <w:rsid w:val="00744997"/>
    <w:rsid w:val="00744D8B"/>
    <w:rsid w:val="00744DD8"/>
    <w:rsid w:val="00744DE3"/>
    <w:rsid w:val="00744F40"/>
    <w:rsid w:val="00745443"/>
    <w:rsid w:val="0074594E"/>
    <w:rsid w:val="00746122"/>
    <w:rsid w:val="007461AA"/>
    <w:rsid w:val="007461B2"/>
    <w:rsid w:val="0074640F"/>
    <w:rsid w:val="007464BB"/>
    <w:rsid w:val="00746531"/>
    <w:rsid w:val="007465DC"/>
    <w:rsid w:val="00746AA8"/>
    <w:rsid w:val="00746AE2"/>
    <w:rsid w:val="00746C48"/>
    <w:rsid w:val="00746DE2"/>
    <w:rsid w:val="00746E05"/>
    <w:rsid w:val="00746F8F"/>
    <w:rsid w:val="00747066"/>
    <w:rsid w:val="00747081"/>
    <w:rsid w:val="0074709D"/>
    <w:rsid w:val="007472F0"/>
    <w:rsid w:val="00747618"/>
    <w:rsid w:val="00747794"/>
    <w:rsid w:val="00747993"/>
    <w:rsid w:val="00747998"/>
    <w:rsid w:val="00747A18"/>
    <w:rsid w:val="00747A32"/>
    <w:rsid w:val="00747D5C"/>
    <w:rsid w:val="00750386"/>
    <w:rsid w:val="007503E6"/>
    <w:rsid w:val="00750ABB"/>
    <w:rsid w:val="00750C7A"/>
    <w:rsid w:val="00750D36"/>
    <w:rsid w:val="00750E68"/>
    <w:rsid w:val="007510FB"/>
    <w:rsid w:val="00751392"/>
    <w:rsid w:val="0075192F"/>
    <w:rsid w:val="00751FCC"/>
    <w:rsid w:val="0075201A"/>
    <w:rsid w:val="00752179"/>
    <w:rsid w:val="00752204"/>
    <w:rsid w:val="007522D7"/>
    <w:rsid w:val="00752746"/>
    <w:rsid w:val="00752898"/>
    <w:rsid w:val="00752BFA"/>
    <w:rsid w:val="00752C2E"/>
    <w:rsid w:val="00752D26"/>
    <w:rsid w:val="007531C2"/>
    <w:rsid w:val="0075331E"/>
    <w:rsid w:val="00753649"/>
    <w:rsid w:val="0075368C"/>
    <w:rsid w:val="00753725"/>
    <w:rsid w:val="007537CE"/>
    <w:rsid w:val="00753FA8"/>
    <w:rsid w:val="007540CF"/>
    <w:rsid w:val="0075441D"/>
    <w:rsid w:val="0075446A"/>
    <w:rsid w:val="007549B4"/>
    <w:rsid w:val="00754C0A"/>
    <w:rsid w:val="00754F2C"/>
    <w:rsid w:val="00754FCF"/>
    <w:rsid w:val="0075502D"/>
    <w:rsid w:val="007554A7"/>
    <w:rsid w:val="00756676"/>
    <w:rsid w:val="00756919"/>
    <w:rsid w:val="00756DBB"/>
    <w:rsid w:val="00756EE4"/>
    <w:rsid w:val="00757330"/>
    <w:rsid w:val="007576EA"/>
    <w:rsid w:val="0075787F"/>
    <w:rsid w:val="00757939"/>
    <w:rsid w:val="007604C8"/>
    <w:rsid w:val="00761293"/>
    <w:rsid w:val="00761538"/>
    <w:rsid w:val="00761546"/>
    <w:rsid w:val="007615E2"/>
    <w:rsid w:val="007616AE"/>
    <w:rsid w:val="00761E7D"/>
    <w:rsid w:val="00761FCF"/>
    <w:rsid w:val="007624F1"/>
    <w:rsid w:val="007629A1"/>
    <w:rsid w:val="00762B33"/>
    <w:rsid w:val="00762C80"/>
    <w:rsid w:val="007632C2"/>
    <w:rsid w:val="00763304"/>
    <w:rsid w:val="007634AB"/>
    <w:rsid w:val="007635B1"/>
    <w:rsid w:val="007635E7"/>
    <w:rsid w:val="00763672"/>
    <w:rsid w:val="007639AF"/>
    <w:rsid w:val="00763FDB"/>
    <w:rsid w:val="00763FEF"/>
    <w:rsid w:val="00764366"/>
    <w:rsid w:val="007644F6"/>
    <w:rsid w:val="007645B7"/>
    <w:rsid w:val="007647F1"/>
    <w:rsid w:val="0076497D"/>
    <w:rsid w:val="00764D6A"/>
    <w:rsid w:val="00764F1F"/>
    <w:rsid w:val="007650BE"/>
    <w:rsid w:val="007654CA"/>
    <w:rsid w:val="007659D4"/>
    <w:rsid w:val="00765AFA"/>
    <w:rsid w:val="00765E77"/>
    <w:rsid w:val="00765F3B"/>
    <w:rsid w:val="007666EE"/>
    <w:rsid w:val="00766BF8"/>
    <w:rsid w:val="00766FBB"/>
    <w:rsid w:val="007673C4"/>
    <w:rsid w:val="007675C5"/>
    <w:rsid w:val="00767822"/>
    <w:rsid w:val="007679C5"/>
    <w:rsid w:val="00767EA5"/>
    <w:rsid w:val="00767F6F"/>
    <w:rsid w:val="00770268"/>
    <w:rsid w:val="007709AB"/>
    <w:rsid w:val="00770A9A"/>
    <w:rsid w:val="00770BF2"/>
    <w:rsid w:val="00770FA5"/>
    <w:rsid w:val="0077109E"/>
    <w:rsid w:val="007714AB"/>
    <w:rsid w:val="0077183A"/>
    <w:rsid w:val="00771A24"/>
    <w:rsid w:val="00771BD6"/>
    <w:rsid w:val="00771DA4"/>
    <w:rsid w:val="0077267A"/>
    <w:rsid w:val="00772CDA"/>
    <w:rsid w:val="00772CF5"/>
    <w:rsid w:val="00772FBB"/>
    <w:rsid w:val="00773056"/>
    <w:rsid w:val="007731E8"/>
    <w:rsid w:val="0077340F"/>
    <w:rsid w:val="00773C2A"/>
    <w:rsid w:val="00773C6B"/>
    <w:rsid w:val="00774297"/>
    <w:rsid w:val="007746CB"/>
    <w:rsid w:val="00774964"/>
    <w:rsid w:val="00774BBB"/>
    <w:rsid w:val="00774FAF"/>
    <w:rsid w:val="00774FE5"/>
    <w:rsid w:val="007750A2"/>
    <w:rsid w:val="00775FA4"/>
    <w:rsid w:val="007765E8"/>
    <w:rsid w:val="007768CB"/>
    <w:rsid w:val="007770CE"/>
    <w:rsid w:val="00777F86"/>
    <w:rsid w:val="00780075"/>
    <w:rsid w:val="007802C9"/>
    <w:rsid w:val="007803F7"/>
    <w:rsid w:val="0078052E"/>
    <w:rsid w:val="00780725"/>
    <w:rsid w:val="00780E69"/>
    <w:rsid w:val="00780F81"/>
    <w:rsid w:val="007810AD"/>
    <w:rsid w:val="0078111D"/>
    <w:rsid w:val="00781A00"/>
    <w:rsid w:val="00781A1E"/>
    <w:rsid w:val="00781D4F"/>
    <w:rsid w:val="00782050"/>
    <w:rsid w:val="007823FA"/>
    <w:rsid w:val="0078291A"/>
    <w:rsid w:val="00782BEC"/>
    <w:rsid w:val="00782C1A"/>
    <w:rsid w:val="007830BD"/>
    <w:rsid w:val="0078321D"/>
    <w:rsid w:val="00783340"/>
    <w:rsid w:val="00783490"/>
    <w:rsid w:val="00783961"/>
    <w:rsid w:val="00783A57"/>
    <w:rsid w:val="0078403E"/>
    <w:rsid w:val="007841D5"/>
    <w:rsid w:val="00784996"/>
    <w:rsid w:val="007849E9"/>
    <w:rsid w:val="00784A39"/>
    <w:rsid w:val="00784EE1"/>
    <w:rsid w:val="007850BB"/>
    <w:rsid w:val="00785192"/>
    <w:rsid w:val="007853EB"/>
    <w:rsid w:val="00785689"/>
    <w:rsid w:val="007858A0"/>
    <w:rsid w:val="007858A8"/>
    <w:rsid w:val="00785A66"/>
    <w:rsid w:val="00785ECC"/>
    <w:rsid w:val="00786313"/>
    <w:rsid w:val="00786B10"/>
    <w:rsid w:val="00786D1B"/>
    <w:rsid w:val="007870B7"/>
    <w:rsid w:val="0078757C"/>
    <w:rsid w:val="00787637"/>
    <w:rsid w:val="00787BB5"/>
    <w:rsid w:val="00787CEC"/>
    <w:rsid w:val="00787EFA"/>
    <w:rsid w:val="00787F1E"/>
    <w:rsid w:val="0078B74E"/>
    <w:rsid w:val="0079017D"/>
    <w:rsid w:val="00790189"/>
    <w:rsid w:val="0079027D"/>
    <w:rsid w:val="007903A4"/>
    <w:rsid w:val="0079077F"/>
    <w:rsid w:val="00790B80"/>
    <w:rsid w:val="00790E39"/>
    <w:rsid w:val="007916AF"/>
    <w:rsid w:val="00791854"/>
    <w:rsid w:val="00791913"/>
    <w:rsid w:val="007919C8"/>
    <w:rsid w:val="007919EE"/>
    <w:rsid w:val="00791A1A"/>
    <w:rsid w:val="00791CA9"/>
    <w:rsid w:val="00791FE2"/>
    <w:rsid w:val="00792189"/>
    <w:rsid w:val="0079222D"/>
    <w:rsid w:val="00792755"/>
    <w:rsid w:val="00792769"/>
    <w:rsid w:val="00792ADD"/>
    <w:rsid w:val="00792B1C"/>
    <w:rsid w:val="00792E65"/>
    <w:rsid w:val="00792E7E"/>
    <w:rsid w:val="00793067"/>
    <w:rsid w:val="00793087"/>
    <w:rsid w:val="0079346A"/>
    <w:rsid w:val="0079387D"/>
    <w:rsid w:val="00793C31"/>
    <w:rsid w:val="007941F2"/>
    <w:rsid w:val="00794632"/>
    <w:rsid w:val="00794697"/>
    <w:rsid w:val="007951EB"/>
    <w:rsid w:val="00795524"/>
    <w:rsid w:val="00795BD2"/>
    <w:rsid w:val="00795CB5"/>
    <w:rsid w:val="0079666D"/>
    <w:rsid w:val="00796711"/>
    <w:rsid w:val="00796751"/>
    <w:rsid w:val="0079678E"/>
    <w:rsid w:val="00796C63"/>
    <w:rsid w:val="00796E29"/>
    <w:rsid w:val="00796ED0"/>
    <w:rsid w:val="00796F54"/>
    <w:rsid w:val="00797550"/>
    <w:rsid w:val="00797718"/>
    <w:rsid w:val="00797AB3"/>
    <w:rsid w:val="00797C98"/>
    <w:rsid w:val="00797DFB"/>
    <w:rsid w:val="007A02FC"/>
    <w:rsid w:val="007A0355"/>
    <w:rsid w:val="007A040D"/>
    <w:rsid w:val="007A04B1"/>
    <w:rsid w:val="007A050D"/>
    <w:rsid w:val="007A0812"/>
    <w:rsid w:val="007A083E"/>
    <w:rsid w:val="007A0855"/>
    <w:rsid w:val="007A103C"/>
    <w:rsid w:val="007A1B67"/>
    <w:rsid w:val="007A1F6A"/>
    <w:rsid w:val="007A2278"/>
    <w:rsid w:val="007A2700"/>
    <w:rsid w:val="007A2794"/>
    <w:rsid w:val="007A2894"/>
    <w:rsid w:val="007A290A"/>
    <w:rsid w:val="007A293D"/>
    <w:rsid w:val="007A348E"/>
    <w:rsid w:val="007A3786"/>
    <w:rsid w:val="007A3B81"/>
    <w:rsid w:val="007A3BC7"/>
    <w:rsid w:val="007A3F98"/>
    <w:rsid w:val="007A44C0"/>
    <w:rsid w:val="007A481E"/>
    <w:rsid w:val="007A4864"/>
    <w:rsid w:val="007A49E8"/>
    <w:rsid w:val="007A4A2C"/>
    <w:rsid w:val="007A4A36"/>
    <w:rsid w:val="007A4CD3"/>
    <w:rsid w:val="007A4FFA"/>
    <w:rsid w:val="007A519D"/>
    <w:rsid w:val="007A5298"/>
    <w:rsid w:val="007A5A0E"/>
    <w:rsid w:val="007A5B81"/>
    <w:rsid w:val="007A5D10"/>
    <w:rsid w:val="007A5DAD"/>
    <w:rsid w:val="007A5E41"/>
    <w:rsid w:val="007A627D"/>
    <w:rsid w:val="007A6720"/>
    <w:rsid w:val="007A6791"/>
    <w:rsid w:val="007A72C0"/>
    <w:rsid w:val="007A7331"/>
    <w:rsid w:val="007A7439"/>
    <w:rsid w:val="007A744C"/>
    <w:rsid w:val="007A78C2"/>
    <w:rsid w:val="007A7A90"/>
    <w:rsid w:val="007A7C83"/>
    <w:rsid w:val="007A7EA8"/>
    <w:rsid w:val="007B00E3"/>
    <w:rsid w:val="007B0141"/>
    <w:rsid w:val="007B0462"/>
    <w:rsid w:val="007B0662"/>
    <w:rsid w:val="007B0871"/>
    <w:rsid w:val="007B0935"/>
    <w:rsid w:val="007B0AD8"/>
    <w:rsid w:val="007B0CFB"/>
    <w:rsid w:val="007B124F"/>
    <w:rsid w:val="007B1602"/>
    <w:rsid w:val="007B1843"/>
    <w:rsid w:val="007B1936"/>
    <w:rsid w:val="007B1996"/>
    <w:rsid w:val="007B1AB3"/>
    <w:rsid w:val="007B1DDF"/>
    <w:rsid w:val="007B1E4E"/>
    <w:rsid w:val="007B202C"/>
    <w:rsid w:val="007B20DA"/>
    <w:rsid w:val="007B20EB"/>
    <w:rsid w:val="007B25A9"/>
    <w:rsid w:val="007B29E0"/>
    <w:rsid w:val="007B2DCA"/>
    <w:rsid w:val="007B3058"/>
    <w:rsid w:val="007B30A9"/>
    <w:rsid w:val="007B314C"/>
    <w:rsid w:val="007B3559"/>
    <w:rsid w:val="007B368A"/>
    <w:rsid w:val="007B3C6A"/>
    <w:rsid w:val="007B3DFF"/>
    <w:rsid w:val="007B4070"/>
    <w:rsid w:val="007B4613"/>
    <w:rsid w:val="007B4656"/>
    <w:rsid w:val="007B4B77"/>
    <w:rsid w:val="007B5148"/>
    <w:rsid w:val="007B525E"/>
    <w:rsid w:val="007B5483"/>
    <w:rsid w:val="007B5561"/>
    <w:rsid w:val="007B5842"/>
    <w:rsid w:val="007B622E"/>
    <w:rsid w:val="007B6291"/>
    <w:rsid w:val="007B64BF"/>
    <w:rsid w:val="007B658C"/>
    <w:rsid w:val="007B6952"/>
    <w:rsid w:val="007B6D42"/>
    <w:rsid w:val="007B6D49"/>
    <w:rsid w:val="007B71C7"/>
    <w:rsid w:val="007B770D"/>
    <w:rsid w:val="007B77C7"/>
    <w:rsid w:val="007B7A34"/>
    <w:rsid w:val="007B7CBD"/>
    <w:rsid w:val="007B7CD5"/>
    <w:rsid w:val="007B7CE4"/>
    <w:rsid w:val="007B7D1A"/>
    <w:rsid w:val="007C0416"/>
    <w:rsid w:val="007C0815"/>
    <w:rsid w:val="007C098D"/>
    <w:rsid w:val="007C10DD"/>
    <w:rsid w:val="007C11E1"/>
    <w:rsid w:val="007C130E"/>
    <w:rsid w:val="007C15A2"/>
    <w:rsid w:val="007C18EE"/>
    <w:rsid w:val="007C235C"/>
    <w:rsid w:val="007C23D6"/>
    <w:rsid w:val="007C2A3F"/>
    <w:rsid w:val="007C2AAD"/>
    <w:rsid w:val="007C2B47"/>
    <w:rsid w:val="007C2D76"/>
    <w:rsid w:val="007C3093"/>
    <w:rsid w:val="007C3469"/>
    <w:rsid w:val="007C358A"/>
    <w:rsid w:val="007C3872"/>
    <w:rsid w:val="007C3A41"/>
    <w:rsid w:val="007C3C43"/>
    <w:rsid w:val="007C3F6E"/>
    <w:rsid w:val="007C3FD4"/>
    <w:rsid w:val="007C416D"/>
    <w:rsid w:val="007C4344"/>
    <w:rsid w:val="007C4817"/>
    <w:rsid w:val="007C4991"/>
    <w:rsid w:val="007C4B1F"/>
    <w:rsid w:val="007C4ED3"/>
    <w:rsid w:val="007C5018"/>
    <w:rsid w:val="007C54BA"/>
    <w:rsid w:val="007C5641"/>
    <w:rsid w:val="007C5D9A"/>
    <w:rsid w:val="007C5E6B"/>
    <w:rsid w:val="007C5F61"/>
    <w:rsid w:val="007C6271"/>
    <w:rsid w:val="007C6520"/>
    <w:rsid w:val="007C6A1E"/>
    <w:rsid w:val="007C7173"/>
    <w:rsid w:val="007C72F7"/>
    <w:rsid w:val="007C7425"/>
    <w:rsid w:val="007C761A"/>
    <w:rsid w:val="007C7871"/>
    <w:rsid w:val="007C7938"/>
    <w:rsid w:val="007C7A6A"/>
    <w:rsid w:val="007C7B35"/>
    <w:rsid w:val="007C7FDA"/>
    <w:rsid w:val="007D00A7"/>
    <w:rsid w:val="007D01DE"/>
    <w:rsid w:val="007D0468"/>
    <w:rsid w:val="007D0498"/>
    <w:rsid w:val="007D0625"/>
    <w:rsid w:val="007D0DE4"/>
    <w:rsid w:val="007D10AB"/>
    <w:rsid w:val="007D1346"/>
    <w:rsid w:val="007D1B3E"/>
    <w:rsid w:val="007D1FC7"/>
    <w:rsid w:val="007D22A7"/>
    <w:rsid w:val="007D233A"/>
    <w:rsid w:val="007D2CBF"/>
    <w:rsid w:val="007D2DE7"/>
    <w:rsid w:val="007D2E06"/>
    <w:rsid w:val="007D2EF3"/>
    <w:rsid w:val="007D3ABC"/>
    <w:rsid w:val="007D3ADB"/>
    <w:rsid w:val="007D3E1C"/>
    <w:rsid w:val="007D3E50"/>
    <w:rsid w:val="007D4299"/>
    <w:rsid w:val="007D4331"/>
    <w:rsid w:val="007D43B1"/>
    <w:rsid w:val="007D4D51"/>
    <w:rsid w:val="007D4DBF"/>
    <w:rsid w:val="007D4E26"/>
    <w:rsid w:val="007D4F11"/>
    <w:rsid w:val="007D5129"/>
    <w:rsid w:val="007D515E"/>
    <w:rsid w:val="007D5364"/>
    <w:rsid w:val="007D54C7"/>
    <w:rsid w:val="007D57A7"/>
    <w:rsid w:val="007D5C60"/>
    <w:rsid w:val="007D5F64"/>
    <w:rsid w:val="007D5F76"/>
    <w:rsid w:val="007D5F82"/>
    <w:rsid w:val="007D6707"/>
    <w:rsid w:val="007D6992"/>
    <w:rsid w:val="007D6FF9"/>
    <w:rsid w:val="007D70CC"/>
    <w:rsid w:val="007D74CF"/>
    <w:rsid w:val="007D781F"/>
    <w:rsid w:val="007D785D"/>
    <w:rsid w:val="007E013A"/>
    <w:rsid w:val="007E0176"/>
    <w:rsid w:val="007E05F8"/>
    <w:rsid w:val="007E0658"/>
    <w:rsid w:val="007E068F"/>
    <w:rsid w:val="007E0B22"/>
    <w:rsid w:val="007E0DC6"/>
    <w:rsid w:val="007E0F30"/>
    <w:rsid w:val="007E1197"/>
    <w:rsid w:val="007E1361"/>
    <w:rsid w:val="007E1409"/>
    <w:rsid w:val="007E1623"/>
    <w:rsid w:val="007E17E1"/>
    <w:rsid w:val="007E1A6E"/>
    <w:rsid w:val="007E21E7"/>
    <w:rsid w:val="007E24D0"/>
    <w:rsid w:val="007E27FF"/>
    <w:rsid w:val="007E2CFF"/>
    <w:rsid w:val="007E2D85"/>
    <w:rsid w:val="007E3632"/>
    <w:rsid w:val="007E3A05"/>
    <w:rsid w:val="007E406C"/>
    <w:rsid w:val="007E43CC"/>
    <w:rsid w:val="007E4417"/>
    <w:rsid w:val="007E4B3C"/>
    <w:rsid w:val="007E4D33"/>
    <w:rsid w:val="007E4DB8"/>
    <w:rsid w:val="007E54F4"/>
    <w:rsid w:val="007E56A3"/>
    <w:rsid w:val="007E5736"/>
    <w:rsid w:val="007E58EF"/>
    <w:rsid w:val="007E5911"/>
    <w:rsid w:val="007E5AFA"/>
    <w:rsid w:val="007E5C18"/>
    <w:rsid w:val="007E5D76"/>
    <w:rsid w:val="007E5F16"/>
    <w:rsid w:val="007E6301"/>
    <w:rsid w:val="007E6606"/>
    <w:rsid w:val="007E67C4"/>
    <w:rsid w:val="007E6850"/>
    <w:rsid w:val="007E6943"/>
    <w:rsid w:val="007E6986"/>
    <w:rsid w:val="007E6A2F"/>
    <w:rsid w:val="007E6DAA"/>
    <w:rsid w:val="007E6EF5"/>
    <w:rsid w:val="007E70DB"/>
    <w:rsid w:val="007E7302"/>
    <w:rsid w:val="007E791C"/>
    <w:rsid w:val="007E7948"/>
    <w:rsid w:val="007E7CE1"/>
    <w:rsid w:val="007F044A"/>
    <w:rsid w:val="007F09F2"/>
    <w:rsid w:val="007F0A1F"/>
    <w:rsid w:val="007F0ECA"/>
    <w:rsid w:val="007F0F53"/>
    <w:rsid w:val="007F10D3"/>
    <w:rsid w:val="007F1174"/>
    <w:rsid w:val="007F11E8"/>
    <w:rsid w:val="007F121C"/>
    <w:rsid w:val="007F12AD"/>
    <w:rsid w:val="007F1801"/>
    <w:rsid w:val="007F1AB5"/>
    <w:rsid w:val="007F1BA5"/>
    <w:rsid w:val="007F1E7D"/>
    <w:rsid w:val="007F2656"/>
    <w:rsid w:val="007F29E1"/>
    <w:rsid w:val="007F2BF4"/>
    <w:rsid w:val="007F2E0A"/>
    <w:rsid w:val="007F2E93"/>
    <w:rsid w:val="007F2F7A"/>
    <w:rsid w:val="007F396B"/>
    <w:rsid w:val="007F39BC"/>
    <w:rsid w:val="007F3EAE"/>
    <w:rsid w:val="007F3FF5"/>
    <w:rsid w:val="007F400B"/>
    <w:rsid w:val="007F4037"/>
    <w:rsid w:val="007F4081"/>
    <w:rsid w:val="007F43C9"/>
    <w:rsid w:val="007F44B2"/>
    <w:rsid w:val="007F455E"/>
    <w:rsid w:val="007F49AB"/>
    <w:rsid w:val="007F4A7D"/>
    <w:rsid w:val="007F4A81"/>
    <w:rsid w:val="007F4ABE"/>
    <w:rsid w:val="007F4DCC"/>
    <w:rsid w:val="007F4F18"/>
    <w:rsid w:val="007F4F9C"/>
    <w:rsid w:val="007F570D"/>
    <w:rsid w:val="007F5E3A"/>
    <w:rsid w:val="007F5EA7"/>
    <w:rsid w:val="007F6165"/>
    <w:rsid w:val="007F67C5"/>
    <w:rsid w:val="007F6B78"/>
    <w:rsid w:val="007F6C72"/>
    <w:rsid w:val="007F705F"/>
    <w:rsid w:val="007F71E1"/>
    <w:rsid w:val="007F74D1"/>
    <w:rsid w:val="007F74DF"/>
    <w:rsid w:val="007F75E7"/>
    <w:rsid w:val="007F7695"/>
    <w:rsid w:val="0080025C"/>
    <w:rsid w:val="00800368"/>
    <w:rsid w:val="008003DC"/>
    <w:rsid w:val="008003E8"/>
    <w:rsid w:val="0080062F"/>
    <w:rsid w:val="00800ABF"/>
    <w:rsid w:val="00800B38"/>
    <w:rsid w:val="00800BAA"/>
    <w:rsid w:val="00800D21"/>
    <w:rsid w:val="00800F1C"/>
    <w:rsid w:val="00801085"/>
    <w:rsid w:val="008011AD"/>
    <w:rsid w:val="00801226"/>
    <w:rsid w:val="008012F2"/>
    <w:rsid w:val="008013F1"/>
    <w:rsid w:val="008014D5"/>
    <w:rsid w:val="008017FE"/>
    <w:rsid w:val="00801A1A"/>
    <w:rsid w:val="00801D2D"/>
    <w:rsid w:val="00801DAA"/>
    <w:rsid w:val="00801F80"/>
    <w:rsid w:val="008020AA"/>
    <w:rsid w:val="008021CE"/>
    <w:rsid w:val="00802B90"/>
    <w:rsid w:val="0080315D"/>
    <w:rsid w:val="00803184"/>
    <w:rsid w:val="00803319"/>
    <w:rsid w:val="008033D3"/>
    <w:rsid w:val="008033F1"/>
    <w:rsid w:val="0080369F"/>
    <w:rsid w:val="008036B7"/>
    <w:rsid w:val="00803DF0"/>
    <w:rsid w:val="008043FE"/>
    <w:rsid w:val="00804507"/>
    <w:rsid w:val="00804748"/>
    <w:rsid w:val="0080475B"/>
    <w:rsid w:val="00804A50"/>
    <w:rsid w:val="00804C9C"/>
    <w:rsid w:val="00804EA1"/>
    <w:rsid w:val="00804F62"/>
    <w:rsid w:val="008055D5"/>
    <w:rsid w:val="008056F1"/>
    <w:rsid w:val="0080587B"/>
    <w:rsid w:val="008059F3"/>
    <w:rsid w:val="00805E4B"/>
    <w:rsid w:val="00806352"/>
    <w:rsid w:val="0080650F"/>
    <w:rsid w:val="008067DD"/>
    <w:rsid w:val="00806959"/>
    <w:rsid w:val="00806D4F"/>
    <w:rsid w:val="00806ECF"/>
    <w:rsid w:val="00806F1F"/>
    <w:rsid w:val="00807113"/>
    <w:rsid w:val="0080715D"/>
    <w:rsid w:val="008073C8"/>
    <w:rsid w:val="00807689"/>
    <w:rsid w:val="00807AC6"/>
    <w:rsid w:val="00807C28"/>
    <w:rsid w:val="00807C4F"/>
    <w:rsid w:val="00807D50"/>
    <w:rsid w:val="008101CE"/>
    <w:rsid w:val="00810580"/>
    <w:rsid w:val="0081069C"/>
    <w:rsid w:val="00810836"/>
    <w:rsid w:val="0081091B"/>
    <w:rsid w:val="00810AC3"/>
    <w:rsid w:val="00810B28"/>
    <w:rsid w:val="00810F79"/>
    <w:rsid w:val="008112BE"/>
    <w:rsid w:val="0081145A"/>
    <w:rsid w:val="00811565"/>
    <w:rsid w:val="0081171F"/>
    <w:rsid w:val="0081177F"/>
    <w:rsid w:val="00811A74"/>
    <w:rsid w:val="00811D85"/>
    <w:rsid w:val="008122AD"/>
    <w:rsid w:val="0081239D"/>
    <w:rsid w:val="008126A4"/>
    <w:rsid w:val="008129E0"/>
    <w:rsid w:val="00812B18"/>
    <w:rsid w:val="00812E9F"/>
    <w:rsid w:val="008130D9"/>
    <w:rsid w:val="0081331F"/>
    <w:rsid w:val="008138BE"/>
    <w:rsid w:val="00813E49"/>
    <w:rsid w:val="00814317"/>
    <w:rsid w:val="00814318"/>
    <w:rsid w:val="00814422"/>
    <w:rsid w:val="0081496A"/>
    <w:rsid w:val="00814AFE"/>
    <w:rsid w:val="00814DBD"/>
    <w:rsid w:val="00814F2F"/>
    <w:rsid w:val="0081514F"/>
    <w:rsid w:val="0081528F"/>
    <w:rsid w:val="008157E7"/>
    <w:rsid w:val="0081594F"/>
    <w:rsid w:val="00815A26"/>
    <w:rsid w:val="00815B3C"/>
    <w:rsid w:val="00815C06"/>
    <w:rsid w:val="0081606C"/>
    <w:rsid w:val="0081673C"/>
    <w:rsid w:val="00816780"/>
    <w:rsid w:val="00816841"/>
    <w:rsid w:val="0081695C"/>
    <w:rsid w:val="00816A9F"/>
    <w:rsid w:val="00816C18"/>
    <w:rsid w:val="00816CBF"/>
    <w:rsid w:val="008172A8"/>
    <w:rsid w:val="0081749D"/>
    <w:rsid w:val="00817534"/>
    <w:rsid w:val="0081782A"/>
    <w:rsid w:val="00817935"/>
    <w:rsid w:val="008179AD"/>
    <w:rsid w:val="00817C20"/>
    <w:rsid w:val="00817F24"/>
    <w:rsid w:val="00820347"/>
    <w:rsid w:val="0082040F"/>
    <w:rsid w:val="008206AF"/>
    <w:rsid w:val="00820822"/>
    <w:rsid w:val="008208F0"/>
    <w:rsid w:val="00820D3F"/>
    <w:rsid w:val="00820F04"/>
    <w:rsid w:val="00820F6E"/>
    <w:rsid w:val="0082137A"/>
    <w:rsid w:val="00821442"/>
    <w:rsid w:val="008216AB"/>
    <w:rsid w:val="00822191"/>
    <w:rsid w:val="008224FF"/>
    <w:rsid w:val="0082258B"/>
    <w:rsid w:val="008227E2"/>
    <w:rsid w:val="00822AEC"/>
    <w:rsid w:val="00822BDA"/>
    <w:rsid w:val="00822DC7"/>
    <w:rsid w:val="008230CC"/>
    <w:rsid w:val="008233EA"/>
    <w:rsid w:val="00823848"/>
    <w:rsid w:val="00823B55"/>
    <w:rsid w:val="00823CC2"/>
    <w:rsid w:val="00823E00"/>
    <w:rsid w:val="00823EF3"/>
    <w:rsid w:val="00823F59"/>
    <w:rsid w:val="008240FD"/>
    <w:rsid w:val="00824169"/>
    <w:rsid w:val="00824275"/>
    <w:rsid w:val="00824809"/>
    <w:rsid w:val="008248C2"/>
    <w:rsid w:val="00824E2B"/>
    <w:rsid w:val="00825011"/>
    <w:rsid w:val="008250F9"/>
    <w:rsid w:val="00825187"/>
    <w:rsid w:val="0082519E"/>
    <w:rsid w:val="008252AB"/>
    <w:rsid w:val="0082544B"/>
    <w:rsid w:val="008255C7"/>
    <w:rsid w:val="00825646"/>
    <w:rsid w:val="008257EF"/>
    <w:rsid w:val="00825859"/>
    <w:rsid w:val="008259A3"/>
    <w:rsid w:val="00825E73"/>
    <w:rsid w:val="0082617B"/>
    <w:rsid w:val="0082657E"/>
    <w:rsid w:val="00826611"/>
    <w:rsid w:val="00826648"/>
    <w:rsid w:val="008267A3"/>
    <w:rsid w:val="00826D5D"/>
    <w:rsid w:val="008277F9"/>
    <w:rsid w:val="008300C5"/>
    <w:rsid w:val="00830119"/>
    <w:rsid w:val="008307FB"/>
    <w:rsid w:val="008309A9"/>
    <w:rsid w:val="00830D94"/>
    <w:rsid w:val="0083105D"/>
    <w:rsid w:val="00831896"/>
    <w:rsid w:val="00832159"/>
    <w:rsid w:val="0083241F"/>
    <w:rsid w:val="008329EA"/>
    <w:rsid w:val="0083313B"/>
    <w:rsid w:val="008333BC"/>
    <w:rsid w:val="00833732"/>
    <w:rsid w:val="00833B96"/>
    <w:rsid w:val="00833BEC"/>
    <w:rsid w:val="00833C34"/>
    <w:rsid w:val="00833E74"/>
    <w:rsid w:val="00833F78"/>
    <w:rsid w:val="0083427E"/>
    <w:rsid w:val="00834341"/>
    <w:rsid w:val="0083470F"/>
    <w:rsid w:val="00834D84"/>
    <w:rsid w:val="00834EA5"/>
    <w:rsid w:val="00834F61"/>
    <w:rsid w:val="00835450"/>
    <w:rsid w:val="00835492"/>
    <w:rsid w:val="008355CC"/>
    <w:rsid w:val="008363F0"/>
    <w:rsid w:val="00836609"/>
    <w:rsid w:val="0083696D"/>
    <w:rsid w:val="00836B97"/>
    <w:rsid w:val="00837042"/>
    <w:rsid w:val="00837118"/>
    <w:rsid w:val="00837128"/>
    <w:rsid w:val="008374DB"/>
    <w:rsid w:val="00837751"/>
    <w:rsid w:val="00837B8A"/>
    <w:rsid w:val="00837BF0"/>
    <w:rsid w:val="00837D44"/>
    <w:rsid w:val="0084012A"/>
    <w:rsid w:val="0084020A"/>
    <w:rsid w:val="0084069E"/>
    <w:rsid w:val="00840B90"/>
    <w:rsid w:val="00841978"/>
    <w:rsid w:val="00841CE2"/>
    <w:rsid w:val="00841EE1"/>
    <w:rsid w:val="00842049"/>
    <w:rsid w:val="00842175"/>
    <w:rsid w:val="00842195"/>
    <w:rsid w:val="00842218"/>
    <w:rsid w:val="0084249B"/>
    <w:rsid w:val="00842968"/>
    <w:rsid w:val="0084299F"/>
    <w:rsid w:val="00842D90"/>
    <w:rsid w:val="008430BE"/>
    <w:rsid w:val="008433B7"/>
    <w:rsid w:val="008435E4"/>
    <w:rsid w:val="00843861"/>
    <w:rsid w:val="00843F03"/>
    <w:rsid w:val="00843FA1"/>
    <w:rsid w:val="008444E5"/>
    <w:rsid w:val="00844A69"/>
    <w:rsid w:val="00844B56"/>
    <w:rsid w:val="00844C66"/>
    <w:rsid w:val="00844E5B"/>
    <w:rsid w:val="00844E9D"/>
    <w:rsid w:val="00845167"/>
    <w:rsid w:val="00845665"/>
    <w:rsid w:val="00845F64"/>
    <w:rsid w:val="00846073"/>
    <w:rsid w:val="00846110"/>
    <w:rsid w:val="0084628C"/>
    <w:rsid w:val="008462BD"/>
    <w:rsid w:val="00846DFC"/>
    <w:rsid w:val="00847237"/>
    <w:rsid w:val="00847723"/>
    <w:rsid w:val="00847E16"/>
    <w:rsid w:val="00847E80"/>
    <w:rsid w:val="008500EA"/>
    <w:rsid w:val="0085030C"/>
    <w:rsid w:val="00850330"/>
    <w:rsid w:val="008504F9"/>
    <w:rsid w:val="00850841"/>
    <w:rsid w:val="008509D2"/>
    <w:rsid w:val="00850B8C"/>
    <w:rsid w:val="00850ED5"/>
    <w:rsid w:val="008510EF"/>
    <w:rsid w:val="008512D3"/>
    <w:rsid w:val="008513A2"/>
    <w:rsid w:val="008514E2"/>
    <w:rsid w:val="008514E3"/>
    <w:rsid w:val="00851577"/>
    <w:rsid w:val="008519CB"/>
    <w:rsid w:val="00852556"/>
    <w:rsid w:val="00852671"/>
    <w:rsid w:val="008526B6"/>
    <w:rsid w:val="008528CE"/>
    <w:rsid w:val="008531C8"/>
    <w:rsid w:val="00853604"/>
    <w:rsid w:val="00853987"/>
    <w:rsid w:val="008544DC"/>
    <w:rsid w:val="0085462B"/>
    <w:rsid w:val="0085465E"/>
    <w:rsid w:val="008546F0"/>
    <w:rsid w:val="008548F7"/>
    <w:rsid w:val="008549F9"/>
    <w:rsid w:val="00854C80"/>
    <w:rsid w:val="00854D53"/>
    <w:rsid w:val="0085516F"/>
    <w:rsid w:val="008555C0"/>
    <w:rsid w:val="0085565B"/>
    <w:rsid w:val="008558A2"/>
    <w:rsid w:val="00855CB5"/>
    <w:rsid w:val="0085653F"/>
    <w:rsid w:val="0085688F"/>
    <w:rsid w:val="00856D62"/>
    <w:rsid w:val="00856F91"/>
    <w:rsid w:val="008572C0"/>
    <w:rsid w:val="00857A1C"/>
    <w:rsid w:val="00857B07"/>
    <w:rsid w:val="00857D2F"/>
    <w:rsid w:val="00857EFB"/>
    <w:rsid w:val="00860068"/>
    <w:rsid w:val="00860240"/>
    <w:rsid w:val="008603E3"/>
    <w:rsid w:val="008604E2"/>
    <w:rsid w:val="0086075D"/>
    <w:rsid w:val="008607B9"/>
    <w:rsid w:val="00860B49"/>
    <w:rsid w:val="00860C4B"/>
    <w:rsid w:val="00860E30"/>
    <w:rsid w:val="00860E48"/>
    <w:rsid w:val="00860F78"/>
    <w:rsid w:val="00861451"/>
    <w:rsid w:val="00861803"/>
    <w:rsid w:val="008618BD"/>
    <w:rsid w:val="00861B0F"/>
    <w:rsid w:val="00861E93"/>
    <w:rsid w:val="0086204A"/>
    <w:rsid w:val="008622A0"/>
    <w:rsid w:val="008629F5"/>
    <w:rsid w:val="00862C30"/>
    <w:rsid w:val="00862E73"/>
    <w:rsid w:val="008630C2"/>
    <w:rsid w:val="0086330D"/>
    <w:rsid w:val="008634EA"/>
    <w:rsid w:val="00863B56"/>
    <w:rsid w:val="00863B69"/>
    <w:rsid w:val="00863D16"/>
    <w:rsid w:val="00863FD8"/>
    <w:rsid w:val="008644F2"/>
    <w:rsid w:val="008649E4"/>
    <w:rsid w:val="008649FF"/>
    <w:rsid w:val="00864B12"/>
    <w:rsid w:val="00865040"/>
    <w:rsid w:val="00865058"/>
    <w:rsid w:val="008652B7"/>
    <w:rsid w:val="0086546B"/>
    <w:rsid w:val="0086556F"/>
    <w:rsid w:val="00865762"/>
    <w:rsid w:val="00865E99"/>
    <w:rsid w:val="00866276"/>
    <w:rsid w:val="008672CB"/>
    <w:rsid w:val="00867459"/>
    <w:rsid w:val="0086773B"/>
    <w:rsid w:val="00867C18"/>
    <w:rsid w:val="00867C70"/>
    <w:rsid w:val="00867CB1"/>
    <w:rsid w:val="0087026C"/>
    <w:rsid w:val="00870515"/>
    <w:rsid w:val="0087085D"/>
    <w:rsid w:val="00871070"/>
    <w:rsid w:val="0087148F"/>
    <w:rsid w:val="008714E1"/>
    <w:rsid w:val="00871555"/>
    <w:rsid w:val="008718F0"/>
    <w:rsid w:val="00871CE7"/>
    <w:rsid w:val="00871ECC"/>
    <w:rsid w:val="00871F66"/>
    <w:rsid w:val="008720AF"/>
    <w:rsid w:val="008726A2"/>
    <w:rsid w:val="00872866"/>
    <w:rsid w:val="00872B2C"/>
    <w:rsid w:val="00872CDE"/>
    <w:rsid w:val="00873233"/>
    <w:rsid w:val="00873257"/>
    <w:rsid w:val="00873551"/>
    <w:rsid w:val="00873AFE"/>
    <w:rsid w:val="00873E04"/>
    <w:rsid w:val="0087418A"/>
    <w:rsid w:val="0087445A"/>
    <w:rsid w:val="008746A2"/>
    <w:rsid w:val="0087490B"/>
    <w:rsid w:val="00874B53"/>
    <w:rsid w:val="00874C95"/>
    <w:rsid w:val="00874CED"/>
    <w:rsid w:val="00874E20"/>
    <w:rsid w:val="00874ED8"/>
    <w:rsid w:val="0087519F"/>
    <w:rsid w:val="0087538E"/>
    <w:rsid w:val="00875391"/>
    <w:rsid w:val="0087579D"/>
    <w:rsid w:val="00875FAB"/>
    <w:rsid w:val="008760E6"/>
    <w:rsid w:val="0087631B"/>
    <w:rsid w:val="00876395"/>
    <w:rsid w:val="00876521"/>
    <w:rsid w:val="008769F7"/>
    <w:rsid w:val="00876A29"/>
    <w:rsid w:val="00876C38"/>
    <w:rsid w:val="00876D78"/>
    <w:rsid w:val="00877363"/>
    <w:rsid w:val="008774DF"/>
    <w:rsid w:val="008774EF"/>
    <w:rsid w:val="008774F3"/>
    <w:rsid w:val="008778DB"/>
    <w:rsid w:val="00877A6A"/>
    <w:rsid w:val="00880197"/>
    <w:rsid w:val="008802AB"/>
    <w:rsid w:val="008803A8"/>
    <w:rsid w:val="00880707"/>
    <w:rsid w:val="0088078A"/>
    <w:rsid w:val="0088099E"/>
    <w:rsid w:val="00880CDD"/>
    <w:rsid w:val="00880D52"/>
    <w:rsid w:val="00880F97"/>
    <w:rsid w:val="00880FA7"/>
    <w:rsid w:val="008811D1"/>
    <w:rsid w:val="00881342"/>
    <w:rsid w:val="00881B92"/>
    <w:rsid w:val="00881C9D"/>
    <w:rsid w:val="00881F52"/>
    <w:rsid w:val="00882460"/>
    <w:rsid w:val="00882519"/>
    <w:rsid w:val="00882605"/>
    <w:rsid w:val="00882702"/>
    <w:rsid w:val="008827D1"/>
    <w:rsid w:val="008830AC"/>
    <w:rsid w:val="00883767"/>
    <w:rsid w:val="00883952"/>
    <w:rsid w:val="00884001"/>
    <w:rsid w:val="0088434E"/>
    <w:rsid w:val="00884733"/>
    <w:rsid w:val="00884E3A"/>
    <w:rsid w:val="008851B5"/>
    <w:rsid w:val="008857DD"/>
    <w:rsid w:val="00885820"/>
    <w:rsid w:val="00885BCB"/>
    <w:rsid w:val="00885DB4"/>
    <w:rsid w:val="00885F3D"/>
    <w:rsid w:val="0088605F"/>
    <w:rsid w:val="0088620A"/>
    <w:rsid w:val="00886756"/>
    <w:rsid w:val="00886933"/>
    <w:rsid w:val="0088698A"/>
    <w:rsid w:val="00887642"/>
    <w:rsid w:val="008876C7"/>
    <w:rsid w:val="00887ADA"/>
    <w:rsid w:val="00887C83"/>
    <w:rsid w:val="00887E11"/>
    <w:rsid w:val="00887E7C"/>
    <w:rsid w:val="008900C3"/>
    <w:rsid w:val="00890204"/>
    <w:rsid w:val="00890307"/>
    <w:rsid w:val="00890361"/>
    <w:rsid w:val="0089044F"/>
    <w:rsid w:val="0089060A"/>
    <w:rsid w:val="00890709"/>
    <w:rsid w:val="00890A29"/>
    <w:rsid w:val="00890F38"/>
    <w:rsid w:val="008912FA"/>
    <w:rsid w:val="008919AD"/>
    <w:rsid w:val="00891A90"/>
    <w:rsid w:val="00891C94"/>
    <w:rsid w:val="00891D1A"/>
    <w:rsid w:val="00891D2C"/>
    <w:rsid w:val="00891F4B"/>
    <w:rsid w:val="00892603"/>
    <w:rsid w:val="0089286B"/>
    <w:rsid w:val="00892AA9"/>
    <w:rsid w:val="00892C42"/>
    <w:rsid w:val="00892CC1"/>
    <w:rsid w:val="00892DCC"/>
    <w:rsid w:val="00893072"/>
    <w:rsid w:val="00893241"/>
    <w:rsid w:val="00893816"/>
    <w:rsid w:val="0089405A"/>
    <w:rsid w:val="00894422"/>
    <w:rsid w:val="0089447B"/>
    <w:rsid w:val="00894629"/>
    <w:rsid w:val="008948C9"/>
    <w:rsid w:val="00894B91"/>
    <w:rsid w:val="008952AB"/>
    <w:rsid w:val="008952B5"/>
    <w:rsid w:val="00895571"/>
    <w:rsid w:val="008955F1"/>
    <w:rsid w:val="00895B08"/>
    <w:rsid w:val="00895BFA"/>
    <w:rsid w:val="008961FC"/>
    <w:rsid w:val="008965B8"/>
    <w:rsid w:val="00896FF4"/>
    <w:rsid w:val="00897002"/>
    <w:rsid w:val="008972BB"/>
    <w:rsid w:val="00897C24"/>
    <w:rsid w:val="008A034D"/>
    <w:rsid w:val="008A07CF"/>
    <w:rsid w:val="008A0EE3"/>
    <w:rsid w:val="008A10EA"/>
    <w:rsid w:val="008A1275"/>
    <w:rsid w:val="008A15C2"/>
    <w:rsid w:val="008A15D7"/>
    <w:rsid w:val="008A1615"/>
    <w:rsid w:val="008A22DA"/>
    <w:rsid w:val="008A2482"/>
    <w:rsid w:val="008A25FE"/>
    <w:rsid w:val="008A2606"/>
    <w:rsid w:val="008A28AB"/>
    <w:rsid w:val="008A315B"/>
    <w:rsid w:val="008A31BE"/>
    <w:rsid w:val="008A35B2"/>
    <w:rsid w:val="008A3634"/>
    <w:rsid w:val="008A3977"/>
    <w:rsid w:val="008A3A04"/>
    <w:rsid w:val="008A3A38"/>
    <w:rsid w:val="008A3C89"/>
    <w:rsid w:val="008A3C90"/>
    <w:rsid w:val="008A3CAC"/>
    <w:rsid w:val="008A3EC6"/>
    <w:rsid w:val="008A412D"/>
    <w:rsid w:val="008A4279"/>
    <w:rsid w:val="008A42BA"/>
    <w:rsid w:val="008A44B6"/>
    <w:rsid w:val="008A44ED"/>
    <w:rsid w:val="008A47D5"/>
    <w:rsid w:val="008A5077"/>
    <w:rsid w:val="008A5253"/>
    <w:rsid w:val="008A528C"/>
    <w:rsid w:val="008A5CF3"/>
    <w:rsid w:val="008A5E4B"/>
    <w:rsid w:val="008A69EB"/>
    <w:rsid w:val="008A6B54"/>
    <w:rsid w:val="008A728F"/>
    <w:rsid w:val="008A739D"/>
    <w:rsid w:val="008A74CE"/>
    <w:rsid w:val="008B04BE"/>
    <w:rsid w:val="008B0BAB"/>
    <w:rsid w:val="008B0D93"/>
    <w:rsid w:val="008B128D"/>
    <w:rsid w:val="008B1BF4"/>
    <w:rsid w:val="008B1C06"/>
    <w:rsid w:val="008B1CB8"/>
    <w:rsid w:val="008B1FDD"/>
    <w:rsid w:val="008B210A"/>
    <w:rsid w:val="008B242C"/>
    <w:rsid w:val="008B2459"/>
    <w:rsid w:val="008B24D0"/>
    <w:rsid w:val="008B2700"/>
    <w:rsid w:val="008B2A0D"/>
    <w:rsid w:val="008B2A25"/>
    <w:rsid w:val="008B2CCD"/>
    <w:rsid w:val="008B2E02"/>
    <w:rsid w:val="008B2E13"/>
    <w:rsid w:val="008B2F2E"/>
    <w:rsid w:val="008B2F95"/>
    <w:rsid w:val="008B3128"/>
    <w:rsid w:val="008B334D"/>
    <w:rsid w:val="008B3381"/>
    <w:rsid w:val="008B33C3"/>
    <w:rsid w:val="008B349B"/>
    <w:rsid w:val="008B3557"/>
    <w:rsid w:val="008B3573"/>
    <w:rsid w:val="008B3761"/>
    <w:rsid w:val="008B3B66"/>
    <w:rsid w:val="008B40AC"/>
    <w:rsid w:val="008B4111"/>
    <w:rsid w:val="008B419F"/>
    <w:rsid w:val="008B4253"/>
    <w:rsid w:val="008B4292"/>
    <w:rsid w:val="008B4362"/>
    <w:rsid w:val="008B4604"/>
    <w:rsid w:val="008B4B19"/>
    <w:rsid w:val="008B4F89"/>
    <w:rsid w:val="008B5125"/>
    <w:rsid w:val="008B51B9"/>
    <w:rsid w:val="008B52E8"/>
    <w:rsid w:val="008B573C"/>
    <w:rsid w:val="008B588A"/>
    <w:rsid w:val="008B5C5A"/>
    <w:rsid w:val="008B5D64"/>
    <w:rsid w:val="008B602C"/>
    <w:rsid w:val="008B609A"/>
    <w:rsid w:val="008B6165"/>
    <w:rsid w:val="008B6257"/>
    <w:rsid w:val="008B6587"/>
    <w:rsid w:val="008B6F89"/>
    <w:rsid w:val="008B7282"/>
    <w:rsid w:val="008B759E"/>
    <w:rsid w:val="008B7862"/>
    <w:rsid w:val="008B78A3"/>
    <w:rsid w:val="008B794E"/>
    <w:rsid w:val="008B7A41"/>
    <w:rsid w:val="008B7DB3"/>
    <w:rsid w:val="008C0084"/>
    <w:rsid w:val="008C0AAE"/>
    <w:rsid w:val="008C1025"/>
    <w:rsid w:val="008C1027"/>
    <w:rsid w:val="008C1034"/>
    <w:rsid w:val="008C1602"/>
    <w:rsid w:val="008C1741"/>
    <w:rsid w:val="008C1889"/>
    <w:rsid w:val="008C1976"/>
    <w:rsid w:val="008C1C3A"/>
    <w:rsid w:val="008C1D74"/>
    <w:rsid w:val="008C202F"/>
    <w:rsid w:val="008C220A"/>
    <w:rsid w:val="008C231E"/>
    <w:rsid w:val="008C2653"/>
    <w:rsid w:val="008C2773"/>
    <w:rsid w:val="008C294B"/>
    <w:rsid w:val="008C2A72"/>
    <w:rsid w:val="008C2B95"/>
    <w:rsid w:val="008C2DD0"/>
    <w:rsid w:val="008C2F83"/>
    <w:rsid w:val="008C3161"/>
    <w:rsid w:val="008C31CC"/>
    <w:rsid w:val="008C342A"/>
    <w:rsid w:val="008C3708"/>
    <w:rsid w:val="008C37C2"/>
    <w:rsid w:val="008C39E1"/>
    <w:rsid w:val="008C3B27"/>
    <w:rsid w:val="008C3F99"/>
    <w:rsid w:val="008C3FEA"/>
    <w:rsid w:val="008C42FC"/>
    <w:rsid w:val="008C47B1"/>
    <w:rsid w:val="008C47C5"/>
    <w:rsid w:val="008C49D7"/>
    <w:rsid w:val="008C4B39"/>
    <w:rsid w:val="008C526D"/>
    <w:rsid w:val="008C5588"/>
    <w:rsid w:val="008C5785"/>
    <w:rsid w:val="008C58A7"/>
    <w:rsid w:val="008C625D"/>
    <w:rsid w:val="008C6402"/>
    <w:rsid w:val="008C6464"/>
    <w:rsid w:val="008C6619"/>
    <w:rsid w:val="008C6669"/>
    <w:rsid w:val="008C6C8E"/>
    <w:rsid w:val="008C6FE7"/>
    <w:rsid w:val="008C70E7"/>
    <w:rsid w:val="008C7C1A"/>
    <w:rsid w:val="008D00E9"/>
    <w:rsid w:val="008D0469"/>
    <w:rsid w:val="008D059E"/>
    <w:rsid w:val="008D08D2"/>
    <w:rsid w:val="008D094F"/>
    <w:rsid w:val="008D09FB"/>
    <w:rsid w:val="008D0D95"/>
    <w:rsid w:val="008D0F85"/>
    <w:rsid w:val="008D10BA"/>
    <w:rsid w:val="008D16DF"/>
    <w:rsid w:val="008D1CB4"/>
    <w:rsid w:val="008D1E59"/>
    <w:rsid w:val="008D23BC"/>
    <w:rsid w:val="008D2469"/>
    <w:rsid w:val="008D24F7"/>
    <w:rsid w:val="008D2678"/>
    <w:rsid w:val="008D280B"/>
    <w:rsid w:val="008D2C26"/>
    <w:rsid w:val="008D2C91"/>
    <w:rsid w:val="008D2D12"/>
    <w:rsid w:val="008D2F0C"/>
    <w:rsid w:val="008D32EA"/>
    <w:rsid w:val="008D33BD"/>
    <w:rsid w:val="008D3595"/>
    <w:rsid w:val="008D38FC"/>
    <w:rsid w:val="008D3B88"/>
    <w:rsid w:val="008D3C74"/>
    <w:rsid w:val="008D3F11"/>
    <w:rsid w:val="008D3F81"/>
    <w:rsid w:val="008D40AC"/>
    <w:rsid w:val="008D46D1"/>
    <w:rsid w:val="008D46E1"/>
    <w:rsid w:val="008D4F2B"/>
    <w:rsid w:val="008D5054"/>
    <w:rsid w:val="008D51B3"/>
    <w:rsid w:val="008D51F2"/>
    <w:rsid w:val="008D52AF"/>
    <w:rsid w:val="008D561C"/>
    <w:rsid w:val="008D5A0C"/>
    <w:rsid w:val="008D6051"/>
    <w:rsid w:val="008D619B"/>
    <w:rsid w:val="008D63B5"/>
    <w:rsid w:val="008D6577"/>
    <w:rsid w:val="008D6994"/>
    <w:rsid w:val="008D6C47"/>
    <w:rsid w:val="008D70DC"/>
    <w:rsid w:val="008D717E"/>
    <w:rsid w:val="008D74E4"/>
    <w:rsid w:val="008D75B3"/>
    <w:rsid w:val="008D763E"/>
    <w:rsid w:val="008D7940"/>
    <w:rsid w:val="008D7FCF"/>
    <w:rsid w:val="008E01B9"/>
    <w:rsid w:val="008E09C2"/>
    <w:rsid w:val="008E0E41"/>
    <w:rsid w:val="008E11C7"/>
    <w:rsid w:val="008E1854"/>
    <w:rsid w:val="008E204A"/>
    <w:rsid w:val="008E2377"/>
    <w:rsid w:val="008E2510"/>
    <w:rsid w:val="008E2A3F"/>
    <w:rsid w:val="008E32EA"/>
    <w:rsid w:val="008E33D7"/>
    <w:rsid w:val="008E3908"/>
    <w:rsid w:val="008E3D1C"/>
    <w:rsid w:val="008E3E3F"/>
    <w:rsid w:val="008E3EE5"/>
    <w:rsid w:val="008E3FDB"/>
    <w:rsid w:val="008E3FE7"/>
    <w:rsid w:val="008E4294"/>
    <w:rsid w:val="008E4350"/>
    <w:rsid w:val="008E43CD"/>
    <w:rsid w:val="008E4410"/>
    <w:rsid w:val="008E47F0"/>
    <w:rsid w:val="008E4B3B"/>
    <w:rsid w:val="008E4BD5"/>
    <w:rsid w:val="008E4CE0"/>
    <w:rsid w:val="008E4DA7"/>
    <w:rsid w:val="008E5293"/>
    <w:rsid w:val="008E56A9"/>
    <w:rsid w:val="008E5780"/>
    <w:rsid w:val="008E5822"/>
    <w:rsid w:val="008E5E60"/>
    <w:rsid w:val="008E649D"/>
    <w:rsid w:val="008E64DE"/>
    <w:rsid w:val="008E67CB"/>
    <w:rsid w:val="008E691B"/>
    <w:rsid w:val="008E6C21"/>
    <w:rsid w:val="008E6D1E"/>
    <w:rsid w:val="008E72D9"/>
    <w:rsid w:val="008E732B"/>
    <w:rsid w:val="008E74A1"/>
    <w:rsid w:val="008E752B"/>
    <w:rsid w:val="008E75C4"/>
    <w:rsid w:val="008E7662"/>
    <w:rsid w:val="008E7755"/>
    <w:rsid w:val="008E7844"/>
    <w:rsid w:val="008E7C43"/>
    <w:rsid w:val="008E7C54"/>
    <w:rsid w:val="008E7F5E"/>
    <w:rsid w:val="008F00C8"/>
    <w:rsid w:val="008F049A"/>
    <w:rsid w:val="008F0629"/>
    <w:rsid w:val="008F06F0"/>
    <w:rsid w:val="008F0768"/>
    <w:rsid w:val="008F0907"/>
    <w:rsid w:val="008F0D94"/>
    <w:rsid w:val="008F0EDF"/>
    <w:rsid w:val="008F12A2"/>
    <w:rsid w:val="008F18D2"/>
    <w:rsid w:val="008F197E"/>
    <w:rsid w:val="008F19B0"/>
    <w:rsid w:val="008F1CC0"/>
    <w:rsid w:val="008F219A"/>
    <w:rsid w:val="008F21CA"/>
    <w:rsid w:val="008F2838"/>
    <w:rsid w:val="008F288C"/>
    <w:rsid w:val="008F29ED"/>
    <w:rsid w:val="008F2D29"/>
    <w:rsid w:val="008F33FA"/>
    <w:rsid w:val="008F3420"/>
    <w:rsid w:val="008F44BC"/>
    <w:rsid w:val="008F4822"/>
    <w:rsid w:val="008F4DDD"/>
    <w:rsid w:val="008F503B"/>
    <w:rsid w:val="008F51B4"/>
    <w:rsid w:val="008F5516"/>
    <w:rsid w:val="008F57D1"/>
    <w:rsid w:val="008F5B4A"/>
    <w:rsid w:val="008F5CC2"/>
    <w:rsid w:val="008F5CD8"/>
    <w:rsid w:val="008F5F6E"/>
    <w:rsid w:val="008F6133"/>
    <w:rsid w:val="008F658F"/>
    <w:rsid w:val="008F68DA"/>
    <w:rsid w:val="008F69DE"/>
    <w:rsid w:val="008F69E9"/>
    <w:rsid w:val="008F6B9E"/>
    <w:rsid w:val="008F729B"/>
    <w:rsid w:val="008F7745"/>
    <w:rsid w:val="008F7C3C"/>
    <w:rsid w:val="00900099"/>
    <w:rsid w:val="0090023B"/>
    <w:rsid w:val="009002F0"/>
    <w:rsid w:val="0090046F"/>
    <w:rsid w:val="00900518"/>
    <w:rsid w:val="0090073C"/>
    <w:rsid w:val="00900998"/>
    <w:rsid w:val="00900BA1"/>
    <w:rsid w:val="00900D4F"/>
    <w:rsid w:val="0090128C"/>
    <w:rsid w:val="00901490"/>
    <w:rsid w:val="00901775"/>
    <w:rsid w:val="00901B58"/>
    <w:rsid w:val="00901C73"/>
    <w:rsid w:val="00901C89"/>
    <w:rsid w:val="00901D99"/>
    <w:rsid w:val="0090224F"/>
    <w:rsid w:val="009024D1"/>
    <w:rsid w:val="0090264C"/>
    <w:rsid w:val="00902821"/>
    <w:rsid w:val="00902822"/>
    <w:rsid w:val="00902846"/>
    <w:rsid w:val="00902ACA"/>
    <w:rsid w:val="00902B5D"/>
    <w:rsid w:val="00903227"/>
    <w:rsid w:val="0090344E"/>
    <w:rsid w:val="00903C00"/>
    <w:rsid w:val="00903DB4"/>
    <w:rsid w:val="00903E06"/>
    <w:rsid w:val="009040FD"/>
    <w:rsid w:val="00904225"/>
    <w:rsid w:val="00904294"/>
    <w:rsid w:val="009044E7"/>
    <w:rsid w:val="0090451E"/>
    <w:rsid w:val="0090493C"/>
    <w:rsid w:val="009049DF"/>
    <w:rsid w:val="00904E64"/>
    <w:rsid w:val="00904E74"/>
    <w:rsid w:val="0090545F"/>
    <w:rsid w:val="0090570F"/>
    <w:rsid w:val="0090588F"/>
    <w:rsid w:val="0090597F"/>
    <w:rsid w:val="00905B0A"/>
    <w:rsid w:val="0090653C"/>
    <w:rsid w:val="009065B1"/>
    <w:rsid w:val="00906748"/>
    <w:rsid w:val="00906C03"/>
    <w:rsid w:val="00906E0E"/>
    <w:rsid w:val="00906EEC"/>
    <w:rsid w:val="00906F2A"/>
    <w:rsid w:val="00906F35"/>
    <w:rsid w:val="00906F96"/>
    <w:rsid w:val="00907330"/>
    <w:rsid w:val="0090781D"/>
    <w:rsid w:val="00907A63"/>
    <w:rsid w:val="00907BA9"/>
    <w:rsid w:val="00907FE5"/>
    <w:rsid w:val="00910671"/>
    <w:rsid w:val="0091093D"/>
    <w:rsid w:val="00911383"/>
    <w:rsid w:val="00911474"/>
    <w:rsid w:val="009115BC"/>
    <w:rsid w:val="00911C74"/>
    <w:rsid w:val="00911F46"/>
    <w:rsid w:val="009128FF"/>
    <w:rsid w:val="009138B8"/>
    <w:rsid w:val="00913F1D"/>
    <w:rsid w:val="00913F60"/>
    <w:rsid w:val="00914F79"/>
    <w:rsid w:val="00914FB9"/>
    <w:rsid w:val="00915575"/>
    <w:rsid w:val="00915579"/>
    <w:rsid w:val="009155A4"/>
    <w:rsid w:val="00915944"/>
    <w:rsid w:val="00915F9C"/>
    <w:rsid w:val="0091607D"/>
    <w:rsid w:val="0091627F"/>
    <w:rsid w:val="00916677"/>
    <w:rsid w:val="00916BA7"/>
    <w:rsid w:val="00916CCD"/>
    <w:rsid w:val="00916ED3"/>
    <w:rsid w:val="0091736F"/>
    <w:rsid w:val="009176E6"/>
    <w:rsid w:val="00917A67"/>
    <w:rsid w:val="00917F27"/>
    <w:rsid w:val="00920032"/>
    <w:rsid w:val="00920203"/>
    <w:rsid w:val="009203E3"/>
    <w:rsid w:val="009207C0"/>
    <w:rsid w:val="00920B8D"/>
    <w:rsid w:val="00920BC4"/>
    <w:rsid w:val="00920D47"/>
    <w:rsid w:val="00920D7F"/>
    <w:rsid w:val="009211C1"/>
    <w:rsid w:val="009218EC"/>
    <w:rsid w:val="009219A6"/>
    <w:rsid w:val="00921C2C"/>
    <w:rsid w:val="00921C43"/>
    <w:rsid w:val="00921D98"/>
    <w:rsid w:val="00921E4E"/>
    <w:rsid w:val="00922019"/>
    <w:rsid w:val="00922642"/>
    <w:rsid w:val="009226C8"/>
    <w:rsid w:val="009226FC"/>
    <w:rsid w:val="0092280B"/>
    <w:rsid w:val="0092283F"/>
    <w:rsid w:val="009229C1"/>
    <w:rsid w:val="00922CEF"/>
    <w:rsid w:val="00922EC4"/>
    <w:rsid w:val="0092305A"/>
    <w:rsid w:val="00923124"/>
    <w:rsid w:val="00923235"/>
    <w:rsid w:val="009232A3"/>
    <w:rsid w:val="0092379C"/>
    <w:rsid w:val="00923815"/>
    <w:rsid w:val="0092390D"/>
    <w:rsid w:val="00923998"/>
    <w:rsid w:val="00923A65"/>
    <w:rsid w:val="00923B8E"/>
    <w:rsid w:val="00923C4B"/>
    <w:rsid w:val="00923CC9"/>
    <w:rsid w:val="00923ED4"/>
    <w:rsid w:val="009240B9"/>
    <w:rsid w:val="00924238"/>
    <w:rsid w:val="0092449B"/>
    <w:rsid w:val="0092473B"/>
    <w:rsid w:val="0092494C"/>
    <w:rsid w:val="009249A3"/>
    <w:rsid w:val="00924CA5"/>
    <w:rsid w:val="00924EDE"/>
    <w:rsid w:val="00925114"/>
    <w:rsid w:val="00925188"/>
    <w:rsid w:val="00925402"/>
    <w:rsid w:val="0092546A"/>
    <w:rsid w:val="00925D90"/>
    <w:rsid w:val="00925DBE"/>
    <w:rsid w:val="009261FF"/>
    <w:rsid w:val="00926607"/>
    <w:rsid w:val="009268D4"/>
    <w:rsid w:val="00926A0B"/>
    <w:rsid w:val="00926A2C"/>
    <w:rsid w:val="00926B30"/>
    <w:rsid w:val="00926FEC"/>
    <w:rsid w:val="00927235"/>
    <w:rsid w:val="009274E4"/>
    <w:rsid w:val="009275E8"/>
    <w:rsid w:val="009276A5"/>
    <w:rsid w:val="00927AF4"/>
    <w:rsid w:val="00927BA9"/>
    <w:rsid w:val="00927D26"/>
    <w:rsid w:val="00927D89"/>
    <w:rsid w:val="00927E7A"/>
    <w:rsid w:val="00927FF8"/>
    <w:rsid w:val="0093020F"/>
    <w:rsid w:val="00930D37"/>
    <w:rsid w:val="009310F4"/>
    <w:rsid w:val="00931302"/>
    <w:rsid w:val="00931508"/>
    <w:rsid w:val="00931641"/>
    <w:rsid w:val="009316D1"/>
    <w:rsid w:val="00931857"/>
    <w:rsid w:val="009319A8"/>
    <w:rsid w:val="00931C28"/>
    <w:rsid w:val="00931CB8"/>
    <w:rsid w:val="00931DC5"/>
    <w:rsid w:val="00931E0F"/>
    <w:rsid w:val="0093202B"/>
    <w:rsid w:val="009327D2"/>
    <w:rsid w:val="009327DB"/>
    <w:rsid w:val="00932B8E"/>
    <w:rsid w:val="00932ECD"/>
    <w:rsid w:val="009330FA"/>
    <w:rsid w:val="0093361B"/>
    <w:rsid w:val="009336B5"/>
    <w:rsid w:val="00933D96"/>
    <w:rsid w:val="0093411F"/>
    <w:rsid w:val="009342D5"/>
    <w:rsid w:val="0093476D"/>
    <w:rsid w:val="009349E4"/>
    <w:rsid w:val="00934ACE"/>
    <w:rsid w:val="00934BF8"/>
    <w:rsid w:val="00934CAC"/>
    <w:rsid w:val="00934FE9"/>
    <w:rsid w:val="009351F3"/>
    <w:rsid w:val="0093526D"/>
    <w:rsid w:val="0093544A"/>
    <w:rsid w:val="009356A0"/>
    <w:rsid w:val="00935C96"/>
    <w:rsid w:val="00935E5A"/>
    <w:rsid w:val="00935EA1"/>
    <w:rsid w:val="00935FF9"/>
    <w:rsid w:val="0093600A"/>
    <w:rsid w:val="0093616E"/>
    <w:rsid w:val="009362FD"/>
    <w:rsid w:val="0093673C"/>
    <w:rsid w:val="009369AF"/>
    <w:rsid w:val="00936C08"/>
    <w:rsid w:val="009370B1"/>
    <w:rsid w:val="00937101"/>
    <w:rsid w:val="00937175"/>
    <w:rsid w:val="009373A2"/>
    <w:rsid w:val="009375B8"/>
    <w:rsid w:val="009375C2"/>
    <w:rsid w:val="009376B6"/>
    <w:rsid w:val="00937C4A"/>
    <w:rsid w:val="0094024A"/>
    <w:rsid w:val="009404E4"/>
    <w:rsid w:val="009405CB"/>
    <w:rsid w:val="00940648"/>
    <w:rsid w:val="009407D9"/>
    <w:rsid w:val="009409A4"/>
    <w:rsid w:val="00940B40"/>
    <w:rsid w:val="00940C75"/>
    <w:rsid w:val="00941223"/>
    <w:rsid w:val="009415E9"/>
    <w:rsid w:val="0094189B"/>
    <w:rsid w:val="00941A6D"/>
    <w:rsid w:val="00941AA0"/>
    <w:rsid w:val="00941C22"/>
    <w:rsid w:val="00941ECD"/>
    <w:rsid w:val="00941F99"/>
    <w:rsid w:val="009422C8"/>
    <w:rsid w:val="009423EE"/>
    <w:rsid w:val="009425F4"/>
    <w:rsid w:val="009429B6"/>
    <w:rsid w:val="00942A31"/>
    <w:rsid w:val="00942FA7"/>
    <w:rsid w:val="00943057"/>
    <w:rsid w:val="0094386E"/>
    <w:rsid w:val="00943AB3"/>
    <w:rsid w:val="00943B5E"/>
    <w:rsid w:val="009442E9"/>
    <w:rsid w:val="00944EF7"/>
    <w:rsid w:val="00945214"/>
    <w:rsid w:val="009453F9"/>
    <w:rsid w:val="00945535"/>
    <w:rsid w:val="00945679"/>
    <w:rsid w:val="009459A9"/>
    <w:rsid w:val="00945B22"/>
    <w:rsid w:val="00946A37"/>
    <w:rsid w:val="00946F88"/>
    <w:rsid w:val="009473EE"/>
    <w:rsid w:val="009477CF"/>
    <w:rsid w:val="00947851"/>
    <w:rsid w:val="00947A28"/>
    <w:rsid w:val="00947B8F"/>
    <w:rsid w:val="00950807"/>
    <w:rsid w:val="00950E3F"/>
    <w:rsid w:val="009517DA"/>
    <w:rsid w:val="00951C6D"/>
    <w:rsid w:val="0095208F"/>
    <w:rsid w:val="009522FC"/>
    <w:rsid w:val="00952421"/>
    <w:rsid w:val="009525D7"/>
    <w:rsid w:val="0095264F"/>
    <w:rsid w:val="0095294B"/>
    <w:rsid w:val="00952A88"/>
    <w:rsid w:val="0095330B"/>
    <w:rsid w:val="00953558"/>
    <w:rsid w:val="00954887"/>
    <w:rsid w:val="00954948"/>
    <w:rsid w:val="00954BA7"/>
    <w:rsid w:val="00954DB8"/>
    <w:rsid w:val="00954E78"/>
    <w:rsid w:val="00954F2A"/>
    <w:rsid w:val="009552D0"/>
    <w:rsid w:val="00955558"/>
    <w:rsid w:val="00955D0A"/>
    <w:rsid w:val="00956C00"/>
    <w:rsid w:val="00957207"/>
    <w:rsid w:val="00957271"/>
    <w:rsid w:val="009601AF"/>
    <w:rsid w:val="0096066D"/>
    <w:rsid w:val="009606FA"/>
    <w:rsid w:val="00960974"/>
    <w:rsid w:val="00960BE8"/>
    <w:rsid w:val="009610CD"/>
    <w:rsid w:val="0096152E"/>
    <w:rsid w:val="0096163D"/>
    <w:rsid w:val="00961961"/>
    <w:rsid w:val="00961B7B"/>
    <w:rsid w:val="00961BB8"/>
    <w:rsid w:val="00961CCC"/>
    <w:rsid w:val="00962501"/>
    <w:rsid w:val="0096252C"/>
    <w:rsid w:val="009625D2"/>
    <w:rsid w:val="00962CA5"/>
    <w:rsid w:val="00962EAC"/>
    <w:rsid w:val="00963010"/>
    <w:rsid w:val="0096310D"/>
    <w:rsid w:val="009634DA"/>
    <w:rsid w:val="00963549"/>
    <w:rsid w:val="00963599"/>
    <w:rsid w:val="009636EE"/>
    <w:rsid w:val="00963C8F"/>
    <w:rsid w:val="009642E1"/>
    <w:rsid w:val="00964575"/>
    <w:rsid w:val="009647B9"/>
    <w:rsid w:val="0096570A"/>
    <w:rsid w:val="009658DB"/>
    <w:rsid w:val="00965A15"/>
    <w:rsid w:val="00965ACE"/>
    <w:rsid w:val="00965D1A"/>
    <w:rsid w:val="00966206"/>
    <w:rsid w:val="00966297"/>
    <w:rsid w:val="009671AA"/>
    <w:rsid w:val="0096722C"/>
    <w:rsid w:val="009678D1"/>
    <w:rsid w:val="00967B80"/>
    <w:rsid w:val="009705BB"/>
    <w:rsid w:val="0097109E"/>
    <w:rsid w:val="00971910"/>
    <w:rsid w:val="00971DBF"/>
    <w:rsid w:val="00972192"/>
    <w:rsid w:val="0097283F"/>
    <w:rsid w:val="009728E7"/>
    <w:rsid w:val="009729D8"/>
    <w:rsid w:val="009729F3"/>
    <w:rsid w:val="00972BBF"/>
    <w:rsid w:val="00972F5B"/>
    <w:rsid w:val="0097334D"/>
    <w:rsid w:val="009736B9"/>
    <w:rsid w:val="00973703"/>
    <w:rsid w:val="009739B6"/>
    <w:rsid w:val="00973C95"/>
    <w:rsid w:val="00974362"/>
    <w:rsid w:val="0097454F"/>
    <w:rsid w:val="009748C4"/>
    <w:rsid w:val="00974AAF"/>
    <w:rsid w:val="00974CF8"/>
    <w:rsid w:val="009750B8"/>
    <w:rsid w:val="00975104"/>
    <w:rsid w:val="009752A7"/>
    <w:rsid w:val="009756FD"/>
    <w:rsid w:val="00975912"/>
    <w:rsid w:val="00975A11"/>
    <w:rsid w:val="00975F45"/>
    <w:rsid w:val="00976136"/>
    <w:rsid w:val="009761DF"/>
    <w:rsid w:val="00976598"/>
    <w:rsid w:val="00976BBB"/>
    <w:rsid w:val="00976F89"/>
    <w:rsid w:val="00976FD8"/>
    <w:rsid w:val="0097707C"/>
    <w:rsid w:val="0097714A"/>
    <w:rsid w:val="009776DE"/>
    <w:rsid w:val="00977F27"/>
    <w:rsid w:val="009805C4"/>
    <w:rsid w:val="009807F5"/>
    <w:rsid w:val="00980BD2"/>
    <w:rsid w:val="00980F1A"/>
    <w:rsid w:val="0098122F"/>
    <w:rsid w:val="0098168B"/>
    <w:rsid w:val="00981AF7"/>
    <w:rsid w:val="00981BBB"/>
    <w:rsid w:val="00981C6A"/>
    <w:rsid w:val="00981C80"/>
    <w:rsid w:val="00981CAE"/>
    <w:rsid w:val="00982178"/>
    <w:rsid w:val="00982884"/>
    <w:rsid w:val="00982B83"/>
    <w:rsid w:val="00982F0F"/>
    <w:rsid w:val="009834BC"/>
    <w:rsid w:val="009837A3"/>
    <w:rsid w:val="009837BB"/>
    <w:rsid w:val="00983872"/>
    <w:rsid w:val="009839C1"/>
    <w:rsid w:val="00983C23"/>
    <w:rsid w:val="00983ECF"/>
    <w:rsid w:val="00984175"/>
    <w:rsid w:val="00984256"/>
    <w:rsid w:val="00984383"/>
    <w:rsid w:val="0098441D"/>
    <w:rsid w:val="0098465F"/>
    <w:rsid w:val="0098476F"/>
    <w:rsid w:val="00984C09"/>
    <w:rsid w:val="00984DE7"/>
    <w:rsid w:val="00984F02"/>
    <w:rsid w:val="00985023"/>
    <w:rsid w:val="009851B8"/>
    <w:rsid w:val="009853A0"/>
    <w:rsid w:val="00985423"/>
    <w:rsid w:val="0098560D"/>
    <w:rsid w:val="00985636"/>
    <w:rsid w:val="009858EC"/>
    <w:rsid w:val="00985BED"/>
    <w:rsid w:val="00985E6B"/>
    <w:rsid w:val="00986366"/>
    <w:rsid w:val="009864AF"/>
    <w:rsid w:val="00986BA4"/>
    <w:rsid w:val="00986DB7"/>
    <w:rsid w:val="00987183"/>
    <w:rsid w:val="009875C4"/>
    <w:rsid w:val="00987887"/>
    <w:rsid w:val="00987D8B"/>
    <w:rsid w:val="00987DD3"/>
    <w:rsid w:val="00987FCC"/>
    <w:rsid w:val="0099004E"/>
    <w:rsid w:val="00990322"/>
    <w:rsid w:val="0099051C"/>
    <w:rsid w:val="00990CCB"/>
    <w:rsid w:val="00990D37"/>
    <w:rsid w:val="00990DCF"/>
    <w:rsid w:val="00991555"/>
    <w:rsid w:val="00991B12"/>
    <w:rsid w:val="00991B33"/>
    <w:rsid w:val="00991BE3"/>
    <w:rsid w:val="00991D65"/>
    <w:rsid w:val="0099209A"/>
    <w:rsid w:val="00992600"/>
    <w:rsid w:val="0099269B"/>
    <w:rsid w:val="00992774"/>
    <w:rsid w:val="00992B93"/>
    <w:rsid w:val="00992CB7"/>
    <w:rsid w:val="00993113"/>
    <w:rsid w:val="00993653"/>
    <w:rsid w:val="009936E7"/>
    <w:rsid w:val="00993C3A"/>
    <w:rsid w:val="00993FF9"/>
    <w:rsid w:val="0099404A"/>
    <w:rsid w:val="00994392"/>
    <w:rsid w:val="009943A0"/>
    <w:rsid w:val="0099482F"/>
    <w:rsid w:val="009948D0"/>
    <w:rsid w:val="00994C21"/>
    <w:rsid w:val="00994CD2"/>
    <w:rsid w:val="00994E3F"/>
    <w:rsid w:val="0099563D"/>
    <w:rsid w:val="00995783"/>
    <w:rsid w:val="00995D2C"/>
    <w:rsid w:val="00995E09"/>
    <w:rsid w:val="0099621F"/>
    <w:rsid w:val="00996433"/>
    <w:rsid w:val="009964B3"/>
    <w:rsid w:val="00996599"/>
    <w:rsid w:val="009965A3"/>
    <w:rsid w:val="00996FB0"/>
    <w:rsid w:val="00997202"/>
    <w:rsid w:val="009972B1"/>
    <w:rsid w:val="00997A01"/>
    <w:rsid w:val="00997A2C"/>
    <w:rsid w:val="00997BA8"/>
    <w:rsid w:val="009A00A4"/>
    <w:rsid w:val="009A024A"/>
    <w:rsid w:val="009A0A06"/>
    <w:rsid w:val="009A0AF6"/>
    <w:rsid w:val="009A0C13"/>
    <w:rsid w:val="009A0F5D"/>
    <w:rsid w:val="009A10D3"/>
    <w:rsid w:val="009A125B"/>
    <w:rsid w:val="009A127A"/>
    <w:rsid w:val="009A14AC"/>
    <w:rsid w:val="009A16C5"/>
    <w:rsid w:val="009A1ACC"/>
    <w:rsid w:val="009A1BF4"/>
    <w:rsid w:val="009A1DC5"/>
    <w:rsid w:val="009A21F1"/>
    <w:rsid w:val="009A22C2"/>
    <w:rsid w:val="009A23C3"/>
    <w:rsid w:val="009A2930"/>
    <w:rsid w:val="009A2DF6"/>
    <w:rsid w:val="009A309E"/>
    <w:rsid w:val="009A330A"/>
    <w:rsid w:val="009A33B2"/>
    <w:rsid w:val="009A3781"/>
    <w:rsid w:val="009A38A3"/>
    <w:rsid w:val="009A3A20"/>
    <w:rsid w:val="009A3A2D"/>
    <w:rsid w:val="009A3B01"/>
    <w:rsid w:val="009A3D77"/>
    <w:rsid w:val="009A3F90"/>
    <w:rsid w:val="009A3FD3"/>
    <w:rsid w:val="009A475D"/>
    <w:rsid w:val="009A4799"/>
    <w:rsid w:val="009A48A1"/>
    <w:rsid w:val="009A49C6"/>
    <w:rsid w:val="009A4A45"/>
    <w:rsid w:val="009A4A7F"/>
    <w:rsid w:val="009A4F30"/>
    <w:rsid w:val="009A5014"/>
    <w:rsid w:val="009A52AE"/>
    <w:rsid w:val="009A5307"/>
    <w:rsid w:val="009A5721"/>
    <w:rsid w:val="009A597D"/>
    <w:rsid w:val="009A5B56"/>
    <w:rsid w:val="009A5FCA"/>
    <w:rsid w:val="009A601B"/>
    <w:rsid w:val="009A63E3"/>
    <w:rsid w:val="009A6594"/>
    <w:rsid w:val="009A67DD"/>
    <w:rsid w:val="009A6D79"/>
    <w:rsid w:val="009A6DF2"/>
    <w:rsid w:val="009A757E"/>
    <w:rsid w:val="009A7586"/>
    <w:rsid w:val="009B0519"/>
    <w:rsid w:val="009B08A8"/>
    <w:rsid w:val="009B08C9"/>
    <w:rsid w:val="009B0973"/>
    <w:rsid w:val="009B0A8D"/>
    <w:rsid w:val="009B12BA"/>
    <w:rsid w:val="009B1394"/>
    <w:rsid w:val="009B13F6"/>
    <w:rsid w:val="009B1446"/>
    <w:rsid w:val="009B1593"/>
    <w:rsid w:val="009B1755"/>
    <w:rsid w:val="009B1950"/>
    <w:rsid w:val="009B19E1"/>
    <w:rsid w:val="009B1BDD"/>
    <w:rsid w:val="009B1FB6"/>
    <w:rsid w:val="009B24D0"/>
    <w:rsid w:val="009B276B"/>
    <w:rsid w:val="009B2B6A"/>
    <w:rsid w:val="009B2C1D"/>
    <w:rsid w:val="009B2DFD"/>
    <w:rsid w:val="009B2F1B"/>
    <w:rsid w:val="009B2F84"/>
    <w:rsid w:val="009B36A7"/>
    <w:rsid w:val="009B3DE9"/>
    <w:rsid w:val="009B3ED1"/>
    <w:rsid w:val="009B40A4"/>
    <w:rsid w:val="009B40F5"/>
    <w:rsid w:val="009B45D2"/>
    <w:rsid w:val="009B482D"/>
    <w:rsid w:val="009B48E8"/>
    <w:rsid w:val="009B4A96"/>
    <w:rsid w:val="009B4DD1"/>
    <w:rsid w:val="009B4FB7"/>
    <w:rsid w:val="009B53AE"/>
    <w:rsid w:val="009B585C"/>
    <w:rsid w:val="009B59A0"/>
    <w:rsid w:val="009B5F3C"/>
    <w:rsid w:val="009B6095"/>
    <w:rsid w:val="009B6620"/>
    <w:rsid w:val="009B6AFD"/>
    <w:rsid w:val="009B6ED1"/>
    <w:rsid w:val="009B7430"/>
    <w:rsid w:val="009B77D7"/>
    <w:rsid w:val="009B79C8"/>
    <w:rsid w:val="009B7AC8"/>
    <w:rsid w:val="009B7C5B"/>
    <w:rsid w:val="009C006A"/>
    <w:rsid w:val="009C06FE"/>
    <w:rsid w:val="009C0968"/>
    <w:rsid w:val="009C0A44"/>
    <w:rsid w:val="009C1200"/>
    <w:rsid w:val="009C15A4"/>
    <w:rsid w:val="009C16CB"/>
    <w:rsid w:val="009C17FB"/>
    <w:rsid w:val="009C1AB1"/>
    <w:rsid w:val="009C2258"/>
    <w:rsid w:val="009C2370"/>
    <w:rsid w:val="009C241B"/>
    <w:rsid w:val="009C2825"/>
    <w:rsid w:val="009C2E18"/>
    <w:rsid w:val="009C2EAC"/>
    <w:rsid w:val="009C3141"/>
    <w:rsid w:val="009C3D83"/>
    <w:rsid w:val="009C3F83"/>
    <w:rsid w:val="009C4101"/>
    <w:rsid w:val="009C42BD"/>
    <w:rsid w:val="009C4792"/>
    <w:rsid w:val="009C479A"/>
    <w:rsid w:val="009C47E3"/>
    <w:rsid w:val="009C4ECC"/>
    <w:rsid w:val="009C5004"/>
    <w:rsid w:val="009C5116"/>
    <w:rsid w:val="009C535B"/>
    <w:rsid w:val="009C5391"/>
    <w:rsid w:val="009C57CB"/>
    <w:rsid w:val="009C58CB"/>
    <w:rsid w:val="009C5B4B"/>
    <w:rsid w:val="009C5C90"/>
    <w:rsid w:val="009C5E64"/>
    <w:rsid w:val="009C5EF4"/>
    <w:rsid w:val="009C602D"/>
    <w:rsid w:val="009C61F1"/>
    <w:rsid w:val="009C66DE"/>
    <w:rsid w:val="009C68EA"/>
    <w:rsid w:val="009C6BB2"/>
    <w:rsid w:val="009C6D15"/>
    <w:rsid w:val="009C6F19"/>
    <w:rsid w:val="009C76CD"/>
    <w:rsid w:val="009C7739"/>
    <w:rsid w:val="009C78DC"/>
    <w:rsid w:val="009D0007"/>
    <w:rsid w:val="009D0699"/>
    <w:rsid w:val="009D0713"/>
    <w:rsid w:val="009D096C"/>
    <w:rsid w:val="009D0A24"/>
    <w:rsid w:val="009D0A87"/>
    <w:rsid w:val="009D0E05"/>
    <w:rsid w:val="009D0E52"/>
    <w:rsid w:val="009D0FAB"/>
    <w:rsid w:val="009D1169"/>
    <w:rsid w:val="009D148E"/>
    <w:rsid w:val="009D15CE"/>
    <w:rsid w:val="009D17BC"/>
    <w:rsid w:val="009D17C2"/>
    <w:rsid w:val="009D1824"/>
    <w:rsid w:val="009D1B61"/>
    <w:rsid w:val="009D1B83"/>
    <w:rsid w:val="009D1B98"/>
    <w:rsid w:val="009D1E13"/>
    <w:rsid w:val="009D1E8A"/>
    <w:rsid w:val="009D1F40"/>
    <w:rsid w:val="009D2097"/>
    <w:rsid w:val="009D225E"/>
    <w:rsid w:val="009D231E"/>
    <w:rsid w:val="009D2D55"/>
    <w:rsid w:val="009D2ECC"/>
    <w:rsid w:val="009D3145"/>
    <w:rsid w:val="009D31A9"/>
    <w:rsid w:val="009D3378"/>
    <w:rsid w:val="009D3A4E"/>
    <w:rsid w:val="009D446C"/>
    <w:rsid w:val="009D4718"/>
    <w:rsid w:val="009D4A1E"/>
    <w:rsid w:val="009D4A70"/>
    <w:rsid w:val="009D4E31"/>
    <w:rsid w:val="009D5007"/>
    <w:rsid w:val="009D52A3"/>
    <w:rsid w:val="009D536C"/>
    <w:rsid w:val="009D5B9E"/>
    <w:rsid w:val="009D5BF1"/>
    <w:rsid w:val="009D5D94"/>
    <w:rsid w:val="009D5EC4"/>
    <w:rsid w:val="009D6158"/>
    <w:rsid w:val="009D67CB"/>
    <w:rsid w:val="009D69F6"/>
    <w:rsid w:val="009D6D64"/>
    <w:rsid w:val="009D6F87"/>
    <w:rsid w:val="009D7609"/>
    <w:rsid w:val="009D76D5"/>
    <w:rsid w:val="009D7743"/>
    <w:rsid w:val="009D7CB3"/>
    <w:rsid w:val="009D7CBF"/>
    <w:rsid w:val="009D7F97"/>
    <w:rsid w:val="009E0259"/>
    <w:rsid w:val="009E02B5"/>
    <w:rsid w:val="009E0336"/>
    <w:rsid w:val="009E0744"/>
    <w:rsid w:val="009E0AD7"/>
    <w:rsid w:val="009E0DA5"/>
    <w:rsid w:val="009E1244"/>
    <w:rsid w:val="009E1273"/>
    <w:rsid w:val="009E151D"/>
    <w:rsid w:val="009E15CF"/>
    <w:rsid w:val="009E16F1"/>
    <w:rsid w:val="009E1A84"/>
    <w:rsid w:val="009E1B7A"/>
    <w:rsid w:val="009E1CBC"/>
    <w:rsid w:val="009E1E7C"/>
    <w:rsid w:val="009E1F5F"/>
    <w:rsid w:val="009E1F6C"/>
    <w:rsid w:val="009E2316"/>
    <w:rsid w:val="009E2565"/>
    <w:rsid w:val="009E2823"/>
    <w:rsid w:val="009E2843"/>
    <w:rsid w:val="009E2A01"/>
    <w:rsid w:val="009E2A10"/>
    <w:rsid w:val="009E2B2A"/>
    <w:rsid w:val="009E2F2B"/>
    <w:rsid w:val="009E3325"/>
    <w:rsid w:val="009E33E5"/>
    <w:rsid w:val="009E354D"/>
    <w:rsid w:val="009E3C03"/>
    <w:rsid w:val="009E3DE5"/>
    <w:rsid w:val="009E4023"/>
    <w:rsid w:val="009E4550"/>
    <w:rsid w:val="009E4AEF"/>
    <w:rsid w:val="009E4BDE"/>
    <w:rsid w:val="009E518B"/>
    <w:rsid w:val="009E547D"/>
    <w:rsid w:val="009E5561"/>
    <w:rsid w:val="009E59B6"/>
    <w:rsid w:val="009E5DBF"/>
    <w:rsid w:val="009E6174"/>
    <w:rsid w:val="009E644C"/>
    <w:rsid w:val="009E6830"/>
    <w:rsid w:val="009E6F88"/>
    <w:rsid w:val="009E719E"/>
    <w:rsid w:val="009E752C"/>
    <w:rsid w:val="009E7931"/>
    <w:rsid w:val="009E79F8"/>
    <w:rsid w:val="009E7BC4"/>
    <w:rsid w:val="009E7DAA"/>
    <w:rsid w:val="009E7E1F"/>
    <w:rsid w:val="009F00CB"/>
    <w:rsid w:val="009F0472"/>
    <w:rsid w:val="009F0658"/>
    <w:rsid w:val="009F0947"/>
    <w:rsid w:val="009F0B29"/>
    <w:rsid w:val="009F1148"/>
    <w:rsid w:val="009F1245"/>
    <w:rsid w:val="009F164F"/>
    <w:rsid w:val="009F16A0"/>
    <w:rsid w:val="009F18FF"/>
    <w:rsid w:val="009F20CA"/>
    <w:rsid w:val="009F2367"/>
    <w:rsid w:val="009F27E2"/>
    <w:rsid w:val="009F2830"/>
    <w:rsid w:val="009F2A7D"/>
    <w:rsid w:val="009F2AC3"/>
    <w:rsid w:val="009F2BEF"/>
    <w:rsid w:val="009F2F0B"/>
    <w:rsid w:val="009F3258"/>
    <w:rsid w:val="009F3852"/>
    <w:rsid w:val="009F3D00"/>
    <w:rsid w:val="009F3D79"/>
    <w:rsid w:val="009F3E89"/>
    <w:rsid w:val="009F45BC"/>
    <w:rsid w:val="009F45CF"/>
    <w:rsid w:val="009F4B1A"/>
    <w:rsid w:val="009F4B42"/>
    <w:rsid w:val="009F4FC5"/>
    <w:rsid w:val="009F506E"/>
    <w:rsid w:val="009F5075"/>
    <w:rsid w:val="009F515D"/>
    <w:rsid w:val="009F5816"/>
    <w:rsid w:val="009F5AD6"/>
    <w:rsid w:val="009F5BD4"/>
    <w:rsid w:val="009F633E"/>
    <w:rsid w:val="009F63DF"/>
    <w:rsid w:val="009F6596"/>
    <w:rsid w:val="009F6702"/>
    <w:rsid w:val="009F6AC4"/>
    <w:rsid w:val="009F6D7E"/>
    <w:rsid w:val="009F7C5E"/>
    <w:rsid w:val="009F7C84"/>
    <w:rsid w:val="009F7CDA"/>
    <w:rsid w:val="00A00067"/>
    <w:rsid w:val="00A00083"/>
    <w:rsid w:val="00A0020A"/>
    <w:rsid w:val="00A00A80"/>
    <w:rsid w:val="00A00F74"/>
    <w:rsid w:val="00A01096"/>
    <w:rsid w:val="00A01A07"/>
    <w:rsid w:val="00A01D62"/>
    <w:rsid w:val="00A0217D"/>
    <w:rsid w:val="00A02199"/>
    <w:rsid w:val="00A0230B"/>
    <w:rsid w:val="00A0231C"/>
    <w:rsid w:val="00A02564"/>
    <w:rsid w:val="00A0256D"/>
    <w:rsid w:val="00A02B39"/>
    <w:rsid w:val="00A03073"/>
    <w:rsid w:val="00A03104"/>
    <w:rsid w:val="00A031C1"/>
    <w:rsid w:val="00A031D0"/>
    <w:rsid w:val="00A032D1"/>
    <w:rsid w:val="00A034A4"/>
    <w:rsid w:val="00A03632"/>
    <w:rsid w:val="00A0363C"/>
    <w:rsid w:val="00A03642"/>
    <w:rsid w:val="00A03DA1"/>
    <w:rsid w:val="00A03F41"/>
    <w:rsid w:val="00A042D6"/>
    <w:rsid w:val="00A0470B"/>
    <w:rsid w:val="00A04850"/>
    <w:rsid w:val="00A04DF0"/>
    <w:rsid w:val="00A04E56"/>
    <w:rsid w:val="00A05682"/>
    <w:rsid w:val="00A0586E"/>
    <w:rsid w:val="00A05AA3"/>
    <w:rsid w:val="00A05EBF"/>
    <w:rsid w:val="00A05F9D"/>
    <w:rsid w:val="00A0633D"/>
    <w:rsid w:val="00A068C5"/>
    <w:rsid w:val="00A06A77"/>
    <w:rsid w:val="00A06A96"/>
    <w:rsid w:val="00A077E0"/>
    <w:rsid w:val="00A07968"/>
    <w:rsid w:val="00A079B4"/>
    <w:rsid w:val="00A07C5B"/>
    <w:rsid w:val="00A07D47"/>
    <w:rsid w:val="00A07D8E"/>
    <w:rsid w:val="00A100CB"/>
    <w:rsid w:val="00A102BB"/>
    <w:rsid w:val="00A105A7"/>
    <w:rsid w:val="00A10DBA"/>
    <w:rsid w:val="00A11182"/>
    <w:rsid w:val="00A11191"/>
    <w:rsid w:val="00A11935"/>
    <w:rsid w:val="00A11B67"/>
    <w:rsid w:val="00A11CB0"/>
    <w:rsid w:val="00A11EDD"/>
    <w:rsid w:val="00A12218"/>
    <w:rsid w:val="00A122B4"/>
    <w:rsid w:val="00A12BD8"/>
    <w:rsid w:val="00A12D21"/>
    <w:rsid w:val="00A12DE3"/>
    <w:rsid w:val="00A131AA"/>
    <w:rsid w:val="00A13382"/>
    <w:rsid w:val="00A137CE"/>
    <w:rsid w:val="00A138FD"/>
    <w:rsid w:val="00A149B7"/>
    <w:rsid w:val="00A14CA9"/>
    <w:rsid w:val="00A14CEB"/>
    <w:rsid w:val="00A152D3"/>
    <w:rsid w:val="00A156A2"/>
    <w:rsid w:val="00A158C7"/>
    <w:rsid w:val="00A15ACB"/>
    <w:rsid w:val="00A15F68"/>
    <w:rsid w:val="00A160E4"/>
    <w:rsid w:val="00A166E1"/>
    <w:rsid w:val="00A167B3"/>
    <w:rsid w:val="00A16B9A"/>
    <w:rsid w:val="00A16CF6"/>
    <w:rsid w:val="00A16DA6"/>
    <w:rsid w:val="00A17672"/>
    <w:rsid w:val="00A1784F"/>
    <w:rsid w:val="00A17924"/>
    <w:rsid w:val="00A17CFA"/>
    <w:rsid w:val="00A20219"/>
    <w:rsid w:val="00A20237"/>
    <w:rsid w:val="00A20374"/>
    <w:rsid w:val="00A20375"/>
    <w:rsid w:val="00A20460"/>
    <w:rsid w:val="00A20B79"/>
    <w:rsid w:val="00A2133D"/>
    <w:rsid w:val="00A213BF"/>
    <w:rsid w:val="00A214DB"/>
    <w:rsid w:val="00A216D0"/>
    <w:rsid w:val="00A218B5"/>
    <w:rsid w:val="00A21AB5"/>
    <w:rsid w:val="00A21FF7"/>
    <w:rsid w:val="00A2211B"/>
    <w:rsid w:val="00A22334"/>
    <w:rsid w:val="00A224B9"/>
    <w:rsid w:val="00A224C9"/>
    <w:rsid w:val="00A2270B"/>
    <w:rsid w:val="00A228C7"/>
    <w:rsid w:val="00A22AB6"/>
    <w:rsid w:val="00A2361A"/>
    <w:rsid w:val="00A236A4"/>
    <w:rsid w:val="00A238AD"/>
    <w:rsid w:val="00A23A23"/>
    <w:rsid w:val="00A24354"/>
    <w:rsid w:val="00A2440B"/>
    <w:rsid w:val="00A24614"/>
    <w:rsid w:val="00A24770"/>
    <w:rsid w:val="00A24D04"/>
    <w:rsid w:val="00A24F1B"/>
    <w:rsid w:val="00A2500A"/>
    <w:rsid w:val="00A25216"/>
    <w:rsid w:val="00A25840"/>
    <w:rsid w:val="00A25998"/>
    <w:rsid w:val="00A25A72"/>
    <w:rsid w:val="00A26319"/>
    <w:rsid w:val="00A2632A"/>
    <w:rsid w:val="00A269AA"/>
    <w:rsid w:val="00A26A0D"/>
    <w:rsid w:val="00A26C37"/>
    <w:rsid w:val="00A26D25"/>
    <w:rsid w:val="00A270FE"/>
    <w:rsid w:val="00A27482"/>
    <w:rsid w:val="00A274B5"/>
    <w:rsid w:val="00A2769D"/>
    <w:rsid w:val="00A277D2"/>
    <w:rsid w:val="00A278F3"/>
    <w:rsid w:val="00A2793B"/>
    <w:rsid w:val="00A27BC7"/>
    <w:rsid w:val="00A27C2E"/>
    <w:rsid w:val="00A27D1D"/>
    <w:rsid w:val="00A307CA"/>
    <w:rsid w:val="00A3138F"/>
    <w:rsid w:val="00A315B3"/>
    <w:rsid w:val="00A31B50"/>
    <w:rsid w:val="00A31CD1"/>
    <w:rsid w:val="00A31FFE"/>
    <w:rsid w:val="00A3256D"/>
    <w:rsid w:val="00A3278A"/>
    <w:rsid w:val="00A32CE8"/>
    <w:rsid w:val="00A32E1A"/>
    <w:rsid w:val="00A331CB"/>
    <w:rsid w:val="00A331CC"/>
    <w:rsid w:val="00A3399B"/>
    <w:rsid w:val="00A33DEB"/>
    <w:rsid w:val="00A33F42"/>
    <w:rsid w:val="00A34072"/>
    <w:rsid w:val="00A341C6"/>
    <w:rsid w:val="00A343C5"/>
    <w:rsid w:val="00A3449C"/>
    <w:rsid w:val="00A34620"/>
    <w:rsid w:val="00A34814"/>
    <w:rsid w:val="00A34F16"/>
    <w:rsid w:val="00A35181"/>
    <w:rsid w:val="00A35288"/>
    <w:rsid w:val="00A35366"/>
    <w:rsid w:val="00A354C4"/>
    <w:rsid w:val="00A354DB"/>
    <w:rsid w:val="00A356A5"/>
    <w:rsid w:val="00A3595C"/>
    <w:rsid w:val="00A3599D"/>
    <w:rsid w:val="00A35B0E"/>
    <w:rsid w:val="00A3605F"/>
    <w:rsid w:val="00A363A2"/>
    <w:rsid w:val="00A364E1"/>
    <w:rsid w:val="00A3697D"/>
    <w:rsid w:val="00A369AF"/>
    <w:rsid w:val="00A36C7D"/>
    <w:rsid w:val="00A36C90"/>
    <w:rsid w:val="00A36E5C"/>
    <w:rsid w:val="00A3714D"/>
    <w:rsid w:val="00A3729F"/>
    <w:rsid w:val="00A37CB8"/>
    <w:rsid w:val="00A37DE1"/>
    <w:rsid w:val="00A400F4"/>
    <w:rsid w:val="00A40801"/>
    <w:rsid w:val="00A40BDC"/>
    <w:rsid w:val="00A40CF0"/>
    <w:rsid w:val="00A40DE2"/>
    <w:rsid w:val="00A40FFC"/>
    <w:rsid w:val="00A41172"/>
    <w:rsid w:val="00A417A6"/>
    <w:rsid w:val="00A41947"/>
    <w:rsid w:val="00A41A25"/>
    <w:rsid w:val="00A41D67"/>
    <w:rsid w:val="00A41EF0"/>
    <w:rsid w:val="00A42070"/>
    <w:rsid w:val="00A42377"/>
    <w:rsid w:val="00A42407"/>
    <w:rsid w:val="00A4285F"/>
    <w:rsid w:val="00A429E8"/>
    <w:rsid w:val="00A42FF2"/>
    <w:rsid w:val="00A43056"/>
    <w:rsid w:val="00A431C6"/>
    <w:rsid w:val="00A4342E"/>
    <w:rsid w:val="00A43587"/>
    <w:rsid w:val="00A435B7"/>
    <w:rsid w:val="00A4412F"/>
    <w:rsid w:val="00A4504A"/>
    <w:rsid w:val="00A45758"/>
    <w:rsid w:val="00A459E7"/>
    <w:rsid w:val="00A45DFA"/>
    <w:rsid w:val="00A45E21"/>
    <w:rsid w:val="00A45F59"/>
    <w:rsid w:val="00A461C3"/>
    <w:rsid w:val="00A463C4"/>
    <w:rsid w:val="00A463D8"/>
    <w:rsid w:val="00A46526"/>
    <w:rsid w:val="00A466F6"/>
    <w:rsid w:val="00A47550"/>
    <w:rsid w:val="00A4779E"/>
    <w:rsid w:val="00A50000"/>
    <w:rsid w:val="00A50159"/>
    <w:rsid w:val="00A50183"/>
    <w:rsid w:val="00A5095C"/>
    <w:rsid w:val="00A50A4A"/>
    <w:rsid w:val="00A50C41"/>
    <w:rsid w:val="00A5101F"/>
    <w:rsid w:val="00A51463"/>
    <w:rsid w:val="00A51823"/>
    <w:rsid w:val="00A51B5C"/>
    <w:rsid w:val="00A522A2"/>
    <w:rsid w:val="00A5238B"/>
    <w:rsid w:val="00A5259F"/>
    <w:rsid w:val="00A525EA"/>
    <w:rsid w:val="00A526CB"/>
    <w:rsid w:val="00A52744"/>
    <w:rsid w:val="00A52879"/>
    <w:rsid w:val="00A52C05"/>
    <w:rsid w:val="00A5318B"/>
    <w:rsid w:val="00A532E4"/>
    <w:rsid w:val="00A53BC3"/>
    <w:rsid w:val="00A53CBA"/>
    <w:rsid w:val="00A53CFC"/>
    <w:rsid w:val="00A53D5B"/>
    <w:rsid w:val="00A54080"/>
    <w:rsid w:val="00A54315"/>
    <w:rsid w:val="00A5466A"/>
    <w:rsid w:val="00A54A4C"/>
    <w:rsid w:val="00A54D7A"/>
    <w:rsid w:val="00A54DC9"/>
    <w:rsid w:val="00A552DC"/>
    <w:rsid w:val="00A55430"/>
    <w:rsid w:val="00A554A8"/>
    <w:rsid w:val="00A557A2"/>
    <w:rsid w:val="00A55F5F"/>
    <w:rsid w:val="00A56141"/>
    <w:rsid w:val="00A56150"/>
    <w:rsid w:val="00A565E0"/>
    <w:rsid w:val="00A56C3A"/>
    <w:rsid w:val="00A56F1F"/>
    <w:rsid w:val="00A5706F"/>
    <w:rsid w:val="00A5714C"/>
    <w:rsid w:val="00A5732A"/>
    <w:rsid w:val="00A57647"/>
    <w:rsid w:val="00A579AB"/>
    <w:rsid w:val="00A57A3B"/>
    <w:rsid w:val="00A57F77"/>
    <w:rsid w:val="00A60463"/>
    <w:rsid w:val="00A6060B"/>
    <w:rsid w:val="00A606F9"/>
    <w:rsid w:val="00A60FB4"/>
    <w:rsid w:val="00A60FD9"/>
    <w:rsid w:val="00A61526"/>
    <w:rsid w:val="00A615F2"/>
    <w:rsid w:val="00A6172B"/>
    <w:rsid w:val="00A61993"/>
    <w:rsid w:val="00A62322"/>
    <w:rsid w:val="00A623BD"/>
    <w:rsid w:val="00A62E82"/>
    <w:rsid w:val="00A62F6E"/>
    <w:rsid w:val="00A631C3"/>
    <w:rsid w:val="00A63333"/>
    <w:rsid w:val="00A63355"/>
    <w:rsid w:val="00A63AFA"/>
    <w:rsid w:val="00A63DFC"/>
    <w:rsid w:val="00A63F8D"/>
    <w:rsid w:val="00A6418E"/>
    <w:rsid w:val="00A64375"/>
    <w:rsid w:val="00A644CF"/>
    <w:rsid w:val="00A64849"/>
    <w:rsid w:val="00A64ADF"/>
    <w:rsid w:val="00A64BE4"/>
    <w:rsid w:val="00A64E07"/>
    <w:rsid w:val="00A64E1D"/>
    <w:rsid w:val="00A64E86"/>
    <w:rsid w:val="00A64ED4"/>
    <w:rsid w:val="00A64F09"/>
    <w:rsid w:val="00A65108"/>
    <w:rsid w:val="00A65396"/>
    <w:rsid w:val="00A6587D"/>
    <w:rsid w:val="00A658DD"/>
    <w:rsid w:val="00A65C1D"/>
    <w:rsid w:val="00A6623A"/>
    <w:rsid w:val="00A66612"/>
    <w:rsid w:val="00A66D17"/>
    <w:rsid w:val="00A66ED5"/>
    <w:rsid w:val="00A6718D"/>
    <w:rsid w:val="00A6720D"/>
    <w:rsid w:val="00A673F3"/>
    <w:rsid w:val="00A67478"/>
    <w:rsid w:val="00A675DC"/>
    <w:rsid w:val="00A67781"/>
    <w:rsid w:val="00A67914"/>
    <w:rsid w:val="00A67E40"/>
    <w:rsid w:val="00A67F11"/>
    <w:rsid w:val="00A70407"/>
    <w:rsid w:val="00A7051D"/>
    <w:rsid w:val="00A705B9"/>
    <w:rsid w:val="00A70694"/>
    <w:rsid w:val="00A7090C"/>
    <w:rsid w:val="00A70B62"/>
    <w:rsid w:val="00A70E90"/>
    <w:rsid w:val="00A70EF8"/>
    <w:rsid w:val="00A70F00"/>
    <w:rsid w:val="00A71358"/>
    <w:rsid w:val="00A71965"/>
    <w:rsid w:val="00A7223C"/>
    <w:rsid w:val="00A726BF"/>
    <w:rsid w:val="00A72804"/>
    <w:rsid w:val="00A72D55"/>
    <w:rsid w:val="00A730B6"/>
    <w:rsid w:val="00A734B2"/>
    <w:rsid w:val="00A737BC"/>
    <w:rsid w:val="00A73E01"/>
    <w:rsid w:val="00A73F02"/>
    <w:rsid w:val="00A747F3"/>
    <w:rsid w:val="00A74BF1"/>
    <w:rsid w:val="00A74C38"/>
    <w:rsid w:val="00A7510E"/>
    <w:rsid w:val="00A75306"/>
    <w:rsid w:val="00A7580E"/>
    <w:rsid w:val="00A76205"/>
    <w:rsid w:val="00A76640"/>
    <w:rsid w:val="00A767C6"/>
    <w:rsid w:val="00A76836"/>
    <w:rsid w:val="00A76A18"/>
    <w:rsid w:val="00A76BF4"/>
    <w:rsid w:val="00A76D2D"/>
    <w:rsid w:val="00A77022"/>
    <w:rsid w:val="00A774B5"/>
    <w:rsid w:val="00A775FA"/>
    <w:rsid w:val="00A776CE"/>
    <w:rsid w:val="00A778FB"/>
    <w:rsid w:val="00A77974"/>
    <w:rsid w:val="00A77BBD"/>
    <w:rsid w:val="00A77C54"/>
    <w:rsid w:val="00A77F4C"/>
    <w:rsid w:val="00A806E4"/>
    <w:rsid w:val="00A807CD"/>
    <w:rsid w:val="00A80920"/>
    <w:rsid w:val="00A80E30"/>
    <w:rsid w:val="00A80F0B"/>
    <w:rsid w:val="00A81302"/>
    <w:rsid w:val="00A8138D"/>
    <w:rsid w:val="00A815F5"/>
    <w:rsid w:val="00A81869"/>
    <w:rsid w:val="00A81DFE"/>
    <w:rsid w:val="00A81E43"/>
    <w:rsid w:val="00A82021"/>
    <w:rsid w:val="00A8210C"/>
    <w:rsid w:val="00A82334"/>
    <w:rsid w:val="00A82358"/>
    <w:rsid w:val="00A82528"/>
    <w:rsid w:val="00A82A06"/>
    <w:rsid w:val="00A82B04"/>
    <w:rsid w:val="00A82D09"/>
    <w:rsid w:val="00A8312A"/>
    <w:rsid w:val="00A83247"/>
    <w:rsid w:val="00A83519"/>
    <w:rsid w:val="00A837DB"/>
    <w:rsid w:val="00A83E5B"/>
    <w:rsid w:val="00A840C8"/>
    <w:rsid w:val="00A844DC"/>
    <w:rsid w:val="00A8471A"/>
    <w:rsid w:val="00A84899"/>
    <w:rsid w:val="00A84AE0"/>
    <w:rsid w:val="00A84D3A"/>
    <w:rsid w:val="00A84F1D"/>
    <w:rsid w:val="00A84FCF"/>
    <w:rsid w:val="00A85198"/>
    <w:rsid w:val="00A85550"/>
    <w:rsid w:val="00A856C1"/>
    <w:rsid w:val="00A857EF"/>
    <w:rsid w:val="00A85BCA"/>
    <w:rsid w:val="00A85E73"/>
    <w:rsid w:val="00A85ECE"/>
    <w:rsid w:val="00A85F06"/>
    <w:rsid w:val="00A860A8"/>
    <w:rsid w:val="00A864A1"/>
    <w:rsid w:val="00A864D5"/>
    <w:rsid w:val="00A86930"/>
    <w:rsid w:val="00A86D72"/>
    <w:rsid w:val="00A86DB9"/>
    <w:rsid w:val="00A86E49"/>
    <w:rsid w:val="00A87010"/>
    <w:rsid w:val="00A8718E"/>
    <w:rsid w:val="00A8754A"/>
    <w:rsid w:val="00A876BF"/>
    <w:rsid w:val="00A87E07"/>
    <w:rsid w:val="00A9042A"/>
    <w:rsid w:val="00A9046A"/>
    <w:rsid w:val="00A905DA"/>
    <w:rsid w:val="00A90B8F"/>
    <w:rsid w:val="00A90CB7"/>
    <w:rsid w:val="00A90CD5"/>
    <w:rsid w:val="00A91307"/>
    <w:rsid w:val="00A91312"/>
    <w:rsid w:val="00A91670"/>
    <w:rsid w:val="00A91C2B"/>
    <w:rsid w:val="00A91D4E"/>
    <w:rsid w:val="00A920FD"/>
    <w:rsid w:val="00A92766"/>
    <w:rsid w:val="00A929C1"/>
    <w:rsid w:val="00A92AE1"/>
    <w:rsid w:val="00A92C60"/>
    <w:rsid w:val="00A93204"/>
    <w:rsid w:val="00A9323B"/>
    <w:rsid w:val="00A93308"/>
    <w:rsid w:val="00A9338C"/>
    <w:rsid w:val="00A9352C"/>
    <w:rsid w:val="00A93A64"/>
    <w:rsid w:val="00A93F52"/>
    <w:rsid w:val="00A94343"/>
    <w:rsid w:val="00A94402"/>
    <w:rsid w:val="00A9451F"/>
    <w:rsid w:val="00A94871"/>
    <w:rsid w:val="00A94A13"/>
    <w:rsid w:val="00A94C2B"/>
    <w:rsid w:val="00A952B3"/>
    <w:rsid w:val="00A952EE"/>
    <w:rsid w:val="00A9538A"/>
    <w:rsid w:val="00A954CA"/>
    <w:rsid w:val="00A95975"/>
    <w:rsid w:val="00A95985"/>
    <w:rsid w:val="00A959DA"/>
    <w:rsid w:val="00A95D3F"/>
    <w:rsid w:val="00A969A7"/>
    <w:rsid w:val="00A96ABC"/>
    <w:rsid w:val="00A96D93"/>
    <w:rsid w:val="00A97139"/>
    <w:rsid w:val="00A97588"/>
    <w:rsid w:val="00A975F8"/>
    <w:rsid w:val="00A97734"/>
    <w:rsid w:val="00A97763"/>
    <w:rsid w:val="00A97B92"/>
    <w:rsid w:val="00A97D38"/>
    <w:rsid w:val="00A97FE0"/>
    <w:rsid w:val="00A99144"/>
    <w:rsid w:val="00AA033D"/>
    <w:rsid w:val="00AA05EC"/>
    <w:rsid w:val="00AA08B7"/>
    <w:rsid w:val="00AA0C42"/>
    <w:rsid w:val="00AA1060"/>
    <w:rsid w:val="00AA118B"/>
    <w:rsid w:val="00AA122A"/>
    <w:rsid w:val="00AA126C"/>
    <w:rsid w:val="00AA15A7"/>
    <w:rsid w:val="00AA15B0"/>
    <w:rsid w:val="00AA1691"/>
    <w:rsid w:val="00AA1776"/>
    <w:rsid w:val="00AA1D0B"/>
    <w:rsid w:val="00AA1E36"/>
    <w:rsid w:val="00AA1E44"/>
    <w:rsid w:val="00AA225F"/>
    <w:rsid w:val="00AA228F"/>
    <w:rsid w:val="00AA2393"/>
    <w:rsid w:val="00AA2535"/>
    <w:rsid w:val="00AA2543"/>
    <w:rsid w:val="00AA2EEE"/>
    <w:rsid w:val="00AA2F43"/>
    <w:rsid w:val="00AA2FA5"/>
    <w:rsid w:val="00AA32BA"/>
    <w:rsid w:val="00AA338E"/>
    <w:rsid w:val="00AA3413"/>
    <w:rsid w:val="00AA3B7D"/>
    <w:rsid w:val="00AA3D35"/>
    <w:rsid w:val="00AA4060"/>
    <w:rsid w:val="00AA40A8"/>
    <w:rsid w:val="00AA40D1"/>
    <w:rsid w:val="00AA46BF"/>
    <w:rsid w:val="00AA4BF6"/>
    <w:rsid w:val="00AA4D59"/>
    <w:rsid w:val="00AA584B"/>
    <w:rsid w:val="00AA586D"/>
    <w:rsid w:val="00AA59D0"/>
    <w:rsid w:val="00AA5C62"/>
    <w:rsid w:val="00AA6060"/>
    <w:rsid w:val="00AA6102"/>
    <w:rsid w:val="00AA62ED"/>
    <w:rsid w:val="00AA64B2"/>
    <w:rsid w:val="00AA67A2"/>
    <w:rsid w:val="00AA6AB1"/>
    <w:rsid w:val="00AA6D93"/>
    <w:rsid w:val="00AA6EBA"/>
    <w:rsid w:val="00AA6F1D"/>
    <w:rsid w:val="00AA766F"/>
    <w:rsid w:val="00AA7691"/>
    <w:rsid w:val="00AA7D30"/>
    <w:rsid w:val="00AA7E10"/>
    <w:rsid w:val="00AB0013"/>
    <w:rsid w:val="00AB0279"/>
    <w:rsid w:val="00AB0733"/>
    <w:rsid w:val="00AB091C"/>
    <w:rsid w:val="00AB10AF"/>
    <w:rsid w:val="00AB137D"/>
    <w:rsid w:val="00AB13A5"/>
    <w:rsid w:val="00AB17AB"/>
    <w:rsid w:val="00AB1877"/>
    <w:rsid w:val="00AB1F66"/>
    <w:rsid w:val="00AB20E4"/>
    <w:rsid w:val="00AB2C31"/>
    <w:rsid w:val="00AB2CD4"/>
    <w:rsid w:val="00AB2F83"/>
    <w:rsid w:val="00AB368E"/>
    <w:rsid w:val="00AB3716"/>
    <w:rsid w:val="00AB380F"/>
    <w:rsid w:val="00AB3971"/>
    <w:rsid w:val="00AB3AA0"/>
    <w:rsid w:val="00AB3B3C"/>
    <w:rsid w:val="00AB3F78"/>
    <w:rsid w:val="00AB413A"/>
    <w:rsid w:val="00AB447F"/>
    <w:rsid w:val="00AB45DA"/>
    <w:rsid w:val="00AB47B1"/>
    <w:rsid w:val="00AB47EE"/>
    <w:rsid w:val="00AB482F"/>
    <w:rsid w:val="00AB4ADC"/>
    <w:rsid w:val="00AB4C31"/>
    <w:rsid w:val="00AB501F"/>
    <w:rsid w:val="00AB542C"/>
    <w:rsid w:val="00AB579E"/>
    <w:rsid w:val="00AB5884"/>
    <w:rsid w:val="00AB591A"/>
    <w:rsid w:val="00AB5DA1"/>
    <w:rsid w:val="00AB5F7B"/>
    <w:rsid w:val="00AB65EA"/>
    <w:rsid w:val="00AB6698"/>
    <w:rsid w:val="00AB670D"/>
    <w:rsid w:val="00AB686A"/>
    <w:rsid w:val="00AB69B0"/>
    <w:rsid w:val="00AB6C83"/>
    <w:rsid w:val="00AB6FF2"/>
    <w:rsid w:val="00AB7305"/>
    <w:rsid w:val="00AB7688"/>
    <w:rsid w:val="00AB7911"/>
    <w:rsid w:val="00AB7B6B"/>
    <w:rsid w:val="00AB7BE4"/>
    <w:rsid w:val="00AB7DBC"/>
    <w:rsid w:val="00AC04A7"/>
    <w:rsid w:val="00AC052E"/>
    <w:rsid w:val="00AC0891"/>
    <w:rsid w:val="00AC1281"/>
    <w:rsid w:val="00AC148D"/>
    <w:rsid w:val="00AC1751"/>
    <w:rsid w:val="00AC1CA4"/>
    <w:rsid w:val="00AC1D21"/>
    <w:rsid w:val="00AC2255"/>
    <w:rsid w:val="00AC2327"/>
    <w:rsid w:val="00AC2497"/>
    <w:rsid w:val="00AC2600"/>
    <w:rsid w:val="00AC2E18"/>
    <w:rsid w:val="00AC2FFD"/>
    <w:rsid w:val="00AC35F5"/>
    <w:rsid w:val="00AC36D6"/>
    <w:rsid w:val="00AC3E30"/>
    <w:rsid w:val="00AC3E35"/>
    <w:rsid w:val="00AC405B"/>
    <w:rsid w:val="00AC419F"/>
    <w:rsid w:val="00AC4270"/>
    <w:rsid w:val="00AC4781"/>
    <w:rsid w:val="00AC4860"/>
    <w:rsid w:val="00AC4C40"/>
    <w:rsid w:val="00AC535E"/>
    <w:rsid w:val="00AC57EE"/>
    <w:rsid w:val="00AC57F1"/>
    <w:rsid w:val="00AC5816"/>
    <w:rsid w:val="00AC582F"/>
    <w:rsid w:val="00AC5B2A"/>
    <w:rsid w:val="00AC5CBE"/>
    <w:rsid w:val="00AC688C"/>
    <w:rsid w:val="00AC68BF"/>
    <w:rsid w:val="00AC68C0"/>
    <w:rsid w:val="00AC6CA2"/>
    <w:rsid w:val="00AC703F"/>
    <w:rsid w:val="00AC76B1"/>
    <w:rsid w:val="00AC77BB"/>
    <w:rsid w:val="00AC7962"/>
    <w:rsid w:val="00AC7DAE"/>
    <w:rsid w:val="00AC7F1C"/>
    <w:rsid w:val="00AD02F3"/>
    <w:rsid w:val="00AD0F56"/>
    <w:rsid w:val="00AD0F7D"/>
    <w:rsid w:val="00AD10C1"/>
    <w:rsid w:val="00AD1521"/>
    <w:rsid w:val="00AD1A2A"/>
    <w:rsid w:val="00AD1E8F"/>
    <w:rsid w:val="00AD201E"/>
    <w:rsid w:val="00AD208D"/>
    <w:rsid w:val="00AD21C8"/>
    <w:rsid w:val="00AD26AC"/>
    <w:rsid w:val="00AD2CAA"/>
    <w:rsid w:val="00AD2CBC"/>
    <w:rsid w:val="00AD2E7D"/>
    <w:rsid w:val="00AD3A2E"/>
    <w:rsid w:val="00AD3C26"/>
    <w:rsid w:val="00AD3F14"/>
    <w:rsid w:val="00AD4129"/>
    <w:rsid w:val="00AD4133"/>
    <w:rsid w:val="00AD431D"/>
    <w:rsid w:val="00AD4475"/>
    <w:rsid w:val="00AD45B0"/>
    <w:rsid w:val="00AD4955"/>
    <w:rsid w:val="00AD4D17"/>
    <w:rsid w:val="00AD4FC9"/>
    <w:rsid w:val="00AD53BE"/>
    <w:rsid w:val="00AD5627"/>
    <w:rsid w:val="00AD5980"/>
    <w:rsid w:val="00AD5CF7"/>
    <w:rsid w:val="00AD5D4B"/>
    <w:rsid w:val="00AD5E81"/>
    <w:rsid w:val="00AD61C3"/>
    <w:rsid w:val="00AD660D"/>
    <w:rsid w:val="00AD6A42"/>
    <w:rsid w:val="00AD745A"/>
    <w:rsid w:val="00AD74BB"/>
    <w:rsid w:val="00AD7E7F"/>
    <w:rsid w:val="00AE011C"/>
    <w:rsid w:val="00AE031A"/>
    <w:rsid w:val="00AE0FDB"/>
    <w:rsid w:val="00AE1281"/>
    <w:rsid w:val="00AE1451"/>
    <w:rsid w:val="00AE1B9F"/>
    <w:rsid w:val="00AE1BE7"/>
    <w:rsid w:val="00AE1D26"/>
    <w:rsid w:val="00AE1FED"/>
    <w:rsid w:val="00AE2580"/>
    <w:rsid w:val="00AE2A3A"/>
    <w:rsid w:val="00AE2BC0"/>
    <w:rsid w:val="00AE2D35"/>
    <w:rsid w:val="00AE2DA7"/>
    <w:rsid w:val="00AE2FC0"/>
    <w:rsid w:val="00AE3006"/>
    <w:rsid w:val="00AE3096"/>
    <w:rsid w:val="00AE32A3"/>
    <w:rsid w:val="00AE3463"/>
    <w:rsid w:val="00AE3729"/>
    <w:rsid w:val="00AE3EE3"/>
    <w:rsid w:val="00AE40C9"/>
    <w:rsid w:val="00AE4237"/>
    <w:rsid w:val="00AE446F"/>
    <w:rsid w:val="00AE4B01"/>
    <w:rsid w:val="00AE4C55"/>
    <w:rsid w:val="00AE4E76"/>
    <w:rsid w:val="00AE4FD1"/>
    <w:rsid w:val="00AE50B1"/>
    <w:rsid w:val="00AE5110"/>
    <w:rsid w:val="00AE52E2"/>
    <w:rsid w:val="00AE53F5"/>
    <w:rsid w:val="00AE5508"/>
    <w:rsid w:val="00AE5713"/>
    <w:rsid w:val="00AE59FE"/>
    <w:rsid w:val="00AE663E"/>
    <w:rsid w:val="00AE6A50"/>
    <w:rsid w:val="00AE6B34"/>
    <w:rsid w:val="00AE6D3E"/>
    <w:rsid w:val="00AE73AB"/>
    <w:rsid w:val="00AE73B6"/>
    <w:rsid w:val="00AE7DD5"/>
    <w:rsid w:val="00AF082C"/>
    <w:rsid w:val="00AF084B"/>
    <w:rsid w:val="00AF0CF3"/>
    <w:rsid w:val="00AF0DA6"/>
    <w:rsid w:val="00AF0DF7"/>
    <w:rsid w:val="00AF0FCB"/>
    <w:rsid w:val="00AF13C1"/>
    <w:rsid w:val="00AF194E"/>
    <w:rsid w:val="00AF1BD0"/>
    <w:rsid w:val="00AF248F"/>
    <w:rsid w:val="00AF24EB"/>
    <w:rsid w:val="00AF283F"/>
    <w:rsid w:val="00AF2A8A"/>
    <w:rsid w:val="00AF2DFF"/>
    <w:rsid w:val="00AF2EE0"/>
    <w:rsid w:val="00AF2EFC"/>
    <w:rsid w:val="00AF35CF"/>
    <w:rsid w:val="00AF398E"/>
    <w:rsid w:val="00AF3F14"/>
    <w:rsid w:val="00AF45C4"/>
    <w:rsid w:val="00AF45F0"/>
    <w:rsid w:val="00AF4622"/>
    <w:rsid w:val="00AF46F0"/>
    <w:rsid w:val="00AF47A6"/>
    <w:rsid w:val="00AF4EEF"/>
    <w:rsid w:val="00AF4EFB"/>
    <w:rsid w:val="00AF4FA3"/>
    <w:rsid w:val="00AF4FFB"/>
    <w:rsid w:val="00AF501B"/>
    <w:rsid w:val="00AF5036"/>
    <w:rsid w:val="00AF53E2"/>
    <w:rsid w:val="00AF562B"/>
    <w:rsid w:val="00AF57D8"/>
    <w:rsid w:val="00AF5869"/>
    <w:rsid w:val="00AF58CF"/>
    <w:rsid w:val="00AF5DE3"/>
    <w:rsid w:val="00AF5E6B"/>
    <w:rsid w:val="00AF5EBD"/>
    <w:rsid w:val="00AF60C0"/>
    <w:rsid w:val="00AF65FD"/>
    <w:rsid w:val="00AF6A85"/>
    <w:rsid w:val="00AF6B33"/>
    <w:rsid w:val="00AF7298"/>
    <w:rsid w:val="00AF7397"/>
    <w:rsid w:val="00AF7573"/>
    <w:rsid w:val="00AF7666"/>
    <w:rsid w:val="00AF799F"/>
    <w:rsid w:val="00AF7C1E"/>
    <w:rsid w:val="00AF7F17"/>
    <w:rsid w:val="00B0023C"/>
    <w:rsid w:val="00B0035D"/>
    <w:rsid w:val="00B0061C"/>
    <w:rsid w:val="00B0063F"/>
    <w:rsid w:val="00B0089F"/>
    <w:rsid w:val="00B00B3E"/>
    <w:rsid w:val="00B00E4C"/>
    <w:rsid w:val="00B00E98"/>
    <w:rsid w:val="00B0120A"/>
    <w:rsid w:val="00B01232"/>
    <w:rsid w:val="00B01458"/>
    <w:rsid w:val="00B018E1"/>
    <w:rsid w:val="00B01998"/>
    <w:rsid w:val="00B01D6E"/>
    <w:rsid w:val="00B01F01"/>
    <w:rsid w:val="00B022CC"/>
    <w:rsid w:val="00B02B9B"/>
    <w:rsid w:val="00B02BBC"/>
    <w:rsid w:val="00B02BDC"/>
    <w:rsid w:val="00B0345F"/>
    <w:rsid w:val="00B035F7"/>
    <w:rsid w:val="00B03B44"/>
    <w:rsid w:val="00B03E21"/>
    <w:rsid w:val="00B04E68"/>
    <w:rsid w:val="00B0502B"/>
    <w:rsid w:val="00B050EE"/>
    <w:rsid w:val="00B05D7D"/>
    <w:rsid w:val="00B0625F"/>
    <w:rsid w:val="00B062D2"/>
    <w:rsid w:val="00B068FD"/>
    <w:rsid w:val="00B06B9E"/>
    <w:rsid w:val="00B072FD"/>
    <w:rsid w:val="00B074FE"/>
    <w:rsid w:val="00B07649"/>
    <w:rsid w:val="00B079BE"/>
    <w:rsid w:val="00B07A02"/>
    <w:rsid w:val="00B07AF6"/>
    <w:rsid w:val="00B07C4F"/>
    <w:rsid w:val="00B103E9"/>
    <w:rsid w:val="00B10508"/>
    <w:rsid w:val="00B107BC"/>
    <w:rsid w:val="00B107D6"/>
    <w:rsid w:val="00B10BD9"/>
    <w:rsid w:val="00B10C26"/>
    <w:rsid w:val="00B1138F"/>
    <w:rsid w:val="00B113F2"/>
    <w:rsid w:val="00B11875"/>
    <w:rsid w:val="00B11D23"/>
    <w:rsid w:val="00B11E87"/>
    <w:rsid w:val="00B129C3"/>
    <w:rsid w:val="00B12F81"/>
    <w:rsid w:val="00B12F84"/>
    <w:rsid w:val="00B1347B"/>
    <w:rsid w:val="00B13BA9"/>
    <w:rsid w:val="00B1448C"/>
    <w:rsid w:val="00B14570"/>
    <w:rsid w:val="00B14676"/>
    <w:rsid w:val="00B147E4"/>
    <w:rsid w:val="00B14C5C"/>
    <w:rsid w:val="00B15673"/>
    <w:rsid w:val="00B157A7"/>
    <w:rsid w:val="00B15AEF"/>
    <w:rsid w:val="00B15C9A"/>
    <w:rsid w:val="00B15CC0"/>
    <w:rsid w:val="00B15FCB"/>
    <w:rsid w:val="00B161B7"/>
    <w:rsid w:val="00B161E2"/>
    <w:rsid w:val="00B164B4"/>
    <w:rsid w:val="00B165A6"/>
    <w:rsid w:val="00B166E3"/>
    <w:rsid w:val="00B1721C"/>
    <w:rsid w:val="00B17582"/>
    <w:rsid w:val="00B1783D"/>
    <w:rsid w:val="00B17875"/>
    <w:rsid w:val="00B17985"/>
    <w:rsid w:val="00B17BE3"/>
    <w:rsid w:val="00B20280"/>
    <w:rsid w:val="00B20446"/>
    <w:rsid w:val="00B206D8"/>
    <w:rsid w:val="00B215BE"/>
    <w:rsid w:val="00B2162D"/>
    <w:rsid w:val="00B2171F"/>
    <w:rsid w:val="00B21D95"/>
    <w:rsid w:val="00B21E4A"/>
    <w:rsid w:val="00B21FE4"/>
    <w:rsid w:val="00B22066"/>
    <w:rsid w:val="00B2206D"/>
    <w:rsid w:val="00B2211A"/>
    <w:rsid w:val="00B22141"/>
    <w:rsid w:val="00B22224"/>
    <w:rsid w:val="00B2248A"/>
    <w:rsid w:val="00B22B3B"/>
    <w:rsid w:val="00B22F2A"/>
    <w:rsid w:val="00B232DC"/>
    <w:rsid w:val="00B237EF"/>
    <w:rsid w:val="00B23892"/>
    <w:rsid w:val="00B23901"/>
    <w:rsid w:val="00B23BCE"/>
    <w:rsid w:val="00B23EF7"/>
    <w:rsid w:val="00B240BB"/>
    <w:rsid w:val="00B24232"/>
    <w:rsid w:val="00B2456A"/>
    <w:rsid w:val="00B245DF"/>
    <w:rsid w:val="00B24CFD"/>
    <w:rsid w:val="00B24D96"/>
    <w:rsid w:val="00B253F8"/>
    <w:rsid w:val="00B254F1"/>
    <w:rsid w:val="00B25622"/>
    <w:rsid w:val="00B256C3"/>
    <w:rsid w:val="00B25A95"/>
    <w:rsid w:val="00B25E42"/>
    <w:rsid w:val="00B25F29"/>
    <w:rsid w:val="00B26528"/>
    <w:rsid w:val="00B26A4D"/>
    <w:rsid w:val="00B26BF9"/>
    <w:rsid w:val="00B26EEB"/>
    <w:rsid w:val="00B26F1A"/>
    <w:rsid w:val="00B2733C"/>
    <w:rsid w:val="00B27504"/>
    <w:rsid w:val="00B275EF"/>
    <w:rsid w:val="00B3016D"/>
    <w:rsid w:val="00B3041A"/>
    <w:rsid w:val="00B31417"/>
    <w:rsid w:val="00B3169B"/>
    <w:rsid w:val="00B31A21"/>
    <w:rsid w:val="00B31AE1"/>
    <w:rsid w:val="00B31E55"/>
    <w:rsid w:val="00B31ECC"/>
    <w:rsid w:val="00B32204"/>
    <w:rsid w:val="00B3228A"/>
    <w:rsid w:val="00B32371"/>
    <w:rsid w:val="00B32C48"/>
    <w:rsid w:val="00B32DE9"/>
    <w:rsid w:val="00B33379"/>
    <w:rsid w:val="00B333B5"/>
    <w:rsid w:val="00B333E3"/>
    <w:rsid w:val="00B3362D"/>
    <w:rsid w:val="00B3368F"/>
    <w:rsid w:val="00B33882"/>
    <w:rsid w:val="00B341C9"/>
    <w:rsid w:val="00B347C7"/>
    <w:rsid w:val="00B34EDF"/>
    <w:rsid w:val="00B34F8D"/>
    <w:rsid w:val="00B35000"/>
    <w:rsid w:val="00B35767"/>
    <w:rsid w:val="00B3581D"/>
    <w:rsid w:val="00B36493"/>
    <w:rsid w:val="00B367FC"/>
    <w:rsid w:val="00B36A4D"/>
    <w:rsid w:val="00B36A85"/>
    <w:rsid w:val="00B40B09"/>
    <w:rsid w:val="00B40BF7"/>
    <w:rsid w:val="00B40D19"/>
    <w:rsid w:val="00B411C7"/>
    <w:rsid w:val="00B412B5"/>
    <w:rsid w:val="00B416CA"/>
    <w:rsid w:val="00B41A0A"/>
    <w:rsid w:val="00B41B5F"/>
    <w:rsid w:val="00B41C65"/>
    <w:rsid w:val="00B42398"/>
    <w:rsid w:val="00B42615"/>
    <w:rsid w:val="00B429A9"/>
    <w:rsid w:val="00B4325D"/>
    <w:rsid w:val="00B43344"/>
    <w:rsid w:val="00B434FC"/>
    <w:rsid w:val="00B436ED"/>
    <w:rsid w:val="00B43961"/>
    <w:rsid w:val="00B43E04"/>
    <w:rsid w:val="00B43F9A"/>
    <w:rsid w:val="00B44169"/>
    <w:rsid w:val="00B4424E"/>
    <w:rsid w:val="00B443BC"/>
    <w:rsid w:val="00B44625"/>
    <w:rsid w:val="00B446B2"/>
    <w:rsid w:val="00B44ADA"/>
    <w:rsid w:val="00B44EDE"/>
    <w:rsid w:val="00B4550F"/>
    <w:rsid w:val="00B455D0"/>
    <w:rsid w:val="00B459B2"/>
    <w:rsid w:val="00B45A90"/>
    <w:rsid w:val="00B45BE3"/>
    <w:rsid w:val="00B4678E"/>
    <w:rsid w:val="00B467E5"/>
    <w:rsid w:val="00B469F0"/>
    <w:rsid w:val="00B46BF9"/>
    <w:rsid w:val="00B470F7"/>
    <w:rsid w:val="00B4741E"/>
    <w:rsid w:val="00B474E7"/>
    <w:rsid w:val="00B47524"/>
    <w:rsid w:val="00B4777A"/>
    <w:rsid w:val="00B477B4"/>
    <w:rsid w:val="00B47822"/>
    <w:rsid w:val="00B479E3"/>
    <w:rsid w:val="00B47BB9"/>
    <w:rsid w:val="00B5028B"/>
    <w:rsid w:val="00B50978"/>
    <w:rsid w:val="00B50B25"/>
    <w:rsid w:val="00B50B9A"/>
    <w:rsid w:val="00B518AB"/>
    <w:rsid w:val="00B518D4"/>
    <w:rsid w:val="00B52602"/>
    <w:rsid w:val="00B52607"/>
    <w:rsid w:val="00B52E6D"/>
    <w:rsid w:val="00B52E99"/>
    <w:rsid w:val="00B52F90"/>
    <w:rsid w:val="00B530BD"/>
    <w:rsid w:val="00B530C1"/>
    <w:rsid w:val="00B5311C"/>
    <w:rsid w:val="00B5324E"/>
    <w:rsid w:val="00B533AB"/>
    <w:rsid w:val="00B53D38"/>
    <w:rsid w:val="00B53FDD"/>
    <w:rsid w:val="00B5410B"/>
    <w:rsid w:val="00B54292"/>
    <w:rsid w:val="00B545F8"/>
    <w:rsid w:val="00B54632"/>
    <w:rsid w:val="00B548B9"/>
    <w:rsid w:val="00B548E3"/>
    <w:rsid w:val="00B54A57"/>
    <w:rsid w:val="00B54D69"/>
    <w:rsid w:val="00B54EE2"/>
    <w:rsid w:val="00B54F70"/>
    <w:rsid w:val="00B54FF5"/>
    <w:rsid w:val="00B5505B"/>
    <w:rsid w:val="00B55657"/>
    <w:rsid w:val="00B5578F"/>
    <w:rsid w:val="00B55B04"/>
    <w:rsid w:val="00B55B9D"/>
    <w:rsid w:val="00B55D24"/>
    <w:rsid w:val="00B564FA"/>
    <w:rsid w:val="00B56B50"/>
    <w:rsid w:val="00B56BA8"/>
    <w:rsid w:val="00B56C7A"/>
    <w:rsid w:val="00B56DC5"/>
    <w:rsid w:val="00B5706B"/>
    <w:rsid w:val="00B572C0"/>
    <w:rsid w:val="00B5740E"/>
    <w:rsid w:val="00B577C1"/>
    <w:rsid w:val="00B57F2D"/>
    <w:rsid w:val="00B60CF5"/>
    <w:rsid w:val="00B614CE"/>
    <w:rsid w:val="00B6162E"/>
    <w:rsid w:val="00B61E1A"/>
    <w:rsid w:val="00B62271"/>
    <w:rsid w:val="00B6250F"/>
    <w:rsid w:val="00B62766"/>
    <w:rsid w:val="00B62830"/>
    <w:rsid w:val="00B628AB"/>
    <w:rsid w:val="00B62BB2"/>
    <w:rsid w:val="00B62E58"/>
    <w:rsid w:val="00B6382E"/>
    <w:rsid w:val="00B6388F"/>
    <w:rsid w:val="00B63A05"/>
    <w:rsid w:val="00B63D2F"/>
    <w:rsid w:val="00B64022"/>
    <w:rsid w:val="00B642D9"/>
    <w:rsid w:val="00B6450E"/>
    <w:rsid w:val="00B64EA5"/>
    <w:rsid w:val="00B65365"/>
    <w:rsid w:val="00B653C0"/>
    <w:rsid w:val="00B65463"/>
    <w:rsid w:val="00B65514"/>
    <w:rsid w:val="00B6566F"/>
    <w:rsid w:val="00B6570B"/>
    <w:rsid w:val="00B65DCC"/>
    <w:rsid w:val="00B65EE8"/>
    <w:rsid w:val="00B660A6"/>
    <w:rsid w:val="00B663BC"/>
    <w:rsid w:val="00B66A51"/>
    <w:rsid w:val="00B66C12"/>
    <w:rsid w:val="00B66D03"/>
    <w:rsid w:val="00B66EBB"/>
    <w:rsid w:val="00B67687"/>
    <w:rsid w:val="00B67841"/>
    <w:rsid w:val="00B678C2"/>
    <w:rsid w:val="00B678DC"/>
    <w:rsid w:val="00B67A1F"/>
    <w:rsid w:val="00B67B61"/>
    <w:rsid w:val="00B67C03"/>
    <w:rsid w:val="00B702BC"/>
    <w:rsid w:val="00B70850"/>
    <w:rsid w:val="00B70B57"/>
    <w:rsid w:val="00B70F44"/>
    <w:rsid w:val="00B70FFE"/>
    <w:rsid w:val="00B7115E"/>
    <w:rsid w:val="00B715E5"/>
    <w:rsid w:val="00B71615"/>
    <w:rsid w:val="00B71A7E"/>
    <w:rsid w:val="00B71B8A"/>
    <w:rsid w:val="00B71DA5"/>
    <w:rsid w:val="00B71FC1"/>
    <w:rsid w:val="00B720AA"/>
    <w:rsid w:val="00B72393"/>
    <w:rsid w:val="00B723A4"/>
    <w:rsid w:val="00B7259E"/>
    <w:rsid w:val="00B72673"/>
    <w:rsid w:val="00B72AC6"/>
    <w:rsid w:val="00B733BE"/>
    <w:rsid w:val="00B73488"/>
    <w:rsid w:val="00B73B2F"/>
    <w:rsid w:val="00B74110"/>
    <w:rsid w:val="00B7456F"/>
    <w:rsid w:val="00B745CC"/>
    <w:rsid w:val="00B74693"/>
    <w:rsid w:val="00B7492C"/>
    <w:rsid w:val="00B74CE9"/>
    <w:rsid w:val="00B74D69"/>
    <w:rsid w:val="00B7506C"/>
    <w:rsid w:val="00B7523E"/>
    <w:rsid w:val="00B752FE"/>
    <w:rsid w:val="00B754A5"/>
    <w:rsid w:val="00B75717"/>
    <w:rsid w:val="00B759EA"/>
    <w:rsid w:val="00B75A61"/>
    <w:rsid w:val="00B75A73"/>
    <w:rsid w:val="00B75BF6"/>
    <w:rsid w:val="00B75BFC"/>
    <w:rsid w:val="00B75E98"/>
    <w:rsid w:val="00B76271"/>
    <w:rsid w:val="00B762F8"/>
    <w:rsid w:val="00B7645C"/>
    <w:rsid w:val="00B76704"/>
    <w:rsid w:val="00B76A67"/>
    <w:rsid w:val="00B773C7"/>
    <w:rsid w:val="00B7777D"/>
    <w:rsid w:val="00B77C05"/>
    <w:rsid w:val="00B77EBD"/>
    <w:rsid w:val="00B805D3"/>
    <w:rsid w:val="00B8072F"/>
    <w:rsid w:val="00B80825"/>
    <w:rsid w:val="00B80A5A"/>
    <w:rsid w:val="00B80A68"/>
    <w:rsid w:val="00B8110B"/>
    <w:rsid w:val="00B81119"/>
    <w:rsid w:val="00B8131F"/>
    <w:rsid w:val="00B81A8B"/>
    <w:rsid w:val="00B81A9F"/>
    <w:rsid w:val="00B81ADD"/>
    <w:rsid w:val="00B820D0"/>
    <w:rsid w:val="00B82297"/>
    <w:rsid w:val="00B825DE"/>
    <w:rsid w:val="00B827E3"/>
    <w:rsid w:val="00B836D1"/>
    <w:rsid w:val="00B837CF"/>
    <w:rsid w:val="00B83B4B"/>
    <w:rsid w:val="00B83BEC"/>
    <w:rsid w:val="00B83C5E"/>
    <w:rsid w:val="00B83D85"/>
    <w:rsid w:val="00B840B6"/>
    <w:rsid w:val="00B841B8"/>
    <w:rsid w:val="00B84485"/>
    <w:rsid w:val="00B8500E"/>
    <w:rsid w:val="00B85240"/>
    <w:rsid w:val="00B85E54"/>
    <w:rsid w:val="00B85F2D"/>
    <w:rsid w:val="00B85F58"/>
    <w:rsid w:val="00B861B4"/>
    <w:rsid w:val="00B8646B"/>
    <w:rsid w:val="00B866D5"/>
    <w:rsid w:val="00B868A5"/>
    <w:rsid w:val="00B8747C"/>
    <w:rsid w:val="00B87896"/>
    <w:rsid w:val="00B87AE5"/>
    <w:rsid w:val="00B87CBC"/>
    <w:rsid w:val="00B87DB7"/>
    <w:rsid w:val="00B87E47"/>
    <w:rsid w:val="00B87ED3"/>
    <w:rsid w:val="00B9002E"/>
    <w:rsid w:val="00B90180"/>
    <w:rsid w:val="00B901A2"/>
    <w:rsid w:val="00B90225"/>
    <w:rsid w:val="00B903AA"/>
    <w:rsid w:val="00B90620"/>
    <w:rsid w:val="00B90664"/>
    <w:rsid w:val="00B907FF"/>
    <w:rsid w:val="00B90BF3"/>
    <w:rsid w:val="00B90E00"/>
    <w:rsid w:val="00B90FAC"/>
    <w:rsid w:val="00B9160D"/>
    <w:rsid w:val="00B91A16"/>
    <w:rsid w:val="00B91D7E"/>
    <w:rsid w:val="00B91DF5"/>
    <w:rsid w:val="00B9226D"/>
    <w:rsid w:val="00B92387"/>
    <w:rsid w:val="00B929B0"/>
    <w:rsid w:val="00B93161"/>
    <w:rsid w:val="00B93272"/>
    <w:rsid w:val="00B934DC"/>
    <w:rsid w:val="00B9363D"/>
    <w:rsid w:val="00B93F2C"/>
    <w:rsid w:val="00B94065"/>
    <w:rsid w:val="00B940A5"/>
    <w:rsid w:val="00B94ACB"/>
    <w:rsid w:val="00B94B79"/>
    <w:rsid w:val="00B9505A"/>
    <w:rsid w:val="00B950A3"/>
    <w:rsid w:val="00B9523E"/>
    <w:rsid w:val="00B953B8"/>
    <w:rsid w:val="00B95861"/>
    <w:rsid w:val="00B95917"/>
    <w:rsid w:val="00B95EFA"/>
    <w:rsid w:val="00B960A8"/>
    <w:rsid w:val="00B963F8"/>
    <w:rsid w:val="00B96B78"/>
    <w:rsid w:val="00B96E0B"/>
    <w:rsid w:val="00B96FE9"/>
    <w:rsid w:val="00B971CE"/>
    <w:rsid w:val="00B97412"/>
    <w:rsid w:val="00B97952"/>
    <w:rsid w:val="00B97A29"/>
    <w:rsid w:val="00B97C4E"/>
    <w:rsid w:val="00B97E61"/>
    <w:rsid w:val="00B97F46"/>
    <w:rsid w:val="00BA02C2"/>
    <w:rsid w:val="00BA05F5"/>
    <w:rsid w:val="00BA067B"/>
    <w:rsid w:val="00BA0CD3"/>
    <w:rsid w:val="00BA0F38"/>
    <w:rsid w:val="00BA0FF5"/>
    <w:rsid w:val="00BA168E"/>
    <w:rsid w:val="00BA1754"/>
    <w:rsid w:val="00BA1A5C"/>
    <w:rsid w:val="00BA1EA0"/>
    <w:rsid w:val="00BA2923"/>
    <w:rsid w:val="00BA32E6"/>
    <w:rsid w:val="00BA37F7"/>
    <w:rsid w:val="00BA3E61"/>
    <w:rsid w:val="00BA3EA8"/>
    <w:rsid w:val="00BA3ECA"/>
    <w:rsid w:val="00BA4093"/>
    <w:rsid w:val="00BA4174"/>
    <w:rsid w:val="00BA43D3"/>
    <w:rsid w:val="00BA4836"/>
    <w:rsid w:val="00BA4A29"/>
    <w:rsid w:val="00BA4B65"/>
    <w:rsid w:val="00BA4DAC"/>
    <w:rsid w:val="00BA4F43"/>
    <w:rsid w:val="00BA5107"/>
    <w:rsid w:val="00BA540F"/>
    <w:rsid w:val="00BA56DA"/>
    <w:rsid w:val="00BA5BC6"/>
    <w:rsid w:val="00BA5C75"/>
    <w:rsid w:val="00BA6670"/>
    <w:rsid w:val="00BA68A5"/>
    <w:rsid w:val="00BA6A5D"/>
    <w:rsid w:val="00BA6B1C"/>
    <w:rsid w:val="00BA6C5F"/>
    <w:rsid w:val="00BA6D5C"/>
    <w:rsid w:val="00BA6E5C"/>
    <w:rsid w:val="00BA715F"/>
    <w:rsid w:val="00BA73D7"/>
    <w:rsid w:val="00BA74EC"/>
    <w:rsid w:val="00BA768A"/>
    <w:rsid w:val="00BA795F"/>
    <w:rsid w:val="00BB040C"/>
    <w:rsid w:val="00BB0429"/>
    <w:rsid w:val="00BB0527"/>
    <w:rsid w:val="00BB1279"/>
    <w:rsid w:val="00BB12F9"/>
    <w:rsid w:val="00BB13A4"/>
    <w:rsid w:val="00BB1515"/>
    <w:rsid w:val="00BB1517"/>
    <w:rsid w:val="00BB1643"/>
    <w:rsid w:val="00BB18D3"/>
    <w:rsid w:val="00BB1B3E"/>
    <w:rsid w:val="00BB297E"/>
    <w:rsid w:val="00BB2C04"/>
    <w:rsid w:val="00BB2D5E"/>
    <w:rsid w:val="00BB319C"/>
    <w:rsid w:val="00BB3243"/>
    <w:rsid w:val="00BB35BB"/>
    <w:rsid w:val="00BB3B1C"/>
    <w:rsid w:val="00BB3BCB"/>
    <w:rsid w:val="00BB41A6"/>
    <w:rsid w:val="00BB42CB"/>
    <w:rsid w:val="00BB45A6"/>
    <w:rsid w:val="00BB49A0"/>
    <w:rsid w:val="00BB49AB"/>
    <w:rsid w:val="00BB4EF8"/>
    <w:rsid w:val="00BB50D1"/>
    <w:rsid w:val="00BB52E2"/>
    <w:rsid w:val="00BB5626"/>
    <w:rsid w:val="00BB5649"/>
    <w:rsid w:val="00BB5DDB"/>
    <w:rsid w:val="00BB6275"/>
    <w:rsid w:val="00BB6288"/>
    <w:rsid w:val="00BB6480"/>
    <w:rsid w:val="00BB67C3"/>
    <w:rsid w:val="00BB67FF"/>
    <w:rsid w:val="00BB6988"/>
    <w:rsid w:val="00BB6BE8"/>
    <w:rsid w:val="00BB6C28"/>
    <w:rsid w:val="00BB6EAA"/>
    <w:rsid w:val="00BB7582"/>
    <w:rsid w:val="00BB778F"/>
    <w:rsid w:val="00BB7920"/>
    <w:rsid w:val="00BB7D4B"/>
    <w:rsid w:val="00BB7E56"/>
    <w:rsid w:val="00BC0172"/>
    <w:rsid w:val="00BC017B"/>
    <w:rsid w:val="00BC035C"/>
    <w:rsid w:val="00BC04A3"/>
    <w:rsid w:val="00BC06B2"/>
    <w:rsid w:val="00BC082D"/>
    <w:rsid w:val="00BC112B"/>
    <w:rsid w:val="00BC1616"/>
    <w:rsid w:val="00BC1C77"/>
    <w:rsid w:val="00BC1D75"/>
    <w:rsid w:val="00BC1E7D"/>
    <w:rsid w:val="00BC27E9"/>
    <w:rsid w:val="00BC2CD7"/>
    <w:rsid w:val="00BC2EAE"/>
    <w:rsid w:val="00BC30E8"/>
    <w:rsid w:val="00BC3161"/>
    <w:rsid w:val="00BC327B"/>
    <w:rsid w:val="00BC350F"/>
    <w:rsid w:val="00BC3865"/>
    <w:rsid w:val="00BC3E9F"/>
    <w:rsid w:val="00BC3F4D"/>
    <w:rsid w:val="00BC42BF"/>
    <w:rsid w:val="00BC4527"/>
    <w:rsid w:val="00BC4663"/>
    <w:rsid w:val="00BC48B8"/>
    <w:rsid w:val="00BC4B2C"/>
    <w:rsid w:val="00BC4FAE"/>
    <w:rsid w:val="00BC5EE8"/>
    <w:rsid w:val="00BC6253"/>
    <w:rsid w:val="00BC6711"/>
    <w:rsid w:val="00BC6B07"/>
    <w:rsid w:val="00BC6BEB"/>
    <w:rsid w:val="00BC6CF8"/>
    <w:rsid w:val="00BC73C3"/>
    <w:rsid w:val="00BC7479"/>
    <w:rsid w:val="00BC76FD"/>
    <w:rsid w:val="00BC770A"/>
    <w:rsid w:val="00BC77E2"/>
    <w:rsid w:val="00BC79B0"/>
    <w:rsid w:val="00BC7C68"/>
    <w:rsid w:val="00BD08F3"/>
    <w:rsid w:val="00BD10A4"/>
    <w:rsid w:val="00BD135D"/>
    <w:rsid w:val="00BD1440"/>
    <w:rsid w:val="00BD1979"/>
    <w:rsid w:val="00BD1D51"/>
    <w:rsid w:val="00BD20FE"/>
    <w:rsid w:val="00BD2289"/>
    <w:rsid w:val="00BD2403"/>
    <w:rsid w:val="00BD2B87"/>
    <w:rsid w:val="00BD2EAE"/>
    <w:rsid w:val="00BD2FA2"/>
    <w:rsid w:val="00BD2FC9"/>
    <w:rsid w:val="00BD3052"/>
    <w:rsid w:val="00BD30C5"/>
    <w:rsid w:val="00BD3B57"/>
    <w:rsid w:val="00BD4730"/>
    <w:rsid w:val="00BD4864"/>
    <w:rsid w:val="00BD4D35"/>
    <w:rsid w:val="00BD5229"/>
    <w:rsid w:val="00BD5F6F"/>
    <w:rsid w:val="00BD6193"/>
    <w:rsid w:val="00BD61D8"/>
    <w:rsid w:val="00BD62F5"/>
    <w:rsid w:val="00BD669E"/>
    <w:rsid w:val="00BD67AE"/>
    <w:rsid w:val="00BD68EA"/>
    <w:rsid w:val="00BD69B5"/>
    <w:rsid w:val="00BD77F0"/>
    <w:rsid w:val="00BD785D"/>
    <w:rsid w:val="00BD7A7E"/>
    <w:rsid w:val="00BD7B24"/>
    <w:rsid w:val="00BD7C1E"/>
    <w:rsid w:val="00BD7DEE"/>
    <w:rsid w:val="00BD7E7A"/>
    <w:rsid w:val="00BD7FB3"/>
    <w:rsid w:val="00BE045A"/>
    <w:rsid w:val="00BE062C"/>
    <w:rsid w:val="00BE080F"/>
    <w:rsid w:val="00BE0CAB"/>
    <w:rsid w:val="00BE0D44"/>
    <w:rsid w:val="00BE11B6"/>
    <w:rsid w:val="00BE18F4"/>
    <w:rsid w:val="00BE1CE1"/>
    <w:rsid w:val="00BE1D9F"/>
    <w:rsid w:val="00BE20EF"/>
    <w:rsid w:val="00BE2167"/>
    <w:rsid w:val="00BE21DC"/>
    <w:rsid w:val="00BE2530"/>
    <w:rsid w:val="00BE28F4"/>
    <w:rsid w:val="00BE2A8A"/>
    <w:rsid w:val="00BE307D"/>
    <w:rsid w:val="00BE363D"/>
    <w:rsid w:val="00BE377B"/>
    <w:rsid w:val="00BE3873"/>
    <w:rsid w:val="00BE3937"/>
    <w:rsid w:val="00BE3C7D"/>
    <w:rsid w:val="00BE3E3C"/>
    <w:rsid w:val="00BE4475"/>
    <w:rsid w:val="00BE511D"/>
    <w:rsid w:val="00BE5134"/>
    <w:rsid w:val="00BE52AA"/>
    <w:rsid w:val="00BE561A"/>
    <w:rsid w:val="00BE5622"/>
    <w:rsid w:val="00BE57EE"/>
    <w:rsid w:val="00BE59A0"/>
    <w:rsid w:val="00BE5B7C"/>
    <w:rsid w:val="00BE5BFE"/>
    <w:rsid w:val="00BE63FB"/>
    <w:rsid w:val="00BE646A"/>
    <w:rsid w:val="00BE6F66"/>
    <w:rsid w:val="00BE71A2"/>
    <w:rsid w:val="00BE72B6"/>
    <w:rsid w:val="00BE7327"/>
    <w:rsid w:val="00BE74BE"/>
    <w:rsid w:val="00BE74F3"/>
    <w:rsid w:val="00BF0135"/>
    <w:rsid w:val="00BF0482"/>
    <w:rsid w:val="00BF04D1"/>
    <w:rsid w:val="00BF096D"/>
    <w:rsid w:val="00BF0B45"/>
    <w:rsid w:val="00BF168D"/>
    <w:rsid w:val="00BF1E81"/>
    <w:rsid w:val="00BF20D0"/>
    <w:rsid w:val="00BF21E9"/>
    <w:rsid w:val="00BF2489"/>
    <w:rsid w:val="00BF26C2"/>
    <w:rsid w:val="00BF27D7"/>
    <w:rsid w:val="00BF28CD"/>
    <w:rsid w:val="00BF2A92"/>
    <w:rsid w:val="00BF2A9E"/>
    <w:rsid w:val="00BF2B40"/>
    <w:rsid w:val="00BF2BE1"/>
    <w:rsid w:val="00BF3831"/>
    <w:rsid w:val="00BF3A5A"/>
    <w:rsid w:val="00BF4275"/>
    <w:rsid w:val="00BF44A6"/>
    <w:rsid w:val="00BF46B2"/>
    <w:rsid w:val="00BF4936"/>
    <w:rsid w:val="00BF4CD5"/>
    <w:rsid w:val="00BF4DA1"/>
    <w:rsid w:val="00BF4E55"/>
    <w:rsid w:val="00BF5434"/>
    <w:rsid w:val="00BF54A6"/>
    <w:rsid w:val="00BF552B"/>
    <w:rsid w:val="00BF58B5"/>
    <w:rsid w:val="00BF59AF"/>
    <w:rsid w:val="00BF5A62"/>
    <w:rsid w:val="00BF5B24"/>
    <w:rsid w:val="00BF5BDA"/>
    <w:rsid w:val="00BF5F19"/>
    <w:rsid w:val="00BF5F1B"/>
    <w:rsid w:val="00BF6536"/>
    <w:rsid w:val="00BF6C85"/>
    <w:rsid w:val="00BF6CDF"/>
    <w:rsid w:val="00BF702F"/>
    <w:rsid w:val="00BF7337"/>
    <w:rsid w:val="00BF7345"/>
    <w:rsid w:val="00BF74AA"/>
    <w:rsid w:val="00BF76BA"/>
    <w:rsid w:val="00BF77E3"/>
    <w:rsid w:val="00BF7FA5"/>
    <w:rsid w:val="00C003AD"/>
    <w:rsid w:val="00C003C5"/>
    <w:rsid w:val="00C00830"/>
    <w:rsid w:val="00C00A3D"/>
    <w:rsid w:val="00C00C61"/>
    <w:rsid w:val="00C013B0"/>
    <w:rsid w:val="00C01560"/>
    <w:rsid w:val="00C01F79"/>
    <w:rsid w:val="00C020BE"/>
    <w:rsid w:val="00C0241C"/>
    <w:rsid w:val="00C02519"/>
    <w:rsid w:val="00C025BB"/>
    <w:rsid w:val="00C02AED"/>
    <w:rsid w:val="00C02C8D"/>
    <w:rsid w:val="00C02DB2"/>
    <w:rsid w:val="00C02FF8"/>
    <w:rsid w:val="00C033E1"/>
    <w:rsid w:val="00C03916"/>
    <w:rsid w:val="00C04348"/>
    <w:rsid w:val="00C0438D"/>
    <w:rsid w:val="00C0508F"/>
    <w:rsid w:val="00C05171"/>
    <w:rsid w:val="00C05578"/>
    <w:rsid w:val="00C0565E"/>
    <w:rsid w:val="00C05BF0"/>
    <w:rsid w:val="00C05C2E"/>
    <w:rsid w:val="00C05FB2"/>
    <w:rsid w:val="00C066F3"/>
    <w:rsid w:val="00C068B7"/>
    <w:rsid w:val="00C06DC9"/>
    <w:rsid w:val="00C06F11"/>
    <w:rsid w:val="00C06F5D"/>
    <w:rsid w:val="00C072CE"/>
    <w:rsid w:val="00C078A1"/>
    <w:rsid w:val="00C10214"/>
    <w:rsid w:val="00C1052B"/>
    <w:rsid w:val="00C105DD"/>
    <w:rsid w:val="00C1069F"/>
    <w:rsid w:val="00C109A7"/>
    <w:rsid w:val="00C10BBD"/>
    <w:rsid w:val="00C11775"/>
    <w:rsid w:val="00C126BE"/>
    <w:rsid w:val="00C127F3"/>
    <w:rsid w:val="00C12ACE"/>
    <w:rsid w:val="00C12B69"/>
    <w:rsid w:val="00C12BB6"/>
    <w:rsid w:val="00C1326E"/>
    <w:rsid w:val="00C13A12"/>
    <w:rsid w:val="00C13A77"/>
    <w:rsid w:val="00C13B2B"/>
    <w:rsid w:val="00C13CF4"/>
    <w:rsid w:val="00C13DA2"/>
    <w:rsid w:val="00C14471"/>
    <w:rsid w:val="00C146E4"/>
    <w:rsid w:val="00C149FC"/>
    <w:rsid w:val="00C14CB3"/>
    <w:rsid w:val="00C14DB7"/>
    <w:rsid w:val="00C15020"/>
    <w:rsid w:val="00C151A8"/>
    <w:rsid w:val="00C15298"/>
    <w:rsid w:val="00C1536C"/>
    <w:rsid w:val="00C15A9E"/>
    <w:rsid w:val="00C15D74"/>
    <w:rsid w:val="00C15EAC"/>
    <w:rsid w:val="00C16047"/>
    <w:rsid w:val="00C16103"/>
    <w:rsid w:val="00C1622A"/>
    <w:rsid w:val="00C16350"/>
    <w:rsid w:val="00C1637A"/>
    <w:rsid w:val="00C16506"/>
    <w:rsid w:val="00C16995"/>
    <w:rsid w:val="00C16D45"/>
    <w:rsid w:val="00C172D3"/>
    <w:rsid w:val="00C1786F"/>
    <w:rsid w:val="00C17A7D"/>
    <w:rsid w:val="00C17B7F"/>
    <w:rsid w:val="00C17BA8"/>
    <w:rsid w:val="00C17DFA"/>
    <w:rsid w:val="00C20351"/>
    <w:rsid w:val="00C204AF"/>
    <w:rsid w:val="00C20780"/>
    <w:rsid w:val="00C20A2A"/>
    <w:rsid w:val="00C20EF2"/>
    <w:rsid w:val="00C20FC5"/>
    <w:rsid w:val="00C2132C"/>
    <w:rsid w:val="00C2136A"/>
    <w:rsid w:val="00C21AA6"/>
    <w:rsid w:val="00C22155"/>
    <w:rsid w:val="00C22480"/>
    <w:rsid w:val="00C2248F"/>
    <w:rsid w:val="00C22544"/>
    <w:rsid w:val="00C228CF"/>
    <w:rsid w:val="00C2290A"/>
    <w:rsid w:val="00C22EA3"/>
    <w:rsid w:val="00C22ECA"/>
    <w:rsid w:val="00C22F43"/>
    <w:rsid w:val="00C230DC"/>
    <w:rsid w:val="00C234E4"/>
    <w:rsid w:val="00C238E4"/>
    <w:rsid w:val="00C23D14"/>
    <w:rsid w:val="00C2402A"/>
    <w:rsid w:val="00C241D9"/>
    <w:rsid w:val="00C24259"/>
    <w:rsid w:val="00C2430E"/>
    <w:rsid w:val="00C24321"/>
    <w:rsid w:val="00C24417"/>
    <w:rsid w:val="00C24C40"/>
    <w:rsid w:val="00C24DB4"/>
    <w:rsid w:val="00C250E8"/>
    <w:rsid w:val="00C25258"/>
    <w:rsid w:val="00C254C4"/>
    <w:rsid w:val="00C25644"/>
    <w:rsid w:val="00C25900"/>
    <w:rsid w:val="00C25AA1"/>
    <w:rsid w:val="00C25C67"/>
    <w:rsid w:val="00C261DF"/>
    <w:rsid w:val="00C26F42"/>
    <w:rsid w:val="00C27021"/>
    <w:rsid w:val="00C27271"/>
    <w:rsid w:val="00C273DB"/>
    <w:rsid w:val="00C274D6"/>
    <w:rsid w:val="00C275FA"/>
    <w:rsid w:val="00C27659"/>
    <w:rsid w:val="00C27B35"/>
    <w:rsid w:val="00C27C13"/>
    <w:rsid w:val="00C27DC7"/>
    <w:rsid w:val="00C300FC"/>
    <w:rsid w:val="00C3038F"/>
    <w:rsid w:val="00C315AC"/>
    <w:rsid w:val="00C31699"/>
    <w:rsid w:val="00C318AC"/>
    <w:rsid w:val="00C31A07"/>
    <w:rsid w:val="00C31C93"/>
    <w:rsid w:val="00C31E9F"/>
    <w:rsid w:val="00C32115"/>
    <w:rsid w:val="00C324BD"/>
    <w:rsid w:val="00C33358"/>
    <w:rsid w:val="00C3339A"/>
    <w:rsid w:val="00C333BD"/>
    <w:rsid w:val="00C339A6"/>
    <w:rsid w:val="00C33C20"/>
    <w:rsid w:val="00C33E5C"/>
    <w:rsid w:val="00C33F19"/>
    <w:rsid w:val="00C33FF0"/>
    <w:rsid w:val="00C34104"/>
    <w:rsid w:val="00C348E9"/>
    <w:rsid w:val="00C34923"/>
    <w:rsid w:val="00C34F4F"/>
    <w:rsid w:val="00C34FBE"/>
    <w:rsid w:val="00C34FEA"/>
    <w:rsid w:val="00C3530F"/>
    <w:rsid w:val="00C353FF"/>
    <w:rsid w:val="00C355B2"/>
    <w:rsid w:val="00C357D0"/>
    <w:rsid w:val="00C35C6F"/>
    <w:rsid w:val="00C36068"/>
    <w:rsid w:val="00C36241"/>
    <w:rsid w:val="00C3638E"/>
    <w:rsid w:val="00C3684D"/>
    <w:rsid w:val="00C36878"/>
    <w:rsid w:val="00C36A5B"/>
    <w:rsid w:val="00C36B0C"/>
    <w:rsid w:val="00C36E90"/>
    <w:rsid w:val="00C36EC7"/>
    <w:rsid w:val="00C37338"/>
    <w:rsid w:val="00C378E9"/>
    <w:rsid w:val="00C400B5"/>
    <w:rsid w:val="00C408F0"/>
    <w:rsid w:val="00C41105"/>
    <w:rsid w:val="00C416EC"/>
    <w:rsid w:val="00C41B08"/>
    <w:rsid w:val="00C41C4E"/>
    <w:rsid w:val="00C41DE0"/>
    <w:rsid w:val="00C41FF5"/>
    <w:rsid w:val="00C4240D"/>
    <w:rsid w:val="00C42A5F"/>
    <w:rsid w:val="00C42B93"/>
    <w:rsid w:val="00C42D07"/>
    <w:rsid w:val="00C42D14"/>
    <w:rsid w:val="00C42E94"/>
    <w:rsid w:val="00C43014"/>
    <w:rsid w:val="00C4325D"/>
    <w:rsid w:val="00C436C5"/>
    <w:rsid w:val="00C43765"/>
    <w:rsid w:val="00C4382F"/>
    <w:rsid w:val="00C43944"/>
    <w:rsid w:val="00C43A43"/>
    <w:rsid w:val="00C43AD2"/>
    <w:rsid w:val="00C43C69"/>
    <w:rsid w:val="00C43DB0"/>
    <w:rsid w:val="00C43EEB"/>
    <w:rsid w:val="00C44716"/>
    <w:rsid w:val="00C44745"/>
    <w:rsid w:val="00C44978"/>
    <w:rsid w:val="00C449EC"/>
    <w:rsid w:val="00C44CF1"/>
    <w:rsid w:val="00C45031"/>
    <w:rsid w:val="00C45047"/>
    <w:rsid w:val="00C45091"/>
    <w:rsid w:val="00C459B3"/>
    <w:rsid w:val="00C46194"/>
    <w:rsid w:val="00C470C3"/>
    <w:rsid w:val="00C475AB"/>
    <w:rsid w:val="00C47728"/>
    <w:rsid w:val="00C47B12"/>
    <w:rsid w:val="00C47B19"/>
    <w:rsid w:val="00C47C30"/>
    <w:rsid w:val="00C47DA5"/>
    <w:rsid w:val="00C47EAC"/>
    <w:rsid w:val="00C5002C"/>
    <w:rsid w:val="00C500D4"/>
    <w:rsid w:val="00C502C8"/>
    <w:rsid w:val="00C50DB6"/>
    <w:rsid w:val="00C50E43"/>
    <w:rsid w:val="00C50EBC"/>
    <w:rsid w:val="00C50FFC"/>
    <w:rsid w:val="00C51104"/>
    <w:rsid w:val="00C5189A"/>
    <w:rsid w:val="00C518E9"/>
    <w:rsid w:val="00C51C79"/>
    <w:rsid w:val="00C51ECF"/>
    <w:rsid w:val="00C51F74"/>
    <w:rsid w:val="00C5222C"/>
    <w:rsid w:val="00C52329"/>
    <w:rsid w:val="00C5238D"/>
    <w:rsid w:val="00C524FD"/>
    <w:rsid w:val="00C52518"/>
    <w:rsid w:val="00C52520"/>
    <w:rsid w:val="00C52522"/>
    <w:rsid w:val="00C5255E"/>
    <w:rsid w:val="00C52584"/>
    <w:rsid w:val="00C528E1"/>
    <w:rsid w:val="00C52A2C"/>
    <w:rsid w:val="00C52B82"/>
    <w:rsid w:val="00C52DE6"/>
    <w:rsid w:val="00C52E67"/>
    <w:rsid w:val="00C52EB2"/>
    <w:rsid w:val="00C52EC9"/>
    <w:rsid w:val="00C5339F"/>
    <w:rsid w:val="00C53A60"/>
    <w:rsid w:val="00C53A9D"/>
    <w:rsid w:val="00C5403F"/>
    <w:rsid w:val="00C540F3"/>
    <w:rsid w:val="00C54262"/>
    <w:rsid w:val="00C5430F"/>
    <w:rsid w:val="00C550B3"/>
    <w:rsid w:val="00C552E4"/>
    <w:rsid w:val="00C55686"/>
    <w:rsid w:val="00C557DD"/>
    <w:rsid w:val="00C55AA5"/>
    <w:rsid w:val="00C55B01"/>
    <w:rsid w:val="00C560A0"/>
    <w:rsid w:val="00C5630F"/>
    <w:rsid w:val="00C564C0"/>
    <w:rsid w:val="00C565E2"/>
    <w:rsid w:val="00C56619"/>
    <w:rsid w:val="00C567DE"/>
    <w:rsid w:val="00C567EB"/>
    <w:rsid w:val="00C568D8"/>
    <w:rsid w:val="00C569C1"/>
    <w:rsid w:val="00C56AA5"/>
    <w:rsid w:val="00C56FE7"/>
    <w:rsid w:val="00C572B6"/>
    <w:rsid w:val="00C573B5"/>
    <w:rsid w:val="00C5763F"/>
    <w:rsid w:val="00C57771"/>
    <w:rsid w:val="00C57A34"/>
    <w:rsid w:val="00C57DBD"/>
    <w:rsid w:val="00C57E52"/>
    <w:rsid w:val="00C602C3"/>
    <w:rsid w:val="00C60395"/>
    <w:rsid w:val="00C606FE"/>
    <w:rsid w:val="00C60831"/>
    <w:rsid w:val="00C60F07"/>
    <w:rsid w:val="00C6107E"/>
    <w:rsid w:val="00C61356"/>
    <w:rsid w:val="00C6136A"/>
    <w:rsid w:val="00C61650"/>
    <w:rsid w:val="00C6166A"/>
    <w:rsid w:val="00C61684"/>
    <w:rsid w:val="00C61A65"/>
    <w:rsid w:val="00C61AFD"/>
    <w:rsid w:val="00C62369"/>
    <w:rsid w:val="00C625FC"/>
    <w:rsid w:val="00C627ED"/>
    <w:rsid w:val="00C62F82"/>
    <w:rsid w:val="00C63720"/>
    <w:rsid w:val="00C64152"/>
    <w:rsid w:val="00C64B78"/>
    <w:rsid w:val="00C64DE9"/>
    <w:rsid w:val="00C6520F"/>
    <w:rsid w:val="00C65232"/>
    <w:rsid w:val="00C654B2"/>
    <w:rsid w:val="00C66865"/>
    <w:rsid w:val="00C66B17"/>
    <w:rsid w:val="00C66BD9"/>
    <w:rsid w:val="00C66E01"/>
    <w:rsid w:val="00C66F36"/>
    <w:rsid w:val="00C67B11"/>
    <w:rsid w:val="00C67BEF"/>
    <w:rsid w:val="00C67ED0"/>
    <w:rsid w:val="00C707F1"/>
    <w:rsid w:val="00C70C29"/>
    <w:rsid w:val="00C70C5A"/>
    <w:rsid w:val="00C70EE7"/>
    <w:rsid w:val="00C70F03"/>
    <w:rsid w:val="00C70F8A"/>
    <w:rsid w:val="00C7108C"/>
    <w:rsid w:val="00C711B0"/>
    <w:rsid w:val="00C71685"/>
    <w:rsid w:val="00C71AF7"/>
    <w:rsid w:val="00C71C73"/>
    <w:rsid w:val="00C71FB1"/>
    <w:rsid w:val="00C721E7"/>
    <w:rsid w:val="00C7225F"/>
    <w:rsid w:val="00C7263B"/>
    <w:rsid w:val="00C72B67"/>
    <w:rsid w:val="00C730B5"/>
    <w:rsid w:val="00C73375"/>
    <w:rsid w:val="00C73514"/>
    <w:rsid w:val="00C7391A"/>
    <w:rsid w:val="00C73DB1"/>
    <w:rsid w:val="00C744F4"/>
    <w:rsid w:val="00C74939"/>
    <w:rsid w:val="00C74CF3"/>
    <w:rsid w:val="00C74DA6"/>
    <w:rsid w:val="00C751DE"/>
    <w:rsid w:val="00C75522"/>
    <w:rsid w:val="00C757CD"/>
    <w:rsid w:val="00C757D7"/>
    <w:rsid w:val="00C7587B"/>
    <w:rsid w:val="00C75AF1"/>
    <w:rsid w:val="00C75E80"/>
    <w:rsid w:val="00C76394"/>
    <w:rsid w:val="00C765FC"/>
    <w:rsid w:val="00C76AC8"/>
    <w:rsid w:val="00C77254"/>
    <w:rsid w:val="00C7793D"/>
    <w:rsid w:val="00C77B19"/>
    <w:rsid w:val="00C77B89"/>
    <w:rsid w:val="00C77D27"/>
    <w:rsid w:val="00C80305"/>
    <w:rsid w:val="00C803EC"/>
    <w:rsid w:val="00C80AC9"/>
    <w:rsid w:val="00C81229"/>
    <w:rsid w:val="00C813E7"/>
    <w:rsid w:val="00C81C35"/>
    <w:rsid w:val="00C81CDB"/>
    <w:rsid w:val="00C82174"/>
    <w:rsid w:val="00C82C7F"/>
    <w:rsid w:val="00C82D53"/>
    <w:rsid w:val="00C834B9"/>
    <w:rsid w:val="00C837C4"/>
    <w:rsid w:val="00C837F3"/>
    <w:rsid w:val="00C8390B"/>
    <w:rsid w:val="00C83D66"/>
    <w:rsid w:val="00C83FF9"/>
    <w:rsid w:val="00C846D5"/>
    <w:rsid w:val="00C84744"/>
    <w:rsid w:val="00C84E66"/>
    <w:rsid w:val="00C8527B"/>
    <w:rsid w:val="00C85320"/>
    <w:rsid w:val="00C85586"/>
    <w:rsid w:val="00C85C62"/>
    <w:rsid w:val="00C85CF3"/>
    <w:rsid w:val="00C85D89"/>
    <w:rsid w:val="00C85DC0"/>
    <w:rsid w:val="00C85DC5"/>
    <w:rsid w:val="00C85EB6"/>
    <w:rsid w:val="00C86444"/>
    <w:rsid w:val="00C8647F"/>
    <w:rsid w:val="00C86865"/>
    <w:rsid w:val="00C86C55"/>
    <w:rsid w:val="00C87076"/>
    <w:rsid w:val="00C870EC"/>
    <w:rsid w:val="00C871B7"/>
    <w:rsid w:val="00C87BB9"/>
    <w:rsid w:val="00C87C88"/>
    <w:rsid w:val="00C87CE1"/>
    <w:rsid w:val="00C87ECE"/>
    <w:rsid w:val="00C8AA50"/>
    <w:rsid w:val="00C9014B"/>
    <w:rsid w:val="00C903C4"/>
    <w:rsid w:val="00C90483"/>
    <w:rsid w:val="00C90987"/>
    <w:rsid w:val="00C90A8A"/>
    <w:rsid w:val="00C90AAB"/>
    <w:rsid w:val="00C90D91"/>
    <w:rsid w:val="00C91208"/>
    <w:rsid w:val="00C914C4"/>
    <w:rsid w:val="00C92074"/>
    <w:rsid w:val="00C924EB"/>
    <w:rsid w:val="00C92829"/>
    <w:rsid w:val="00C92B84"/>
    <w:rsid w:val="00C93015"/>
    <w:rsid w:val="00C9302B"/>
    <w:rsid w:val="00C931F5"/>
    <w:rsid w:val="00C932BD"/>
    <w:rsid w:val="00C93A0C"/>
    <w:rsid w:val="00C93F2E"/>
    <w:rsid w:val="00C9451C"/>
    <w:rsid w:val="00C94667"/>
    <w:rsid w:val="00C94894"/>
    <w:rsid w:val="00C94F52"/>
    <w:rsid w:val="00C9528D"/>
    <w:rsid w:val="00C952FA"/>
    <w:rsid w:val="00C953D1"/>
    <w:rsid w:val="00C95920"/>
    <w:rsid w:val="00C95BD7"/>
    <w:rsid w:val="00C96221"/>
    <w:rsid w:val="00C963A0"/>
    <w:rsid w:val="00C96A96"/>
    <w:rsid w:val="00C97047"/>
    <w:rsid w:val="00C97070"/>
    <w:rsid w:val="00C97091"/>
    <w:rsid w:val="00C97200"/>
    <w:rsid w:val="00C976E1"/>
    <w:rsid w:val="00C97794"/>
    <w:rsid w:val="00C97C89"/>
    <w:rsid w:val="00C97F6C"/>
    <w:rsid w:val="00CA024F"/>
    <w:rsid w:val="00CA048C"/>
    <w:rsid w:val="00CA048E"/>
    <w:rsid w:val="00CA049B"/>
    <w:rsid w:val="00CA0576"/>
    <w:rsid w:val="00CA05EF"/>
    <w:rsid w:val="00CA091C"/>
    <w:rsid w:val="00CA09AB"/>
    <w:rsid w:val="00CA0BAB"/>
    <w:rsid w:val="00CA0D12"/>
    <w:rsid w:val="00CA0D17"/>
    <w:rsid w:val="00CA143C"/>
    <w:rsid w:val="00CA149A"/>
    <w:rsid w:val="00CA188B"/>
    <w:rsid w:val="00CA19A4"/>
    <w:rsid w:val="00CA202F"/>
    <w:rsid w:val="00CA2398"/>
    <w:rsid w:val="00CA2503"/>
    <w:rsid w:val="00CA2D67"/>
    <w:rsid w:val="00CA32D2"/>
    <w:rsid w:val="00CA3613"/>
    <w:rsid w:val="00CA37EB"/>
    <w:rsid w:val="00CA3A2D"/>
    <w:rsid w:val="00CA3AE0"/>
    <w:rsid w:val="00CA3B67"/>
    <w:rsid w:val="00CA3FF7"/>
    <w:rsid w:val="00CA4355"/>
    <w:rsid w:val="00CA48DD"/>
    <w:rsid w:val="00CA4E63"/>
    <w:rsid w:val="00CA4E7C"/>
    <w:rsid w:val="00CA50BF"/>
    <w:rsid w:val="00CA533E"/>
    <w:rsid w:val="00CA5566"/>
    <w:rsid w:val="00CA563F"/>
    <w:rsid w:val="00CA57AB"/>
    <w:rsid w:val="00CA57C8"/>
    <w:rsid w:val="00CA583C"/>
    <w:rsid w:val="00CA5C58"/>
    <w:rsid w:val="00CA5E5D"/>
    <w:rsid w:val="00CA5F80"/>
    <w:rsid w:val="00CA5F92"/>
    <w:rsid w:val="00CA6158"/>
    <w:rsid w:val="00CA6277"/>
    <w:rsid w:val="00CA62EC"/>
    <w:rsid w:val="00CA6535"/>
    <w:rsid w:val="00CA664F"/>
    <w:rsid w:val="00CA68F9"/>
    <w:rsid w:val="00CA6BC0"/>
    <w:rsid w:val="00CA6E0C"/>
    <w:rsid w:val="00CA71D3"/>
    <w:rsid w:val="00CA7686"/>
    <w:rsid w:val="00CA78FE"/>
    <w:rsid w:val="00CB057F"/>
    <w:rsid w:val="00CB0734"/>
    <w:rsid w:val="00CB07B1"/>
    <w:rsid w:val="00CB07F0"/>
    <w:rsid w:val="00CB0852"/>
    <w:rsid w:val="00CB088E"/>
    <w:rsid w:val="00CB08D4"/>
    <w:rsid w:val="00CB0F20"/>
    <w:rsid w:val="00CB1039"/>
    <w:rsid w:val="00CB1497"/>
    <w:rsid w:val="00CB152E"/>
    <w:rsid w:val="00CB1708"/>
    <w:rsid w:val="00CB1D64"/>
    <w:rsid w:val="00CB1EF9"/>
    <w:rsid w:val="00CB231D"/>
    <w:rsid w:val="00CB2439"/>
    <w:rsid w:val="00CB25DD"/>
    <w:rsid w:val="00CB267C"/>
    <w:rsid w:val="00CB2A26"/>
    <w:rsid w:val="00CB2B4F"/>
    <w:rsid w:val="00CB2B84"/>
    <w:rsid w:val="00CB2D74"/>
    <w:rsid w:val="00CB2F24"/>
    <w:rsid w:val="00CB3253"/>
    <w:rsid w:val="00CB32D1"/>
    <w:rsid w:val="00CB334A"/>
    <w:rsid w:val="00CB405D"/>
    <w:rsid w:val="00CB4078"/>
    <w:rsid w:val="00CB4120"/>
    <w:rsid w:val="00CB4326"/>
    <w:rsid w:val="00CB4CB6"/>
    <w:rsid w:val="00CB4D24"/>
    <w:rsid w:val="00CB58A1"/>
    <w:rsid w:val="00CB5992"/>
    <w:rsid w:val="00CB5D48"/>
    <w:rsid w:val="00CB68B2"/>
    <w:rsid w:val="00CB69CE"/>
    <w:rsid w:val="00CB6C07"/>
    <w:rsid w:val="00CB6C5B"/>
    <w:rsid w:val="00CB7233"/>
    <w:rsid w:val="00CB78DA"/>
    <w:rsid w:val="00CB7B12"/>
    <w:rsid w:val="00CB7B9D"/>
    <w:rsid w:val="00CC026F"/>
    <w:rsid w:val="00CC03C5"/>
    <w:rsid w:val="00CC04F1"/>
    <w:rsid w:val="00CC08CF"/>
    <w:rsid w:val="00CC0B3D"/>
    <w:rsid w:val="00CC11B3"/>
    <w:rsid w:val="00CC12BB"/>
    <w:rsid w:val="00CC14A9"/>
    <w:rsid w:val="00CC163F"/>
    <w:rsid w:val="00CC1705"/>
    <w:rsid w:val="00CC1836"/>
    <w:rsid w:val="00CC1CE5"/>
    <w:rsid w:val="00CC228C"/>
    <w:rsid w:val="00CC29FF"/>
    <w:rsid w:val="00CC2ABE"/>
    <w:rsid w:val="00CC2CC8"/>
    <w:rsid w:val="00CC2F52"/>
    <w:rsid w:val="00CC3400"/>
    <w:rsid w:val="00CC3467"/>
    <w:rsid w:val="00CC34EE"/>
    <w:rsid w:val="00CC3982"/>
    <w:rsid w:val="00CC3CF6"/>
    <w:rsid w:val="00CC3E55"/>
    <w:rsid w:val="00CC3ECA"/>
    <w:rsid w:val="00CC4033"/>
    <w:rsid w:val="00CC42F1"/>
    <w:rsid w:val="00CC440E"/>
    <w:rsid w:val="00CC4534"/>
    <w:rsid w:val="00CC455A"/>
    <w:rsid w:val="00CC491A"/>
    <w:rsid w:val="00CC4A1F"/>
    <w:rsid w:val="00CC4D19"/>
    <w:rsid w:val="00CC5101"/>
    <w:rsid w:val="00CC5390"/>
    <w:rsid w:val="00CC5A72"/>
    <w:rsid w:val="00CC5CE2"/>
    <w:rsid w:val="00CC5F53"/>
    <w:rsid w:val="00CC5F6F"/>
    <w:rsid w:val="00CC6576"/>
    <w:rsid w:val="00CC667C"/>
    <w:rsid w:val="00CC6824"/>
    <w:rsid w:val="00CC6D96"/>
    <w:rsid w:val="00CC7112"/>
    <w:rsid w:val="00CC71EF"/>
    <w:rsid w:val="00CC72DF"/>
    <w:rsid w:val="00CC746C"/>
    <w:rsid w:val="00CC772B"/>
    <w:rsid w:val="00CC7A74"/>
    <w:rsid w:val="00CC7EDA"/>
    <w:rsid w:val="00CD01A2"/>
    <w:rsid w:val="00CD04E3"/>
    <w:rsid w:val="00CD06A1"/>
    <w:rsid w:val="00CD08BE"/>
    <w:rsid w:val="00CD092D"/>
    <w:rsid w:val="00CD0DF5"/>
    <w:rsid w:val="00CD1117"/>
    <w:rsid w:val="00CD1472"/>
    <w:rsid w:val="00CD1860"/>
    <w:rsid w:val="00CD1CB9"/>
    <w:rsid w:val="00CD1D92"/>
    <w:rsid w:val="00CD27E4"/>
    <w:rsid w:val="00CD2A51"/>
    <w:rsid w:val="00CD2A93"/>
    <w:rsid w:val="00CD2BBC"/>
    <w:rsid w:val="00CD31F0"/>
    <w:rsid w:val="00CD3469"/>
    <w:rsid w:val="00CD34D6"/>
    <w:rsid w:val="00CD3DBB"/>
    <w:rsid w:val="00CD406A"/>
    <w:rsid w:val="00CD42FD"/>
    <w:rsid w:val="00CD43D0"/>
    <w:rsid w:val="00CD44CB"/>
    <w:rsid w:val="00CD4717"/>
    <w:rsid w:val="00CD48AE"/>
    <w:rsid w:val="00CD4AE4"/>
    <w:rsid w:val="00CD4DFB"/>
    <w:rsid w:val="00CD4F40"/>
    <w:rsid w:val="00CD5112"/>
    <w:rsid w:val="00CD52E5"/>
    <w:rsid w:val="00CD5308"/>
    <w:rsid w:val="00CD5349"/>
    <w:rsid w:val="00CD566F"/>
    <w:rsid w:val="00CD5742"/>
    <w:rsid w:val="00CD5BE3"/>
    <w:rsid w:val="00CD5EC1"/>
    <w:rsid w:val="00CD680C"/>
    <w:rsid w:val="00CD68AB"/>
    <w:rsid w:val="00CD6D9F"/>
    <w:rsid w:val="00CD785C"/>
    <w:rsid w:val="00CDD6F7"/>
    <w:rsid w:val="00CE01DC"/>
    <w:rsid w:val="00CE0271"/>
    <w:rsid w:val="00CE0370"/>
    <w:rsid w:val="00CE052D"/>
    <w:rsid w:val="00CE09C5"/>
    <w:rsid w:val="00CE11AC"/>
    <w:rsid w:val="00CE11E9"/>
    <w:rsid w:val="00CE129A"/>
    <w:rsid w:val="00CE14E0"/>
    <w:rsid w:val="00CE1656"/>
    <w:rsid w:val="00CE1712"/>
    <w:rsid w:val="00CE1CAA"/>
    <w:rsid w:val="00CE2029"/>
    <w:rsid w:val="00CE219D"/>
    <w:rsid w:val="00CE24B0"/>
    <w:rsid w:val="00CE2714"/>
    <w:rsid w:val="00CE2A6E"/>
    <w:rsid w:val="00CE2AC1"/>
    <w:rsid w:val="00CE2E1A"/>
    <w:rsid w:val="00CE339A"/>
    <w:rsid w:val="00CE3600"/>
    <w:rsid w:val="00CE364B"/>
    <w:rsid w:val="00CE36A3"/>
    <w:rsid w:val="00CE36FB"/>
    <w:rsid w:val="00CE3728"/>
    <w:rsid w:val="00CE3AE2"/>
    <w:rsid w:val="00CE3C25"/>
    <w:rsid w:val="00CE3E16"/>
    <w:rsid w:val="00CE4151"/>
    <w:rsid w:val="00CE44DD"/>
    <w:rsid w:val="00CE485E"/>
    <w:rsid w:val="00CE4AF7"/>
    <w:rsid w:val="00CE4BF8"/>
    <w:rsid w:val="00CE4D12"/>
    <w:rsid w:val="00CE4DD6"/>
    <w:rsid w:val="00CE4F98"/>
    <w:rsid w:val="00CE5006"/>
    <w:rsid w:val="00CE5430"/>
    <w:rsid w:val="00CE5558"/>
    <w:rsid w:val="00CE559A"/>
    <w:rsid w:val="00CE57C0"/>
    <w:rsid w:val="00CE59A8"/>
    <w:rsid w:val="00CE5B4E"/>
    <w:rsid w:val="00CE5B9A"/>
    <w:rsid w:val="00CE5CB6"/>
    <w:rsid w:val="00CE62CC"/>
    <w:rsid w:val="00CE6A4D"/>
    <w:rsid w:val="00CE736F"/>
    <w:rsid w:val="00CE73B0"/>
    <w:rsid w:val="00CE79C3"/>
    <w:rsid w:val="00CE7DF5"/>
    <w:rsid w:val="00CE7F0D"/>
    <w:rsid w:val="00CF01A6"/>
    <w:rsid w:val="00CF0540"/>
    <w:rsid w:val="00CF054D"/>
    <w:rsid w:val="00CF0C6C"/>
    <w:rsid w:val="00CF0F69"/>
    <w:rsid w:val="00CF0FA7"/>
    <w:rsid w:val="00CF2352"/>
    <w:rsid w:val="00CF24C7"/>
    <w:rsid w:val="00CF2607"/>
    <w:rsid w:val="00CF265C"/>
    <w:rsid w:val="00CF2664"/>
    <w:rsid w:val="00CF2EE9"/>
    <w:rsid w:val="00CF31C2"/>
    <w:rsid w:val="00CF331C"/>
    <w:rsid w:val="00CF3747"/>
    <w:rsid w:val="00CF3971"/>
    <w:rsid w:val="00CF3D58"/>
    <w:rsid w:val="00CF3F8E"/>
    <w:rsid w:val="00CF435E"/>
    <w:rsid w:val="00CF47CA"/>
    <w:rsid w:val="00CF48BC"/>
    <w:rsid w:val="00CF4BA5"/>
    <w:rsid w:val="00CF4F5E"/>
    <w:rsid w:val="00CF5542"/>
    <w:rsid w:val="00CF5A15"/>
    <w:rsid w:val="00CF5D1C"/>
    <w:rsid w:val="00CF5FE7"/>
    <w:rsid w:val="00CF6442"/>
    <w:rsid w:val="00CF65A0"/>
    <w:rsid w:val="00CF6828"/>
    <w:rsid w:val="00CF69CA"/>
    <w:rsid w:val="00CF6CA0"/>
    <w:rsid w:val="00CF723C"/>
    <w:rsid w:val="00CF77EC"/>
    <w:rsid w:val="00CF79E7"/>
    <w:rsid w:val="00CF7AE0"/>
    <w:rsid w:val="00CF7B84"/>
    <w:rsid w:val="00CF7D7B"/>
    <w:rsid w:val="00CF7DD0"/>
    <w:rsid w:val="00CF7E50"/>
    <w:rsid w:val="00CF7FAD"/>
    <w:rsid w:val="00D002A8"/>
    <w:rsid w:val="00D003B5"/>
    <w:rsid w:val="00D00A65"/>
    <w:rsid w:val="00D00C96"/>
    <w:rsid w:val="00D00CC7"/>
    <w:rsid w:val="00D00FD9"/>
    <w:rsid w:val="00D01B29"/>
    <w:rsid w:val="00D01F00"/>
    <w:rsid w:val="00D0203C"/>
    <w:rsid w:val="00D020DB"/>
    <w:rsid w:val="00D02109"/>
    <w:rsid w:val="00D0222B"/>
    <w:rsid w:val="00D027BC"/>
    <w:rsid w:val="00D02B68"/>
    <w:rsid w:val="00D02F51"/>
    <w:rsid w:val="00D02F6E"/>
    <w:rsid w:val="00D030EE"/>
    <w:rsid w:val="00D032AC"/>
    <w:rsid w:val="00D03303"/>
    <w:rsid w:val="00D03308"/>
    <w:rsid w:val="00D03468"/>
    <w:rsid w:val="00D034AC"/>
    <w:rsid w:val="00D03AEB"/>
    <w:rsid w:val="00D03B97"/>
    <w:rsid w:val="00D03D9A"/>
    <w:rsid w:val="00D0442B"/>
    <w:rsid w:val="00D04749"/>
    <w:rsid w:val="00D04758"/>
    <w:rsid w:val="00D04DA9"/>
    <w:rsid w:val="00D0515D"/>
    <w:rsid w:val="00D05291"/>
    <w:rsid w:val="00D054CE"/>
    <w:rsid w:val="00D0557D"/>
    <w:rsid w:val="00D0578C"/>
    <w:rsid w:val="00D05842"/>
    <w:rsid w:val="00D058FE"/>
    <w:rsid w:val="00D0590A"/>
    <w:rsid w:val="00D05CD8"/>
    <w:rsid w:val="00D05D65"/>
    <w:rsid w:val="00D05F3F"/>
    <w:rsid w:val="00D0627A"/>
    <w:rsid w:val="00D0634A"/>
    <w:rsid w:val="00D064EE"/>
    <w:rsid w:val="00D06848"/>
    <w:rsid w:val="00D068CD"/>
    <w:rsid w:val="00D06D00"/>
    <w:rsid w:val="00D06ED6"/>
    <w:rsid w:val="00D06F4E"/>
    <w:rsid w:val="00D07084"/>
    <w:rsid w:val="00D07447"/>
    <w:rsid w:val="00D07C15"/>
    <w:rsid w:val="00D07F7D"/>
    <w:rsid w:val="00D1032B"/>
    <w:rsid w:val="00D105DA"/>
    <w:rsid w:val="00D1061A"/>
    <w:rsid w:val="00D10742"/>
    <w:rsid w:val="00D1078E"/>
    <w:rsid w:val="00D10A0E"/>
    <w:rsid w:val="00D10B61"/>
    <w:rsid w:val="00D10FCC"/>
    <w:rsid w:val="00D111D3"/>
    <w:rsid w:val="00D11BDD"/>
    <w:rsid w:val="00D11EFB"/>
    <w:rsid w:val="00D1215F"/>
    <w:rsid w:val="00D121B1"/>
    <w:rsid w:val="00D122FC"/>
    <w:rsid w:val="00D123FC"/>
    <w:rsid w:val="00D12CD9"/>
    <w:rsid w:val="00D12F3B"/>
    <w:rsid w:val="00D1300A"/>
    <w:rsid w:val="00D131DA"/>
    <w:rsid w:val="00D1330E"/>
    <w:rsid w:val="00D13885"/>
    <w:rsid w:val="00D139C1"/>
    <w:rsid w:val="00D13A48"/>
    <w:rsid w:val="00D13A95"/>
    <w:rsid w:val="00D13BD5"/>
    <w:rsid w:val="00D1412A"/>
    <w:rsid w:val="00D142D3"/>
    <w:rsid w:val="00D146A7"/>
    <w:rsid w:val="00D146F9"/>
    <w:rsid w:val="00D14736"/>
    <w:rsid w:val="00D14986"/>
    <w:rsid w:val="00D153BD"/>
    <w:rsid w:val="00D153FE"/>
    <w:rsid w:val="00D1565D"/>
    <w:rsid w:val="00D15B32"/>
    <w:rsid w:val="00D16300"/>
    <w:rsid w:val="00D163CA"/>
    <w:rsid w:val="00D1684C"/>
    <w:rsid w:val="00D16BBB"/>
    <w:rsid w:val="00D16C0A"/>
    <w:rsid w:val="00D170A2"/>
    <w:rsid w:val="00D17259"/>
    <w:rsid w:val="00D178B6"/>
    <w:rsid w:val="00D179FA"/>
    <w:rsid w:val="00D17B4A"/>
    <w:rsid w:val="00D17EE4"/>
    <w:rsid w:val="00D17F99"/>
    <w:rsid w:val="00D200F5"/>
    <w:rsid w:val="00D204EE"/>
    <w:rsid w:val="00D208EE"/>
    <w:rsid w:val="00D209E1"/>
    <w:rsid w:val="00D21690"/>
    <w:rsid w:val="00D2184E"/>
    <w:rsid w:val="00D21941"/>
    <w:rsid w:val="00D219EC"/>
    <w:rsid w:val="00D21B73"/>
    <w:rsid w:val="00D222E0"/>
    <w:rsid w:val="00D22497"/>
    <w:rsid w:val="00D224E7"/>
    <w:rsid w:val="00D2252B"/>
    <w:rsid w:val="00D22800"/>
    <w:rsid w:val="00D22886"/>
    <w:rsid w:val="00D22C38"/>
    <w:rsid w:val="00D22EC4"/>
    <w:rsid w:val="00D23064"/>
    <w:rsid w:val="00D232A5"/>
    <w:rsid w:val="00D233E9"/>
    <w:rsid w:val="00D23764"/>
    <w:rsid w:val="00D239DA"/>
    <w:rsid w:val="00D2404E"/>
    <w:rsid w:val="00D245CF"/>
    <w:rsid w:val="00D249F6"/>
    <w:rsid w:val="00D24C6B"/>
    <w:rsid w:val="00D24ECE"/>
    <w:rsid w:val="00D24F49"/>
    <w:rsid w:val="00D25151"/>
    <w:rsid w:val="00D2550E"/>
    <w:rsid w:val="00D25B3B"/>
    <w:rsid w:val="00D25C24"/>
    <w:rsid w:val="00D25E19"/>
    <w:rsid w:val="00D260F1"/>
    <w:rsid w:val="00D2616E"/>
    <w:rsid w:val="00D2688C"/>
    <w:rsid w:val="00D26F5F"/>
    <w:rsid w:val="00D273AA"/>
    <w:rsid w:val="00D301C7"/>
    <w:rsid w:val="00D3028D"/>
    <w:rsid w:val="00D302B3"/>
    <w:rsid w:val="00D303AD"/>
    <w:rsid w:val="00D306AD"/>
    <w:rsid w:val="00D30785"/>
    <w:rsid w:val="00D30998"/>
    <w:rsid w:val="00D30EC2"/>
    <w:rsid w:val="00D30EEC"/>
    <w:rsid w:val="00D30F7F"/>
    <w:rsid w:val="00D3116F"/>
    <w:rsid w:val="00D31602"/>
    <w:rsid w:val="00D3183A"/>
    <w:rsid w:val="00D31BE3"/>
    <w:rsid w:val="00D31D88"/>
    <w:rsid w:val="00D31F0D"/>
    <w:rsid w:val="00D31F1C"/>
    <w:rsid w:val="00D320BC"/>
    <w:rsid w:val="00D3241E"/>
    <w:rsid w:val="00D32431"/>
    <w:rsid w:val="00D330BC"/>
    <w:rsid w:val="00D3312D"/>
    <w:rsid w:val="00D33145"/>
    <w:rsid w:val="00D3321E"/>
    <w:rsid w:val="00D332F6"/>
    <w:rsid w:val="00D3335B"/>
    <w:rsid w:val="00D333A0"/>
    <w:rsid w:val="00D3386F"/>
    <w:rsid w:val="00D33A8C"/>
    <w:rsid w:val="00D340A0"/>
    <w:rsid w:val="00D34273"/>
    <w:rsid w:val="00D34432"/>
    <w:rsid w:val="00D34734"/>
    <w:rsid w:val="00D34754"/>
    <w:rsid w:val="00D3485A"/>
    <w:rsid w:val="00D34865"/>
    <w:rsid w:val="00D34A81"/>
    <w:rsid w:val="00D34E0B"/>
    <w:rsid w:val="00D34E36"/>
    <w:rsid w:val="00D351EF"/>
    <w:rsid w:val="00D35400"/>
    <w:rsid w:val="00D358FB"/>
    <w:rsid w:val="00D35A22"/>
    <w:rsid w:val="00D35A7A"/>
    <w:rsid w:val="00D35D01"/>
    <w:rsid w:val="00D35F54"/>
    <w:rsid w:val="00D3602C"/>
    <w:rsid w:val="00D362F2"/>
    <w:rsid w:val="00D364B0"/>
    <w:rsid w:val="00D365CC"/>
    <w:rsid w:val="00D36815"/>
    <w:rsid w:val="00D36DB0"/>
    <w:rsid w:val="00D36E22"/>
    <w:rsid w:val="00D36E3B"/>
    <w:rsid w:val="00D36EF0"/>
    <w:rsid w:val="00D370CF"/>
    <w:rsid w:val="00D373EF"/>
    <w:rsid w:val="00D37402"/>
    <w:rsid w:val="00D3740C"/>
    <w:rsid w:val="00D37529"/>
    <w:rsid w:val="00D37D11"/>
    <w:rsid w:val="00D4010B"/>
    <w:rsid w:val="00D4054B"/>
    <w:rsid w:val="00D40703"/>
    <w:rsid w:val="00D407AD"/>
    <w:rsid w:val="00D40899"/>
    <w:rsid w:val="00D40AD6"/>
    <w:rsid w:val="00D40C2D"/>
    <w:rsid w:val="00D40F66"/>
    <w:rsid w:val="00D4127C"/>
    <w:rsid w:val="00D41552"/>
    <w:rsid w:val="00D4172E"/>
    <w:rsid w:val="00D417BC"/>
    <w:rsid w:val="00D41810"/>
    <w:rsid w:val="00D41955"/>
    <w:rsid w:val="00D41958"/>
    <w:rsid w:val="00D42A3C"/>
    <w:rsid w:val="00D42B28"/>
    <w:rsid w:val="00D42B30"/>
    <w:rsid w:val="00D42C92"/>
    <w:rsid w:val="00D42E78"/>
    <w:rsid w:val="00D432A4"/>
    <w:rsid w:val="00D4339A"/>
    <w:rsid w:val="00D4341E"/>
    <w:rsid w:val="00D435C0"/>
    <w:rsid w:val="00D438D7"/>
    <w:rsid w:val="00D43C02"/>
    <w:rsid w:val="00D43D21"/>
    <w:rsid w:val="00D43DC5"/>
    <w:rsid w:val="00D4410A"/>
    <w:rsid w:val="00D441AC"/>
    <w:rsid w:val="00D4420A"/>
    <w:rsid w:val="00D445FF"/>
    <w:rsid w:val="00D44B5B"/>
    <w:rsid w:val="00D44E48"/>
    <w:rsid w:val="00D453A1"/>
    <w:rsid w:val="00D454E2"/>
    <w:rsid w:val="00D46145"/>
    <w:rsid w:val="00D4619C"/>
    <w:rsid w:val="00D461F9"/>
    <w:rsid w:val="00D46372"/>
    <w:rsid w:val="00D463BE"/>
    <w:rsid w:val="00D46684"/>
    <w:rsid w:val="00D46AAE"/>
    <w:rsid w:val="00D46D2E"/>
    <w:rsid w:val="00D47121"/>
    <w:rsid w:val="00D472F6"/>
    <w:rsid w:val="00D473CB"/>
    <w:rsid w:val="00D4745E"/>
    <w:rsid w:val="00D478AC"/>
    <w:rsid w:val="00D47C41"/>
    <w:rsid w:val="00D47CD5"/>
    <w:rsid w:val="00D503BA"/>
    <w:rsid w:val="00D50854"/>
    <w:rsid w:val="00D5089A"/>
    <w:rsid w:val="00D508D5"/>
    <w:rsid w:val="00D50B2D"/>
    <w:rsid w:val="00D50BD8"/>
    <w:rsid w:val="00D50DD3"/>
    <w:rsid w:val="00D512A5"/>
    <w:rsid w:val="00D51411"/>
    <w:rsid w:val="00D51752"/>
    <w:rsid w:val="00D518AC"/>
    <w:rsid w:val="00D51981"/>
    <w:rsid w:val="00D51B92"/>
    <w:rsid w:val="00D51BBF"/>
    <w:rsid w:val="00D51F31"/>
    <w:rsid w:val="00D52842"/>
    <w:rsid w:val="00D52856"/>
    <w:rsid w:val="00D52910"/>
    <w:rsid w:val="00D52EC7"/>
    <w:rsid w:val="00D52F21"/>
    <w:rsid w:val="00D530DA"/>
    <w:rsid w:val="00D53269"/>
    <w:rsid w:val="00D5327A"/>
    <w:rsid w:val="00D5363B"/>
    <w:rsid w:val="00D5388C"/>
    <w:rsid w:val="00D53B15"/>
    <w:rsid w:val="00D545D2"/>
    <w:rsid w:val="00D54C97"/>
    <w:rsid w:val="00D55017"/>
    <w:rsid w:val="00D551B3"/>
    <w:rsid w:val="00D559E9"/>
    <w:rsid w:val="00D55B01"/>
    <w:rsid w:val="00D55C39"/>
    <w:rsid w:val="00D55D5D"/>
    <w:rsid w:val="00D55E5A"/>
    <w:rsid w:val="00D55FC4"/>
    <w:rsid w:val="00D55FDD"/>
    <w:rsid w:val="00D5643C"/>
    <w:rsid w:val="00D56900"/>
    <w:rsid w:val="00D56B48"/>
    <w:rsid w:val="00D577D9"/>
    <w:rsid w:val="00D578EB"/>
    <w:rsid w:val="00D57A5B"/>
    <w:rsid w:val="00D60112"/>
    <w:rsid w:val="00D60272"/>
    <w:rsid w:val="00D60573"/>
    <w:rsid w:val="00D606B7"/>
    <w:rsid w:val="00D6073A"/>
    <w:rsid w:val="00D60B6F"/>
    <w:rsid w:val="00D60C34"/>
    <w:rsid w:val="00D60D6D"/>
    <w:rsid w:val="00D60E40"/>
    <w:rsid w:val="00D611D7"/>
    <w:rsid w:val="00D615A9"/>
    <w:rsid w:val="00D61604"/>
    <w:rsid w:val="00D61B28"/>
    <w:rsid w:val="00D621B6"/>
    <w:rsid w:val="00D62609"/>
    <w:rsid w:val="00D62A4D"/>
    <w:rsid w:val="00D62AF6"/>
    <w:rsid w:val="00D62CDB"/>
    <w:rsid w:val="00D62E5A"/>
    <w:rsid w:val="00D630BC"/>
    <w:rsid w:val="00D633EE"/>
    <w:rsid w:val="00D635AE"/>
    <w:rsid w:val="00D637F4"/>
    <w:rsid w:val="00D63CC9"/>
    <w:rsid w:val="00D63E16"/>
    <w:rsid w:val="00D640B4"/>
    <w:rsid w:val="00D641CE"/>
    <w:rsid w:val="00D6420B"/>
    <w:rsid w:val="00D642F1"/>
    <w:rsid w:val="00D643AC"/>
    <w:rsid w:val="00D65015"/>
    <w:rsid w:val="00D6522D"/>
    <w:rsid w:val="00D65293"/>
    <w:rsid w:val="00D652D4"/>
    <w:rsid w:val="00D6533A"/>
    <w:rsid w:val="00D65657"/>
    <w:rsid w:val="00D65862"/>
    <w:rsid w:val="00D65C7E"/>
    <w:rsid w:val="00D65C8E"/>
    <w:rsid w:val="00D65CD1"/>
    <w:rsid w:val="00D66167"/>
    <w:rsid w:val="00D6626A"/>
    <w:rsid w:val="00D66368"/>
    <w:rsid w:val="00D666D1"/>
    <w:rsid w:val="00D6687E"/>
    <w:rsid w:val="00D66B02"/>
    <w:rsid w:val="00D66BB2"/>
    <w:rsid w:val="00D66C6A"/>
    <w:rsid w:val="00D674B5"/>
    <w:rsid w:val="00D67531"/>
    <w:rsid w:val="00D67901"/>
    <w:rsid w:val="00D67B0D"/>
    <w:rsid w:val="00D67D0B"/>
    <w:rsid w:val="00D67EF3"/>
    <w:rsid w:val="00D67F74"/>
    <w:rsid w:val="00D7008B"/>
    <w:rsid w:val="00D702DD"/>
    <w:rsid w:val="00D705EF"/>
    <w:rsid w:val="00D7062E"/>
    <w:rsid w:val="00D710A9"/>
    <w:rsid w:val="00D71150"/>
    <w:rsid w:val="00D711C7"/>
    <w:rsid w:val="00D715FA"/>
    <w:rsid w:val="00D7184E"/>
    <w:rsid w:val="00D71A1A"/>
    <w:rsid w:val="00D71CD7"/>
    <w:rsid w:val="00D71D18"/>
    <w:rsid w:val="00D71F60"/>
    <w:rsid w:val="00D720A4"/>
    <w:rsid w:val="00D7214D"/>
    <w:rsid w:val="00D72548"/>
    <w:rsid w:val="00D72826"/>
    <w:rsid w:val="00D72A7B"/>
    <w:rsid w:val="00D73034"/>
    <w:rsid w:val="00D7376C"/>
    <w:rsid w:val="00D73A35"/>
    <w:rsid w:val="00D73BAC"/>
    <w:rsid w:val="00D73F7E"/>
    <w:rsid w:val="00D74212"/>
    <w:rsid w:val="00D74641"/>
    <w:rsid w:val="00D749C3"/>
    <w:rsid w:val="00D74D93"/>
    <w:rsid w:val="00D74E18"/>
    <w:rsid w:val="00D7502B"/>
    <w:rsid w:val="00D751CA"/>
    <w:rsid w:val="00D7561B"/>
    <w:rsid w:val="00D7562D"/>
    <w:rsid w:val="00D75A60"/>
    <w:rsid w:val="00D75CC5"/>
    <w:rsid w:val="00D760B8"/>
    <w:rsid w:val="00D762CA"/>
    <w:rsid w:val="00D7664B"/>
    <w:rsid w:val="00D7664F"/>
    <w:rsid w:val="00D767F9"/>
    <w:rsid w:val="00D76A2E"/>
    <w:rsid w:val="00D77102"/>
    <w:rsid w:val="00D77103"/>
    <w:rsid w:val="00D776E9"/>
    <w:rsid w:val="00D77A19"/>
    <w:rsid w:val="00D77E85"/>
    <w:rsid w:val="00D77F32"/>
    <w:rsid w:val="00D8007D"/>
    <w:rsid w:val="00D80118"/>
    <w:rsid w:val="00D8018B"/>
    <w:rsid w:val="00D8063D"/>
    <w:rsid w:val="00D80819"/>
    <w:rsid w:val="00D80E0E"/>
    <w:rsid w:val="00D810B1"/>
    <w:rsid w:val="00D815EC"/>
    <w:rsid w:val="00D816C6"/>
    <w:rsid w:val="00D81809"/>
    <w:rsid w:val="00D81AE5"/>
    <w:rsid w:val="00D81BE5"/>
    <w:rsid w:val="00D81E4E"/>
    <w:rsid w:val="00D81F1B"/>
    <w:rsid w:val="00D82286"/>
    <w:rsid w:val="00D82729"/>
    <w:rsid w:val="00D82C7C"/>
    <w:rsid w:val="00D82CDF"/>
    <w:rsid w:val="00D83085"/>
    <w:rsid w:val="00D83248"/>
    <w:rsid w:val="00D83984"/>
    <w:rsid w:val="00D83A8E"/>
    <w:rsid w:val="00D83C5A"/>
    <w:rsid w:val="00D83F62"/>
    <w:rsid w:val="00D83FCE"/>
    <w:rsid w:val="00D840B9"/>
    <w:rsid w:val="00D8430D"/>
    <w:rsid w:val="00D843F2"/>
    <w:rsid w:val="00D84626"/>
    <w:rsid w:val="00D848C7"/>
    <w:rsid w:val="00D84A37"/>
    <w:rsid w:val="00D84ABE"/>
    <w:rsid w:val="00D84F88"/>
    <w:rsid w:val="00D85F01"/>
    <w:rsid w:val="00D865FF"/>
    <w:rsid w:val="00D86640"/>
    <w:rsid w:val="00D866BF"/>
    <w:rsid w:val="00D86C1A"/>
    <w:rsid w:val="00D86FDA"/>
    <w:rsid w:val="00D872E8"/>
    <w:rsid w:val="00D873E3"/>
    <w:rsid w:val="00D87BA7"/>
    <w:rsid w:val="00D87BFA"/>
    <w:rsid w:val="00D87D29"/>
    <w:rsid w:val="00D9000B"/>
    <w:rsid w:val="00D90013"/>
    <w:rsid w:val="00D90174"/>
    <w:rsid w:val="00D90260"/>
    <w:rsid w:val="00D904D0"/>
    <w:rsid w:val="00D90502"/>
    <w:rsid w:val="00D90576"/>
    <w:rsid w:val="00D909D9"/>
    <w:rsid w:val="00D90D84"/>
    <w:rsid w:val="00D914D9"/>
    <w:rsid w:val="00D9153D"/>
    <w:rsid w:val="00D9178D"/>
    <w:rsid w:val="00D92382"/>
    <w:rsid w:val="00D92894"/>
    <w:rsid w:val="00D9289F"/>
    <w:rsid w:val="00D92CFE"/>
    <w:rsid w:val="00D92FC6"/>
    <w:rsid w:val="00D93348"/>
    <w:rsid w:val="00D9384D"/>
    <w:rsid w:val="00D938FD"/>
    <w:rsid w:val="00D93A54"/>
    <w:rsid w:val="00D94115"/>
    <w:rsid w:val="00D9443B"/>
    <w:rsid w:val="00D94456"/>
    <w:rsid w:val="00D94862"/>
    <w:rsid w:val="00D948F1"/>
    <w:rsid w:val="00D94ADA"/>
    <w:rsid w:val="00D94DD1"/>
    <w:rsid w:val="00D94F73"/>
    <w:rsid w:val="00D952A6"/>
    <w:rsid w:val="00D95579"/>
    <w:rsid w:val="00D95669"/>
    <w:rsid w:val="00D95A41"/>
    <w:rsid w:val="00D9650E"/>
    <w:rsid w:val="00D9680F"/>
    <w:rsid w:val="00D96B28"/>
    <w:rsid w:val="00D96C8A"/>
    <w:rsid w:val="00D96E06"/>
    <w:rsid w:val="00D96FA2"/>
    <w:rsid w:val="00D97295"/>
    <w:rsid w:val="00D973D5"/>
    <w:rsid w:val="00D97480"/>
    <w:rsid w:val="00D97512"/>
    <w:rsid w:val="00D97520"/>
    <w:rsid w:val="00D9759B"/>
    <w:rsid w:val="00D97D60"/>
    <w:rsid w:val="00DA0090"/>
    <w:rsid w:val="00DA0527"/>
    <w:rsid w:val="00DA05BA"/>
    <w:rsid w:val="00DA0CF0"/>
    <w:rsid w:val="00DA0F88"/>
    <w:rsid w:val="00DA0F8A"/>
    <w:rsid w:val="00DA0FC4"/>
    <w:rsid w:val="00DA1184"/>
    <w:rsid w:val="00DA1191"/>
    <w:rsid w:val="00DA11B6"/>
    <w:rsid w:val="00DA1945"/>
    <w:rsid w:val="00DA1CE3"/>
    <w:rsid w:val="00DA1E6C"/>
    <w:rsid w:val="00DA2801"/>
    <w:rsid w:val="00DA2F10"/>
    <w:rsid w:val="00DA2F19"/>
    <w:rsid w:val="00DA2FCD"/>
    <w:rsid w:val="00DA3063"/>
    <w:rsid w:val="00DA33AF"/>
    <w:rsid w:val="00DA35A4"/>
    <w:rsid w:val="00DA3745"/>
    <w:rsid w:val="00DA38A4"/>
    <w:rsid w:val="00DA38CC"/>
    <w:rsid w:val="00DA3ED3"/>
    <w:rsid w:val="00DA4532"/>
    <w:rsid w:val="00DA47B8"/>
    <w:rsid w:val="00DA504C"/>
    <w:rsid w:val="00DA50F2"/>
    <w:rsid w:val="00DA5471"/>
    <w:rsid w:val="00DA5606"/>
    <w:rsid w:val="00DA5733"/>
    <w:rsid w:val="00DA580D"/>
    <w:rsid w:val="00DA5902"/>
    <w:rsid w:val="00DA5C42"/>
    <w:rsid w:val="00DA5EF6"/>
    <w:rsid w:val="00DA5FCF"/>
    <w:rsid w:val="00DA6317"/>
    <w:rsid w:val="00DA63DE"/>
    <w:rsid w:val="00DA66C0"/>
    <w:rsid w:val="00DA6730"/>
    <w:rsid w:val="00DA6753"/>
    <w:rsid w:val="00DA69E6"/>
    <w:rsid w:val="00DA6A74"/>
    <w:rsid w:val="00DA71B8"/>
    <w:rsid w:val="00DA7645"/>
    <w:rsid w:val="00DB05E4"/>
    <w:rsid w:val="00DB0845"/>
    <w:rsid w:val="00DB0867"/>
    <w:rsid w:val="00DB0D55"/>
    <w:rsid w:val="00DB0FEE"/>
    <w:rsid w:val="00DB1042"/>
    <w:rsid w:val="00DB14EF"/>
    <w:rsid w:val="00DB18BB"/>
    <w:rsid w:val="00DB1D1E"/>
    <w:rsid w:val="00DB21EE"/>
    <w:rsid w:val="00DB25FB"/>
    <w:rsid w:val="00DB26F6"/>
    <w:rsid w:val="00DB292C"/>
    <w:rsid w:val="00DB2A02"/>
    <w:rsid w:val="00DB2A89"/>
    <w:rsid w:val="00DB2D52"/>
    <w:rsid w:val="00DB332F"/>
    <w:rsid w:val="00DB3B99"/>
    <w:rsid w:val="00DB3C74"/>
    <w:rsid w:val="00DB3DA1"/>
    <w:rsid w:val="00DB4019"/>
    <w:rsid w:val="00DB4441"/>
    <w:rsid w:val="00DB44B7"/>
    <w:rsid w:val="00DB49C6"/>
    <w:rsid w:val="00DB4DF0"/>
    <w:rsid w:val="00DB51FB"/>
    <w:rsid w:val="00DB5636"/>
    <w:rsid w:val="00DB56AD"/>
    <w:rsid w:val="00DB56B9"/>
    <w:rsid w:val="00DB5C7B"/>
    <w:rsid w:val="00DB5EAB"/>
    <w:rsid w:val="00DB7690"/>
    <w:rsid w:val="00DB7827"/>
    <w:rsid w:val="00DB7ECD"/>
    <w:rsid w:val="00DC0301"/>
    <w:rsid w:val="00DC0350"/>
    <w:rsid w:val="00DC0419"/>
    <w:rsid w:val="00DC058B"/>
    <w:rsid w:val="00DC08ED"/>
    <w:rsid w:val="00DC0B85"/>
    <w:rsid w:val="00DC0C45"/>
    <w:rsid w:val="00DC0C4C"/>
    <w:rsid w:val="00DC0C57"/>
    <w:rsid w:val="00DC0D8E"/>
    <w:rsid w:val="00DC0D9B"/>
    <w:rsid w:val="00DC0F6D"/>
    <w:rsid w:val="00DC1961"/>
    <w:rsid w:val="00DC1AC4"/>
    <w:rsid w:val="00DC1B12"/>
    <w:rsid w:val="00DC2056"/>
    <w:rsid w:val="00DC2121"/>
    <w:rsid w:val="00DC2AF4"/>
    <w:rsid w:val="00DC2E29"/>
    <w:rsid w:val="00DC2E2D"/>
    <w:rsid w:val="00DC2F14"/>
    <w:rsid w:val="00DC31DC"/>
    <w:rsid w:val="00DC34EE"/>
    <w:rsid w:val="00DC36E0"/>
    <w:rsid w:val="00DC3A39"/>
    <w:rsid w:val="00DC3EE8"/>
    <w:rsid w:val="00DC42D6"/>
    <w:rsid w:val="00DC4730"/>
    <w:rsid w:val="00DC4C5E"/>
    <w:rsid w:val="00DC4CEF"/>
    <w:rsid w:val="00DC4E42"/>
    <w:rsid w:val="00DC5223"/>
    <w:rsid w:val="00DC5367"/>
    <w:rsid w:val="00DC5430"/>
    <w:rsid w:val="00DC5525"/>
    <w:rsid w:val="00DC55A2"/>
    <w:rsid w:val="00DC5655"/>
    <w:rsid w:val="00DC6330"/>
    <w:rsid w:val="00DC675C"/>
    <w:rsid w:val="00DC6989"/>
    <w:rsid w:val="00DC6B99"/>
    <w:rsid w:val="00DC6CDA"/>
    <w:rsid w:val="00DC7014"/>
    <w:rsid w:val="00DC72DC"/>
    <w:rsid w:val="00DC72FF"/>
    <w:rsid w:val="00DC7506"/>
    <w:rsid w:val="00DD05A3"/>
    <w:rsid w:val="00DD06D4"/>
    <w:rsid w:val="00DD081D"/>
    <w:rsid w:val="00DD10D0"/>
    <w:rsid w:val="00DD115E"/>
    <w:rsid w:val="00DD164A"/>
    <w:rsid w:val="00DD1785"/>
    <w:rsid w:val="00DD17C7"/>
    <w:rsid w:val="00DD1AE3"/>
    <w:rsid w:val="00DD258B"/>
    <w:rsid w:val="00DD2BEB"/>
    <w:rsid w:val="00DD2EE5"/>
    <w:rsid w:val="00DD30D7"/>
    <w:rsid w:val="00DD3856"/>
    <w:rsid w:val="00DD3ABB"/>
    <w:rsid w:val="00DD3D29"/>
    <w:rsid w:val="00DD3D7E"/>
    <w:rsid w:val="00DD410A"/>
    <w:rsid w:val="00DD4116"/>
    <w:rsid w:val="00DD42AB"/>
    <w:rsid w:val="00DD434A"/>
    <w:rsid w:val="00DD43F8"/>
    <w:rsid w:val="00DD46B6"/>
    <w:rsid w:val="00DD4DB8"/>
    <w:rsid w:val="00DD5387"/>
    <w:rsid w:val="00DD54DD"/>
    <w:rsid w:val="00DD555C"/>
    <w:rsid w:val="00DD5B11"/>
    <w:rsid w:val="00DD5D23"/>
    <w:rsid w:val="00DD5E66"/>
    <w:rsid w:val="00DD6372"/>
    <w:rsid w:val="00DD67AE"/>
    <w:rsid w:val="00DD67BE"/>
    <w:rsid w:val="00DD68C5"/>
    <w:rsid w:val="00DD7091"/>
    <w:rsid w:val="00DD7284"/>
    <w:rsid w:val="00DD763C"/>
    <w:rsid w:val="00DD793A"/>
    <w:rsid w:val="00DD7B45"/>
    <w:rsid w:val="00DD7C05"/>
    <w:rsid w:val="00DD7D1C"/>
    <w:rsid w:val="00DE04F1"/>
    <w:rsid w:val="00DE0AAE"/>
    <w:rsid w:val="00DE0FB8"/>
    <w:rsid w:val="00DE129A"/>
    <w:rsid w:val="00DE13A3"/>
    <w:rsid w:val="00DE2313"/>
    <w:rsid w:val="00DE2344"/>
    <w:rsid w:val="00DE26CB"/>
    <w:rsid w:val="00DE28A4"/>
    <w:rsid w:val="00DE2C17"/>
    <w:rsid w:val="00DE2D01"/>
    <w:rsid w:val="00DE32C4"/>
    <w:rsid w:val="00DE3565"/>
    <w:rsid w:val="00DE3B9E"/>
    <w:rsid w:val="00DE3C0B"/>
    <w:rsid w:val="00DE3D7E"/>
    <w:rsid w:val="00DE3DC7"/>
    <w:rsid w:val="00DE4031"/>
    <w:rsid w:val="00DE40C6"/>
    <w:rsid w:val="00DE44E2"/>
    <w:rsid w:val="00DE4537"/>
    <w:rsid w:val="00DE499F"/>
    <w:rsid w:val="00DE4AFB"/>
    <w:rsid w:val="00DE4C4D"/>
    <w:rsid w:val="00DE4EB3"/>
    <w:rsid w:val="00DE51F7"/>
    <w:rsid w:val="00DE55FB"/>
    <w:rsid w:val="00DE5A12"/>
    <w:rsid w:val="00DE5BA8"/>
    <w:rsid w:val="00DE5D25"/>
    <w:rsid w:val="00DE5E09"/>
    <w:rsid w:val="00DE6069"/>
    <w:rsid w:val="00DE62A0"/>
    <w:rsid w:val="00DE63F2"/>
    <w:rsid w:val="00DE699D"/>
    <w:rsid w:val="00DE6A3E"/>
    <w:rsid w:val="00DE70FC"/>
    <w:rsid w:val="00DE71A2"/>
    <w:rsid w:val="00DE74F8"/>
    <w:rsid w:val="00DE7555"/>
    <w:rsid w:val="00DE7B01"/>
    <w:rsid w:val="00DE7B86"/>
    <w:rsid w:val="00DE7EB4"/>
    <w:rsid w:val="00DF005A"/>
    <w:rsid w:val="00DF01A1"/>
    <w:rsid w:val="00DF034C"/>
    <w:rsid w:val="00DF04D1"/>
    <w:rsid w:val="00DF05C7"/>
    <w:rsid w:val="00DF0B79"/>
    <w:rsid w:val="00DF0BEF"/>
    <w:rsid w:val="00DF1018"/>
    <w:rsid w:val="00DF1377"/>
    <w:rsid w:val="00DF14FF"/>
    <w:rsid w:val="00DF151A"/>
    <w:rsid w:val="00DF153C"/>
    <w:rsid w:val="00DF17F6"/>
    <w:rsid w:val="00DF1978"/>
    <w:rsid w:val="00DF1EFC"/>
    <w:rsid w:val="00DF207A"/>
    <w:rsid w:val="00DF241E"/>
    <w:rsid w:val="00DF274F"/>
    <w:rsid w:val="00DF27B2"/>
    <w:rsid w:val="00DF2AD6"/>
    <w:rsid w:val="00DF2B65"/>
    <w:rsid w:val="00DF2BA9"/>
    <w:rsid w:val="00DF2DFC"/>
    <w:rsid w:val="00DF2EF9"/>
    <w:rsid w:val="00DF3181"/>
    <w:rsid w:val="00DF3522"/>
    <w:rsid w:val="00DF3E65"/>
    <w:rsid w:val="00DF424A"/>
    <w:rsid w:val="00DF42B1"/>
    <w:rsid w:val="00DF45AB"/>
    <w:rsid w:val="00DF47F4"/>
    <w:rsid w:val="00DF4AD6"/>
    <w:rsid w:val="00DF4AF1"/>
    <w:rsid w:val="00DF4B18"/>
    <w:rsid w:val="00DF4C04"/>
    <w:rsid w:val="00DF4C75"/>
    <w:rsid w:val="00DF5279"/>
    <w:rsid w:val="00DF53CD"/>
    <w:rsid w:val="00DF563D"/>
    <w:rsid w:val="00DF566E"/>
    <w:rsid w:val="00DF59BD"/>
    <w:rsid w:val="00DF5A7B"/>
    <w:rsid w:val="00DF5CD4"/>
    <w:rsid w:val="00DF5D31"/>
    <w:rsid w:val="00DF60F2"/>
    <w:rsid w:val="00DF611D"/>
    <w:rsid w:val="00DF62C4"/>
    <w:rsid w:val="00DF63BD"/>
    <w:rsid w:val="00DF6582"/>
    <w:rsid w:val="00DF6C5D"/>
    <w:rsid w:val="00DF6C96"/>
    <w:rsid w:val="00DF6E1B"/>
    <w:rsid w:val="00DF7258"/>
    <w:rsid w:val="00DF7304"/>
    <w:rsid w:val="00DF730C"/>
    <w:rsid w:val="00DF7915"/>
    <w:rsid w:val="00DF79C5"/>
    <w:rsid w:val="00E00A13"/>
    <w:rsid w:val="00E0144F"/>
    <w:rsid w:val="00E01517"/>
    <w:rsid w:val="00E015B5"/>
    <w:rsid w:val="00E01AD1"/>
    <w:rsid w:val="00E01DC5"/>
    <w:rsid w:val="00E02287"/>
    <w:rsid w:val="00E0264E"/>
    <w:rsid w:val="00E0301F"/>
    <w:rsid w:val="00E03365"/>
    <w:rsid w:val="00E034FA"/>
    <w:rsid w:val="00E03648"/>
    <w:rsid w:val="00E03A47"/>
    <w:rsid w:val="00E03DE1"/>
    <w:rsid w:val="00E04370"/>
    <w:rsid w:val="00E04385"/>
    <w:rsid w:val="00E04B4E"/>
    <w:rsid w:val="00E04BAB"/>
    <w:rsid w:val="00E04D08"/>
    <w:rsid w:val="00E04E4A"/>
    <w:rsid w:val="00E051AC"/>
    <w:rsid w:val="00E0526C"/>
    <w:rsid w:val="00E0547A"/>
    <w:rsid w:val="00E0559E"/>
    <w:rsid w:val="00E05D18"/>
    <w:rsid w:val="00E06407"/>
    <w:rsid w:val="00E06620"/>
    <w:rsid w:val="00E06919"/>
    <w:rsid w:val="00E071D5"/>
    <w:rsid w:val="00E07458"/>
    <w:rsid w:val="00E07D24"/>
    <w:rsid w:val="00E07D6C"/>
    <w:rsid w:val="00E07E1E"/>
    <w:rsid w:val="00E07E8F"/>
    <w:rsid w:val="00E07FDD"/>
    <w:rsid w:val="00E101F1"/>
    <w:rsid w:val="00E106BA"/>
    <w:rsid w:val="00E10843"/>
    <w:rsid w:val="00E10AE9"/>
    <w:rsid w:val="00E10E98"/>
    <w:rsid w:val="00E11100"/>
    <w:rsid w:val="00E112A9"/>
    <w:rsid w:val="00E11305"/>
    <w:rsid w:val="00E1145F"/>
    <w:rsid w:val="00E114B5"/>
    <w:rsid w:val="00E11A28"/>
    <w:rsid w:val="00E11B5C"/>
    <w:rsid w:val="00E11D44"/>
    <w:rsid w:val="00E12603"/>
    <w:rsid w:val="00E1307F"/>
    <w:rsid w:val="00E13230"/>
    <w:rsid w:val="00E132CF"/>
    <w:rsid w:val="00E136D6"/>
    <w:rsid w:val="00E1397A"/>
    <w:rsid w:val="00E13AFC"/>
    <w:rsid w:val="00E14039"/>
    <w:rsid w:val="00E14637"/>
    <w:rsid w:val="00E14A66"/>
    <w:rsid w:val="00E151B8"/>
    <w:rsid w:val="00E15AA7"/>
    <w:rsid w:val="00E1634E"/>
    <w:rsid w:val="00E16CCB"/>
    <w:rsid w:val="00E172E1"/>
    <w:rsid w:val="00E17708"/>
    <w:rsid w:val="00E17901"/>
    <w:rsid w:val="00E17A3C"/>
    <w:rsid w:val="00E17B70"/>
    <w:rsid w:val="00E20146"/>
    <w:rsid w:val="00E2026B"/>
    <w:rsid w:val="00E202D7"/>
    <w:rsid w:val="00E20810"/>
    <w:rsid w:val="00E208D6"/>
    <w:rsid w:val="00E20E39"/>
    <w:rsid w:val="00E20E3D"/>
    <w:rsid w:val="00E20E8D"/>
    <w:rsid w:val="00E210AA"/>
    <w:rsid w:val="00E21461"/>
    <w:rsid w:val="00E2175D"/>
    <w:rsid w:val="00E223B9"/>
    <w:rsid w:val="00E2253C"/>
    <w:rsid w:val="00E227FE"/>
    <w:rsid w:val="00E228F8"/>
    <w:rsid w:val="00E2292D"/>
    <w:rsid w:val="00E229AF"/>
    <w:rsid w:val="00E23687"/>
    <w:rsid w:val="00E23977"/>
    <w:rsid w:val="00E23AC3"/>
    <w:rsid w:val="00E23AF0"/>
    <w:rsid w:val="00E24426"/>
    <w:rsid w:val="00E2466A"/>
    <w:rsid w:val="00E24B79"/>
    <w:rsid w:val="00E25380"/>
    <w:rsid w:val="00E253F2"/>
    <w:rsid w:val="00E259F3"/>
    <w:rsid w:val="00E25A97"/>
    <w:rsid w:val="00E25B30"/>
    <w:rsid w:val="00E25C24"/>
    <w:rsid w:val="00E25E31"/>
    <w:rsid w:val="00E25FBC"/>
    <w:rsid w:val="00E26496"/>
    <w:rsid w:val="00E26536"/>
    <w:rsid w:val="00E26576"/>
    <w:rsid w:val="00E26800"/>
    <w:rsid w:val="00E26DF1"/>
    <w:rsid w:val="00E2727B"/>
    <w:rsid w:val="00E27972"/>
    <w:rsid w:val="00E27CDC"/>
    <w:rsid w:val="00E27E5C"/>
    <w:rsid w:val="00E27E7A"/>
    <w:rsid w:val="00E30184"/>
    <w:rsid w:val="00E30262"/>
    <w:rsid w:val="00E30409"/>
    <w:rsid w:val="00E30BBE"/>
    <w:rsid w:val="00E30C4E"/>
    <w:rsid w:val="00E30D25"/>
    <w:rsid w:val="00E30E54"/>
    <w:rsid w:val="00E30FA5"/>
    <w:rsid w:val="00E312BD"/>
    <w:rsid w:val="00E3145E"/>
    <w:rsid w:val="00E3177A"/>
    <w:rsid w:val="00E31984"/>
    <w:rsid w:val="00E31BF4"/>
    <w:rsid w:val="00E31EA0"/>
    <w:rsid w:val="00E323E8"/>
    <w:rsid w:val="00E32701"/>
    <w:rsid w:val="00E32A3C"/>
    <w:rsid w:val="00E32DE8"/>
    <w:rsid w:val="00E32E0B"/>
    <w:rsid w:val="00E32E0D"/>
    <w:rsid w:val="00E32E87"/>
    <w:rsid w:val="00E32FC3"/>
    <w:rsid w:val="00E33630"/>
    <w:rsid w:val="00E336A3"/>
    <w:rsid w:val="00E33953"/>
    <w:rsid w:val="00E33C7C"/>
    <w:rsid w:val="00E33E3E"/>
    <w:rsid w:val="00E34368"/>
    <w:rsid w:val="00E34505"/>
    <w:rsid w:val="00E34833"/>
    <w:rsid w:val="00E34E7B"/>
    <w:rsid w:val="00E34E8D"/>
    <w:rsid w:val="00E35277"/>
    <w:rsid w:val="00E352FA"/>
    <w:rsid w:val="00E353DA"/>
    <w:rsid w:val="00E359E7"/>
    <w:rsid w:val="00E35C1A"/>
    <w:rsid w:val="00E35DA1"/>
    <w:rsid w:val="00E35E46"/>
    <w:rsid w:val="00E361B3"/>
    <w:rsid w:val="00E36310"/>
    <w:rsid w:val="00E366F5"/>
    <w:rsid w:val="00E36778"/>
    <w:rsid w:val="00E36833"/>
    <w:rsid w:val="00E36BCF"/>
    <w:rsid w:val="00E36BF9"/>
    <w:rsid w:val="00E36C29"/>
    <w:rsid w:val="00E372A6"/>
    <w:rsid w:val="00E3744D"/>
    <w:rsid w:val="00E37598"/>
    <w:rsid w:val="00E37762"/>
    <w:rsid w:val="00E37812"/>
    <w:rsid w:val="00E37A92"/>
    <w:rsid w:val="00E37DD5"/>
    <w:rsid w:val="00E402EC"/>
    <w:rsid w:val="00E409B7"/>
    <w:rsid w:val="00E40C7E"/>
    <w:rsid w:val="00E40D63"/>
    <w:rsid w:val="00E415ED"/>
    <w:rsid w:val="00E41748"/>
    <w:rsid w:val="00E417C6"/>
    <w:rsid w:val="00E41A25"/>
    <w:rsid w:val="00E41CC5"/>
    <w:rsid w:val="00E41CD4"/>
    <w:rsid w:val="00E42331"/>
    <w:rsid w:val="00E42BEF"/>
    <w:rsid w:val="00E43125"/>
    <w:rsid w:val="00E433D5"/>
    <w:rsid w:val="00E4392C"/>
    <w:rsid w:val="00E43A55"/>
    <w:rsid w:val="00E43A7C"/>
    <w:rsid w:val="00E43AFC"/>
    <w:rsid w:val="00E43B25"/>
    <w:rsid w:val="00E43C91"/>
    <w:rsid w:val="00E43D8A"/>
    <w:rsid w:val="00E43DD7"/>
    <w:rsid w:val="00E43E7E"/>
    <w:rsid w:val="00E44233"/>
    <w:rsid w:val="00E44240"/>
    <w:rsid w:val="00E44D86"/>
    <w:rsid w:val="00E45127"/>
    <w:rsid w:val="00E453A3"/>
    <w:rsid w:val="00E4594C"/>
    <w:rsid w:val="00E45968"/>
    <w:rsid w:val="00E45D5B"/>
    <w:rsid w:val="00E4601E"/>
    <w:rsid w:val="00E463C9"/>
    <w:rsid w:val="00E465A3"/>
    <w:rsid w:val="00E46870"/>
    <w:rsid w:val="00E46A8E"/>
    <w:rsid w:val="00E46C61"/>
    <w:rsid w:val="00E46E65"/>
    <w:rsid w:val="00E4776F"/>
    <w:rsid w:val="00E50113"/>
    <w:rsid w:val="00E50122"/>
    <w:rsid w:val="00E50377"/>
    <w:rsid w:val="00E50A15"/>
    <w:rsid w:val="00E50BA6"/>
    <w:rsid w:val="00E50DDA"/>
    <w:rsid w:val="00E50FCD"/>
    <w:rsid w:val="00E5139A"/>
    <w:rsid w:val="00E51443"/>
    <w:rsid w:val="00E514D8"/>
    <w:rsid w:val="00E51528"/>
    <w:rsid w:val="00E5155A"/>
    <w:rsid w:val="00E516BB"/>
    <w:rsid w:val="00E51E80"/>
    <w:rsid w:val="00E52C64"/>
    <w:rsid w:val="00E53561"/>
    <w:rsid w:val="00E5365E"/>
    <w:rsid w:val="00E5372A"/>
    <w:rsid w:val="00E538B2"/>
    <w:rsid w:val="00E53A5B"/>
    <w:rsid w:val="00E53B60"/>
    <w:rsid w:val="00E53D3B"/>
    <w:rsid w:val="00E53D81"/>
    <w:rsid w:val="00E54053"/>
    <w:rsid w:val="00E54103"/>
    <w:rsid w:val="00E54720"/>
    <w:rsid w:val="00E54959"/>
    <w:rsid w:val="00E54C75"/>
    <w:rsid w:val="00E54D0D"/>
    <w:rsid w:val="00E5575F"/>
    <w:rsid w:val="00E5643B"/>
    <w:rsid w:val="00E564CF"/>
    <w:rsid w:val="00E56527"/>
    <w:rsid w:val="00E56766"/>
    <w:rsid w:val="00E56885"/>
    <w:rsid w:val="00E56A4C"/>
    <w:rsid w:val="00E5700D"/>
    <w:rsid w:val="00E57266"/>
    <w:rsid w:val="00E575D0"/>
    <w:rsid w:val="00E57945"/>
    <w:rsid w:val="00E579D4"/>
    <w:rsid w:val="00E579E9"/>
    <w:rsid w:val="00E57DD4"/>
    <w:rsid w:val="00E60028"/>
    <w:rsid w:val="00E60035"/>
    <w:rsid w:val="00E6063B"/>
    <w:rsid w:val="00E60838"/>
    <w:rsid w:val="00E60A0B"/>
    <w:rsid w:val="00E60C1A"/>
    <w:rsid w:val="00E60C7E"/>
    <w:rsid w:val="00E60E3D"/>
    <w:rsid w:val="00E61099"/>
    <w:rsid w:val="00E61412"/>
    <w:rsid w:val="00E61B55"/>
    <w:rsid w:val="00E61CB1"/>
    <w:rsid w:val="00E62366"/>
    <w:rsid w:val="00E629ED"/>
    <w:rsid w:val="00E6322E"/>
    <w:rsid w:val="00E638AA"/>
    <w:rsid w:val="00E63953"/>
    <w:rsid w:val="00E64283"/>
    <w:rsid w:val="00E64340"/>
    <w:rsid w:val="00E64420"/>
    <w:rsid w:val="00E6443E"/>
    <w:rsid w:val="00E64467"/>
    <w:rsid w:val="00E644FD"/>
    <w:rsid w:val="00E64680"/>
    <w:rsid w:val="00E646FA"/>
    <w:rsid w:val="00E64CB8"/>
    <w:rsid w:val="00E65514"/>
    <w:rsid w:val="00E655A1"/>
    <w:rsid w:val="00E65BA8"/>
    <w:rsid w:val="00E66097"/>
    <w:rsid w:val="00E660B7"/>
    <w:rsid w:val="00E66302"/>
    <w:rsid w:val="00E667FB"/>
    <w:rsid w:val="00E67717"/>
    <w:rsid w:val="00E678A1"/>
    <w:rsid w:val="00E67A21"/>
    <w:rsid w:val="00E67D52"/>
    <w:rsid w:val="00E67DAB"/>
    <w:rsid w:val="00E6C442"/>
    <w:rsid w:val="00E700F4"/>
    <w:rsid w:val="00E7030B"/>
    <w:rsid w:val="00E705F8"/>
    <w:rsid w:val="00E707F7"/>
    <w:rsid w:val="00E70A74"/>
    <w:rsid w:val="00E7126D"/>
    <w:rsid w:val="00E719D3"/>
    <w:rsid w:val="00E71B4C"/>
    <w:rsid w:val="00E71BF1"/>
    <w:rsid w:val="00E71C9C"/>
    <w:rsid w:val="00E71E08"/>
    <w:rsid w:val="00E71ED8"/>
    <w:rsid w:val="00E726A3"/>
    <w:rsid w:val="00E730F2"/>
    <w:rsid w:val="00E73AA9"/>
    <w:rsid w:val="00E73B2D"/>
    <w:rsid w:val="00E73B79"/>
    <w:rsid w:val="00E73CA2"/>
    <w:rsid w:val="00E743C2"/>
    <w:rsid w:val="00E748AF"/>
    <w:rsid w:val="00E7490E"/>
    <w:rsid w:val="00E74DC6"/>
    <w:rsid w:val="00E74F24"/>
    <w:rsid w:val="00E7520C"/>
    <w:rsid w:val="00E7552F"/>
    <w:rsid w:val="00E757B6"/>
    <w:rsid w:val="00E75AAE"/>
    <w:rsid w:val="00E75EC0"/>
    <w:rsid w:val="00E76624"/>
    <w:rsid w:val="00E7664D"/>
    <w:rsid w:val="00E76E03"/>
    <w:rsid w:val="00E771CF"/>
    <w:rsid w:val="00E7742F"/>
    <w:rsid w:val="00E77776"/>
    <w:rsid w:val="00E7778A"/>
    <w:rsid w:val="00E77854"/>
    <w:rsid w:val="00E77D21"/>
    <w:rsid w:val="00E805FA"/>
    <w:rsid w:val="00E808AF"/>
    <w:rsid w:val="00E80C90"/>
    <w:rsid w:val="00E81153"/>
    <w:rsid w:val="00E8131F"/>
    <w:rsid w:val="00E813C4"/>
    <w:rsid w:val="00E81462"/>
    <w:rsid w:val="00E814A7"/>
    <w:rsid w:val="00E81BA7"/>
    <w:rsid w:val="00E81BC8"/>
    <w:rsid w:val="00E82C5C"/>
    <w:rsid w:val="00E830DF"/>
    <w:rsid w:val="00E83397"/>
    <w:rsid w:val="00E833A1"/>
    <w:rsid w:val="00E834E2"/>
    <w:rsid w:val="00E83567"/>
    <w:rsid w:val="00E836EB"/>
    <w:rsid w:val="00E83724"/>
    <w:rsid w:val="00E84391"/>
    <w:rsid w:val="00E84A3E"/>
    <w:rsid w:val="00E84F05"/>
    <w:rsid w:val="00E851A0"/>
    <w:rsid w:val="00E85343"/>
    <w:rsid w:val="00E85CFD"/>
    <w:rsid w:val="00E8608D"/>
    <w:rsid w:val="00E8631F"/>
    <w:rsid w:val="00E863A8"/>
    <w:rsid w:val="00E8676D"/>
    <w:rsid w:val="00E867BC"/>
    <w:rsid w:val="00E87112"/>
    <w:rsid w:val="00E87168"/>
    <w:rsid w:val="00E87279"/>
    <w:rsid w:val="00E8743A"/>
    <w:rsid w:val="00E875C0"/>
    <w:rsid w:val="00E8765E"/>
    <w:rsid w:val="00E87C9E"/>
    <w:rsid w:val="00E87D3D"/>
    <w:rsid w:val="00E90BAD"/>
    <w:rsid w:val="00E910D1"/>
    <w:rsid w:val="00E91498"/>
    <w:rsid w:val="00E914E6"/>
    <w:rsid w:val="00E91531"/>
    <w:rsid w:val="00E9199D"/>
    <w:rsid w:val="00E91A91"/>
    <w:rsid w:val="00E91BEA"/>
    <w:rsid w:val="00E91D72"/>
    <w:rsid w:val="00E91DB2"/>
    <w:rsid w:val="00E91F32"/>
    <w:rsid w:val="00E9222B"/>
    <w:rsid w:val="00E92346"/>
    <w:rsid w:val="00E92574"/>
    <w:rsid w:val="00E925CF"/>
    <w:rsid w:val="00E926A3"/>
    <w:rsid w:val="00E92924"/>
    <w:rsid w:val="00E92BD7"/>
    <w:rsid w:val="00E92DF4"/>
    <w:rsid w:val="00E92E79"/>
    <w:rsid w:val="00E92FE3"/>
    <w:rsid w:val="00E9303C"/>
    <w:rsid w:val="00E93092"/>
    <w:rsid w:val="00E9355A"/>
    <w:rsid w:val="00E93583"/>
    <w:rsid w:val="00E936E0"/>
    <w:rsid w:val="00E939B7"/>
    <w:rsid w:val="00E93C69"/>
    <w:rsid w:val="00E93C7E"/>
    <w:rsid w:val="00E93F98"/>
    <w:rsid w:val="00E94387"/>
    <w:rsid w:val="00E947AC"/>
    <w:rsid w:val="00E94B79"/>
    <w:rsid w:val="00E94D34"/>
    <w:rsid w:val="00E95250"/>
    <w:rsid w:val="00E954F8"/>
    <w:rsid w:val="00E955C8"/>
    <w:rsid w:val="00E9562A"/>
    <w:rsid w:val="00E957F9"/>
    <w:rsid w:val="00E95877"/>
    <w:rsid w:val="00E95B4E"/>
    <w:rsid w:val="00E95FF6"/>
    <w:rsid w:val="00E9637E"/>
    <w:rsid w:val="00E96579"/>
    <w:rsid w:val="00E9715D"/>
    <w:rsid w:val="00E971FA"/>
    <w:rsid w:val="00E97333"/>
    <w:rsid w:val="00E97648"/>
    <w:rsid w:val="00E97868"/>
    <w:rsid w:val="00E97906"/>
    <w:rsid w:val="00EA0467"/>
    <w:rsid w:val="00EA0697"/>
    <w:rsid w:val="00EA078B"/>
    <w:rsid w:val="00EA07B1"/>
    <w:rsid w:val="00EA0A17"/>
    <w:rsid w:val="00EA0AA8"/>
    <w:rsid w:val="00EA0B48"/>
    <w:rsid w:val="00EA0FA8"/>
    <w:rsid w:val="00EA1184"/>
    <w:rsid w:val="00EA12F2"/>
    <w:rsid w:val="00EA1909"/>
    <w:rsid w:val="00EA1B5F"/>
    <w:rsid w:val="00EA1B60"/>
    <w:rsid w:val="00EA1CFB"/>
    <w:rsid w:val="00EA1FF5"/>
    <w:rsid w:val="00EA24F2"/>
    <w:rsid w:val="00EA2508"/>
    <w:rsid w:val="00EA2720"/>
    <w:rsid w:val="00EA2E0E"/>
    <w:rsid w:val="00EA2ECD"/>
    <w:rsid w:val="00EA30F9"/>
    <w:rsid w:val="00EA35A8"/>
    <w:rsid w:val="00EA372C"/>
    <w:rsid w:val="00EA3BA9"/>
    <w:rsid w:val="00EA3CD7"/>
    <w:rsid w:val="00EA3E2E"/>
    <w:rsid w:val="00EA424A"/>
    <w:rsid w:val="00EA4444"/>
    <w:rsid w:val="00EA452B"/>
    <w:rsid w:val="00EA4B84"/>
    <w:rsid w:val="00EA4D6D"/>
    <w:rsid w:val="00EA5034"/>
    <w:rsid w:val="00EA5405"/>
    <w:rsid w:val="00EA5482"/>
    <w:rsid w:val="00EA59EC"/>
    <w:rsid w:val="00EA5C45"/>
    <w:rsid w:val="00EA5D49"/>
    <w:rsid w:val="00EA5DA4"/>
    <w:rsid w:val="00EA5DAD"/>
    <w:rsid w:val="00EA63A9"/>
    <w:rsid w:val="00EA64EB"/>
    <w:rsid w:val="00EA682C"/>
    <w:rsid w:val="00EA6F58"/>
    <w:rsid w:val="00EA7802"/>
    <w:rsid w:val="00EA7A6A"/>
    <w:rsid w:val="00EA7F1A"/>
    <w:rsid w:val="00EB0183"/>
    <w:rsid w:val="00EB031A"/>
    <w:rsid w:val="00EB05E1"/>
    <w:rsid w:val="00EB0F94"/>
    <w:rsid w:val="00EB15F9"/>
    <w:rsid w:val="00EB1641"/>
    <w:rsid w:val="00EB1757"/>
    <w:rsid w:val="00EB1D84"/>
    <w:rsid w:val="00EB202B"/>
    <w:rsid w:val="00EB20E6"/>
    <w:rsid w:val="00EB2560"/>
    <w:rsid w:val="00EB2734"/>
    <w:rsid w:val="00EB295A"/>
    <w:rsid w:val="00EB2D25"/>
    <w:rsid w:val="00EB2F3C"/>
    <w:rsid w:val="00EB30BA"/>
    <w:rsid w:val="00EB37DD"/>
    <w:rsid w:val="00EB3A1F"/>
    <w:rsid w:val="00EB3CB4"/>
    <w:rsid w:val="00EB3D5B"/>
    <w:rsid w:val="00EB3DE4"/>
    <w:rsid w:val="00EB41AF"/>
    <w:rsid w:val="00EB41C7"/>
    <w:rsid w:val="00EB4297"/>
    <w:rsid w:val="00EB4714"/>
    <w:rsid w:val="00EB481D"/>
    <w:rsid w:val="00EB4AA6"/>
    <w:rsid w:val="00EB5856"/>
    <w:rsid w:val="00EB5933"/>
    <w:rsid w:val="00EB5CF5"/>
    <w:rsid w:val="00EB61D2"/>
    <w:rsid w:val="00EB62C8"/>
    <w:rsid w:val="00EB62F2"/>
    <w:rsid w:val="00EB6966"/>
    <w:rsid w:val="00EB6EF4"/>
    <w:rsid w:val="00EB7247"/>
    <w:rsid w:val="00EB7385"/>
    <w:rsid w:val="00EB73FD"/>
    <w:rsid w:val="00EB7600"/>
    <w:rsid w:val="00EB796F"/>
    <w:rsid w:val="00EB7E93"/>
    <w:rsid w:val="00EC00F9"/>
    <w:rsid w:val="00EC0178"/>
    <w:rsid w:val="00EC0305"/>
    <w:rsid w:val="00EC0438"/>
    <w:rsid w:val="00EC0489"/>
    <w:rsid w:val="00EC0560"/>
    <w:rsid w:val="00EC07D7"/>
    <w:rsid w:val="00EC0EA0"/>
    <w:rsid w:val="00EC1076"/>
    <w:rsid w:val="00EC172D"/>
    <w:rsid w:val="00EC1779"/>
    <w:rsid w:val="00EC1CDD"/>
    <w:rsid w:val="00EC21B8"/>
    <w:rsid w:val="00EC24D5"/>
    <w:rsid w:val="00EC293F"/>
    <w:rsid w:val="00EC2B08"/>
    <w:rsid w:val="00EC2D44"/>
    <w:rsid w:val="00EC31F6"/>
    <w:rsid w:val="00EC3484"/>
    <w:rsid w:val="00EC3A3F"/>
    <w:rsid w:val="00EC3C6F"/>
    <w:rsid w:val="00EC3FD2"/>
    <w:rsid w:val="00EC40D3"/>
    <w:rsid w:val="00EC42DE"/>
    <w:rsid w:val="00EC480F"/>
    <w:rsid w:val="00EC49A2"/>
    <w:rsid w:val="00EC4C49"/>
    <w:rsid w:val="00EC4CC2"/>
    <w:rsid w:val="00EC4F59"/>
    <w:rsid w:val="00EC51C0"/>
    <w:rsid w:val="00EC52E4"/>
    <w:rsid w:val="00EC5389"/>
    <w:rsid w:val="00EC5626"/>
    <w:rsid w:val="00EC595E"/>
    <w:rsid w:val="00EC5B98"/>
    <w:rsid w:val="00EC5EA0"/>
    <w:rsid w:val="00EC6900"/>
    <w:rsid w:val="00EC6AB0"/>
    <w:rsid w:val="00EC6C12"/>
    <w:rsid w:val="00EC6C2F"/>
    <w:rsid w:val="00EC6D47"/>
    <w:rsid w:val="00EC6FB2"/>
    <w:rsid w:val="00EC710B"/>
    <w:rsid w:val="00EC72FB"/>
    <w:rsid w:val="00EC7803"/>
    <w:rsid w:val="00ED0044"/>
    <w:rsid w:val="00ED0429"/>
    <w:rsid w:val="00ED1072"/>
    <w:rsid w:val="00ED13BE"/>
    <w:rsid w:val="00ED15A8"/>
    <w:rsid w:val="00ED18EF"/>
    <w:rsid w:val="00ED2064"/>
    <w:rsid w:val="00ED226D"/>
    <w:rsid w:val="00ED2414"/>
    <w:rsid w:val="00ED2766"/>
    <w:rsid w:val="00ED2823"/>
    <w:rsid w:val="00ED2CC8"/>
    <w:rsid w:val="00ED3914"/>
    <w:rsid w:val="00ED3C48"/>
    <w:rsid w:val="00ED3C6B"/>
    <w:rsid w:val="00ED3D96"/>
    <w:rsid w:val="00ED3DC9"/>
    <w:rsid w:val="00ED3DFC"/>
    <w:rsid w:val="00ED4047"/>
    <w:rsid w:val="00ED41BA"/>
    <w:rsid w:val="00ED41C3"/>
    <w:rsid w:val="00ED499D"/>
    <w:rsid w:val="00ED49DF"/>
    <w:rsid w:val="00ED512B"/>
    <w:rsid w:val="00ED5628"/>
    <w:rsid w:val="00ED5678"/>
    <w:rsid w:val="00ED63BA"/>
    <w:rsid w:val="00ED6FD4"/>
    <w:rsid w:val="00ED7194"/>
    <w:rsid w:val="00ED723A"/>
    <w:rsid w:val="00ED7681"/>
    <w:rsid w:val="00ED76FB"/>
    <w:rsid w:val="00ED7922"/>
    <w:rsid w:val="00ED7971"/>
    <w:rsid w:val="00ED7AFB"/>
    <w:rsid w:val="00ED7C10"/>
    <w:rsid w:val="00ED7C54"/>
    <w:rsid w:val="00ED7D57"/>
    <w:rsid w:val="00ED7EDA"/>
    <w:rsid w:val="00EE02D0"/>
    <w:rsid w:val="00EE03B2"/>
    <w:rsid w:val="00EE0693"/>
    <w:rsid w:val="00EE0797"/>
    <w:rsid w:val="00EE07C2"/>
    <w:rsid w:val="00EE082A"/>
    <w:rsid w:val="00EE0B7E"/>
    <w:rsid w:val="00EE0DE9"/>
    <w:rsid w:val="00EE0E18"/>
    <w:rsid w:val="00EE0E5E"/>
    <w:rsid w:val="00EE1185"/>
    <w:rsid w:val="00EE13C8"/>
    <w:rsid w:val="00EE1409"/>
    <w:rsid w:val="00EE14D6"/>
    <w:rsid w:val="00EE1CED"/>
    <w:rsid w:val="00EE2016"/>
    <w:rsid w:val="00EE231A"/>
    <w:rsid w:val="00EE241A"/>
    <w:rsid w:val="00EE2550"/>
    <w:rsid w:val="00EE266D"/>
    <w:rsid w:val="00EE2779"/>
    <w:rsid w:val="00EE2BA8"/>
    <w:rsid w:val="00EE2CD3"/>
    <w:rsid w:val="00EE3075"/>
    <w:rsid w:val="00EE34FD"/>
    <w:rsid w:val="00EE36DA"/>
    <w:rsid w:val="00EE37E3"/>
    <w:rsid w:val="00EE3918"/>
    <w:rsid w:val="00EE39A0"/>
    <w:rsid w:val="00EE3D5B"/>
    <w:rsid w:val="00EE3FFD"/>
    <w:rsid w:val="00EE46A7"/>
    <w:rsid w:val="00EE4833"/>
    <w:rsid w:val="00EE4F74"/>
    <w:rsid w:val="00EE55BB"/>
    <w:rsid w:val="00EE56F8"/>
    <w:rsid w:val="00EE5703"/>
    <w:rsid w:val="00EE5870"/>
    <w:rsid w:val="00EE5B20"/>
    <w:rsid w:val="00EE5BCD"/>
    <w:rsid w:val="00EE5F8F"/>
    <w:rsid w:val="00EE6BD9"/>
    <w:rsid w:val="00EE6F81"/>
    <w:rsid w:val="00EE73FA"/>
    <w:rsid w:val="00EE7696"/>
    <w:rsid w:val="00EE7B55"/>
    <w:rsid w:val="00EF0014"/>
    <w:rsid w:val="00EF0252"/>
    <w:rsid w:val="00EF0430"/>
    <w:rsid w:val="00EF0DFC"/>
    <w:rsid w:val="00EF1B81"/>
    <w:rsid w:val="00EF1D81"/>
    <w:rsid w:val="00EF2513"/>
    <w:rsid w:val="00EF2A09"/>
    <w:rsid w:val="00EF2C59"/>
    <w:rsid w:val="00EF2C6E"/>
    <w:rsid w:val="00EF2D40"/>
    <w:rsid w:val="00EF2E5E"/>
    <w:rsid w:val="00EF329B"/>
    <w:rsid w:val="00EF39F7"/>
    <w:rsid w:val="00EF4180"/>
    <w:rsid w:val="00EF4531"/>
    <w:rsid w:val="00EF472C"/>
    <w:rsid w:val="00EF48B8"/>
    <w:rsid w:val="00EF4995"/>
    <w:rsid w:val="00EF4B9A"/>
    <w:rsid w:val="00EF4C4C"/>
    <w:rsid w:val="00EF4F2E"/>
    <w:rsid w:val="00EF4F5E"/>
    <w:rsid w:val="00EF506B"/>
    <w:rsid w:val="00EF55CC"/>
    <w:rsid w:val="00EF631E"/>
    <w:rsid w:val="00EF66D8"/>
    <w:rsid w:val="00EF69E8"/>
    <w:rsid w:val="00EF6B0C"/>
    <w:rsid w:val="00EF6EC1"/>
    <w:rsid w:val="00EF6F5F"/>
    <w:rsid w:val="00EF719E"/>
    <w:rsid w:val="00EF737E"/>
    <w:rsid w:val="00EF7439"/>
    <w:rsid w:val="00EF7671"/>
    <w:rsid w:val="00EF7959"/>
    <w:rsid w:val="00EF79C6"/>
    <w:rsid w:val="00EF7E16"/>
    <w:rsid w:val="00F002BF"/>
    <w:rsid w:val="00F002CA"/>
    <w:rsid w:val="00F0036B"/>
    <w:rsid w:val="00F00459"/>
    <w:rsid w:val="00F0066E"/>
    <w:rsid w:val="00F006AE"/>
    <w:rsid w:val="00F00B92"/>
    <w:rsid w:val="00F00C16"/>
    <w:rsid w:val="00F00CD9"/>
    <w:rsid w:val="00F012AD"/>
    <w:rsid w:val="00F01328"/>
    <w:rsid w:val="00F014DB"/>
    <w:rsid w:val="00F01CE4"/>
    <w:rsid w:val="00F01DC4"/>
    <w:rsid w:val="00F025DF"/>
    <w:rsid w:val="00F0292B"/>
    <w:rsid w:val="00F02EC6"/>
    <w:rsid w:val="00F036C6"/>
    <w:rsid w:val="00F03A1C"/>
    <w:rsid w:val="00F03ED0"/>
    <w:rsid w:val="00F03F66"/>
    <w:rsid w:val="00F03FFF"/>
    <w:rsid w:val="00F04534"/>
    <w:rsid w:val="00F04713"/>
    <w:rsid w:val="00F04729"/>
    <w:rsid w:val="00F048B4"/>
    <w:rsid w:val="00F04907"/>
    <w:rsid w:val="00F04EB5"/>
    <w:rsid w:val="00F051D6"/>
    <w:rsid w:val="00F0563A"/>
    <w:rsid w:val="00F05695"/>
    <w:rsid w:val="00F0605F"/>
    <w:rsid w:val="00F060E8"/>
    <w:rsid w:val="00F066AC"/>
    <w:rsid w:val="00F06CC9"/>
    <w:rsid w:val="00F072A9"/>
    <w:rsid w:val="00F07706"/>
    <w:rsid w:val="00F0774E"/>
    <w:rsid w:val="00F0777A"/>
    <w:rsid w:val="00F079CC"/>
    <w:rsid w:val="00F07B10"/>
    <w:rsid w:val="00F07E03"/>
    <w:rsid w:val="00F07E49"/>
    <w:rsid w:val="00F100F2"/>
    <w:rsid w:val="00F10237"/>
    <w:rsid w:val="00F10265"/>
    <w:rsid w:val="00F102B9"/>
    <w:rsid w:val="00F1039D"/>
    <w:rsid w:val="00F10841"/>
    <w:rsid w:val="00F10EC4"/>
    <w:rsid w:val="00F10FE9"/>
    <w:rsid w:val="00F11044"/>
    <w:rsid w:val="00F1119D"/>
    <w:rsid w:val="00F11462"/>
    <w:rsid w:val="00F1190C"/>
    <w:rsid w:val="00F11C49"/>
    <w:rsid w:val="00F11F03"/>
    <w:rsid w:val="00F11F07"/>
    <w:rsid w:val="00F11F6D"/>
    <w:rsid w:val="00F11F73"/>
    <w:rsid w:val="00F120E4"/>
    <w:rsid w:val="00F12435"/>
    <w:rsid w:val="00F125FB"/>
    <w:rsid w:val="00F1266B"/>
    <w:rsid w:val="00F1287C"/>
    <w:rsid w:val="00F12B41"/>
    <w:rsid w:val="00F12BA1"/>
    <w:rsid w:val="00F12FD6"/>
    <w:rsid w:val="00F131B9"/>
    <w:rsid w:val="00F132DC"/>
    <w:rsid w:val="00F134C8"/>
    <w:rsid w:val="00F13548"/>
    <w:rsid w:val="00F13758"/>
    <w:rsid w:val="00F138CD"/>
    <w:rsid w:val="00F13AF9"/>
    <w:rsid w:val="00F13B96"/>
    <w:rsid w:val="00F14149"/>
    <w:rsid w:val="00F1419C"/>
    <w:rsid w:val="00F14445"/>
    <w:rsid w:val="00F14B32"/>
    <w:rsid w:val="00F1500A"/>
    <w:rsid w:val="00F152F4"/>
    <w:rsid w:val="00F15710"/>
    <w:rsid w:val="00F158D9"/>
    <w:rsid w:val="00F159D5"/>
    <w:rsid w:val="00F15A8E"/>
    <w:rsid w:val="00F15F28"/>
    <w:rsid w:val="00F16486"/>
    <w:rsid w:val="00F167CA"/>
    <w:rsid w:val="00F16BA1"/>
    <w:rsid w:val="00F16C5E"/>
    <w:rsid w:val="00F16D66"/>
    <w:rsid w:val="00F17564"/>
    <w:rsid w:val="00F17D9A"/>
    <w:rsid w:val="00F2002F"/>
    <w:rsid w:val="00F202D5"/>
    <w:rsid w:val="00F20489"/>
    <w:rsid w:val="00F20548"/>
    <w:rsid w:val="00F20638"/>
    <w:rsid w:val="00F20E36"/>
    <w:rsid w:val="00F20F40"/>
    <w:rsid w:val="00F20F6A"/>
    <w:rsid w:val="00F211FF"/>
    <w:rsid w:val="00F219DD"/>
    <w:rsid w:val="00F2261E"/>
    <w:rsid w:val="00F231EE"/>
    <w:rsid w:val="00F232C6"/>
    <w:rsid w:val="00F233CF"/>
    <w:rsid w:val="00F234AB"/>
    <w:rsid w:val="00F235AD"/>
    <w:rsid w:val="00F23E74"/>
    <w:rsid w:val="00F23EC3"/>
    <w:rsid w:val="00F23FA4"/>
    <w:rsid w:val="00F24076"/>
    <w:rsid w:val="00F240CF"/>
    <w:rsid w:val="00F24428"/>
    <w:rsid w:val="00F24785"/>
    <w:rsid w:val="00F24C31"/>
    <w:rsid w:val="00F24D08"/>
    <w:rsid w:val="00F251A6"/>
    <w:rsid w:val="00F256E0"/>
    <w:rsid w:val="00F25B36"/>
    <w:rsid w:val="00F25D98"/>
    <w:rsid w:val="00F25E5F"/>
    <w:rsid w:val="00F267B8"/>
    <w:rsid w:val="00F268D1"/>
    <w:rsid w:val="00F268E7"/>
    <w:rsid w:val="00F26941"/>
    <w:rsid w:val="00F26947"/>
    <w:rsid w:val="00F26C02"/>
    <w:rsid w:val="00F26C74"/>
    <w:rsid w:val="00F26CB3"/>
    <w:rsid w:val="00F26CFE"/>
    <w:rsid w:val="00F26FAD"/>
    <w:rsid w:val="00F2723B"/>
    <w:rsid w:val="00F27250"/>
    <w:rsid w:val="00F272FF"/>
    <w:rsid w:val="00F27493"/>
    <w:rsid w:val="00F2759A"/>
    <w:rsid w:val="00F2788C"/>
    <w:rsid w:val="00F27CE5"/>
    <w:rsid w:val="00F30123"/>
    <w:rsid w:val="00F301AD"/>
    <w:rsid w:val="00F301BA"/>
    <w:rsid w:val="00F3036F"/>
    <w:rsid w:val="00F303EE"/>
    <w:rsid w:val="00F303F4"/>
    <w:rsid w:val="00F30537"/>
    <w:rsid w:val="00F30758"/>
    <w:rsid w:val="00F30D8F"/>
    <w:rsid w:val="00F30E5B"/>
    <w:rsid w:val="00F311F1"/>
    <w:rsid w:val="00F31A0F"/>
    <w:rsid w:val="00F31D1B"/>
    <w:rsid w:val="00F31F4C"/>
    <w:rsid w:val="00F32511"/>
    <w:rsid w:val="00F32716"/>
    <w:rsid w:val="00F32AED"/>
    <w:rsid w:val="00F3302B"/>
    <w:rsid w:val="00F332A7"/>
    <w:rsid w:val="00F335D1"/>
    <w:rsid w:val="00F33628"/>
    <w:rsid w:val="00F336DF"/>
    <w:rsid w:val="00F33761"/>
    <w:rsid w:val="00F33A0F"/>
    <w:rsid w:val="00F33A8B"/>
    <w:rsid w:val="00F33AEB"/>
    <w:rsid w:val="00F341D0"/>
    <w:rsid w:val="00F34501"/>
    <w:rsid w:val="00F3459F"/>
    <w:rsid w:val="00F34847"/>
    <w:rsid w:val="00F3484D"/>
    <w:rsid w:val="00F34A1D"/>
    <w:rsid w:val="00F34A8E"/>
    <w:rsid w:val="00F34EEF"/>
    <w:rsid w:val="00F3501C"/>
    <w:rsid w:val="00F35123"/>
    <w:rsid w:val="00F3561E"/>
    <w:rsid w:val="00F35745"/>
    <w:rsid w:val="00F35764"/>
    <w:rsid w:val="00F357A5"/>
    <w:rsid w:val="00F358DC"/>
    <w:rsid w:val="00F35D5A"/>
    <w:rsid w:val="00F35E5F"/>
    <w:rsid w:val="00F36080"/>
    <w:rsid w:val="00F36208"/>
    <w:rsid w:val="00F36332"/>
    <w:rsid w:val="00F36408"/>
    <w:rsid w:val="00F365A1"/>
    <w:rsid w:val="00F365C7"/>
    <w:rsid w:val="00F365D1"/>
    <w:rsid w:val="00F36BC2"/>
    <w:rsid w:val="00F36C6F"/>
    <w:rsid w:val="00F36CF0"/>
    <w:rsid w:val="00F36D6D"/>
    <w:rsid w:val="00F37171"/>
    <w:rsid w:val="00F3776A"/>
    <w:rsid w:val="00F3781D"/>
    <w:rsid w:val="00F37A48"/>
    <w:rsid w:val="00F40664"/>
    <w:rsid w:val="00F40A9B"/>
    <w:rsid w:val="00F4171B"/>
    <w:rsid w:val="00F41913"/>
    <w:rsid w:val="00F41AC9"/>
    <w:rsid w:val="00F41BC1"/>
    <w:rsid w:val="00F41CC5"/>
    <w:rsid w:val="00F41E36"/>
    <w:rsid w:val="00F41FD4"/>
    <w:rsid w:val="00F42151"/>
    <w:rsid w:val="00F425B8"/>
    <w:rsid w:val="00F425D7"/>
    <w:rsid w:val="00F429A2"/>
    <w:rsid w:val="00F42A3B"/>
    <w:rsid w:val="00F42BF1"/>
    <w:rsid w:val="00F42CAA"/>
    <w:rsid w:val="00F43694"/>
    <w:rsid w:val="00F438ED"/>
    <w:rsid w:val="00F43A4D"/>
    <w:rsid w:val="00F43B56"/>
    <w:rsid w:val="00F43F2D"/>
    <w:rsid w:val="00F4461D"/>
    <w:rsid w:val="00F44878"/>
    <w:rsid w:val="00F448C4"/>
    <w:rsid w:val="00F4490F"/>
    <w:rsid w:val="00F44987"/>
    <w:rsid w:val="00F458A1"/>
    <w:rsid w:val="00F45C58"/>
    <w:rsid w:val="00F463D8"/>
    <w:rsid w:val="00F4677E"/>
    <w:rsid w:val="00F4685F"/>
    <w:rsid w:val="00F468EF"/>
    <w:rsid w:val="00F469D5"/>
    <w:rsid w:val="00F469F1"/>
    <w:rsid w:val="00F46C1C"/>
    <w:rsid w:val="00F46E0E"/>
    <w:rsid w:val="00F46F16"/>
    <w:rsid w:val="00F4757A"/>
    <w:rsid w:val="00F47609"/>
    <w:rsid w:val="00F477B7"/>
    <w:rsid w:val="00F47A80"/>
    <w:rsid w:val="00F50011"/>
    <w:rsid w:val="00F5027C"/>
    <w:rsid w:val="00F50AFC"/>
    <w:rsid w:val="00F50D24"/>
    <w:rsid w:val="00F51025"/>
    <w:rsid w:val="00F510CB"/>
    <w:rsid w:val="00F517DC"/>
    <w:rsid w:val="00F51998"/>
    <w:rsid w:val="00F51B63"/>
    <w:rsid w:val="00F51D7E"/>
    <w:rsid w:val="00F51E45"/>
    <w:rsid w:val="00F51E53"/>
    <w:rsid w:val="00F5252A"/>
    <w:rsid w:val="00F5265E"/>
    <w:rsid w:val="00F52AE7"/>
    <w:rsid w:val="00F52CCE"/>
    <w:rsid w:val="00F52D0F"/>
    <w:rsid w:val="00F536CE"/>
    <w:rsid w:val="00F536F7"/>
    <w:rsid w:val="00F537C0"/>
    <w:rsid w:val="00F53803"/>
    <w:rsid w:val="00F53A77"/>
    <w:rsid w:val="00F53EC5"/>
    <w:rsid w:val="00F5410E"/>
    <w:rsid w:val="00F5415E"/>
    <w:rsid w:val="00F543EF"/>
    <w:rsid w:val="00F5458A"/>
    <w:rsid w:val="00F54688"/>
    <w:rsid w:val="00F54737"/>
    <w:rsid w:val="00F55102"/>
    <w:rsid w:val="00F551D8"/>
    <w:rsid w:val="00F55504"/>
    <w:rsid w:val="00F55577"/>
    <w:rsid w:val="00F556F0"/>
    <w:rsid w:val="00F55827"/>
    <w:rsid w:val="00F55B1D"/>
    <w:rsid w:val="00F55BA2"/>
    <w:rsid w:val="00F55D1A"/>
    <w:rsid w:val="00F55FE5"/>
    <w:rsid w:val="00F561F3"/>
    <w:rsid w:val="00F56432"/>
    <w:rsid w:val="00F56486"/>
    <w:rsid w:val="00F564AD"/>
    <w:rsid w:val="00F5659A"/>
    <w:rsid w:val="00F56D82"/>
    <w:rsid w:val="00F56E4D"/>
    <w:rsid w:val="00F574B8"/>
    <w:rsid w:val="00F601A0"/>
    <w:rsid w:val="00F6093A"/>
    <w:rsid w:val="00F60940"/>
    <w:rsid w:val="00F60961"/>
    <w:rsid w:val="00F60A93"/>
    <w:rsid w:val="00F60AA6"/>
    <w:rsid w:val="00F60EFE"/>
    <w:rsid w:val="00F61518"/>
    <w:rsid w:val="00F6151C"/>
    <w:rsid w:val="00F61760"/>
    <w:rsid w:val="00F61B9C"/>
    <w:rsid w:val="00F61C49"/>
    <w:rsid w:val="00F61DEC"/>
    <w:rsid w:val="00F61E6A"/>
    <w:rsid w:val="00F61F86"/>
    <w:rsid w:val="00F62522"/>
    <w:rsid w:val="00F62682"/>
    <w:rsid w:val="00F627D5"/>
    <w:rsid w:val="00F629A2"/>
    <w:rsid w:val="00F629E3"/>
    <w:rsid w:val="00F62E62"/>
    <w:rsid w:val="00F62F7D"/>
    <w:rsid w:val="00F6305F"/>
    <w:rsid w:val="00F6312D"/>
    <w:rsid w:val="00F634D6"/>
    <w:rsid w:val="00F637BD"/>
    <w:rsid w:val="00F639B9"/>
    <w:rsid w:val="00F64127"/>
    <w:rsid w:val="00F6415E"/>
    <w:rsid w:val="00F642C7"/>
    <w:rsid w:val="00F6430C"/>
    <w:rsid w:val="00F6442C"/>
    <w:rsid w:val="00F6463B"/>
    <w:rsid w:val="00F64B40"/>
    <w:rsid w:val="00F64C23"/>
    <w:rsid w:val="00F64DC9"/>
    <w:rsid w:val="00F64E39"/>
    <w:rsid w:val="00F64E8B"/>
    <w:rsid w:val="00F65744"/>
    <w:rsid w:val="00F65944"/>
    <w:rsid w:val="00F66115"/>
    <w:rsid w:val="00F6615E"/>
    <w:rsid w:val="00F6616F"/>
    <w:rsid w:val="00F6622A"/>
    <w:rsid w:val="00F66448"/>
    <w:rsid w:val="00F66526"/>
    <w:rsid w:val="00F66586"/>
    <w:rsid w:val="00F665CB"/>
    <w:rsid w:val="00F66A03"/>
    <w:rsid w:val="00F66BBA"/>
    <w:rsid w:val="00F66E03"/>
    <w:rsid w:val="00F66E35"/>
    <w:rsid w:val="00F6700B"/>
    <w:rsid w:val="00F6701C"/>
    <w:rsid w:val="00F674AE"/>
    <w:rsid w:val="00F67DF8"/>
    <w:rsid w:val="00F700AD"/>
    <w:rsid w:val="00F70414"/>
    <w:rsid w:val="00F705A0"/>
    <w:rsid w:val="00F7067A"/>
    <w:rsid w:val="00F706AF"/>
    <w:rsid w:val="00F706F3"/>
    <w:rsid w:val="00F7087E"/>
    <w:rsid w:val="00F70D0B"/>
    <w:rsid w:val="00F70F8B"/>
    <w:rsid w:val="00F70F8D"/>
    <w:rsid w:val="00F71020"/>
    <w:rsid w:val="00F71025"/>
    <w:rsid w:val="00F71147"/>
    <w:rsid w:val="00F711FA"/>
    <w:rsid w:val="00F7125E"/>
    <w:rsid w:val="00F714B2"/>
    <w:rsid w:val="00F71578"/>
    <w:rsid w:val="00F716FB"/>
    <w:rsid w:val="00F717AB"/>
    <w:rsid w:val="00F71EE1"/>
    <w:rsid w:val="00F724AF"/>
    <w:rsid w:val="00F724DB"/>
    <w:rsid w:val="00F72B7B"/>
    <w:rsid w:val="00F72BF8"/>
    <w:rsid w:val="00F72E97"/>
    <w:rsid w:val="00F72F99"/>
    <w:rsid w:val="00F737D5"/>
    <w:rsid w:val="00F7398F"/>
    <w:rsid w:val="00F73C38"/>
    <w:rsid w:val="00F73F6D"/>
    <w:rsid w:val="00F743E3"/>
    <w:rsid w:val="00F74405"/>
    <w:rsid w:val="00F74795"/>
    <w:rsid w:val="00F74930"/>
    <w:rsid w:val="00F74A9E"/>
    <w:rsid w:val="00F74AF9"/>
    <w:rsid w:val="00F74BB8"/>
    <w:rsid w:val="00F74EFD"/>
    <w:rsid w:val="00F74F3F"/>
    <w:rsid w:val="00F75166"/>
    <w:rsid w:val="00F75998"/>
    <w:rsid w:val="00F75AD0"/>
    <w:rsid w:val="00F75FEE"/>
    <w:rsid w:val="00F7631A"/>
    <w:rsid w:val="00F7658C"/>
    <w:rsid w:val="00F766B7"/>
    <w:rsid w:val="00F76895"/>
    <w:rsid w:val="00F76B93"/>
    <w:rsid w:val="00F76C2C"/>
    <w:rsid w:val="00F76DB3"/>
    <w:rsid w:val="00F76E15"/>
    <w:rsid w:val="00F7766E"/>
    <w:rsid w:val="00F7768F"/>
    <w:rsid w:val="00F776BB"/>
    <w:rsid w:val="00F7778E"/>
    <w:rsid w:val="00F77896"/>
    <w:rsid w:val="00F77B50"/>
    <w:rsid w:val="00F77DDC"/>
    <w:rsid w:val="00F8030F"/>
    <w:rsid w:val="00F80390"/>
    <w:rsid w:val="00F804FB"/>
    <w:rsid w:val="00F80C2E"/>
    <w:rsid w:val="00F81079"/>
    <w:rsid w:val="00F81B67"/>
    <w:rsid w:val="00F81B9B"/>
    <w:rsid w:val="00F81FC9"/>
    <w:rsid w:val="00F8242C"/>
    <w:rsid w:val="00F82DE7"/>
    <w:rsid w:val="00F82ECF"/>
    <w:rsid w:val="00F82F27"/>
    <w:rsid w:val="00F831E7"/>
    <w:rsid w:val="00F8355F"/>
    <w:rsid w:val="00F83570"/>
    <w:rsid w:val="00F83630"/>
    <w:rsid w:val="00F836B5"/>
    <w:rsid w:val="00F837E2"/>
    <w:rsid w:val="00F839AF"/>
    <w:rsid w:val="00F83D42"/>
    <w:rsid w:val="00F83FC1"/>
    <w:rsid w:val="00F84866"/>
    <w:rsid w:val="00F848A2"/>
    <w:rsid w:val="00F8495A"/>
    <w:rsid w:val="00F84B53"/>
    <w:rsid w:val="00F85000"/>
    <w:rsid w:val="00F8535C"/>
    <w:rsid w:val="00F8549F"/>
    <w:rsid w:val="00F859BF"/>
    <w:rsid w:val="00F85A9E"/>
    <w:rsid w:val="00F85EDA"/>
    <w:rsid w:val="00F85F41"/>
    <w:rsid w:val="00F86019"/>
    <w:rsid w:val="00F86576"/>
    <w:rsid w:val="00F869C8"/>
    <w:rsid w:val="00F87152"/>
    <w:rsid w:val="00F872F8"/>
    <w:rsid w:val="00F87609"/>
    <w:rsid w:val="00F87A50"/>
    <w:rsid w:val="00F87C66"/>
    <w:rsid w:val="00F87F2F"/>
    <w:rsid w:val="00F90232"/>
    <w:rsid w:val="00F90296"/>
    <w:rsid w:val="00F904E9"/>
    <w:rsid w:val="00F905A3"/>
    <w:rsid w:val="00F9072D"/>
    <w:rsid w:val="00F907BB"/>
    <w:rsid w:val="00F90828"/>
    <w:rsid w:val="00F90ADC"/>
    <w:rsid w:val="00F90C72"/>
    <w:rsid w:val="00F910D5"/>
    <w:rsid w:val="00F91429"/>
    <w:rsid w:val="00F916A7"/>
    <w:rsid w:val="00F918F7"/>
    <w:rsid w:val="00F91E98"/>
    <w:rsid w:val="00F9202E"/>
    <w:rsid w:val="00F923AD"/>
    <w:rsid w:val="00F9240A"/>
    <w:rsid w:val="00F925A3"/>
    <w:rsid w:val="00F935DA"/>
    <w:rsid w:val="00F93749"/>
    <w:rsid w:val="00F938E1"/>
    <w:rsid w:val="00F93A7C"/>
    <w:rsid w:val="00F93C04"/>
    <w:rsid w:val="00F93E43"/>
    <w:rsid w:val="00F93F5F"/>
    <w:rsid w:val="00F9401B"/>
    <w:rsid w:val="00F942CC"/>
    <w:rsid w:val="00F943F4"/>
    <w:rsid w:val="00F9443A"/>
    <w:rsid w:val="00F94452"/>
    <w:rsid w:val="00F94846"/>
    <w:rsid w:val="00F948A6"/>
    <w:rsid w:val="00F94B74"/>
    <w:rsid w:val="00F94E8B"/>
    <w:rsid w:val="00F95455"/>
    <w:rsid w:val="00F957C2"/>
    <w:rsid w:val="00F957DB"/>
    <w:rsid w:val="00F95903"/>
    <w:rsid w:val="00F95AB9"/>
    <w:rsid w:val="00F96025"/>
    <w:rsid w:val="00F96458"/>
    <w:rsid w:val="00F964C5"/>
    <w:rsid w:val="00F96768"/>
    <w:rsid w:val="00F96D08"/>
    <w:rsid w:val="00F96D82"/>
    <w:rsid w:val="00F970D0"/>
    <w:rsid w:val="00F97153"/>
    <w:rsid w:val="00F972BE"/>
    <w:rsid w:val="00F9759B"/>
    <w:rsid w:val="00F976A4"/>
    <w:rsid w:val="00F97708"/>
    <w:rsid w:val="00F977A7"/>
    <w:rsid w:val="00F97B33"/>
    <w:rsid w:val="00F97BFD"/>
    <w:rsid w:val="00F97C16"/>
    <w:rsid w:val="00FA012B"/>
    <w:rsid w:val="00FA03B1"/>
    <w:rsid w:val="00FA068F"/>
    <w:rsid w:val="00FA0AED"/>
    <w:rsid w:val="00FA0BF4"/>
    <w:rsid w:val="00FA0C42"/>
    <w:rsid w:val="00FA107E"/>
    <w:rsid w:val="00FA11D0"/>
    <w:rsid w:val="00FA1752"/>
    <w:rsid w:val="00FA1D95"/>
    <w:rsid w:val="00FA1DF1"/>
    <w:rsid w:val="00FA1EB4"/>
    <w:rsid w:val="00FA224F"/>
    <w:rsid w:val="00FA25F7"/>
    <w:rsid w:val="00FA2743"/>
    <w:rsid w:val="00FA2B14"/>
    <w:rsid w:val="00FA2D6C"/>
    <w:rsid w:val="00FA2DE7"/>
    <w:rsid w:val="00FA36B5"/>
    <w:rsid w:val="00FA3905"/>
    <w:rsid w:val="00FA3927"/>
    <w:rsid w:val="00FA3F84"/>
    <w:rsid w:val="00FA409C"/>
    <w:rsid w:val="00FA411B"/>
    <w:rsid w:val="00FA426A"/>
    <w:rsid w:val="00FA47B1"/>
    <w:rsid w:val="00FA4809"/>
    <w:rsid w:val="00FA49EC"/>
    <w:rsid w:val="00FA4A45"/>
    <w:rsid w:val="00FA4B61"/>
    <w:rsid w:val="00FA4D8B"/>
    <w:rsid w:val="00FA5211"/>
    <w:rsid w:val="00FA5495"/>
    <w:rsid w:val="00FA56A3"/>
    <w:rsid w:val="00FA5872"/>
    <w:rsid w:val="00FA5B80"/>
    <w:rsid w:val="00FA5BF3"/>
    <w:rsid w:val="00FA5CA6"/>
    <w:rsid w:val="00FA5EE4"/>
    <w:rsid w:val="00FA65C8"/>
    <w:rsid w:val="00FA6675"/>
    <w:rsid w:val="00FA6759"/>
    <w:rsid w:val="00FA6B4D"/>
    <w:rsid w:val="00FA70E0"/>
    <w:rsid w:val="00FA773C"/>
    <w:rsid w:val="00FA7960"/>
    <w:rsid w:val="00FA7CA1"/>
    <w:rsid w:val="00FA7CFC"/>
    <w:rsid w:val="00FB05E3"/>
    <w:rsid w:val="00FB072D"/>
    <w:rsid w:val="00FB0790"/>
    <w:rsid w:val="00FB0876"/>
    <w:rsid w:val="00FB0BEA"/>
    <w:rsid w:val="00FB0E3C"/>
    <w:rsid w:val="00FB0FB4"/>
    <w:rsid w:val="00FB1090"/>
    <w:rsid w:val="00FB1364"/>
    <w:rsid w:val="00FB241A"/>
    <w:rsid w:val="00FB2B0A"/>
    <w:rsid w:val="00FB2B6A"/>
    <w:rsid w:val="00FB2D18"/>
    <w:rsid w:val="00FB3364"/>
    <w:rsid w:val="00FB38BA"/>
    <w:rsid w:val="00FB39B4"/>
    <w:rsid w:val="00FB3B7E"/>
    <w:rsid w:val="00FB3C37"/>
    <w:rsid w:val="00FB3CD8"/>
    <w:rsid w:val="00FB40A4"/>
    <w:rsid w:val="00FB411D"/>
    <w:rsid w:val="00FB42BA"/>
    <w:rsid w:val="00FB46BB"/>
    <w:rsid w:val="00FB49D0"/>
    <w:rsid w:val="00FB4B2B"/>
    <w:rsid w:val="00FB4CB5"/>
    <w:rsid w:val="00FB4E28"/>
    <w:rsid w:val="00FB4F40"/>
    <w:rsid w:val="00FB52EC"/>
    <w:rsid w:val="00FB52FC"/>
    <w:rsid w:val="00FB54E4"/>
    <w:rsid w:val="00FB576C"/>
    <w:rsid w:val="00FB5820"/>
    <w:rsid w:val="00FB58E3"/>
    <w:rsid w:val="00FB59DB"/>
    <w:rsid w:val="00FB5D7D"/>
    <w:rsid w:val="00FB5E81"/>
    <w:rsid w:val="00FB5F01"/>
    <w:rsid w:val="00FB5F46"/>
    <w:rsid w:val="00FB62B2"/>
    <w:rsid w:val="00FB68EB"/>
    <w:rsid w:val="00FB6A9C"/>
    <w:rsid w:val="00FB6AC4"/>
    <w:rsid w:val="00FB6DA0"/>
    <w:rsid w:val="00FB70BF"/>
    <w:rsid w:val="00FC011F"/>
    <w:rsid w:val="00FC0516"/>
    <w:rsid w:val="00FC0613"/>
    <w:rsid w:val="00FC0B11"/>
    <w:rsid w:val="00FC0D3E"/>
    <w:rsid w:val="00FC0DF7"/>
    <w:rsid w:val="00FC0EB4"/>
    <w:rsid w:val="00FC1759"/>
    <w:rsid w:val="00FC1CD9"/>
    <w:rsid w:val="00FC1CF8"/>
    <w:rsid w:val="00FC1FF4"/>
    <w:rsid w:val="00FC2222"/>
    <w:rsid w:val="00FC22B7"/>
    <w:rsid w:val="00FC2638"/>
    <w:rsid w:val="00FC3277"/>
    <w:rsid w:val="00FC330D"/>
    <w:rsid w:val="00FC351D"/>
    <w:rsid w:val="00FC3591"/>
    <w:rsid w:val="00FC3E16"/>
    <w:rsid w:val="00FC3E74"/>
    <w:rsid w:val="00FC3EFE"/>
    <w:rsid w:val="00FC401B"/>
    <w:rsid w:val="00FC4270"/>
    <w:rsid w:val="00FC4C0A"/>
    <w:rsid w:val="00FC4DD9"/>
    <w:rsid w:val="00FC54AF"/>
    <w:rsid w:val="00FC5934"/>
    <w:rsid w:val="00FC5F04"/>
    <w:rsid w:val="00FC628F"/>
    <w:rsid w:val="00FC63DE"/>
    <w:rsid w:val="00FC640D"/>
    <w:rsid w:val="00FC689A"/>
    <w:rsid w:val="00FC6BCE"/>
    <w:rsid w:val="00FC6F52"/>
    <w:rsid w:val="00FC7220"/>
    <w:rsid w:val="00FC799F"/>
    <w:rsid w:val="00FC7B4A"/>
    <w:rsid w:val="00FC7E39"/>
    <w:rsid w:val="00FD007C"/>
    <w:rsid w:val="00FD0123"/>
    <w:rsid w:val="00FD035C"/>
    <w:rsid w:val="00FD064F"/>
    <w:rsid w:val="00FD0F53"/>
    <w:rsid w:val="00FD161A"/>
    <w:rsid w:val="00FD1935"/>
    <w:rsid w:val="00FD1C20"/>
    <w:rsid w:val="00FD1CFA"/>
    <w:rsid w:val="00FD2132"/>
    <w:rsid w:val="00FD24CF"/>
    <w:rsid w:val="00FD2579"/>
    <w:rsid w:val="00FD2E15"/>
    <w:rsid w:val="00FD353B"/>
    <w:rsid w:val="00FD3651"/>
    <w:rsid w:val="00FD3826"/>
    <w:rsid w:val="00FD384D"/>
    <w:rsid w:val="00FD39AF"/>
    <w:rsid w:val="00FD39CC"/>
    <w:rsid w:val="00FD3FBC"/>
    <w:rsid w:val="00FD4082"/>
    <w:rsid w:val="00FD4377"/>
    <w:rsid w:val="00FD476F"/>
    <w:rsid w:val="00FD4C32"/>
    <w:rsid w:val="00FD4C94"/>
    <w:rsid w:val="00FD4DE7"/>
    <w:rsid w:val="00FD4EF8"/>
    <w:rsid w:val="00FD51EE"/>
    <w:rsid w:val="00FD5207"/>
    <w:rsid w:val="00FD55EA"/>
    <w:rsid w:val="00FD562F"/>
    <w:rsid w:val="00FD5690"/>
    <w:rsid w:val="00FD56B7"/>
    <w:rsid w:val="00FD5FDA"/>
    <w:rsid w:val="00FD6409"/>
    <w:rsid w:val="00FD6500"/>
    <w:rsid w:val="00FD6568"/>
    <w:rsid w:val="00FD695E"/>
    <w:rsid w:val="00FD6B32"/>
    <w:rsid w:val="00FD6BA4"/>
    <w:rsid w:val="00FD6DE7"/>
    <w:rsid w:val="00FD6DED"/>
    <w:rsid w:val="00FD6E07"/>
    <w:rsid w:val="00FD6F69"/>
    <w:rsid w:val="00FD744F"/>
    <w:rsid w:val="00FD774E"/>
    <w:rsid w:val="00FD7CEA"/>
    <w:rsid w:val="00FE0233"/>
    <w:rsid w:val="00FE04BF"/>
    <w:rsid w:val="00FE092D"/>
    <w:rsid w:val="00FE0A2A"/>
    <w:rsid w:val="00FE0A89"/>
    <w:rsid w:val="00FE0D76"/>
    <w:rsid w:val="00FE13F3"/>
    <w:rsid w:val="00FE13FA"/>
    <w:rsid w:val="00FE14CA"/>
    <w:rsid w:val="00FE1606"/>
    <w:rsid w:val="00FE1895"/>
    <w:rsid w:val="00FE1A59"/>
    <w:rsid w:val="00FE1BD8"/>
    <w:rsid w:val="00FE1E67"/>
    <w:rsid w:val="00FE1E9E"/>
    <w:rsid w:val="00FE1F0B"/>
    <w:rsid w:val="00FE1F12"/>
    <w:rsid w:val="00FE209C"/>
    <w:rsid w:val="00FE223E"/>
    <w:rsid w:val="00FE2441"/>
    <w:rsid w:val="00FE274C"/>
    <w:rsid w:val="00FE299E"/>
    <w:rsid w:val="00FE2C2C"/>
    <w:rsid w:val="00FE2C7B"/>
    <w:rsid w:val="00FE2CA7"/>
    <w:rsid w:val="00FE3649"/>
    <w:rsid w:val="00FE3700"/>
    <w:rsid w:val="00FE372F"/>
    <w:rsid w:val="00FE4448"/>
    <w:rsid w:val="00FE479A"/>
    <w:rsid w:val="00FE4AF6"/>
    <w:rsid w:val="00FE4C31"/>
    <w:rsid w:val="00FE4C3C"/>
    <w:rsid w:val="00FE5364"/>
    <w:rsid w:val="00FE54DD"/>
    <w:rsid w:val="00FE5EBC"/>
    <w:rsid w:val="00FE64BC"/>
    <w:rsid w:val="00FE64C1"/>
    <w:rsid w:val="00FE651F"/>
    <w:rsid w:val="00FE6B1F"/>
    <w:rsid w:val="00FE6B9B"/>
    <w:rsid w:val="00FE7354"/>
    <w:rsid w:val="00FE7E03"/>
    <w:rsid w:val="00FE7E44"/>
    <w:rsid w:val="00FE7F17"/>
    <w:rsid w:val="00FE7F2E"/>
    <w:rsid w:val="00FF04DE"/>
    <w:rsid w:val="00FF0674"/>
    <w:rsid w:val="00FF0728"/>
    <w:rsid w:val="00FF089F"/>
    <w:rsid w:val="00FF0DF7"/>
    <w:rsid w:val="00FF0F5A"/>
    <w:rsid w:val="00FF1416"/>
    <w:rsid w:val="00FF1483"/>
    <w:rsid w:val="00FF17DC"/>
    <w:rsid w:val="00FF1D7B"/>
    <w:rsid w:val="00FF2244"/>
    <w:rsid w:val="00FF25A3"/>
    <w:rsid w:val="00FF26E2"/>
    <w:rsid w:val="00FF2ADC"/>
    <w:rsid w:val="00FF2CED"/>
    <w:rsid w:val="00FF3085"/>
    <w:rsid w:val="00FF351A"/>
    <w:rsid w:val="00FF38E1"/>
    <w:rsid w:val="00FF394E"/>
    <w:rsid w:val="00FF3A61"/>
    <w:rsid w:val="00FF3AA2"/>
    <w:rsid w:val="00FF3DD4"/>
    <w:rsid w:val="00FF3F40"/>
    <w:rsid w:val="00FF4127"/>
    <w:rsid w:val="00FF47EC"/>
    <w:rsid w:val="00FF4A7D"/>
    <w:rsid w:val="00FF4DD2"/>
    <w:rsid w:val="00FF4DE8"/>
    <w:rsid w:val="00FF4FC8"/>
    <w:rsid w:val="00FF54F5"/>
    <w:rsid w:val="00FF574F"/>
    <w:rsid w:val="00FF58FB"/>
    <w:rsid w:val="00FF68E0"/>
    <w:rsid w:val="00FF68F4"/>
    <w:rsid w:val="00FF6D0E"/>
    <w:rsid w:val="00FF723F"/>
    <w:rsid w:val="00FF7532"/>
    <w:rsid w:val="00FF7C92"/>
    <w:rsid w:val="0123D241"/>
    <w:rsid w:val="0139D30F"/>
    <w:rsid w:val="01466A20"/>
    <w:rsid w:val="015753F5"/>
    <w:rsid w:val="0179E501"/>
    <w:rsid w:val="018B15F2"/>
    <w:rsid w:val="0192ED80"/>
    <w:rsid w:val="01C3AEEF"/>
    <w:rsid w:val="01EB5CA6"/>
    <w:rsid w:val="01F827EA"/>
    <w:rsid w:val="0238004E"/>
    <w:rsid w:val="0269B7CD"/>
    <w:rsid w:val="027DF67D"/>
    <w:rsid w:val="02F7B14F"/>
    <w:rsid w:val="03256210"/>
    <w:rsid w:val="0383E78F"/>
    <w:rsid w:val="038BD9AB"/>
    <w:rsid w:val="03B0FEF0"/>
    <w:rsid w:val="03E74819"/>
    <w:rsid w:val="03F97743"/>
    <w:rsid w:val="0467CC3A"/>
    <w:rsid w:val="04727B62"/>
    <w:rsid w:val="04BCC4DB"/>
    <w:rsid w:val="04C9E47C"/>
    <w:rsid w:val="04E116FF"/>
    <w:rsid w:val="051CB03B"/>
    <w:rsid w:val="052C8A39"/>
    <w:rsid w:val="05618189"/>
    <w:rsid w:val="05CE6668"/>
    <w:rsid w:val="05CFA87E"/>
    <w:rsid w:val="05D456A3"/>
    <w:rsid w:val="05D8E879"/>
    <w:rsid w:val="0642A63E"/>
    <w:rsid w:val="066CE4A8"/>
    <w:rsid w:val="06840504"/>
    <w:rsid w:val="06EAF605"/>
    <w:rsid w:val="06FF3EA2"/>
    <w:rsid w:val="07195C4A"/>
    <w:rsid w:val="074261A8"/>
    <w:rsid w:val="077532C7"/>
    <w:rsid w:val="07DC4C17"/>
    <w:rsid w:val="07EA5AA5"/>
    <w:rsid w:val="080B1009"/>
    <w:rsid w:val="08588A1B"/>
    <w:rsid w:val="0865586A"/>
    <w:rsid w:val="08AEA22E"/>
    <w:rsid w:val="08E94699"/>
    <w:rsid w:val="08EEB069"/>
    <w:rsid w:val="08F1C925"/>
    <w:rsid w:val="09118EB2"/>
    <w:rsid w:val="094E17B8"/>
    <w:rsid w:val="09C4774E"/>
    <w:rsid w:val="0A67FBD1"/>
    <w:rsid w:val="0A6C374C"/>
    <w:rsid w:val="0A7883EB"/>
    <w:rsid w:val="0AD85FF2"/>
    <w:rsid w:val="0B04F55C"/>
    <w:rsid w:val="0B279DA9"/>
    <w:rsid w:val="0B8DCD8A"/>
    <w:rsid w:val="0C30A6E8"/>
    <w:rsid w:val="0C5D730B"/>
    <w:rsid w:val="0C6CB13A"/>
    <w:rsid w:val="0CAD256C"/>
    <w:rsid w:val="0D41D116"/>
    <w:rsid w:val="0D7CE6CE"/>
    <w:rsid w:val="0E3A17F3"/>
    <w:rsid w:val="0E6CA9E1"/>
    <w:rsid w:val="0ED222E4"/>
    <w:rsid w:val="0F07FAA4"/>
    <w:rsid w:val="0F12D4F9"/>
    <w:rsid w:val="0F389C1A"/>
    <w:rsid w:val="0F447506"/>
    <w:rsid w:val="0F4B745D"/>
    <w:rsid w:val="0F4E7AAE"/>
    <w:rsid w:val="0F5DDEEE"/>
    <w:rsid w:val="0F94DF26"/>
    <w:rsid w:val="0FDF88BF"/>
    <w:rsid w:val="0FF1BD56"/>
    <w:rsid w:val="0FFBB69E"/>
    <w:rsid w:val="101438D0"/>
    <w:rsid w:val="1034B11A"/>
    <w:rsid w:val="1037F85A"/>
    <w:rsid w:val="103CF9DC"/>
    <w:rsid w:val="104C71C0"/>
    <w:rsid w:val="1055B6A8"/>
    <w:rsid w:val="10795497"/>
    <w:rsid w:val="108CAC66"/>
    <w:rsid w:val="10D6C8F2"/>
    <w:rsid w:val="1103F0C4"/>
    <w:rsid w:val="113FEBB1"/>
    <w:rsid w:val="11970DD0"/>
    <w:rsid w:val="11A8AE0A"/>
    <w:rsid w:val="11BA9709"/>
    <w:rsid w:val="11D3D829"/>
    <w:rsid w:val="11D90C40"/>
    <w:rsid w:val="11E4DAF8"/>
    <w:rsid w:val="11EE62C5"/>
    <w:rsid w:val="12271A31"/>
    <w:rsid w:val="122F7653"/>
    <w:rsid w:val="122F8863"/>
    <w:rsid w:val="123B6943"/>
    <w:rsid w:val="1265F507"/>
    <w:rsid w:val="12709D09"/>
    <w:rsid w:val="128A7465"/>
    <w:rsid w:val="12AD15C6"/>
    <w:rsid w:val="12EC2EB0"/>
    <w:rsid w:val="12EEB77A"/>
    <w:rsid w:val="12F6953E"/>
    <w:rsid w:val="1304C818"/>
    <w:rsid w:val="132E33BF"/>
    <w:rsid w:val="1346C234"/>
    <w:rsid w:val="1349D7B6"/>
    <w:rsid w:val="137F3435"/>
    <w:rsid w:val="13EE2F91"/>
    <w:rsid w:val="14457343"/>
    <w:rsid w:val="146A8416"/>
    <w:rsid w:val="1470B1E4"/>
    <w:rsid w:val="14985A46"/>
    <w:rsid w:val="14F33E0E"/>
    <w:rsid w:val="1521736B"/>
    <w:rsid w:val="1562ACE7"/>
    <w:rsid w:val="15C18035"/>
    <w:rsid w:val="15F996AE"/>
    <w:rsid w:val="15FC68B5"/>
    <w:rsid w:val="1677404D"/>
    <w:rsid w:val="16B58D31"/>
    <w:rsid w:val="16C1D914"/>
    <w:rsid w:val="17586E19"/>
    <w:rsid w:val="175A67B3"/>
    <w:rsid w:val="1771E102"/>
    <w:rsid w:val="179371EE"/>
    <w:rsid w:val="17C0B899"/>
    <w:rsid w:val="1818410E"/>
    <w:rsid w:val="182DE732"/>
    <w:rsid w:val="183C2075"/>
    <w:rsid w:val="184F2765"/>
    <w:rsid w:val="186EFECC"/>
    <w:rsid w:val="18D92648"/>
    <w:rsid w:val="190A4DC7"/>
    <w:rsid w:val="19955F4E"/>
    <w:rsid w:val="19FF8ADB"/>
    <w:rsid w:val="1A00E826"/>
    <w:rsid w:val="1A287E96"/>
    <w:rsid w:val="1A5EE71F"/>
    <w:rsid w:val="1A6E8984"/>
    <w:rsid w:val="1A6F9D85"/>
    <w:rsid w:val="1A7DA14A"/>
    <w:rsid w:val="1B36B204"/>
    <w:rsid w:val="1B3ABAEC"/>
    <w:rsid w:val="1BB5B410"/>
    <w:rsid w:val="1BCAC309"/>
    <w:rsid w:val="1BF97CC2"/>
    <w:rsid w:val="1C138D86"/>
    <w:rsid w:val="1C257EFC"/>
    <w:rsid w:val="1C26AAE7"/>
    <w:rsid w:val="1CFDC97F"/>
    <w:rsid w:val="1D271B27"/>
    <w:rsid w:val="1D3BB5BF"/>
    <w:rsid w:val="1D532DBF"/>
    <w:rsid w:val="1D9C39DC"/>
    <w:rsid w:val="1DA57AA1"/>
    <w:rsid w:val="1DB188F8"/>
    <w:rsid w:val="1DBD98A2"/>
    <w:rsid w:val="1E0F81D3"/>
    <w:rsid w:val="1E101E62"/>
    <w:rsid w:val="1E238D8F"/>
    <w:rsid w:val="1E2B98F3"/>
    <w:rsid w:val="1E4DFC74"/>
    <w:rsid w:val="1FAD9DFA"/>
    <w:rsid w:val="1FD3659E"/>
    <w:rsid w:val="1FE59F9F"/>
    <w:rsid w:val="200084A5"/>
    <w:rsid w:val="2009D3F6"/>
    <w:rsid w:val="208C6219"/>
    <w:rsid w:val="20E16BEE"/>
    <w:rsid w:val="20E1B566"/>
    <w:rsid w:val="20F42CEE"/>
    <w:rsid w:val="21ABB76E"/>
    <w:rsid w:val="21BB51AD"/>
    <w:rsid w:val="222011A7"/>
    <w:rsid w:val="22801885"/>
    <w:rsid w:val="22B33EDA"/>
    <w:rsid w:val="22E4BDA5"/>
    <w:rsid w:val="233E04BC"/>
    <w:rsid w:val="237C26A6"/>
    <w:rsid w:val="238BE0DF"/>
    <w:rsid w:val="2390F4A0"/>
    <w:rsid w:val="23AF8EB0"/>
    <w:rsid w:val="23AF905D"/>
    <w:rsid w:val="23F6E22A"/>
    <w:rsid w:val="24358C90"/>
    <w:rsid w:val="24BD8CAA"/>
    <w:rsid w:val="24E98F0D"/>
    <w:rsid w:val="25136648"/>
    <w:rsid w:val="252870FA"/>
    <w:rsid w:val="2577B412"/>
    <w:rsid w:val="25BF2DE3"/>
    <w:rsid w:val="25C92B0A"/>
    <w:rsid w:val="2611E2A9"/>
    <w:rsid w:val="26554B5A"/>
    <w:rsid w:val="2655CAA3"/>
    <w:rsid w:val="267BE5EB"/>
    <w:rsid w:val="26C07A6E"/>
    <w:rsid w:val="26EB8AFA"/>
    <w:rsid w:val="27179446"/>
    <w:rsid w:val="271FF308"/>
    <w:rsid w:val="2757D269"/>
    <w:rsid w:val="27CB3E77"/>
    <w:rsid w:val="27CC8221"/>
    <w:rsid w:val="27DF43A8"/>
    <w:rsid w:val="27E43075"/>
    <w:rsid w:val="27FF5CE2"/>
    <w:rsid w:val="2804FA67"/>
    <w:rsid w:val="281C6A8A"/>
    <w:rsid w:val="28BC297E"/>
    <w:rsid w:val="28D6CD09"/>
    <w:rsid w:val="28E72040"/>
    <w:rsid w:val="28FE87CF"/>
    <w:rsid w:val="291809B9"/>
    <w:rsid w:val="291EAFDE"/>
    <w:rsid w:val="29364F1B"/>
    <w:rsid w:val="295FF717"/>
    <w:rsid w:val="296DE9B4"/>
    <w:rsid w:val="29903239"/>
    <w:rsid w:val="29A00852"/>
    <w:rsid w:val="29A5F6E4"/>
    <w:rsid w:val="2A220A08"/>
    <w:rsid w:val="2A4A0E69"/>
    <w:rsid w:val="2A68D716"/>
    <w:rsid w:val="2A693AB7"/>
    <w:rsid w:val="2A8FAFDB"/>
    <w:rsid w:val="2AB501C4"/>
    <w:rsid w:val="2ABE455F"/>
    <w:rsid w:val="2AC5D4D6"/>
    <w:rsid w:val="2AD44142"/>
    <w:rsid w:val="2ADFAFDB"/>
    <w:rsid w:val="2B4F54AF"/>
    <w:rsid w:val="2B8A54E6"/>
    <w:rsid w:val="2BAB2060"/>
    <w:rsid w:val="2BAE6D90"/>
    <w:rsid w:val="2BB1F211"/>
    <w:rsid w:val="2BC3F4E8"/>
    <w:rsid w:val="2C110EB7"/>
    <w:rsid w:val="2C17198B"/>
    <w:rsid w:val="2C45915C"/>
    <w:rsid w:val="2C54F234"/>
    <w:rsid w:val="2CC17A5B"/>
    <w:rsid w:val="2CF53A05"/>
    <w:rsid w:val="2DAA26E6"/>
    <w:rsid w:val="2DC5633A"/>
    <w:rsid w:val="2E39DCC9"/>
    <w:rsid w:val="2E50BCE1"/>
    <w:rsid w:val="2E6094D3"/>
    <w:rsid w:val="2E6E0135"/>
    <w:rsid w:val="2ECD92C3"/>
    <w:rsid w:val="2EEB6902"/>
    <w:rsid w:val="2FBADE18"/>
    <w:rsid w:val="2FCC4BC6"/>
    <w:rsid w:val="2FD6CBDB"/>
    <w:rsid w:val="301C022B"/>
    <w:rsid w:val="30438E31"/>
    <w:rsid w:val="3051671D"/>
    <w:rsid w:val="3088413B"/>
    <w:rsid w:val="3093C225"/>
    <w:rsid w:val="3097D0F4"/>
    <w:rsid w:val="30E4576D"/>
    <w:rsid w:val="30FF8DFD"/>
    <w:rsid w:val="31220AEB"/>
    <w:rsid w:val="312DA3E1"/>
    <w:rsid w:val="31826FCC"/>
    <w:rsid w:val="319398A9"/>
    <w:rsid w:val="31C32E95"/>
    <w:rsid w:val="31CCDD3F"/>
    <w:rsid w:val="32018D7D"/>
    <w:rsid w:val="32370D8D"/>
    <w:rsid w:val="326992A1"/>
    <w:rsid w:val="32BD9F43"/>
    <w:rsid w:val="32CE40AE"/>
    <w:rsid w:val="33301065"/>
    <w:rsid w:val="337DFB17"/>
    <w:rsid w:val="3390FD50"/>
    <w:rsid w:val="33B408C7"/>
    <w:rsid w:val="33D9F6F1"/>
    <w:rsid w:val="33DD54B5"/>
    <w:rsid w:val="33FCC50B"/>
    <w:rsid w:val="345A1CDD"/>
    <w:rsid w:val="351141F8"/>
    <w:rsid w:val="35130957"/>
    <w:rsid w:val="353B1C47"/>
    <w:rsid w:val="3546D37C"/>
    <w:rsid w:val="3584E09B"/>
    <w:rsid w:val="359393F2"/>
    <w:rsid w:val="35DED8E0"/>
    <w:rsid w:val="35F58106"/>
    <w:rsid w:val="3633C177"/>
    <w:rsid w:val="3650B5F9"/>
    <w:rsid w:val="36739086"/>
    <w:rsid w:val="36B9C779"/>
    <w:rsid w:val="36E4B6AF"/>
    <w:rsid w:val="36F60896"/>
    <w:rsid w:val="3713BCFB"/>
    <w:rsid w:val="378E33EE"/>
    <w:rsid w:val="37A53068"/>
    <w:rsid w:val="37D33C37"/>
    <w:rsid w:val="37FD03F2"/>
    <w:rsid w:val="37FE3839"/>
    <w:rsid w:val="380BFA85"/>
    <w:rsid w:val="3819B40A"/>
    <w:rsid w:val="38376154"/>
    <w:rsid w:val="383C8871"/>
    <w:rsid w:val="3852AB69"/>
    <w:rsid w:val="38B9DEC2"/>
    <w:rsid w:val="38E538A7"/>
    <w:rsid w:val="38F5DB5D"/>
    <w:rsid w:val="392163BE"/>
    <w:rsid w:val="3A61D601"/>
    <w:rsid w:val="3A9CF69C"/>
    <w:rsid w:val="3AD0FFDA"/>
    <w:rsid w:val="3AD7FFF6"/>
    <w:rsid w:val="3AD8ED56"/>
    <w:rsid w:val="3B00907C"/>
    <w:rsid w:val="3B3993A0"/>
    <w:rsid w:val="3B8B33A3"/>
    <w:rsid w:val="3BE20949"/>
    <w:rsid w:val="3BF3E95D"/>
    <w:rsid w:val="3C085A96"/>
    <w:rsid w:val="3C5A3367"/>
    <w:rsid w:val="3C7106AC"/>
    <w:rsid w:val="3CD78E8C"/>
    <w:rsid w:val="3CFA38CE"/>
    <w:rsid w:val="3D6182A7"/>
    <w:rsid w:val="3D69C396"/>
    <w:rsid w:val="3D791A77"/>
    <w:rsid w:val="3DB3176F"/>
    <w:rsid w:val="3DF6682A"/>
    <w:rsid w:val="3E087835"/>
    <w:rsid w:val="3E77AB59"/>
    <w:rsid w:val="3E9D423C"/>
    <w:rsid w:val="3EFC4811"/>
    <w:rsid w:val="3F290F29"/>
    <w:rsid w:val="3F350A83"/>
    <w:rsid w:val="3F5769D0"/>
    <w:rsid w:val="3FB5783C"/>
    <w:rsid w:val="3FC4B2D8"/>
    <w:rsid w:val="3FD02A33"/>
    <w:rsid w:val="3FD087EB"/>
    <w:rsid w:val="3FD11874"/>
    <w:rsid w:val="3FDA2B76"/>
    <w:rsid w:val="3FE89B63"/>
    <w:rsid w:val="403A63F3"/>
    <w:rsid w:val="4069FC2C"/>
    <w:rsid w:val="408FC542"/>
    <w:rsid w:val="40BA40D3"/>
    <w:rsid w:val="41094F5C"/>
    <w:rsid w:val="4124F5C6"/>
    <w:rsid w:val="41890235"/>
    <w:rsid w:val="41CA4C42"/>
    <w:rsid w:val="426DB981"/>
    <w:rsid w:val="429B02EB"/>
    <w:rsid w:val="42DF2F73"/>
    <w:rsid w:val="43438CE6"/>
    <w:rsid w:val="4344F3A9"/>
    <w:rsid w:val="434D2CBF"/>
    <w:rsid w:val="437957CB"/>
    <w:rsid w:val="43C4ABAE"/>
    <w:rsid w:val="43CDFAD2"/>
    <w:rsid w:val="43FE4BBA"/>
    <w:rsid w:val="4493EC9E"/>
    <w:rsid w:val="44AE80A4"/>
    <w:rsid w:val="44C0FD93"/>
    <w:rsid w:val="455C3C70"/>
    <w:rsid w:val="4593E555"/>
    <w:rsid w:val="4596BF48"/>
    <w:rsid w:val="45970D07"/>
    <w:rsid w:val="45AD7285"/>
    <w:rsid w:val="45D6697E"/>
    <w:rsid w:val="4610AAA6"/>
    <w:rsid w:val="4616FD53"/>
    <w:rsid w:val="46BD256B"/>
    <w:rsid w:val="46ECD4E1"/>
    <w:rsid w:val="471A2F31"/>
    <w:rsid w:val="476E7D8B"/>
    <w:rsid w:val="4787E88A"/>
    <w:rsid w:val="47CC01F6"/>
    <w:rsid w:val="4829D81B"/>
    <w:rsid w:val="4857267E"/>
    <w:rsid w:val="48AA00E2"/>
    <w:rsid w:val="48B53750"/>
    <w:rsid w:val="48B90233"/>
    <w:rsid w:val="48CF69E0"/>
    <w:rsid w:val="492D59AC"/>
    <w:rsid w:val="493132E4"/>
    <w:rsid w:val="498A109F"/>
    <w:rsid w:val="49A521EE"/>
    <w:rsid w:val="49B742B6"/>
    <w:rsid w:val="49BB3881"/>
    <w:rsid w:val="49C5D101"/>
    <w:rsid w:val="4A17C3AC"/>
    <w:rsid w:val="4A500C28"/>
    <w:rsid w:val="4B6C9DC3"/>
    <w:rsid w:val="4BAEC26F"/>
    <w:rsid w:val="4C38F41F"/>
    <w:rsid w:val="4C4E3B8B"/>
    <w:rsid w:val="4C50BA78"/>
    <w:rsid w:val="4CCB6FA7"/>
    <w:rsid w:val="4CDFB3E5"/>
    <w:rsid w:val="4D2607C0"/>
    <w:rsid w:val="4D70EB0B"/>
    <w:rsid w:val="4DB4F53A"/>
    <w:rsid w:val="4DDAFBA2"/>
    <w:rsid w:val="4E46FD45"/>
    <w:rsid w:val="4E4E7D9A"/>
    <w:rsid w:val="4E5F70A0"/>
    <w:rsid w:val="4E60FC0B"/>
    <w:rsid w:val="4E690FA5"/>
    <w:rsid w:val="4E821761"/>
    <w:rsid w:val="4ECCF462"/>
    <w:rsid w:val="4ED5275D"/>
    <w:rsid w:val="4F2D805D"/>
    <w:rsid w:val="4F3DD9C4"/>
    <w:rsid w:val="4F691EB8"/>
    <w:rsid w:val="4F7F3AE9"/>
    <w:rsid w:val="4FA6D7BE"/>
    <w:rsid w:val="4FC0C054"/>
    <w:rsid w:val="4FCC5985"/>
    <w:rsid w:val="4FEFF2D4"/>
    <w:rsid w:val="50113880"/>
    <w:rsid w:val="508D75FB"/>
    <w:rsid w:val="50947E0B"/>
    <w:rsid w:val="50EB17F0"/>
    <w:rsid w:val="50F17EAC"/>
    <w:rsid w:val="50FCBE7A"/>
    <w:rsid w:val="514F4B8A"/>
    <w:rsid w:val="5165F768"/>
    <w:rsid w:val="518A35A4"/>
    <w:rsid w:val="518E0645"/>
    <w:rsid w:val="5191C9FE"/>
    <w:rsid w:val="519C3F96"/>
    <w:rsid w:val="51CEFC78"/>
    <w:rsid w:val="5210AD6F"/>
    <w:rsid w:val="526D0EA6"/>
    <w:rsid w:val="52C2CA8C"/>
    <w:rsid w:val="52EED14E"/>
    <w:rsid w:val="530C5368"/>
    <w:rsid w:val="531782CD"/>
    <w:rsid w:val="532455DF"/>
    <w:rsid w:val="53249079"/>
    <w:rsid w:val="533D5AA1"/>
    <w:rsid w:val="534D1919"/>
    <w:rsid w:val="535C9397"/>
    <w:rsid w:val="53817865"/>
    <w:rsid w:val="545B5104"/>
    <w:rsid w:val="547F742E"/>
    <w:rsid w:val="54F3894D"/>
    <w:rsid w:val="55137151"/>
    <w:rsid w:val="552EB897"/>
    <w:rsid w:val="5540565C"/>
    <w:rsid w:val="556AB57E"/>
    <w:rsid w:val="5577CA1F"/>
    <w:rsid w:val="5589E348"/>
    <w:rsid w:val="55CC355B"/>
    <w:rsid w:val="55F61414"/>
    <w:rsid w:val="56046210"/>
    <w:rsid w:val="560B9268"/>
    <w:rsid w:val="561D8702"/>
    <w:rsid w:val="56474857"/>
    <w:rsid w:val="565FE165"/>
    <w:rsid w:val="566281A2"/>
    <w:rsid w:val="5677641A"/>
    <w:rsid w:val="567B9A3F"/>
    <w:rsid w:val="569F31F2"/>
    <w:rsid w:val="56A74372"/>
    <w:rsid w:val="56A953E7"/>
    <w:rsid w:val="56C89961"/>
    <w:rsid w:val="56FF8063"/>
    <w:rsid w:val="57753008"/>
    <w:rsid w:val="578831E3"/>
    <w:rsid w:val="578C26CB"/>
    <w:rsid w:val="57E4F918"/>
    <w:rsid w:val="57F63DE3"/>
    <w:rsid w:val="5810CAA4"/>
    <w:rsid w:val="58248A04"/>
    <w:rsid w:val="582D260B"/>
    <w:rsid w:val="58CE30F2"/>
    <w:rsid w:val="5901AA2F"/>
    <w:rsid w:val="593C43C9"/>
    <w:rsid w:val="5977F622"/>
    <w:rsid w:val="5A092A42"/>
    <w:rsid w:val="5A346C71"/>
    <w:rsid w:val="5A3F6FA2"/>
    <w:rsid w:val="5A75240D"/>
    <w:rsid w:val="5AAF699C"/>
    <w:rsid w:val="5AB106AA"/>
    <w:rsid w:val="5AD3E156"/>
    <w:rsid w:val="5B07AF6B"/>
    <w:rsid w:val="5B15E979"/>
    <w:rsid w:val="5B53BEE3"/>
    <w:rsid w:val="5B5AB4D2"/>
    <w:rsid w:val="5B5EE599"/>
    <w:rsid w:val="5B7653B2"/>
    <w:rsid w:val="5B9ABE5E"/>
    <w:rsid w:val="5BD1EC11"/>
    <w:rsid w:val="5BDF90A0"/>
    <w:rsid w:val="5C0A3A96"/>
    <w:rsid w:val="5C34B888"/>
    <w:rsid w:val="5C714B19"/>
    <w:rsid w:val="5C87FD3B"/>
    <w:rsid w:val="5C8B60EA"/>
    <w:rsid w:val="5CB374AD"/>
    <w:rsid w:val="5D379CF9"/>
    <w:rsid w:val="5D3FE442"/>
    <w:rsid w:val="5D4C6567"/>
    <w:rsid w:val="5D6B1D07"/>
    <w:rsid w:val="5D82844C"/>
    <w:rsid w:val="5D9D7CDC"/>
    <w:rsid w:val="5E4FF4C2"/>
    <w:rsid w:val="5E5AC3A2"/>
    <w:rsid w:val="5E6E8CEA"/>
    <w:rsid w:val="5E83E844"/>
    <w:rsid w:val="5EAD1613"/>
    <w:rsid w:val="5ECB7E77"/>
    <w:rsid w:val="5EEEDC71"/>
    <w:rsid w:val="5F152B35"/>
    <w:rsid w:val="5F64B832"/>
    <w:rsid w:val="5F75B87D"/>
    <w:rsid w:val="5F9C5F35"/>
    <w:rsid w:val="5FC01D7A"/>
    <w:rsid w:val="5FE090CD"/>
    <w:rsid w:val="60023E1A"/>
    <w:rsid w:val="601050C6"/>
    <w:rsid w:val="60510FB9"/>
    <w:rsid w:val="60999552"/>
    <w:rsid w:val="60A1006F"/>
    <w:rsid w:val="60A767FD"/>
    <w:rsid w:val="60E14265"/>
    <w:rsid w:val="613C3790"/>
    <w:rsid w:val="6189B4A5"/>
    <w:rsid w:val="61FA461C"/>
    <w:rsid w:val="6234A49A"/>
    <w:rsid w:val="629CB148"/>
    <w:rsid w:val="62AE6383"/>
    <w:rsid w:val="634BCD3C"/>
    <w:rsid w:val="63665AF7"/>
    <w:rsid w:val="641036F0"/>
    <w:rsid w:val="64370816"/>
    <w:rsid w:val="644F3E50"/>
    <w:rsid w:val="6461ECBE"/>
    <w:rsid w:val="646ACAA8"/>
    <w:rsid w:val="6490CDB1"/>
    <w:rsid w:val="64BF09D5"/>
    <w:rsid w:val="64F45BCE"/>
    <w:rsid w:val="65098D4C"/>
    <w:rsid w:val="65436C6E"/>
    <w:rsid w:val="656B0C23"/>
    <w:rsid w:val="65701D46"/>
    <w:rsid w:val="6595D575"/>
    <w:rsid w:val="66289637"/>
    <w:rsid w:val="6654E345"/>
    <w:rsid w:val="6676CEBD"/>
    <w:rsid w:val="66E3B6FC"/>
    <w:rsid w:val="66ED3CA8"/>
    <w:rsid w:val="6748A337"/>
    <w:rsid w:val="674F12AF"/>
    <w:rsid w:val="676B02DE"/>
    <w:rsid w:val="6778D8E9"/>
    <w:rsid w:val="67AA3C37"/>
    <w:rsid w:val="67B62960"/>
    <w:rsid w:val="67D15E32"/>
    <w:rsid w:val="67DD58CC"/>
    <w:rsid w:val="67E3F942"/>
    <w:rsid w:val="6800670B"/>
    <w:rsid w:val="680468DC"/>
    <w:rsid w:val="682D5300"/>
    <w:rsid w:val="6837514E"/>
    <w:rsid w:val="687E0BDF"/>
    <w:rsid w:val="688F4B89"/>
    <w:rsid w:val="68FAF29E"/>
    <w:rsid w:val="68FC4019"/>
    <w:rsid w:val="692175CC"/>
    <w:rsid w:val="692ACF36"/>
    <w:rsid w:val="693C6FB5"/>
    <w:rsid w:val="696A0FDF"/>
    <w:rsid w:val="69BD1E49"/>
    <w:rsid w:val="69D94CD2"/>
    <w:rsid w:val="6A227E79"/>
    <w:rsid w:val="6A4F9294"/>
    <w:rsid w:val="6A70CDA4"/>
    <w:rsid w:val="6A795C38"/>
    <w:rsid w:val="6AAE4E2C"/>
    <w:rsid w:val="6AB92DE5"/>
    <w:rsid w:val="6AC5424F"/>
    <w:rsid w:val="6AE5D0AB"/>
    <w:rsid w:val="6AE987E3"/>
    <w:rsid w:val="6AED7C2A"/>
    <w:rsid w:val="6B248B27"/>
    <w:rsid w:val="6B2F0CCC"/>
    <w:rsid w:val="6B37177F"/>
    <w:rsid w:val="6B5B1B33"/>
    <w:rsid w:val="6B74EBBC"/>
    <w:rsid w:val="6B770838"/>
    <w:rsid w:val="6B773CE6"/>
    <w:rsid w:val="6C707F11"/>
    <w:rsid w:val="6D3181F9"/>
    <w:rsid w:val="6D350918"/>
    <w:rsid w:val="6D40B0E5"/>
    <w:rsid w:val="6D65B224"/>
    <w:rsid w:val="6E118FB3"/>
    <w:rsid w:val="6E15B7CF"/>
    <w:rsid w:val="6E1C2D02"/>
    <w:rsid w:val="6E26D191"/>
    <w:rsid w:val="6E3E35A5"/>
    <w:rsid w:val="6E3EB1FA"/>
    <w:rsid w:val="6E538ECF"/>
    <w:rsid w:val="6E5A028D"/>
    <w:rsid w:val="6ED9D60A"/>
    <w:rsid w:val="6EEE7BDC"/>
    <w:rsid w:val="6F6956C6"/>
    <w:rsid w:val="6F6DCD65"/>
    <w:rsid w:val="6F800F05"/>
    <w:rsid w:val="6FB0DF40"/>
    <w:rsid w:val="6FC509C5"/>
    <w:rsid w:val="706B345F"/>
    <w:rsid w:val="709454F5"/>
    <w:rsid w:val="70CF9748"/>
    <w:rsid w:val="70F8B3AB"/>
    <w:rsid w:val="7131B30D"/>
    <w:rsid w:val="7131C731"/>
    <w:rsid w:val="7167E0EE"/>
    <w:rsid w:val="716E8555"/>
    <w:rsid w:val="7189E810"/>
    <w:rsid w:val="718D4F4E"/>
    <w:rsid w:val="71A5DF7B"/>
    <w:rsid w:val="71B77E21"/>
    <w:rsid w:val="72318774"/>
    <w:rsid w:val="724E389A"/>
    <w:rsid w:val="7257D160"/>
    <w:rsid w:val="7274C1C4"/>
    <w:rsid w:val="73038893"/>
    <w:rsid w:val="731E1EFF"/>
    <w:rsid w:val="733338F3"/>
    <w:rsid w:val="73562ABF"/>
    <w:rsid w:val="736BB490"/>
    <w:rsid w:val="73E389D4"/>
    <w:rsid w:val="73F6EBCF"/>
    <w:rsid w:val="7438F615"/>
    <w:rsid w:val="74B6A00A"/>
    <w:rsid w:val="74BE6681"/>
    <w:rsid w:val="74DD1094"/>
    <w:rsid w:val="74DF5C59"/>
    <w:rsid w:val="7533B086"/>
    <w:rsid w:val="75B30277"/>
    <w:rsid w:val="763B8A28"/>
    <w:rsid w:val="767B32DF"/>
    <w:rsid w:val="76B6FA58"/>
    <w:rsid w:val="76F7F799"/>
    <w:rsid w:val="770685E9"/>
    <w:rsid w:val="772F71A0"/>
    <w:rsid w:val="77514FA4"/>
    <w:rsid w:val="7782AF85"/>
    <w:rsid w:val="78273E29"/>
    <w:rsid w:val="787128BA"/>
    <w:rsid w:val="788281E2"/>
    <w:rsid w:val="78878813"/>
    <w:rsid w:val="789E6261"/>
    <w:rsid w:val="78C5C016"/>
    <w:rsid w:val="7947C788"/>
    <w:rsid w:val="799B0235"/>
    <w:rsid w:val="79A054B1"/>
    <w:rsid w:val="79ADD9E1"/>
    <w:rsid w:val="79F5D6A5"/>
    <w:rsid w:val="7A7BCE39"/>
    <w:rsid w:val="7A9328A1"/>
    <w:rsid w:val="7AAAC04E"/>
    <w:rsid w:val="7B2A313F"/>
    <w:rsid w:val="7B50E70D"/>
    <w:rsid w:val="7BA0F1CE"/>
    <w:rsid w:val="7BC21646"/>
    <w:rsid w:val="7C118569"/>
    <w:rsid w:val="7C134602"/>
    <w:rsid w:val="7C212ACE"/>
    <w:rsid w:val="7C92F273"/>
    <w:rsid w:val="7DE9ED2C"/>
    <w:rsid w:val="7DF52B3F"/>
    <w:rsid w:val="7E0BA303"/>
    <w:rsid w:val="7E234F90"/>
    <w:rsid w:val="7E79D48B"/>
    <w:rsid w:val="7E85024F"/>
    <w:rsid w:val="7E9EC3FD"/>
    <w:rsid w:val="7EB9D633"/>
    <w:rsid w:val="7EBCCD9E"/>
    <w:rsid w:val="7EC7D025"/>
    <w:rsid w:val="7ECBBBD6"/>
    <w:rsid w:val="7EEEF148"/>
    <w:rsid w:val="7F51847F"/>
    <w:rsid w:val="7F8E4101"/>
    <w:rsid w:val="7FB6AE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D06A5"/>
  <w15:docId w15:val="{E5A62BCE-49FF-499F-89FC-1E11FBC0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BB4"/>
    <w:pPr>
      <w:spacing w:after="200" w:line="276" w:lineRule="auto"/>
    </w:pPr>
    <w:rPr>
      <w:rFonts w:asciiTheme="minorHAnsi" w:eastAsiaTheme="minorHAnsi" w:hAnsiTheme="minorHAnsi" w:cstheme="minorBidi"/>
      <w:sz w:val="24"/>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CB2439"/>
    <w:pPr>
      <w:pageBreakBefore/>
      <w:numPr>
        <w:numId w:val="17"/>
      </w:num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1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1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CB2439"/>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DF01A1"/>
    <w:pPr>
      <w:spacing w:before="120"/>
    </w:pPr>
    <w:rPr>
      <w:b w:val="0"/>
      <w:sz w:val="56"/>
      <w:szCs w:val="56"/>
    </w:rPr>
  </w:style>
  <w:style w:type="character" w:customStyle="1" w:styleId="SubtitleChar">
    <w:name w:val="Subtitle Char"/>
    <w:basedOn w:val="DefaultParagraphFont"/>
    <w:link w:val="Subtitle"/>
    <w:uiPriority w:val="11"/>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3"/>
      </w:numPr>
      <w:spacing w:before="120" w:after="120"/>
      <w:contextualSpacing/>
    </w:pPr>
  </w:style>
  <w:style w:type="paragraph" w:styleId="ListNumber">
    <w:name w:val="List Number"/>
    <w:basedOn w:val="Normal"/>
    <w:uiPriority w:val="9"/>
    <w:qFormat/>
    <w:rsid w:val="00123033"/>
    <w:pPr>
      <w:numPr>
        <w:numId w:val="7"/>
      </w:numPr>
      <w:tabs>
        <w:tab w:val="left" w:pos="142"/>
      </w:tabs>
      <w:spacing w:before="120" w:after="120"/>
    </w:pPr>
  </w:style>
  <w:style w:type="paragraph" w:styleId="ListNumber2">
    <w:name w:val="List Number 2"/>
    <w:uiPriority w:val="10"/>
    <w:qFormat/>
    <w:rsid w:val="00884E3A"/>
    <w:pPr>
      <w:numPr>
        <w:ilvl w:val="1"/>
        <w:numId w:val="7"/>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7"/>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32779E"/>
    <w:pPr>
      <w:spacing w:after="120" w:line="276" w:lineRule="auto"/>
    </w:pPr>
    <w:rPr>
      <w:rFonts w:asciiTheme="minorHAnsi" w:eastAsiaTheme="minorHAnsi" w:hAnsiTheme="minorHAnsi" w:cstheme="minorBidi"/>
      <w:sz w:val="24"/>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character" w:customStyle="1" w:styleId="UnresolvedMention1">
    <w:name w:val="Unresolved Mention1"/>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qFormat/>
    <w:rsid w:val="006C261F"/>
    <w:pPr>
      <w:spacing w:after="0" w:line="240" w:lineRule="auto"/>
      <w:ind w:left="720"/>
    </w:pPr>
    <w:rPr>
      <w:rFonts w:ascii="Calibri" w:hAnsi="Calibri" w:cs="Calibri"/>
    </w:rPr>
  </w:style>
  <w:style w:type="paragraph" w:customStyle="1" w:styleId="NormalRec">
    <w:name w:val="NormalRec"/>
    <w:basedOn w:val="Normal"/>
    <w:qFormat/>
    <w:rsid w:val="006712B7"/>
    <w:pPr>
      <w:pBdr>
        <w:top w:val="single" w:sz="4" w:space="1" w:color="auto"/>
        <w:left w:val="single" w:sz="4" w:space="4" w:color="auto"/>
        <w:bottom w:val="single" w:sz="4" w:space="1" w:color="auto"/>
        <w:right w:val="single" w:sz="4" w:space="4" w:color="auto"/>
      </w:pBdr>
      <w:shd w:val="clear" w:color="auto" w:fill="92CDDC" w:themeFill="accent5" w:themeFillTint="99"/>
      <w:spacing w:after="160" w:line="259" w:lineRule="auto"/>
    </w:pPr>
  </w:style>
  <w:style w:type="character" w:customStyle="1" w:styleId="UnresolvedMention2">
    <w:name w:val="Unresolved Mention2"/>
    <w:basedOn w:val="DefaultParagraphFont"/>
    <w:uiPriority w:val="99"/>
    <w:semiHidden/>
    <w:unhideWhenUsed/>
    <w:rsid w:val="009A2DF6"/>
    <w:rPr>
      <w:color w:val="605E5C"/>
      <w:shd w:val="clear" w:color="auto" w:fill="E1DFDD"/>
    </w:rPr>
  </w:style>
  <w:style w:type="paragraph" w:styleId="Revision">
    <w:name w:val="Revision"/>
    <w:hidden/>
    <w:uiPriority w:val="99"/>
    <w:semiHidden/>
    <w:rsid w:val="006B42C0"/>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0F5D35"/>
    <w:rPr>
      <w:color w:val="605E5C"/>
      <w:shd w:val="clear" w:color="auto" w:fill="E1DFDD"/>
    </w:rPr>
  </w:style>
  <w:style w:type="character" w:styleId="Mention">
    <w:name w:val="Mention"/>
    <w:basedOn w:val="DefaultParagraphFont"/>
    <w:uiPriority w:val="99"/>
    <w:unhideWhenUsed/>
    <w:rsid w:val="00853987"/>
    <w:rPr>
      <w:color w:val="2B579A"/>
      <w:shd w:val="clear" w:color="auto" w:fill="E1DFDD"/>
    </w:rPr>
  </w:style>
  <w:style w:type="table" w:styleId="PlainTable1">
    <w:name w:val="Plain Table 1"/>
    <w:basedOn w:val="TableNormal"/>
    <w:uiPriority w:val="41"/>
    <w:rsid w:val="005856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0369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036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pyright">
    <w:name w:val="Copyright"/>
    <w:basedOn w:val="Normal"/>
    <w:qFormat/>
    <w:rsid w:val="00030F3E"/>
    <w:pPr>
      <w:spacing w:after="120" w:line="259" w:lineRule="auto"/>
    </w:pPr>
    <w:rPr>
      <w:rFonts w:ascii="Calibri" w:hAnsi="Calibri" w:cs="Calibri"/>
      <w:color w:val="000000" w:themeColor="text1"/>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08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6707437">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6447">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9582291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42657">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4714158">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7288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214982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6999211">
      <w:bodyDiv w:val="1"/>
      <w:marLeft w:val="0"/>
      <w:marRight w:val="0"/>
      <w:marTop w:val="0"/>
      <w:marBottom w:val="0"/>
      <w:divBdr>
        <w:top w:val="none" w:sz="0" w:space="0" w:color="auto"/>
        <w:left w:val="none" w:sz="0" w:space="0" w:color="auto"/>
        <w:bottom w:val="none" w:sz="0" w:space="0" w:color="auto"/>
        <w:right w:val="none" w:sz="0" w:space="0" w:color="auto"/>
      </w:divBdr>
      <w:divsChild>
        <w:div w:id="617027711">
          <w:marLeft w:val="0"/>
          <w:marRight w:val="0"/>
          <w:marTop w:val="0"/>
          <w:marBottom w:val="0"/>
          <w:divBdr>
            <w:top w:val="none" w:sz="0" w:space="0" w:color="auto"/>
            <w:left w:val="none" w:sz="0" w:space="0" w:color="auto"/>
            <w:bottom w:val="none" w:sz="0" w:space="0" w:color="auto"/>
            <w:right w:val="none" w:sz="0" w:space="0" w:color="auto"/>
          </w:divBdr>
          <w:divsChild>
            <w:div w:id="93523757">
              <w:marLeft w:val="0"/>
              <w:marRight w:val="0"/>
              <w:marTop w:val="0"/>
              <w:marBottom w:val="0"/>
              <w:divBdr>
                <w:top w:val="none" w:sz="0" w:space="0" w:color="auto"/>
                <w:left w:val="none" w:sz="0" w:space="0" w:color="auto"/>
                <w:bottom w:val="none" w:sz="0" w:space="0" w:color="auto"/>
                <w:right w:val="none" w:sz="0" w:space="0" w:color="auto"/>
              </w:divBdr>
            </w:div>
            <w:div w:id="463155176">
              <w:marLeft w:val="0"/>
              <w:marRight w:val="0"/>
              <w:marTop w:val="0"/>
              <w:marBottom w:val="0"/>
              <w:divBdr>
                <w:top w:val="none" w:sz="0" w:space="0" w:color="auto"/>
                <w:left w:val="none" w:sz="0" w:space="0" w:color="auto"/>
                <w:bottom w:val="none" w:sz="0" w:space="0" w:color="auto"/>
                <w:right w:val="none" w:sz="0" w:space="0" w:color="auto"/>
              </w:divBdr>
            </w:div>
            <w:div w:id="1058473554">
              <w:marLeft w:val="0"/>
              <w:marRight w:val="0"/>
              <w:marTop w:val="0"/>
              <w:marBottom w:val="0"/>
              <w:divBdr>
                <w:top w:val="none" w:sz="0" w:space="0" w:color="auto"/>
                <w:left w:val="none" w:sz="0" w:space="0" w:color="auto"/>
                <w:bottom w:val="none" w:sz="0" w:space="0" w:color="auto"/>
                <w:right w:val="none" w:sz="0" w:space="0" w:color="auto"/>
              </w:divBdr>
            </w:div>
            <w:div w:id="1144079428">
              <w:marLeft w:val="0"/>
              <w:marRight w:val="0"/>
              <w:marTop w:val="0"/>
              <w:marBottom w:val="0"/>
              <w:divBdr>
                <w:top w:val="none" w:sz="0" w:space="0" w:color="auto"/>
                <w:left w:val="none" w:sz="0" w:space="0" w:color="auto"/>
                <w:bottom w:val="none" w:sz="0" w:space="0" w:color="auto"/>
                <w:right w:val="none" w:sz="0" w:space="0" w:color="auto"/>
              </w:divBdr>
            </w:div>
            <w:div w:id="1149055511">
              <w:marLeft w:val="0"/>
              <w:marRight w:val="0"/>
              <w:marTop w:val="0"/>
              <w:marBottom w:val="0"/>
              <w:divBdr>
                <w:top w:val="none" w:sz="0" w:space="0" w:color="auto"/>
                <w:left w:val="none" w:sz="0" w:space="0" w:color="auto"/>
                <w:bottom w:val="none" w:sz="0" w:space="0" w:color="auto"/>
                <w:right w:val="none" w:sz="0" w:space="0" w:color="auto"/>
              </w:divBdr>
            </w:div>
            <w:div w:id="1296568932">
              <w:marLeft w:val="0"/>
              <w:marRight w:val="0"/>
              <w:marTop w:val="0"/>
              <w:marBottom w:val="0"/>
              <w:divBdr>
                <w:top w:val="none" w:sz="0" w:space="0" w:color="auto"/>
                <w:left w:val="none" w:sz="0" w:space="0" w:color="auto"/>
                <w:bottom w:val="none" w:sz="0" w:space="0" w:color="auto"/>
                <w:right w:val="none" w:sz="0" w:space="0" w:color="auto"/>
              </w:divBdr>
            </w:div>
            <w:div w:id="1427386714">
              <w:marLeft w:val="0"/>
              <w:marRight w:val="0"/>
              <w:marTop w:val="0"/>
              <w:marBottom w:val="0"/>
              <w:divBdr>
                <w:top w:val="none" w:sz="0" w:space="0" w:color="auto"/>
                <w:left w:val="none" w:sz="0" w:space="0" w:color="auto"/>
                <w:bottom w:val="none" w:sz="0" w:space="0" w:color="auto"/>
                <w:right w:val="none" w:sz="0" w:space="0" w:color="auto"/>
              </w:divBdr>
            </w:div>
            <w:div w:id="1614243406">
              <w:marLeft w:val="0"/>
              <w:marRight w:val="0"/>
              <w:marTop w:val="0"/>
              <w:marBottom w:val="0"/>
              <w:divBdr>
                <w:top w:val="none" w:sz="0" w:space="0" w:color="auto"/>
                <w:left w:val="none" w:sz="0" w:space="0" w:color="auto"/>
                <w:bottom w:val="none" w:sz="0" w:space="0" w:color="auto"/>
                <w:right w:val="none" w:sz="0" w:space="0" w:color="auto"/>
              </w:divBdr>
            </w:div>
            <w:div w:id="1664695477">
              <w:marLeft w:val="0"/>
              <w:marRight w:val="0"/>
              <w:marTop w:val="0"/>
              <w:marBottom w:val="0"/>
              <w:divBdr>
                <w:top w:val="none" w:sz="0" w:space="0" w:color="auto"/>
                <w:left w:val="none" w:sz="0" w:space="0" w:color="auto"/>
                <w:bottom w:val="none" w:sz="0" w:space="0" w:color="auto"/>
                <w:right w:val="none" w:sz="0" w:space="0" w:color="auto"/>
              </w:divBdr>
            </w:div>
            <w:div w:id="2077587960">
              <w:marLeft w:val="0"/>
              <w:marRight w:val="0"/>
              <w:marTop w:val="0"/>
              <w:marBottom w:val="0"/>
              <w:divBdr>
                <w:top w:val="none" w:sz="0" w:space="0" w:color="auto"/>
                <w:left w:val="none" w:sz="0" w:space="0" w:color="auto"/>
                <w:bottom w:val="none" w:sz="0" w:space="0" w:color="auto"/>
                <w:right w:val="none" w:sz="0" w:space="0" w:color="auto"/>
              </w:divBdr>
            </w:div>
            <w:div w:id="2119984887">
              <w:marLeft w:val="0"/>
              <w:marRight w:val="0"/>
              <w:marTop w:val="0"/>
              <w:marBottom w:val="0"/>
              <w:divBdr>
                <w:top w:val="none" w:sz="0" w:space="0" w:color="auto"/>
                <w:left w:val="none" w:sz="0" w:space="0" w:color="auto"/>
                <w:bottom w:val="none" w:sz="0" w:space="0" w:color="auto"/>
                <w:right w:val="none" w:sz="0" w:space="0" w:color="auto"/>
              </w:divBdr>
            </w:div>
          </w:divsChild>
        </w:div>
        <w:div w:id="954948258">
          <w:marLeft w:val="0"/>
          <w:marRight w:val="0"/>
          <w:marTop w:val="0"/>
          <w:marBottom w:val="0"/>
          <w:divBdr>
            <w:top w:val="none" w:sz="0" w:space="0" w:color="auto"/>
            <w:left w:val="none" w:sz="0" w:space="0" w:color="auto"/>
            <w:bottom w:val="none" w:sz="0" w:space="0" w:color="auto"/>
            <w:right w:val="none" w:sz="0" w:space="0" w:color="auto"/>
          </w:divBdr>
          <w:divsChild>
            <w:div w:id="196624938">
              <w:marLeft w:val="0"/>
              <w:marRight w:val="0"/>
              <w:marTop w:val="0"/>
              <w:marBottom w:val="0"/>
              <w:divBdr>
                <w:top w:val="none" w:sz="0" w:space="0" w:color="auto"/>
                <w:left w:val="none" w:sz="0" w:space="0" w:color="auto"/>
                <w:bottom w:val="none" w:sz="0" w:space="0" w:color="auto"/>
                <w:right w:val="none" w:sz="0" w:space="0" w:color="auto"/>
              </w:divBdr>
            </w:div>
            <w:div w:id="258223118">
              <w:marLeft w:val="0"/>
              <w:marRight w:val="0"/>
              <w:marTop w:val="0"/>
              <w:marBottom w:val="0"/>
              <w:divBdr>
                <w:top w:val="none" w:sz="0" w:space="0" w:color="auto"/>
                <w:left w:val="none" w:sz="0" w:space="0" w:color="auto"/>
                <w:bottom w:val="none" w:sz="0" w:space="0" w:color="auto"/>
                <w:right w:val="none" w:sz="0" w:space="0" w:color="auto"/>
              </w:divBdr>
            </w:div>
            <w:div w:id="408500572">
              <w:marLeft w:val="0"/>
              <w:marRight w:val="0"/>
              <w:marTop w:val="0"/>
              <w:marBottom w:val="0"/>
              <w:divBdr>
                <w:top w:val="none" w:sz="0" w:space="0" w:color="auto"/>
                <w:left w:val="none" w:sz="0" w:space="0" w:color="auto"/>
                <w:bottom w:val="none" w:sz="0" w:space="0" w:color="auto"/>
                <w:right w:val="none" w:sz="0" w:space="0" w:color="auto"/>
              </w:divBdr>
            </w:div>
            <w:div w:id="461460076">
              <w:marLeft w:val="0"/>
              <w:marRight w:val="0"/>
              <w:marTop w:val="0"/>
              <w:marBottom w:val="0"/>
              <w:divBdr>
                <w:top w:val="none" w:sz="0" w:space="0" w:color="auto"/>
                <w:left w:val="none" w:sz="0" w:space="0" w:color="auto"/>
                <w:bottom w:val="none" w:sz="0" w:space="0" w:color="auto"/>
                <w:right w:val="none" w:sz="0" w:space="0" w:color="auto"/>
              </w:divBdr>
            </w:div>
            <w:div w:id="866219076">
              <w:marLeft w:val="0"/>
              <w:marRight w:val="0"/>
              <w:marTop w:val="0"/>
              <w:marBottom w:val="0"/>
              <w:divBdr>
                <w:top w:val="none" w:sz="0" w:space="0" w:color="auto"/>
                <w:left w:val="none" w:sz="0" w:space="0" w:color="auto"/>
                <w:bottom w:val="none" w:sz="0" w:space="0" w:color="auto"/>
                <w:right w:val="none" w:sz="0" w:space="0" w:color="auto"/>
              </w:divBdr>
            </w:div>
            <w:div w:id="947389944">
              <w:marLeft w:val="0"/>
              <w:marRight w:val="0"/>
              <w:marTop w:val="0"/>
              <w:marBottom w:val="0"/>
              <w:divBdr>
                <w:top w:val="none" w:sz="0" w:space="0" w:color="auto"/>
                <w:left w:val="none" w:sz="0" w:space="0" w:color="auto"/>
                <w:bottom w:val="none" w:sz="0" w:space="0" w:color="auto"/>
                <w:right w:val="none" w:sz="0" w:space="0" w:color="auto"/>
              </w:divBdr>
            </w:div>
            <w:div w:id="1750804082">
              <w:marLeft w:val="0"/>
              <w:marRight w:val="0"/>
              <w:marTop w:val="0"/>
              <w:marBottom w:val="0"/>
              <w:divBdr>
                <w:top w:val="none" w:sz="0" w:space="0" w:color="auto"/>
                <w:left w:val="none" w:sz="0" w:space="0" w:color="auto"/>
                <w:bottom w:val="none" w:sz="0" w:space="0" w:color="auto"/>
                <w:right w:val="none" w:sz="0" w:space="0" w:color="auto"/>
              </w:divBdr>
            </w:div>
            <w:div w:id="1954971528">
              <w:marLeft w:val="0"/>
              <w:marRight w:val="0"/>
              <w:marTop w:val="0"/>
              <w:marBottom w:val="0"/>
              <w:divBdr>
                <w:top w:val="none" w:sz="0" w:space="0" w:color="auto"/>
                <w:left w:val="none" w:sz="0" w:space="0" w:color="auto"/>
                <w:bottom w:val="none" w:sz="0" w:space="0" w:color="auto"/>
                <w:right w:val="none" w:sz="0" w:space="0" w:color="auto"/>
              </w:divBdr>
            </w:div>
            <w:div w:id="20007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189441416">
      <w:bodyDiv w:val="1"/>
      <w:marLeft w:val="0"/>
      <w:marRight w:val="0"/>
      <w:marTop w:val="0"/>
      <w:marBottom w:val="0"/>
      <w:divBdr>
        <w:top w:val="none" w:sz="0" w:space="0" w:color="auto"/>
        <w:left w:val="none" w:sz="0" w:space="0" w:color="auto"/>
        <w:bottom w:val="none" w:sz="0" w:space="0" w:color="auto"/>
        <w:right w:val="none" w:sz="0" w:space="0" w:color="auto"/>
      </w:divBdr>
    </w:div>
    <w:div w:id="1243642445">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98336516">
      <w:bodyDiv w:val="1"/>
      <w:marLeft w:val="0"/>
      <w:marRight w:val="0"/>
      <w:marTop w:val="0"/>
      <w:marBottom w:val="0"/>
      <w:divBdr>
        <w:top w:val="none" w:sz="0" w:space="0" w:color="auto"/>
        <w:left w:val="none" w:sz="0" w:space="0" w:color="auto"/>
        <w:bottom w:val="none" w:sz="0" w:space="0" w:color="auto"/>
        <w:right w:val="none" w:sz="0" w:space="0" w:color="auto"/>
      </w:divBdr>
    </w:div>
    <w:div w:id="135483950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102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141887">
      <w:bodyDiv w:val="1"/>
      <w:marLeft w:val="0"/>
      <w:marRight w:val="0"/>
      <w:marTop w:val="0"/>
      <w:marBottom w:val="0"/>
      <w:divBdr>
        <w:top w:val="none" w:sz="0" w:space="0" w:color="auto"/>
        <w:left w:val="none" w:sz="0" w:space="0" w:color="auto"/>
        <w:bottom w:val="none" w:sz="0" w:space="0" w:color="auto"/>
        <w:right w:val="none" w:sz="0" w:space="0" w:color="auto"/>
      </w:divBdr>
    </w:div>
    <w:div w:id="1579899001">
      <w:bodyDiv w:val="1"/>
      <w:marLeft w:val="0"/>
      <w:marRight w:val="0"/>
      <w:marTop w:val="0"/>
      <w:marBottom w:val="0"/>
      <w:divBdr>
        <w:top w:val="none" w:sz="0" w:space="0" w:color="auto"/>
        <w:left w:val="none" w:sz="0" w:space="0" w:color="auto"/>
        <w:bottom w:val="none" w:sz="0" w:space="0" w:color="auto"/>
        <w:right w:val="none" w:sz="0" w:space="0" w:color="auto"/>
      </w:divBdr>
    </w:div>
    <w:div w:id="167780700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847704">
      <w:bodyDiv w:val="1"/>
      <w:marLeft w:val="0"/>
      <w:marRight w:val="0"/>
      <w:marTop w:val="0"/>
      <w:marBottom w:val="0"/>
      <w:divBdr>
        <w:top w:val="none" w:sz="0" w:space="0" w:color="auto"/>
        <w:left w:val="none" w:sz="0" w:space="0" w:color="auto"/>
        <w:bottom w:val="none" w:sz="0" w:space="0" w:color="auto"/>
        <w:right w:val="none" w:sz="0" w:space="0" w:color="auto"/>
      </w:divBdr>
      <w:divsChild>
        <w:div w:id="656153364">
          <w:marLeft w:val="0"/>
          <w:marRight w:val="0"/>
          <w:marTop w:val="0"/>
          <w:marBottom w:val="0"/>
          <w:divBdr>
            <w:top w:val="none" w:sz="0" w:space="0" w:color="auto"/>
            <w:left w:val="none" w:sz="0" w:space="0" w:color="auto"/>
            <w:bottom w:val="none" w:sz="0" w:space="0" w:color="auto"/>
            <w:right w:val="none" w:sz="0" w:space="0" w:color="auto"/>
          </w:divBdr>
          <w:divsChild>
            <w:div w:id="93332861">
              <w:marLeft w:val="0"/>
              <w:marRight w:val="0"/>
              <w:marTop w:val="0"/>
              <w:marBottom w:val="0"/>
              <w:divBdr>
                <w:top w:val="none" w:sz="0" w:space="0" w:color="auto"/>
                <w:left w:val="none" w:sz="0" w:space="0" w:color="auto"/>
                <w:bottom w:val="none" w:sz="0" w:space="0" w:color="auto"/>
                <w:right w:val="none" w:sz="0" w:space="0" w:color="auto"/>
              </w:divBdr>
            </w:div>
            <w:div w:id="153880960">
              <w:marLeft w:val="0"/>
              <w:marRight w:val="0"/>
              <w:marTop w:val="0"/>
              <w:marBottom w:val="0"/>
              <w:divBdr>
                <w:top w:val="none" w:sz="0" w:space="0" w:color="auto"/>
                <w:left w:val="none" w:sz="0" w:space="0" w:color="auto"/>
                <w:bottom w:val="none" w:sz="0" w:space="0" w:color="auto"/>
                <w:right w:val="none" w:sz="0" w:space="0" w:color="auto"/>
              </w:divBdr>
            </w:div>
            <w:div w:id="289627129">
              <w:marLeft w:val="0"/>
              <w:marRight w:val="0"/>
              <w:marTop w:val="0"/>
              <w:marBottom w:val="0"/>
              <w:divBdr>
                <w:top w:val="none" w:sz="0" w:space="0" w:color="auto"/>
                <w:left w:val="none" w:sz="0" w:space="0" w:color="auto"/>
                <w:bottom w:val="none" w:sz="0" w:space="0" w:color="auto"/>
                <w:right w:val="none" w:sz="0" w:space="0" w:color="auto"/>
              </w:divBdr>
            </w:div>
            <w:div w:id="305211010">
              <w:marLeft w:val="0"/>
              <w:marRight w:val="0"/>
              <w:marTop w:val="0"/>
              <w:marBottom w:val="0"/>
              <w:divBdr>
                <w:top w:val="none" w:sz="0" w:space="0" w:color="auto"/>
                <w:left w:val="none" w:sz="0" w:space="0" w:color="auto"/>
                <w:bottom w:val="none" w:sz="0" w:space="0" w:color="auto"/>
                <w:right w:val="none" w:sz="0" w:space="0" w:color="auto"/>
              </w:divBdr>
            </w:div>
            <w:div w:id="510679728">
              <w:marLeft w:val="0"/>
              <w:marRight w:val="0"/>
              <w:marTop w:val="0"/>
              <w:marBottom w:val="0"/>
              <w:divBdr>
                <w:top w:val="none" w:sz="0" w:space="0" w:color="auto"/>
                <w:left w:val="none" w:sz="0" w:space="0" w:color="auto"/>
                <w:bottom w:val="none" w:sz="0" w:space="0" w:color="auto"/>
                <w:right w:val="none" w:sz="0" w:space="0" w:color="auto"/>
              </w:divBdr>
            </w:div>
            <w:div w:id="688525221">
              <w:marLeft w:val="0"/>
              <w:marRight w:val="0"/>
              <w:marTop w:val="0"/>
              <w:marBottom w:val="0"/>
              <w:divBdr>
                <w:top w:val="none" w:sz="0" w:space="0" w:color="auto"/>
                <w:left w:val="none" w:sz="0" w:space="0" w:color="auto"/>
                <w:bottom w:val="none" w:sz="0" w:space="0" w:color="auto"/>
                <w:right w:val="none" w:sz="0" w:space="0" w:color="auto"/>
              </w:divBdr>
            </w:div>
            <w:div w:id="715935675">
              <w:marLeft w:val="0"/>
              <w:marRight w:val="0"/>
              <w:marTop w:val="0"/>
              <w:marBottom w:val="0"/>
              <w:divBdr>
                <w:top w:val="none" w:sz="0" w:space="0" w:color="auto"/>
                <w:left w:val="none" w:sz="0" w:space="0" w:color="auto"/>
                <w:bottom w:val="none" w:sz="0" w:space="0" w:color="auto"/>
                <w:right w:val="none" w:sz="0" w:space="0" w:color="auto"/>
              </w:divBdr>
            </w:div>
            <w:div w:id="1005938818">
              <w:marLeft w:val="0"/>
              <w:marRight w:val="0"/>
              <w:marTop w:val="0"/>
              <w:marBottom w:val="0"/>
              <w:divBdr>
                <w:top w:val="none" w:sz="0" w:space="0" w:color="auto"/>
                <w:left w:val="none" w:sz="0" w:space="0" w:color="auto"/>
                <w:bottom w:val="none" w:sz="0" w:space="0" w:color="auto"/>
                <w:right w:val="none" w:sz="0" w:space="0" w:color="auto"/>
              </w:divBdr>
            </w:div>
            <w:div w:id="1441874099">
              <w:marLeft w:val="0"/>
              <w:marRight w:val="0"/>
              <w:marTop w:val="0"/>
              <w:marBottom w:val="0"/>
              <w:divBdr>
                <w:top w:val="none" w:sz="0" w:space="0" w:color="auto"/>
                <w:left w:val="none" w:sz="0" w:space="0" w:color="auto"/>
                <w:bottom w:val="none" w:sz="0" w:space="0" w:color="auto"/>
                <w:right w:val="none" w:sz="0" w:space="0" w:color="auto"/>
              </w:divBdr>
            </w:div>
            <w:div w:id="2033142783">
              <w:marLeft w:val="0"/>
              <w:marRight w:val="0"/>
              <w:marTop w:val="0"/>
              <w:marBottom w:val="0"/>
              <w:divBdr>
                <w:top w:val="none" w:sz="0" w:space="0" w:color="auto"/>
                <w:left w:val="none" w:sz="0" w:space="0" w:color="auto"/>
                <w:bottom w:val="none" w:sz="0" w:space="0" w:color="auto"/>
                <w:right w:val="none" w:sz="0" w:space="0" w:color="auto"/>
              </w:divBdr>
            </w:div>
            <w:div w:id="2107770936">
              <w:marLeft w:val="0"/>
              <w:marRight w:val="0"/>
              <w:marTop w:val="0"/>
              <w:marBottom w:val="0"/>
              <w:divBdr>
                <w:top w:val="none" w:sz="0" w:space="0" w:color="auto"/>
                <w:left w:val="none" w:sz="0" w:space="0" w:color="auto"/>
                <w:bottom w:val="none" w:sz="0" w:space="0" w:color="auto"/>
                <w:right w:val="none" w:sz="0" w:space="0" w:color="auto"/>
              </w:divBdr>
            </w:div>
          </w:divsChild>
        </w:div>
        <w:div w:id="1040082979">
          <w:marLeft w:val="0"/>
          <w:marRight w:val="0"/>
          <w:marTop w:val="0"/>
          <w:marBottom w:val="0"/>
          <w:divBdr>
            <w:top w:val="none" w:sz="0" w:space="0" w:color="auto"/>
            <w:left w:val="none" w:sz="0" w:space="0" w:color="auto"/>
            <w:bottom w:val="none" w:sz="0" w:space="0" w:color="auto"/>
            <w:right w:val="none" w:sz="0" w:space="0" w:color="auto"/>
          </w:divBdr>
          <w:divsChild>
            <w:div w:id="30616723">
              <w:marLeft w:val="0"/>
              <w:marRight w:val="0"/>
              <w:marTop w:val="0"/>
              <w:marBottom w:val="0"/>
              <w:divBdr>
                <w:top w:val="none" w:sz="0" w:space="0" w:color="auto"/>
                <w:left w:val="none" w:sz="0" w:space="0" w:color="auto"/>
                <w:bottom w:val="none" w:sz="0" w:space="0" w:color="auto"/>
                <w:right w:val="none" w:sz="0" w:space="0" w:color="auto"/>
              </w:divBdr>
            </w:div>
            <w:div w:id="202835241">
              <w:marLeft w:val="0"/>
              <w:marRight w:val="0"/>
              <w:marTop w:val="0"/>
              <w:marBottom w:val="0"/>
              <w:divBdr>
                <w:top w:val="none" w:sz="0" w:space="0" w:color="auto"/>
                <w:left w:val="none" w:sz="0" w:space="0" w:color="auto"/>
                <w:bottom w:val="none" w:sz="0" w:space="0" w:color="auto"/>
                <w:right w:val="none" w:sz="0" w:space="0" w:color="auto"/>
              </w:divBdr>
            </w:div>
            <w:div w:id="244265389">
              <w:marLeft w:val="0"/>
              <w:marRight w:val="0"/>
              <w:marTop w:val="0"/>
              <w:marBottom w:val="0"/>
              <w:divBdr>
                <w:top w:val="none" w:sz="0" w:space="0" w:color="auto"/>
                <w:left w:val="none" w:sz="0" w:space="0" w:color="auto"/>
                <w:bottom w:val="none" w:sz="0" w:space="0" w:color="auto"/>
                <w:right w:val="none" w:sz="0" w:space="0" w:color="auto"/>
              </w:divBdr>
            </w:div>
            <w:div w:id="250939594">
              <w:marLeft w:val="0"/>
              <w:marRight w:val="0"/>
              <w:marTop w:val="0"/>
              <w:marBottom w:val="0"/>
              <w:divBdr>
                <w:top w:val="none" w:sz="0" w:space="0" w:color="auto"/>
                <w:left w:val="none" w:sz="0" w:space="0" w:color="auto"/>
                <w:bottom w:val="none" w:sz="0" w:space="0" w:color="auto"/>
                <w:right w:val="none" w:sz="0" w:space="0" w:color="auto"/>
              </w:divBdr>
            </w:div>
            <w:div w:id="675807883">
              <w:marLeft w:val="0"/>
              <w:marRight w:val="0"/>
              <w:marTop w:val="0"/>
              <w:marBottom w:val="0"/>
              <w:divBdr>
                <w:top w:val="none" w:sz="0" w:space="0" w:color="auto"/>
                <w:left w:val="none" w:sz="0" w:space="0" w:color="auto"/>
                <w:bottom w:val="none" w:sz="0" w:space="0" w:color="auto"/>
                <w:right w:val="none" w:sz="0" w:space="0" w:color="auto"/>
              </w:divBdr>
            </w:div>
            <w:div w:id="731730403">
              <w:marLeft w:val="0"/>
              <w:marRight w:val="0"/>
              <w:marTop w:val="0"/>
              <w:marBottom w:val="0"/>
              <w:divBdr>
                <w:top w:val="none" w:sz="0" w:space="0" w:color="auto"/>
                <w:left w:val="none" w:sz="0" w:space="0" w:color="auto"/>
                <w:bottom w:val="none" w:sz="0" w:space="0" w:color="auto"/>
                <w:right w:val="none" w:sz="0" w:space="0" w:color="auto"/>
              </w:divBdr>
            </w:div>
            <w:div w:id="845556655">
              <w:marLeft w:val="0"/>
              <w:marRight w:val="0"/>
              <w:marTop w:val="0"/>
              <w:marBottom w:val="0"/>
              <w:divBdr>
                <w:top w:val="none" w:sz="0" w:space="0" w:color="auto"/>
                <w:left w:val="none" w:sz="0" w:space="0" w:color="auto"/>
                <w:bottom w:val="none" w:sz="0" w:space="0" w:color="auto"/>
                <w:right w:val="none" w:sz="0" w:space="0" w:color="auto"/>
              </w:divBdr>
            </w:div>
            <w:div w:id="1331131388">
              <w:marLeft w:val="0"/>
              <w:marRight w:val="0"/>
              <w:marTop w:val="0"/>
              <w:marBottom w:val="0"/>
              <w:divBdr>
                <w:top w:val="none" w:sz="0" w:space="0" w:color="auto"/>
                <w:left w:val="none" w:sz="0" w:space="0" w:color="auto"/>
                <w:bottom w:val="none" w:sz="0" w:space="0" w:color="auto"/>
                <w:right w:val="none" w:sz="0" w:space="0" w:color="auto"/>
              </w:divBdr>
            </w:div>
            <w:div w:id="15830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3463">
      <w:bodyDiv w:val="1"/>
      <w:marLeft w:val="0"/>
      <w:marRight w:val="0"/>
      <w:marTop w:val="0"/>
      <w:marBottom w:val="0"/>
      <w:divBdr>
        <w:top w:val="none" w:sz="0" w:space="0" w:color="auto"/>
        <w:left w:val="none" w:sz="0" w:space="0" w:color="auto"/>
        <w:bottom w:val="none" w:sz="0" w:space="0" w:color="auto"/>
        <w:right w:val="none" w:sz="0" w:space="0" w:color="auto"/>
      </w:divBdr>
    </w:div>
    <w:div w:id="1793086305">
      <w:bodyDiv w:val="1"/>
      <w:marLeft w:val="0"/>
      <w:marRight w:val="0"/>
      <w:marTop w:val="0"/>
      <w:marBottom w:val="0"/>
      <w:divBdr>
        <w:top w:val="none" w:sz="0" w:space="0" w:color="auto"/>
        <w:left w:val="none" w:sz="0" w:space="0" w:color="auto"/>
        <w:bottom w:val="none" w:sz="0" w:space="0" w:color="auto"/>
        <w:right w:val="none" w:sz="0" w:space="0" w:color="auto"/>
      </w:divBdr>
    </w:div>
    <w:div w:id="1799180169">
      <w:bodyDiv w:val="1"/>
      <w:marLeft w:val="0"/>
      <w:marRight w:val="0"/>
      <w:marTop w:val="0"/>
      <w:marBottom w:val="0"/>
      <w:divBdr>
        <w:top w:val="none" w:sz="0" w:space="0" w:color="auto"/>
        <w:left w:val="none" w:sz="0" w:space="0" w:color="auto"/>
        <w:bottom w:val="none" w:sz="0" w:space="0" w:color="auto"/>
        <w:right w:val="none" w:sz="0" w:space="0" w:color="auto"/>
      </w:divBdr>
    </w:div>
    <w:div w:id="182813491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075719">
      <w:bodyDiv w:val="1"/>
      <w:marLeft w:val="0"/>
      <w:marRight w:val="0"/>
      <w:marTop w:val="0"/>
      <w:marBottom w:val="0"/>
      <w:divBdr>
        <w:top w:val="none" w:sz="0" w:space="0" w:color="auto"/>
        <w:left w:val="none" w:sz="0" w:space="0" w:color="auto"/>
        <w:bottom w:val="none" w:sz="0" w:space="0" w:color="auto"/>
        <w:right w:val="none" w:sz="0" w:space="0" w:color="auto"/>
      </w:divBdr>
    </w:div>
    <w:div w:id="1937670043">
      <w:bodyDiv w:val="1"/>
      <w:marLeft w:val="0"/>
      <w:marRight w:val="0"/>
      <w:marTop w:val="0"/>
      <w:marBottom w:val="0"/>
      <w:divBdr>
        <w:top w:val="none" w:sz="0" w:space="0" w:color="auto"/>
        <w:left w:val="none" w:sz="0" w:space="0" w:color="auto"/>
        <w:bottom w:val="none" w:sz="0" w:space="0" w:color="auto"/>
        <w:right w:val="none" w:sz="0" w:space="0" w:color="auto"/>
      </w:divBdr>
      <w:divsChild>
        <w:div w:id="180319230">
          <w:blockQuote w:val="1"/>
          <w:marLeft w:val="0"/>
          <w:marRight w:val="0"/>
          <w:marTop w:val="0"/>
          <w:marBottom w:val="0"/>
          <w:divBdr>
            <w:top w:val="none" w:sz="0" w:space="0" w:color="auto"/>
            <w:left w:val="single" w:sz="6" w:space="18" w:color="707070"/>
            <w:bottom w:val="none" w:sz="0" w:space="0" w:color="auto"/>
            <w:right w:val="none" w:sz="0" w:space="0" w:color="auto"/>
          </w:divBdr>
          <w:divsChild>
            <w:div w:id="108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6669">
      <w:bodyDiv w:val="1"/>
      <w:marLeft w:val="0"/>
      <w:marRight w:val="0"/>
      <w:marTop w:val="0"/>
      <w:marBottom w:val="0"/>
      <w:divBdr>
        <w:top w:val="none" w:sz="0" w:space="0" w:color="auto"/>
        <w:left w:val="none" w:sz="0" w:space="0" w:color="auto"/>
        <w:bottom w:val="none" w:sz="0" w:space="0" w:color="auto"/>
        <w:right w:val="none" w:sz="0" w:space="0" w:color="auto"/>
      </w:divBdr>
    </w:div>
    <w:div w:id="1960604756">
      <w:bodyDiv w:val="1"/>
      <w:marLeft w:val="0"/>
      <w:marRight w:val="0"/>
      <w:marTop w:val="0"/>
      <w:marBottom w:val="0"/>
      <w:divBdr>
        <w:top w:val="none" w:sz="0" w:space="0" w:color="auto"/>
        <w:left w:val="none" w:sz="0" w:space="0" w:color="auto"/>
        <w:bottom w:val="none" w:sz="0" w:space="0" w:color="auto"/>
        <w:right w:val="none" w:sz="0" w:space="0" w:color="auto"/>
      </w:divBdr>
      <w:divsChild>
        <w:div w:id="993339865">
          <w:marLeft w:val="0"/>
          <w:marRight w:val="0"/>
          <w:marTop w:val="0"/>
          <w:marBottom w:val="900"/>
          <w:divBdr>
            <w:top w:val="none" w:sz="0" w:space="0" w:color="auto"/>
            <w:left w:val="none" w:sz="0" w:space="0" w:color="auto"/>
            <w:bottom w:val="none" w:sz="0" w:space="0" w:color="auto"/>
            <w:right w:val="none" w:sz="0" w:space="0" w:color="auto"/>
          </w:divBdr>
          <w:divsChild>
            <w:div w:id="1788544659">
              <w:marLeft w:val="0"/>
              <w:marRight w:val="0"/>
              <w:marTop w:val="450"/>
              <w:marBottom w:val="0"/>
              <w:divBdr>
                <w:top w:val="none" w:sz="0" w:space="0" w:color="auto"/>
                <w:left w:val="none" w:sz="0" w:space="0" w:color="auto"/>
                <w:bottom w:val="none" w:sz="0" w:space="0" w:color="auto"/>
                <w:right w:val="none" w:sz="0" w:space="0" w:color="auto"/>
              </w:divBdr>
              <w:divsChild>
                <w:div w:id="1655446543">
                  <w:marLeft w:val="0"/>
                  <w:marRight w:val="0"/>
                  <w:marTop w:val="255"/>
                  <w:marBottom w:val="300"/>
                  <w:divBdr>
                    <w:top w:val="none" w:sz="0" w:space="0" w:color="auto"/>
                    <w:left w:val="none" w:sz="0" w:space="0" w:color="auto"/>
                    <w:bottom w:val="none" w:sz="0" w:space="0" w:color="auto"/>
                    <w:right w:val="none" w:sz="0" w:space="0" w:color="auto"/>
                  </w:divBdr>
                </w:div>
              </w:divsChild>
            </w:div>
          </w:divsChild>
        </w:div>
        <w:div w:id="1334147433">
          <w:marLeft w:val="150"/>
          <w:marRight w:val="0"/>
          <w:marTop w:val="0"/>
          <w:marBottom w:val="0"/>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consult.dcceew.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cceew.gov.au/about/contact"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dcceew.gov.au/"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DMOReforms@dccee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publications"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er.gov.au/system/files/2024-12/Annual%20Retail%20Market%20Report%202023%E2%80%9324%20-%2030%20November%202024.pdf" TargetMode="External"/><Relationship Id="rId13" Type="http://schemas.openxmlformats.org/officeDocument/2006/relationships/hyperlink" Target="https://www.esc.vic.gov.au/electricity-and-gas/inquiries-studies-and-reviews/electricity-and-gas-retail-markets-review-implementation-2018/victorian-default-offer-recommendation-2019" TargetMode="External"/><Relationship Id="rId18" Type="http://schemas.openxmlformats.org/officeDocument/2006/relationships/hyperlink" Target="https://www.dcceew.gov.au/sites/default/files/documents/code-review-outcomes.pdf" TargetMode="External"/><Relationship Id="rId3" Type="http://schemas.openxmlformats.org/officeDocument/2006/relationships/hyperlink" Target="https://www.energy.vic.gov.au/__data/assets/pdf_file/0031/673951/Thwaites-Review-Final-Report.pdf" TargetMode="External"/><Relationship Id="rId7" Type="http://schemas.openxmlformats.org/officeDocument/2006/relationships/hyperlink" Target="https://www.accc.gov.au/system/files/Retail%20Electricity%20Pricing%20Inquiry%E2%80%94Final%20Report%20June%202018_Exec%20summary.pdf" TargetMode="External"/><Relationship Id="rId12" Type="http://schemas.openxmlformats.org/officeDocument/2006/relationships/hyperlink" Target="https://www.aer.gov.au/system/files/2025-04/Energy%20Consumers%20Australia%20-%20Submission%20-%20DMO%207%20draft%20determination%20-%203%20April%202025.pdf" TargetMode="External"/><Relationship Id="rId17" Type="http://schemas.openxmlformats.org/officeDocument/2006/relationships/hyperlink" Target="https://espace.library.uq.edu.au/view/UQ:080834c" TargetMode="External"/><Relationship Id="rId2" Type="http://schemas.openxmlformats.org/officeDocument/2006/relationships/hyperlink" Target="https://www.accc.gov.au/system/files/Guide%20to%20the%20Electricity%20Retail%20Code%20-%20June%202021%20v2.pdf" TargetMode="External"/><Relationship Id="rId16" Type="http://schemas.openxmlformats.org/officeDocument/2006/relationships/hyperlink" Target="https://www.aer.gov.au/system/files/2024-12/Annual%20Retail%20Market%20Report%202023%E2%80%9324%20-%2030%20November%202024.pdf" TargetMode="External"/><Relationship Id="rId1" Type="http://schemas.openxmlformats.org/officeDocument/2006/relationships/hyperlink" Target="https://www.accc.gov.au/system/files/Retail%20Electricity%20Pricing%20Inquiry%E2%80%94Final%20Report%20June%202018_Exec%20summary.pdf" TargetMode="External"/><Relationship Id="rId6" Type="http://schemas.openxmlformats.org/officeDocument/2006/relationships/hyperlink" Target="https://www.griffith.edu.au/__data/assets/pdf_file/0019/1800712/No.2019-02-The-impacts-of-regulated-pricing-2.pdf" TargetMode="External"/><Relationship Id="rId11" Type="http://schemas.openxmlformats.org/officeDocument/2006/relationships/hyperlink" Target="https://www.aer.gov.au/system/files/2025-05/AER%20-%20Final%20determination%20-%20Default%20market%20offer%20prices%202025%E2%80%9326%20-%2026%20May%202025_0.pdf" TargetMode="External"/><Relationship Id="rId5" Type="http://schemas.openxmlformats.org/officeDocument/2006/relationships/hyperlink" Target="https://www.aemc.gov.au/regulation/energy-rules/NECF-ACL/mapping/contract-terms" TargetMode="External"/><Relationship Id="rId15" Type="http://schemas.openxmlformats.org/officeDocument/2006/relationships/hyperlink" Target="https://www.aemc.gov.au/sites/default/files/2018-12/Advice%20to%20COAG%20Energy%20Council_Customer%20and%20competition%20impacts%20of%20a%20default%20offer_December%202018.pdf" TargetMode="External"/><Relationship Id="rId10" Type="http://schemas.openxmlformats.org/officeDocument/2006/relationships/hyperlink" Target="https://www.accc.gov.au/system/files/Retail%20Electricity%20Pricing%20Inquiry%E2%80%94Final%20Report%20June%202018_Exec%20summary.pdf" TargetMode="External"/><Relationship Id="rId4" Type="http://schemas.openxmlformats.org/officeDocument/2006/relationships/hyperlink" Target="https://www.esc.vic.gov.au/sites/default/files/documents/retatil-market-review-victorian-default-offer-terms-of-reference-20181221.pdf" TargetMode="External"/><Relationship Id="rId9" Type="http://schemas.openxmlformats.org/officeDocument/2006/relationships/hyperlink" Target="https://www.accc.gov.au/system/files/Retail%20Electricity%20Pricing%20Inquiry%E2%80%94Final%20Report%20June%202018_Exec%20summary.pdf" TargetMode="External"/><Relationship Id="rId14" Type="http://schemas.openxmlformats.org/officeDocument/2006/relationships/hyperlink" Target="file:///C:/Users/AyonaSUR/OneDrive%20-%20Department%20of%20Climate%20Change,%20Energy,%20the%20Environment%20and%20Water/Desktop/DMO/Consultation-Papaer---Review-of-the-Victorian-Default-Offer-Order-in-Council---FINA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0001\OneDrive%20-%20Agriculture\Documents\DCCEEW-Report-template.dotx" TargetMode="External"/></Relationships>
</file>

<file path=word/documenttasks/documenttasks1.xml><?xml version="1.0" encoding="utf-8"?>
<t:Tasks xmlns:t="http://schemas.microsoft.com/office/tasks/2019/documenttasks" xmlns:oel="http://schemas.microsoft.com/office/2019/extlst">
  <t:Task id="{FD64039A-9E39-4A06-9B0E-C47A8CC91858}">
    <t:Anchor>
      <t:Comment id="1878560524"/>
    </t:Anchor>
    <t:History>
      <t:Event id="{D062FA3B-3EF0-4563-948F-E095C9A5D83C}" time="2025-06-11T04:09:06.663Z">
        <t:Attribution userId="S::aranza.bulnes-beniscelli@dcceew.gov.au::4d8526b4-4031-462e-8efb-94e54c4d46ef" userProvider="AD" userName="Aranza BULNES-BENISCELLI"/>
        <t:Anchor>
          <t:Comment id="1148852478"/>
        </t:Anchor>
        <t:Create/>
      </t:Event>
      <t:Event id="{256C642B-1EF4-4F4E-BAC6-BB028F6FC550}" time="2025-06-11T04:09:06.663Z">
        <t:Attribution userId="S::aranza.bulnes-beniscelli@dcceew.gov.au::4d8526b4-4031-462e-8efb-94e54c4d46ef" userProvider="AD" userName="Aranza BULNES-BENISCELLI"/>
        <t:Anchor>
          <t:Comment id="1148852478"/>
        </t:Anchor>
        <t:Assign userId="S::Trung.TANG@dcceew.gov.au::94aad98c-685a-4145-9655-2b767d3e4b69" userProvider="AD" userName="Trung TANG"/>
      </t:Event>
      <t:Event id="{9EAAFB4A-92F5-4479-B7C2-8AA63714D525}" time="2025-06-11T04:09:06.663Z">
        <t:Attribution userId="S::aranza.bulnes-beniscelli@dcceew.gov.au::4d8526b4-4031-462e-8efb-94e54c4d46ef" userProvider="AD" userName="Aranza BULNES-BENISCELLI"/>
        <t:Anchor>
          <t:Comment id="1148852478"/>
        </t:Anchor>
        <t:SetTitle title="@Trung TANG do you know where is this from"/>
      </t:Event>
      <t:Event id="{E7ABF812-3AD2-42CB-8F81-8D5107F52A6B}" time="2025-06-11T04:14:07.901Z">
        <t:Attribution userId="S::aranza.bulnes-beniscelli@dcceew.gov.au::4d8526b4-4031-462e-8efb-94e54c4d46ef" userProvider="AD" userName="Aranza BULNES-BENISCELLI"/>
        <t:Progress percentComplete="100"/>
      </t:Event>
    </t:History>
  </t:Task>
  <t:Task id="{2334DC9F-30D0-41DF-8126-478B69DCC595}">
    <t:Anchor>
      <t:Comment id="42384661"/>
    </t:Anchor>
    <t:History>
      <t:Event id="{49C805B0-FF9C-49CB-B393-D20088ACC0A3}" time="2025-06-11T04:48:39.873Z">
        <t:Attribution userId="S::aranza.bulnes-beniscelli@dcceew.gov.au::4d8526b4-4031-462e-8efb-94e54c4d46ef" userProvider="AD" userName="Aranza BULNES-BENISCELLI"/>
        <t:Anchor>
          <t:Comment id="656050163"/>
        </t:Anchor>
        <t:Create/>
      </t:Event>
      <t:Event id="{BA6704B6-03DC-47D6-B22B-2EE9DAC2B150}" time="2025-06-11T04:48:39.873Z">
        <t:Attribution userId="S::aranza.bulnes-beniscelli@dcceew.gov.au::4d8526b4-4031-462e-8efb-94e54c4d46ef" userProvider="AD" userName="Aranza BULNES-BENISCELLI"/>
        <t:Anchor>
          <t:Comment id="656050163"/>
        </t:Anchor>
        <t:Assign userId="S::Trung.TANG@dcceew.gov.au::94aad98c-685a-4145-9655-2b767d3e4b69" userProvider="AD" userName="Trung TANG"/>
      </t:Event>
      <t:Event id="{C66D1A32-6A1F-4F94-A280-FEBC5C91F3C1}" time="2025-06-11T04:48:39.873Z">
        <t:Attribution userId="S::aranza.bulnes-beniscelli@dcceew.gov.au::4d8526b4-4031-462e-8efb-94e54c4d46ef" userProvider="AD" userName="Aranza BULNES-BENISCELLI"/>
        <t:Anchor>
          <t:Comment id="656050163"/>
        </t:Anchor>
        <t:SetTitle title="@Trung TANG added this comments. In track changes for your review"/>
      </t:Event>
      <t:Event id="{C1167D6B-DF5C-4480-A74D-E9187B680BA4}" time="2025-06-11T04:50:42.619Z">
        <t:Attribution userId="S::aranza.bulnes-beniscelli@dcceew.gov.au::4d8526b4-4031-462e-8efb-94e54c4d46ef" userProvider="AD" userName="Aranza BULNES-BENISCELL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4E1D5690BA7024780B33CCA7365ABD6" ma:contentTypeVersion="7" ma:contentTypeDescription="Create a new document." ma:contentTypeScope="" ma:versionID="d41319b9a3eb193a16f599b3731b3368">
  <xsd:schema xmlns:xsd="http://www.w3.org/2001/XMLSchema" xmlns:xs="http://www.w3.org/2001/XMLSchema" xmlns:p="http://schemas.microsoft.com/office/2006/metadata/properties" xmlns:ns1="http://schemas.microsoft.com/sharepoint/v3" xmlns:ns2="fc5523b2-99db-4646-bddc-5b4a05398a21" xmlns:ns3="3afbbff6-b286-4e00-81b3-42c24a94b07e" xmlns:ns4="165485a4-a9b3-4b3c-9e89-12b48f7602b8" xmlns:ns5="e069ed18-643f-4fa2-8f24-2a187e93ad6d" targetNamespace="http://schemas.microsoft.com/office/2006/metadata/properties" ma:root="true" ma:fieldsID="e6ef7cd5edd06772c8e0197bd646a9ad" ns1:_="" ns2:_="" ns3:_="" ns4:_="" ns5:_="">
    <xsd:import namespace="http://schemas.microsoft.com/sharepoint/v3"/>
    <xsd:import namespace="fc5523b2-99db-4646-bddc-5b4a05398a21"/>
    <xsd:import namespace="3afbbff6-b286-4e00-81b3-42c24a94b07e"/>
    <xsd:import namespace="165485a4-a9b3-4b3c-9e89-12b48f7602b8"/>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523b2-99db-4646-bddc-5b4a05398a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bbff6-b286-4e00-81b3-42c24a94b0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485a4-a9b3-4b3c-9e89-12b48f7602b8"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08ee747-c8eb-4d5d-82e8-62cbc18c699d}"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069ed18-643f-4fa2-8f24-2a187e93ad6d" xsi:nil="true"/>
    <_ip_UnifiedCompliancePolicyUIAction xmlns="http://schemas.microsoft.com/sharepoint/v3" xsi:nil="true"/>
    <_ip_UnifiedCompliancePolicyProperties xmlns="http://schemas.microsoft.com/sharepoint/v3" xsi:nil="true"/>
    <lcf76f155ced4ddcb4097134ff3c332f xmlns="165485a4-a9b3-4b3c-9e89-12b48f7602b8">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F3D32C7C-8DE0-46A8-9B48-C04E80D7D483}">
  <ds:schemaRefs>
    <ds:schemaRef ds:uri="http://schemas.openxmlformats.org/officeDocument/2006/bibliography"/>
  </ds:schemaRefs>
</ds:datastoreItem>
</file>

<file path=customXml/itemProps3.xml><?xml version="1.0" encoding="utf-8"?>
<ds:datastoreItem xmlns:ds="http://schemas.openxmlformats.org/officeDocument/2006/customXml" ds:itemID="{49CA01C2-E996-47B2-9E89-16C3DCC3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5523b2-99db-4646-bddc-5b4a05398a21"/>
    <ds:schemaRef ds:uri="3afbbff6-b286-4e00-81b3-42c24a94b07e"/>
    <ds:schemaRef ds:uri="165485a4-a9b3-4b3c-9e89-12b48f7602b8"/>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openxmlformats.org/package/2006/metadata/core-properties"/>
    <ds:schemaRef ds:uri="http://www.w3.org/XML/1998/namespace"/>
    <ds:schemaRef ds:uri="http://purl.org/dc/dcmitype/"/>
    <ds:schemaRef ds:uri="http://purl.org/dc/terms/"/>
    <ds:schemaRef ds:uri="fc5523b2-99db-4646-bddc-5b4a05398a21"/>
    <ds:schemaRef ds:uri="http://schemas.microsoft.com/office/infopath/2007/PartnerControls"/>
    <ds:schemaRef ds:uri="http://schemas.microsoft.com/office/2006/documentManagement/types"/>
    <ds:schemaRef ds:uri="e069ed18-643f-4fa2-8f24-2a187e93ad6d"/>
    <ds:schemaRef ds:uri="165485a4-a9b3-4b3c-9e89-12b48f7602b8"/>
    <ds:schemaRef ds:uri="http://purl.org/dc/elements/1.1/"/>
    <ds:schemaRef ds:uri="3afbbff6-b286-4e00-81b3-42c24a94b07e"/>
    <ds:schemaRef ds:uri="http://schemas.microsoft.com/sharepoint/v3"/>
    <ds:schemaRef ds:uri="http://schemas.microsoft.com/office/2006/metadata/propertie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DCCEEW-Report-template</Template>
  <TotalTime>0</TotalTime>
  <Pages>28</Pages>
  <Words>7052</Words>
  <Characters>40202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47160</CharactersWithSpaces>
  <SharedDoc>false</SharedDoc>
  <HLinks>
    <vt:vector size="234" baseType="variant">
      <vt:variant>
        <vt:i4>5177407</vt:i4>
      </vt:variant>
      <vt:variant>
        <vt:i4>120</vt:i4>
      </vt:variant>
      <vt:variant>
        <vt:i4>0</vt:i4>
      </vt:variant>
      <vt:variant>
        <vt:i4>5</vt:i4>
      </vt:variant>
      <vt:variant>
        <vt:lpwstr>mailto:DMOReforms@dcceew.gov.au</vt:lpwstr>
      </vt:variant>
      <vt:variant>
        <vt:lpwstr/>
      </vt:variant>
      <vt:variant>
        <vt:i4>6357044</vt:i4>
      </vt:variant>
      <vt:variant>
        <vt:i4>117</vt:i4>
      </vt:variant>
      <vt:variant>
        <vt:i4>0</vt:i4>
      </vt:variant>
      <vt:variant>
        <vt:i4>5</vt:i4>
      </vt:variant>
      <vt:variant>
        <vt:lpwstr>https://consult.dcceew.gov.au/</vt:lpwstr>
      </vt:variant>
      <vt:variant>
        <vt:lpwstr/>
      </vt:variant>
      <vt:variant>
        <vt:i4>1703996</vt:i4>
      </vt:variant>
      <vt:variant>
        <vt:i4>110</vt:i4>
      </vt:variant>
      <vt:variant>
        <vt:i4>0</vt:i4>
      </vt:variant>
      <vt:variant>
        <vt:i4>5</vt:i4>
      </vt:variant>
      <vt:variant>
        <vt:lpwstr/>
      </vt:variant>
      <vt:variant>
        <vt:lpwstr>_Toc201068951</vt:lpwstr>
      </vt:variant>
      <vt:variant>
        <vt:i4>1703996</vt:i4>
      </vt:variant>
      <vt:variant>
        <vt:i4>104</vt:i4>
      </vt:variant>
      <vt:variant>
        <vt:i4>0</vt:i4>
      </vt:variant>
      <vt:variant>
        <vt:i4>5</vt:i4>
      </vt:variant>
      <vt:variant>
        <vt:lpwstr/>
      </vt:variant>
      <vt:variant>
        <vt:lpwstr>_Toc201068950</vt:lpwstr>
      </vt:variant>
      <vt:variant>
        <vt:i4>1769532</vt:i4>
      </vt:variant>
      <vt:variant>
        <vt:i4>98</vt:i4>
      </vt:variant>
      <vt:variant>
        <vt:i4>0</vt:i4>
      </vt:variant>
      <vt:variant>
        <vt:i4>5</vt:i4>
      </vt:variant>
      <vt:variant>
        <vt:lpwstr/>
      </vt:variant>
      <vt:variant>
        <vt:lpwstr>_Toc201068949</vt:lpwstr>
      </vt:variant>
      <vt:variant>
        <vt:i4>1769532</vt:i4>
      </vt:variant>
      <vt:variant>
        <vt:i4>92</vt:i4>
      </vt:variant>
      <vt:variant>
        <vt:i4>0</vt:i4>
      </vt:variant>
      <vt:variant>
        <vt:i4>5</vt:i4>
      </vt:variant>
      <vt:variant>
        <vt:lpwstr/>
      </vt:variant>
      <vt:variant>
        <vt:lpwstr>_Toc201068948</vt:lpwstr>
      </vt:variant>
      <vt:variant>
        <vt:i4>1769532</vt:i4>
      </vt:variant>
      <vt:variant>
        <vt:i4>86</vt:i4>
      </vt:variant>
      <vt:variant>
        <vt:i4>0</vt:i4>
      </vt:variant>
      <vt:variant>
        <vt:i4>5</vt:i4>
      </vt:variant>
      <vt:variant>
        <vt:lpwstr/>
      </vt:variant>
      <vt:variant>
        <vt:lpwstr>_Toc201068947</vt:lpwstr>
      </vt:variant>
      <vt:variant>
        <vt:i4>1769532</vt:i4>
      </vt:variant>
      <vt:variant>
        <vt:i4>80</vt:i4>
      </vt:variant>
      <vt:variant>
        <vt:i4>0</vt:i4>
      </vt:variant>
      <vt:variant>
        <vt:i4>5</vt:i4>
      </vt:variant>
      <vt:variant>
        <vt:lpwstr/>
      </vt:variant>
      <vt:variant>
        <vt:lpwstr>_Toc201068946</vt:lpwstr>
      </vt:variant>
      <vt:variant>
        <vt:i4>1769532</vt:i4>
      </vt:variant>
      <vt:variant>
        <vt:i4>74</vt:i4>
      </vt:variant>
      <vt:variant>
        <vt:i4>0</vt:i4>
      </vt:variant>
      <vt:variant>
        <vt:i4>5</vt:i4>
      </vt:variant>
      <vt:variant>
        <vt:lpwstr/>
      </vt:variant>
      <vt:variant>
        <vt:lpwstr>_Toc201068945</vt:lpwstr>
      </vt:variant>
      <vt:variant>
        <vt:i4>1769532</vt:i4>
      </vt:variant>
      <vt:variant>
        <vt:i4>68</vt:i4>
      </vt:variant>
      <vt:variant>
        <vt:i4>0</vt:i4>
      </vt:variant>
      <vt:variant>
        <vt:i4>5</vt:i4>
      </vt:variant>
      <vt:variant>
        <vt:lpwstr/>
      </vt:variant>
      <vt:variant>
        <vt:lpwstr>_Toc201068944</vt:lpwstr>
      </vt:variant>
      <vt:variant>
        <vt:i4>1769532</vt:i4>
      </vt:variant>
      <vt:variant>
        <vt:i4>62</vt:i4>
      </vt:variant>
      <vt:variant>
        <vt:i4>0</vt:i4>
      </vt:variant>
      <vt:variant>
        <vt:i4>5</vt:i4>
      </vt:variant>
      <vt:variant>
        <vt:lpwstr/>
      </vt:variant>
      <vt:variant>
        <vt:lpwstr>_Toc201068943</vt:lpwstr>
      </vt:variant>
      <vt:variant>
        <vt:i4>1769532</vt:i4>
      </vt:variant>
      <vt:variant>
        <vt:i4>56</vt:i4>
      </vt:variant>
      <vt:variant>
        <vt:i4>0</vt:i4>
      </vt:variant>
      <vt:variant>
        <vt:i4>5</vt:i4>
      </vt:variant>
      <vt:variant>
        <vt:lpwstr/>
      </vt:variant>
      <vt:variant>
        <vt:lpwstr>_Toc201068942</vt:lpwstr>
      </vt:variant>
      <vt:variant>
        <vt:i4>1769532</vt:i4>
      </vt:variant>
      <vt:variant>
        <vt:i4>50</vt:i4>
      </vt:variant>
      <vt:variant>
        <vt:i4>0</vt:i4>
      </vt:variant>
      <vt:variant>
        <vt:i4>5</vt:i4>
      </vt:variant>
      <vt:variant>
        <vt:lpwstr/>
      </vt:variant>
      <vt:variant>
        <vt:lpwstr>_Toc201068941</vt:lpwstr>
      </vt:variant>
      <vt:variant>
        <vt:i4>1769532</vt:i4>
      </vt:variant>
      <vt:variant>
        <vt:i4>44</vt:i4>
      </vt:variant>
      <vt:variant>
        <vt:i4>0</vt:i4>
      </vt:variant>
      <vt:variant>
        <vt:i4>5</vt:i4>
      </vt:variant>
      <vt:variant>
        <vt:lpwstr/>
      </vt:variant>
      <vt:variant>
        <vt:lpwstr>_Toc201068940</vt:lpwstr>
      </vt:variant>
      <vt:variant>
        <vt:i4>1835068</vt:i4>
      </vt:variant>
      <vt:variant>
        <vt:i4>38</vt:i4>
      </vt:variant>
      <vt:variant>
        <vt:i4>0</vt:i4>
      </vt:variant>
      <vt:variant>
        <vt:i4>5</vt:i4>
      </vt:variant>
      <vt:variant>
        <vt:lpwstr/>
      </vt:variant>
      <vt:variant>
        <vt:lpwstr>_Toc201068939</vt:lpwstr>
      </vt:variant>
      <vt:variant>
        <vt:i4>1835068</vt:i4>
      </vt:variant>
      <vt:variant>
        <vt:i4>32</vt:i4>
      </vt:variant>
      <vt:variant>
        <vt:i4>0</vt:i4>
      </vt:variant>
      <vt:variant>
        <vt:i4>5</vt:i4>
      </vt:variant>
      <vt:variant>
        <vt:lpwstr/>
      </vt:variant>
      <vt:variant>
        <vt:lpwstr>_Toc201068938</vt:lpwstr>
      </vt:variant>
      <vt:variant>
        <vt:i4>1835068</vt:i4>
      </vt:variant>
      <vt:variant>
        <vt:i4>26</vt:i4>
      </vt:variant>
      <vt:variant>
        <vt:i4>0</vt:i4>
      </vt:variant>
      <vt:variant>
        <vt:i4>5</vt:i4>
      </vt:variant>
      <vt:variant>
        <vt:lpwstr/>
      </vt:variant>
      <vt:variant>
        <vt:lpwstr>_Toc201068937</vt:lpwstr>
      </vt:variant>
      <vt:variant>
        <vt:i4>1835068</vt:i4>
      </vt:variant>
      <vt:variant>
        <vt:i4>20</vt:i4>
      </vt:variant>
      <vt:variant>
        <vt:i4>0</vt:i4>
      </vt:variant>
      <vt:variant>
        <vt:i4>5</vt:i4>
      </vt:variant>
      <vt:variant>
        <vt:lpwstr/>
      </vt:variant>
      <vt:variant>
        <vt:lpwstr>_Toc201068936</vt:lpwstr>
      </vt:variant>
      <vt:variant>
        <vt:i4>1835068</vt:i4>
      </vt:variant>
      <vt:variant>
        <vt:i4>14</vt:i4>
      </vt:variant>
      <vt:variant>
        <vt:i4>0</vt:i4>
      </vt:variant>
      <vt:variant>
        <vt:i4>5</vt:i4>
      </vt:variant>
      <vt:variant>
        <vt:lpwstr/>
      </vt:variant>
      <vt:variant>
        <vt:lpwstr>_Toc201068935</vt:lpwstr>
      </vt:variant>
      <vt:variant>
        <vt:i4>1835068</vt:i4>
      </vt:variant>
      <vt:variant>
        <vt:i4>8</vt:i4>
      </vt:variant>
      <vt:variant>
        <vt:i4>0</vt:i4>
      </vt:variant>
      <vt:variant>
        <vt:i4>5</vt:i4>
      </vt:variant>
      <vt:variant>
        <vt:lpwstr/>
      </vt:variant>
      <vt:variant>
        <vt:lpwstr>_Toc201068934</vt:lpwstr>
      </vt:variant>
      <vt:variant>
        <vt:i4>1835068</vt:i4>
      </vt:variant>
      <vt:variant>
        <vt:i4>2</vt:i4>
      </vt:variant>
      <vt:variant>
        <vt:i4>0</vt:i4>
      </vt:variant>
      <vt:variant>
        <vt:i4>5</vt:i4>
      </vt:variant>
      <vt:variant>
        <vt:lpwstr/>
      </vt:variant>
      <vt:variant>
        <vt:lpwstr>_Toc201068933</vt:lpwstr>
      </vt:variant>
      <vt:variant>
        <vt:i4>6094923</vt:i4>
      </vt:variant>
      <vt:variant>
        <vt:i4>51</vt:i4>
      </vt:variant>
      <vt:variant>
        <vt:i4>0</vt:i4>
      </vt:variant>
      <vt:variant>
        <vt:i4>5</vt:i4>
      </vt:variant>
      <vt:variant>
        <vt:lpwstr>https://www.dcceew.gov.au/sites/default/files/documents/code-review-outcomes.pdf</vt:lpwstr>
      </vt:variant>
      <vt:variant>
        <vt:lpwstr/>
      </vt:variant>
      <vt:variant>
        <vt:i4>589845</vt:i4>
      </vt:variant>
      <vt:variant>
        <vt:i4>48</vt:i4>
      </vt:variant>
      <vt:variant>
        <vt:i4>0</vt:i4>
      </vt:variant>
      <vt:variant>
        <vt:i4>5</vt:i4>
      </vt:variant>
      <vt:variant>
        <vt:lpwstr>https://espace.library.uq.edu.au/view/UQ:080834c</vt:lpwstr>
      </vt:variant>
      <vt:variant>
        <vt:lpwstr/>
      </vt:variant>
      <vt:variant>
        <vt:i4>3670123</vt:i4>
      </vt:variant>
      <vt:variant>
        <vt:i4>45</vt:i4>
      </vt:variant>
      <vt:variant>
        <vt:i4>0</vt:i4>
      </vt:variant>
      <vt:variant>
        <vt:i4>5</vt:i4>
      </vt:variant>
      <vt:variant>
        <vt:lpwstr>https://www.aer.gov.au/system/files/2024-12/Annual Retail Market Report 2023%E2%80%9324 - 30 November 2024.pdf</vt:lpwstr>
      </vt:variant>
      <vt:variant>
        <vt:lpwstr/>
      </vt:variant>
      <vt:variant>
        <vt:i4>3211381</vt:i4>
      </vt:variant>
      <vt:variant>
        <vt:i4>42</vt:i4>
      </vt:variant>
      <vt:variant>
        <vt:i4>0</vt:i4>
      </vt:variant>
      <vt:variant>
        <vt:i4>5</vt:i4>
      </vt:variant>
      <vt:variant>
        <vt:lpwstr>https://www.aemc.gov.au/sites/default/files/2018-12/Advice to COAG Energy Council_Customer and competition impacts of a default offer_December 2018.pdf</vt:lpwstr>
      </vt:variant>
      <vt:variant>
        <vt:lpwstr/>
      </vt:variant>
      <vt:variant>
        <vt:i4>3407917</vt:i4>
      </vt:variant>
      <vt:variant>
        <vt:i4>39</vt:i4>
      </vt:variant>
      <vt:variant>
        <vt:i4>0</vt:i4>
      </vt:variant>
      <vt:variant>
        <vt:i4>5</vt:i4>
      </vt:variant>
      <vt:variant>
        <vt:lpwstr>C:\Users\AyonaSUR\OneDrive - Department of Climate Change, Energy, the Environment and Water\Desktop\DMO\Consultation-Papaer---Review-of-the-Victorian-Default-Offer-Order-in-Council---FINAL.pdf</vt:lpwstr>
      </vt:variant>
      <vt:variant>
        <vt:lpwstr/>
      </vt:variant>
      <vt:variant>
        <vt:i4>7864353</vt:i4>
      </vt:variant>
      <vt:variant>
        <vt:i4>36</vt:i4>
      </vt:variant>
      <vt:variant>
        <vt:i4>0</vt:i4>
      </vt:variant>
      <vt:variant>
        <vt:i4>5</vt:i4>
      </vt:variant>
      <vt:variant>
        <vt:lpwstr>https://www.esc.vic.gov.au/electricity-and-gas/inquiries-studies-and-reviews/electricity-and-gas-retail-markets-review-implementation-2018/victorian-default-offer-recommendation-2019</vt:lpwstr>
      </vt:variant>
      <vt:variant>
        <vt:lpwstr/>
      </vt:variant>
      <vt:variant>
        <vt:i4>2097195</vt:i4>
      </vt:variant>
      <vt:variant>
        <vt:i4>33</vt:i4>
      </vt:variant>
      <vt:variant>
        <vt:i4>0</vt:i4>
      </vt:variant>
      <vt:variant>
        <vt:i4>5</vt:i4>
      </vt:variant>
      <vt:variant>
        <vt:lpwstr>https://www.aer.gov.au/system/files/2025-04/Energy Consumers Australia - Submission - DMO 7 draft determination - 3 April 2025.pdf</vt:lpwstr>
      </vt:variant>
      <vt:variant>
        <vt:lpwstr/>
      </vt:variant>
      <vt:variant>
        <vt:i4>4784187</vt:i4>
      </vt:variant>
      <vt:variant>
        <vt:i4>30</vt:i4>
      </vt:variant>
      <vt:variant>
        <vt:i4>0</vt:i4>
      </vt:variant>
      <vt:variant>
        <vt:i4>5</vt:i4>
      </vt:variant>
      <vt:variant>
        <vt:lpwstr>https://www.aer.gov.au/system/files/2025-05/AER - Final determination - Default market offer prices 2025%E2%80%9326 - 26 May 2025_0.pdf</vt:lpwstr>
      </vt:variant>
      <vt:variant>
        <vt:lpwstr/>
      </vt:variant>
      <vt:variant>
        <vt:i4>7929879</vt:i4>
      </vt:variant>
      <vt:variant>
        <vt:i4>27</vt:i4>
      </vt:variant>
      <vt:variant>
        <vt:i4>0</vt:i4>
      </vt:variant>
      <vt:variant>
        <vt:i4>5</vt:i4>
      </vt:variant>
      <vt:variant>
        <vt:lpwstr>https://www.accc.gov.au/system/files/Retail Electricity Pricing Inquiry%E2%80%94Final Report June 2018_Exec summary.pdf</vt:lpwstr>
      </vt:variant>
      <vt:variant>
        <vt:lpwstr/>
      </vt:variant>
      <vt:variant>
        <vt:i4>7929879</vt:i4>
      </vt:variant>
      <vt:variant>
        <vt:i4>24</vt:i4>
      </vt:variant>
      <vt:variant>
        <vt:i4>0</vt:i4>
      </vt:variant>
      <vt:variant>
        <vt:i4>5</vt:i4>
      </vt:variant>
      <vt:variant>
        <vt:lpwstr>https://www.accc.gov.au/system/files/Retail Electricity Pricing Inquiry%E2%80%94Final Report June 2018_Exec summary.pdf</vt:lpwstr>
      </vt:variant>
      <vt:variant>
        <vt:lpwstr/>
      </vt:variant>
      <vt:variant>
        <vt:i4>3670123</vt:i4>
      </vt:variant>
      <vt:variant>
        <vt:i4>21</vt:i4>
      </vt:variant>
      <vt:variant>
        <vt:i4>0</vt:i4>
      </vt:variant>
      <vt:variant>
        <vt:i4>5</vt:i4>
      </vt:variant>
      <vt:variant>
        <vt:lpwstr>https://www.aer.gov.au/system/files/2024-12/Annual Retail Market Report 2023%E2%80%9324 - 30 November 2024.pdf</vt:lpwstr>
      </vt:variant>
      <vt:variant>
        <vt:lpwstr/>
      </vt:variant>
      <vt:variant>
        <vt:i4>7929879</vt:i4>
      </vt:variant>
      <vt:variant>
        <vt:i4>18</vt:i4>
      </vt:variant>
      <vt:variant>
        <vt:i4>0</vt:i4>
      </vt:variant>
      <vt:variant>
        <vt:i4>5</vt:i4>
      </vt:variant>
      <vt:variant>
        <vt:lpwstr>https://www.accc.gov.au/system/files/Retail Electricity Pricing Inquiry%E2%80%94Final Report June 2018_Exec summary.pdf</vt:lpwstr>
      </vt:variant>
      <vt:variant>
        <vt:lpwstr/>
      </vt:variant>
      <vt:variant>
        <vt:i4>1179752</vt:i4>
      </vt:variant>
      <vt:variant>
        <vt:i4>15</vt:i4>
      </vt:variant>
      <vt:variant>
        <vt:i4>0</vt:i4>
      </vt:variant>
      <vt:variant>
        <vt:i4>5</vt:i4>
      </vt:variant>
      <vt:variant>
        <vt:lpwstr>https://www.griffith.edu.au/__data/assets/pdf_file/0019/1800712/No.2019-02-The-impacts-of-regulated-pricing-2.pdf</vt:lpwstr>
      </vt:variant>
      <vt:variant>
        <vt:lpwstr/>
      </vt:variant>
      <vt:variant>
        <vt:i4>3538983</vt:i4>
      </vt:variant>
      <vt:variant>
        <vt:i4>12</vt:i4>
      </vt:variant>
      <vt:variant>
        <vt:i4>0</vt:i4>
      </vt:variant>
      <vt:variant>
        <vt:i4>5</vt:i4>
      </vt:variant>
      <vt:variant>
        <vt:lpwstr>https://www.aemc.gov.au/regulation/energy-rules/NECF-ACL/mapping/contract-terms</vt:lpwstr>
      </vt:variant>
      <vt:variant>
        <vt:lpwstr/>
      </vt:variant>
      <vt:variant>
        <vt:i4>2687025</vt:i4>
      </vt:variant>
      <vt:variant>
        <vt:i4>9</vt:i4>
      </vt:variant>
      <vt:variant>
        <vt:i4>0</vt:i4>
      </vt:variant>
      <vt:variant>
        <vt:i4>5</vt:i4>
      </vt:variant>
      <vt:variant>
        <vt:lpwstr>https://www.esc.vic.gov.au/sites/default/files/documents/retatil-market-review-victorian-default-offer-terms-of-reference-20181221.pdf</vt:lpwstr>
      </vt:variant>
      <vt:variant>
        <vt:lpwstr/>
      </vt:variant>
      <vt:variant>
        <vt:i4>5374011</vt:i4>
      </vt:variant>
      <vt:variant>
        <vt:i4>6</vt:i4>
      </vt:variant>
      <vt:variant>
        <vt:i4>0</vt:i4>
      </vt:variant>
      <vt:variant>
        <vt:i4>5</vt:i4>
      </vt:variant>
      <vt:variant>
        <vt:lpwstr>https://www.energy.vic.gov.au/__data/assets/pdf_file/0031/673951/Thwaites-Review-Final-Report.pdf</vt:lpwstr>
      </vt:variant>
      <vt:variant>
        <vt:lpwstr/>
      </vt:variant>
      <vt:variant>
        <vt:i4>4718594</vt:i4>
      </vt:variant>
      <vt:variant>
        <vt:i4>3</vt:i4>
      </vt:variant>
      <vt:variant>
        <vt:i4>0</vt:i4>
      </vt:variant>
      <vt:variant>
        <vt:i4>5</vt:i4>
      </vt:variant>
      <vt:variant>
        <vt:lpwstr>https://www.accc.gov.au/system/files/Guide to the Electricity Retail Code - June 2021 v2.pdf</vt:lpwstr>
      </vt:variant>
      <vt:variant>
        <vt:lpwstr/>
      </vt:variant>
      <vt:variant>
        <vt:i4>7929879</vt:i4>
      </vt:variant>
      <vt:variant>
        <vt:i4>0</vt:i4>
      </vt:variant>
      <vt:variant>
        <vt:i4>0</vt:i4>
      </vt:variant>
      <vt:variant>
        <vt:i4>5</vt:i4>
      </vt:variant>
      <vt:variant>
        <vt:lpwstr>https://www.accc.gov.au/system/files/Retail Electricity Pricing Inquiry%E2%80%94Final Report June 2018_Exec 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Vilkaitis, Vyt</dc:creator>
  <cp:keywords/>
  <cp:lastModifiedBy>Chamara LIYANAGE</cp:lastModifiedBy>
  <cp:revision>2</cp:revision>
  <cp:lastPrinted>2025-06-18T07:48:00Z</cp:lastPrinted>
  <dcterms:created xsi:type="dcterms:W3CDTF">2025-06-18T07:49:00Z</dcterms:created>
  <dcterms:modified xsi:type="dcterms:W3CDTF">2025-06-18T07:49:00Z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0x01010074E1D5690BA7024780B33CCA7365ABD6</vt:lpwstr>
  </property>
  <property fmtid="{D5CDD505-2E9C-101B-9397-08002B2CF9AE}" pid="3" name="DocHub_Year">
    <vt:lpwstr>1084;#2022|4a777a70-2aa9-481e-a746-cca47d761c8e</vt:lpwstr>
  </property>
  <property fmtid="{D5CDD505-2E9C-101B-9397-08002B2CF9AE}" pid="4" name="DocHub_Section">
    <vt:lpwstr>619;#Retail ＆ Competitve Markets|52b34380-bb23-4962-8be6-a0b6b1e3e210</vt:lpwstr>
  </property>
  <property fmtid="{D5CDD505-2E9C-101B-9397-08002B2CF9AE}" pid="5" name="DocHub_DocumentType">
    <vt:lpwstr>161;#Policy|a71acb41-5483-4112-89f1-43febcdc5f07</vt:lpwstr>
  </property>
  <property fmtid="{D5CDD505-2E9C-101B-9397-08002B2CF9AE}" pid="6" name="DocHub_SecurityClassification">
    <vt:lpwstr>6;#OFFICIAL|6106d03b-a1a0-4e30-9d91-d5e9fb4314f9</vt:lpwstr>
  </property>
  <property fmtid="{D5CDD505-2E9C-101B-9397-08002B2CF9AE}" pid="7" name="DocHub_WorkActivity">
    <vt:lpwstr>100;#Consultation|fb51ee50-3149-4bd9-89ce-8613c76e7a2f</vt:lpwstr>
  </property>
  <property fmtid="{D5CDD505-2E9C-101B-9397-08002B2CF9AE}" pid="8" name="DocHub_Keywords">
    <vt:lpwstr>1503;#DMO|9bbfdbbb-2632-427b-baf9-b57d4ff99992</vt:lpwstr>
  </property>
  <property fmtid="{D5CDD505-2E9C-101B-9397-08002B2CF9AE}" pid="9" name="MediaServiceImageTags">
    <vt:lpwstr/>
  </property>
  <property fmtid="{D5CDD505-2E9C-101B-9397-08002B2CF9AE}" pid="10" name="ClassificationContentMarkingHeaderShapeIds">
    <vt:lpwstr>3b9127aa,72f279ad,3cfcf006</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f172ce7,7aeeba34,557739b0</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ies>
</file>